
<file path=[Content_Types].xml><?xml version="1.0" encoding="utf-8"?>
<Types xmlns="http://schemas.openxmlformats.org/package/2006/content-types">
  <Default Extension="xml" ContentType="application/xml"/>
  <Default Extension="png" ContentType="image/png"/>
  <Default Extension="wmf" ContentType="image/x-wmf"/>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FBE7402">
      <w:pPr>
        <w:rPr>
          <w:rFonts w:hint="default" w:ascii="Times New Roman" w:hAnsi="Times New Roman" w:eastAsia="宋体" w:cs="Times New Roman"/>
          <w:color w:val="auto"/>
          <w:sz w:val="36"/>
          <w:szCs w:val="36"/>
        </w:rPr>
      </w:pPr>
      <w:r>
        <w:rPr>
          <w:rFonts w:ascii="Times New Roman" w:hAnsi="Times New Roman" w:eastAsia="宋体" w:cs="Times New Roman"/>
          <w:color w:val="auto"/>
          <w:sz w:val="36"/>
        </w:rPr>
        <w:drawing>
          <wp:anchor distT="0" distB="0" distL="114300" distR="114300" simplePos="0" relativeHeight="251663360" behindDoc="0" locked="0" layoutInCell="1" allowOverlap="1">
            <wp:simplePos x="0" y="0"/>
            <wp:positionH relativeFrom="column">
              <wp:posOffset>-894080</wp:posOffset>
            </wp:positionH>
            <wp:positionV relativeFrom="paragraph">
              <wp:posOffset>-883920</wp:posOffset>
            </wp:positionV>
            <wp:extent cx="7560945" cy="10628630"/>
            <wp:effectExtent l="0" t="0" r="13335" b="8890"/>
            <wp:wrapNone/>
            <wp:docPr id="10" name="图片 10" descr="封面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封面1_01"/>
                    <pic:cNvPicPr>
                      <a:picLocks noChangeAspect="1"/>
                    </pic:cNvPicPr>
                  </pic:nvPicPr>
                  <pic:blipFill>
                    <a:blip r:embed="rId8"/>
                    <a:srcRect l="1302" t="554" r="1512" b="2841"/>
                    <a:stretch>
                      <a:fillRect/>
                    </a:stretch>
                  </pic:blipFill>
                  <pic:spPr>
                    <a:xfrm>
                      <a:off x="0" y="0"/>
                      <a:ext cx="7560945" cy="10628630"/>
                    </a:xfrm>
                    <a:prstGeom prst="rect">
                      <a:avLst/>
                    </a:prstGeom>
                  </pic:spPr>
                </pic:pic>
              </a:graphicData>
            </a:graphic>
          </wp:anchor>
        </w:drawing>
      </w:r>
      <w:r>
        <w:rPr>
          <w:rFonts w:ascii="Times New Roman" w:hAnsi="Times New Roman" w:eastAsia="宋体" w:cs="Times New Roman"/>
          <w:color w:val="auto"/>
          <w:sz w:val="36"/>
        </w:rPr>
        <w:drawing>
          <wp:anchor distT="0" distB="0" distL="114300" distR="114300" simplePos="0" relativeHeight="251659264" behindDoc="0" locked="0" layoutInCell="1" allowOverlap="1">
            <wp:simplePos x="0" y="0"/>
            <wp:positionH relativeFrom="column">
              <wp:posOffset>-3980180</wp:posOffset>
            </wp:positionH>
            <wp:positionV relativeFrom="paragraph">
              <wp:posOffset>-157894655</wp:posOffset>
            </wp:positionV>
            <wp:extent cx="635" cy="0"/>
            <wp:effectExtent l="0" t="0" r="0" b="0"/>
            <wp:wrapNone/>
            <wp:docPr id="1" name="图片 3309" descr="闽侯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309" descr="闽侯风玫瑰图"/>
                    <pic:cNvPicPr>
                      <a:picLocks noChangeAspect="1"/>
                    </pic:cNvPicPr>
                  </pic:nvPicPr>
                  <pic:blipFill>
                    <a:blip r:embed="rId9"/>
                    <a:stretch>
                      <a:fillRect/>
                    </a:stretch>
                  </pic:blipFill>
                  <pic:spPr>
                    <a:xfrm>
                      <a:off x="0" y="0"/>
                      <a:ext cx="635" cy="0"/>
                    </a:xfrm>
                    <a:prstGeom prst="rect">
                      <a:avLst/>
                    </a:prstGeom>
                    <a:noFill/>
                    <a:ln>
                      <a:noFill/>
                    </a:ln>
                  </pic:spPr>
                </pic:pic>
              </a:graphicData>
            </a:graphic>
          </wp:anchor>
        </w:drawing>
      </w:r>
    </w:p>
    <w:p w14:paraId="4A2E824C">
      <w:pPr>
        <w:rPr>
          <w:rFonts w:hint="eastAsia" w:ascii="Times New Roman" w:hAnsi="Times New Roman" w:eastAsia="宋体" w:cs="Times New Roman"/>
          <w:color w:val="auto"/>
          <w:sz w:val="36"/>
          <w:szCs w:val="36"/>
          <w:lang w:eastAsia="zh-CN"/>
        </w:rPr>
      </w:pPr>
    </w:p>
    <w:p w14:paraId="29EBF602">
      <w:pPr>
        <w:pStyle w:val="19"/>
        <w:ind w:left="0" w:leftChars="0" w:firstLine="0" w:firstLineChars="0"/>
        <w:rPr>
          <w:rFonts w:hint="eastAsia" w:ascii="Times New Roman" w:hAnsi="Times New Roman" w:eastAsia="宋体" w:cs="Times New Roman"/>
          <w:color w:val="auto"/>
          <w:lang w:eastAsia="zh-CN"/>
        </w:rPr>
      </w:pPr>
    </w:p>
    <w:p w14:paraId="6349DF6F">
      <w:pPr>
        <w:rPr>
          <w:rFonts w:hint="default" w:ascii="Times New Roman" w:hAnsi="Times New Roman" w:eastAsia="宋体" w:cs="Times New Roman"/>
          <w:color w:val="auto"/>
          <w:sz w:val="36"/>
          <w:szCs w:val="36"/>
        </w:rPr>
      </w:pPr>
    </w:p>
    <w:p w14:paraId="2608385E">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outlineLvl w:val="9"/>
        <w:rPr>
          <w:rFonts w:hint="default" w:ascii="Times New Roman" w:hAnsi="Times New Roman" w:eastAsia="宋体" w:cs="Times New Roman"/>
          <w:b/>
          <w:bCs w:val="0"/>
          <w:color w:val="auto"/>
          <w:sz w:val="72"/>
          <w:szCs w:val="72"/>
        </w:rPr>
      </w:pPr>
      <w:r>
        <w:rPr>
          <w:rFonts w:hint="default" w:ascii="Times New Roman" w:hAnsi="Times New Roman" w:eastAsia="宋体" w:cs="Times New Roman"/>
          <w:b/>
          <w:bCs w:val="0"/>
          <w:color w:val="auto"/>
          <w:sz w:val="72"/>
          <w:szCs w:val="72"/>
        </w:rPr>
        <w:t>建设项目环境影响报告表</w:t>
      </w:r>
    </w:p>
    <w:p w14:paraId="6ECF32A6">
      <w:pPr>
        <w:keepNext w:val="0"/>
        <w:keepLines w:val="0"/>
        <w:pageBreakBefore w:val="0"/>
        <w:widowControl w:val="0"/>
        <w:kinsoku/>
        <w:wordWrap/>
        <w:overflowPunct/>
        <w:topLinePunct w:val="0"/>
        <w:autoSpaceDE/>
        <w:autoSpaceDN/>
        <w:bidi w:val="0"/>
        <w:adjustRightInd w:val="0"/>
        <w:snapToGrid w:val="0"/>
        <w:ind w:left="0" w:leftChars="0" w:firstLine="0" w:firstLineChars="0"/>
        <w:jc w:val="center"/>
        <w:textAlignment w:val="auto"/>
        <w:outlineLvl w:val="9"/>
        <w:rPr>
          <w:rFonts w:hint="default" w:ascii="Times New Roman" w:hAnsi="Times New Roman" w:eastAsia="宋体" w:cs="Times New Roman"/>
          <w:b w:val="0"/>
          <w:bCs/>
          <w:color w:val="auto"/>
          <w:sz w:val="48"/>
          <w:szCs w:val="48"/>
        </w:rPr>
      </w:pPr>
      <w:r>
        <w:rPr>
          <w:rFonts w:hint="default" w:ascii="Times New Roman" w:hAnsi="Times New Roman" w:eastAsia="宋体" w:cs="Times New Roman"/>
          <w:b w:val="0"/>
          <w:bCs/>
          <w:color w:val="auto"/>
          <w:sz w:val="48"/>
          <w:szCs w:val="48"/>
        </w:rPr>
        <w:t>（污染影响类）</w:t>
      </w:r>
    </w:p>
    <w:p w14:paraId="37AC7955">
      <w:pPr>
        <w:adjustRightInd w:val="0"/>
        <w:snapToGrid w:val="0"/>
        <w:spacing w:line="288" w:lineRule="auto"/>
        <w:jc w:val="center"/>
        <w:outlineLvl w:val="9"/>
        <w:rPr>
          <w:rFonts w:hint="default" w:ascii="Times New Roman" w:hAnsi="Times New Roman" w:eastAsia="宋体" w:cs="Times New Roman"/>
          <w:color w:val="auto"/>
          <w:kern w:val="44"/>
          <w:sz w:val="44"/>
          <w:szCs w:val="44"/>
        </w:rPr>
      </w:pPr>
    </w:p>
    <w:p w14:paraId="5E79477B">
      <w:pPr>
        <w:jc w:val="center"/>
        <w:rPr>
          <w:rFonts w:hint="default" w:ascii="Times New Roman" w:hAnsi="Times New Roman" w:eastAsia="宋体" w:cs="Times New Roman"/>
          <w:color w:val="auto"/>
          <w:sz w:val="52"/>
          <w:szCs w:val="52"/>
        </w:rPr>
      </w:pPr>
    </w:p>
    <w:p w14:paraId="6F812120">
      <w:pPr>
        <w:rPr>
          <w:rFonts w:hint="default"/>
          <w:color w:val="auto"/>
        </w:rPr>
      </w:pPr>
    </w:p>
    <w:p w14:paraId="08E06215">
      <w:pPr>
        <w:ind w:firstLine="1040"/>
        <w:rPr>
          <w:rFonts w:hint="default" w:ascii="Times New Roman" w:hAnsi="Times New Roman" w:eastAsia="宋体" w:cs="Times New Roman"/>
          <w:color w:val="auto"/>
          <w:sz w:val="44"/>
          <w:szCs w:val="44"/>
        </w:rPr>
      </w:pPr>
    </w:p>
    <w:p w14:paraId="5F694254">
      <w:pPr>
        <w:rPr>
          <w:rFonts w:hint="default"/>
          <w:color w:val="auto"/>
        </w:rPr>
      </w:pPr>
    </w:p>
    <w:p w14:paraId="07B3889D">
      <w:pPr>
        <w:keepNext w:val="0"/>
        <w:keepLines w:val="0"/>
        <w:pageBreakBefore w:val="0"/>
        <w:widowControl w:val="0"/>
        <w:kinsoku/>
        <w:wordWrap/>
        <w:overflowPunct/>
        <w:topLinePunct w:val="0"/>
        <w:autoSpaceDE/>
        <w:autoSpaceDN/>
        <w:bidi w:val="0"/>
        <w:adjustRightInd w:val="0"/>
        <w:snapToGrid w:val="0"/>
        <w:spacing w:line="288" w:lineRule="auto"/>
        <w:ind w:left="0" w:leftChars="0" w:firstLine="0" w:firstLineChars="0"/>
        <w:textAlignment w:val="auto"/>
        <w:rPr>
          <w:rFonts w:hint="eastAsia" w:ascii="Times New Roman" w:hAnsi="Times New Roman" w:eastAsia="宋体" w:cs="Times New Roman"/>
          <w:color w:val="auto"/>
          <w:sz w:val="32"/>
          <w:szCs w:val="32"/>
          <w:u w:val="single"/>
          <w:lang w:val="en-US" w:eastAsia="zh-CN"/>
        </w:rPr>
      </w:pPr>
      <w:r>
        <w:rPr>
          <w:rFonts w:hint="default" w:ascii="Times New Roman" w:hAnsi="Times New Roman" w:eastAsia="宋体" w:cs="Times New Roman"/>
          <w:color w:val="auto"/>
          <w:sz w:val="32"/>
          <w:szCs w:val="32"/>
          <w:u w:val="none"/>
          <w:lang w:eastAsia="zh-CN"/>
        </w:rPr>
        <w:t>项目名称：</w:t>
      </w:r>
      <w:r>
        <w:rPr>
          <w:rFonts w:hint="eastAsia" w:ascii="Times New Roman" w:hAnsi="Times New Roman" w:eastAsia="宋体" w:cs="Times New Roman"/>
          <w:color w:val="auto"/>
          <w:sz w:val="32"/>
          <w:szCs w:val="32"/>
          <w:u w:val="single"/>
          <w:lang w:val="en-US" w:eastAsia="zh-CN"/>
        </w:rPr>
        <w:t>福建融瀚建材有限公司年加工预拌商品混凝土80万立</w:t>
      </w:r>
    </w:p>
    <w:p w14:paraId="424B42AC">
      <w:pPr>
        <w:keepNext w:val="0"/>
        <w:keepLines w:val="0"/>
        <w:pageBreakBefore w:val="0"/>
        <w:widowControl w:val="0"/>
        <w:kinsoku/>
        <w:wordWrap/>
        <w:overflowPunct/>
        <w:topLinePunct w:val="0"/>
        <w:autoSpaceDE/>
        <w:autoSpaceDN/>
        <w:bidi w:val="0"/>
        <w:adjustRightInd w:val="0"/>
        <w:snapToGrid w:val="0"/>
        <w:spacing w:line="288" w:lineRule="auto"/>
        <w:ind w:left="0" w:leftChars="0" w:firstLine="1600" w:firstLineChars="500"/>
        <w:textAlignment w:val="auto"/>
        <w:rPr>
          <w:rFonts w:hint="eastAsia" w:ascii="Times New Roman" w:hAnsi="Times New Roman" w:eastAsia="宋体" w:cs="Times New Roman"/>
          <w:color w:val="auto"/>
          <w:sz w:val="32"/>
          <w:szCs w:val="32"/>
          <w:u w:val="single"/>
          <w:lang w:val="en-US" w:eastAsia="zh-CN"/>
        </w:rPr>
      </w:pPr>
      <w:r>
        <w:rPr>
          <w:rFonts w:hint="eastAsia" w:ascii="Times New Roman" w:hAnsi="Times New Roman" w:eastAsia="宋体" w:cs="Times New Roman"/>
          <w:color w:val="auto"/>
          <w:sz w:val="32"/>
          <w:szCs w:val="32"/>
          <w:u w:val="single"/>
          <w:lang w:val="en-US" w:eastAsia="zh-CN"/>
        </w:rPr>
        <w:t>方米、砼结构件20万立方米、年回收加工建筑垃圾60</w:t>
      </w:r>
    </w:p>
    <w:p w14:paraId="37255270">
      <w:pPr>
        <w:keepNext w:val="0"/>
        <w:keepLines w:val="0"/>
        <w:pageBreakBefore w:val="0"/>
        <w:widowControl w:val="0"/>
        <w:kinsoku/>
        <w:wordWrap/>
        <w:overflowPunct/>
        <w:topLinePunct w:val="0"/>
        <w:autoSpaceDE/>
        <w:autoSpaceDN/>
        <w:bidi w:val="0"/>
        <w:adjustRightInd w:val="0"/>
        <w:snapToGrid w:val="0"/>
        <w:spacing w:line="288" w:lineRule="auto"/>
        <w:ind w:left="0" w:leftChars="0" w:firstLine="1600" w:firstLineChars="500"/>
        <w:textAlignment w:val="auto"/>
        <w:rPr>
          <w:rFonts w:hint="eastAsia" w:ascii="Times New Roman" w:hAnsi="Times New Roman" w:eastAsia="宋体" w:cs="Times New Roman"/>
          <w:color w:val="auto"/>
          <w:sz w:val="32"/>
          <w:szCs w:val="32"/>
          <w:u w:val="single"/>
          <w:lang w:val="en-US" w:eastAsia="zh-CN"/>
        </w:rPr>
      </w:pPr>
      <w:r>
        <w:rPr>
          <w:rFonts w:hint="eastAsia" w:ascii="Times New Roman" w:hAnsi="Times New Roman" w:eastAsia="宋体" w:cs="Times New Roman"/>
          <w:color w:val="auto"/>
          <w:sz w:val="32"/>
          <w:szCs w:val="32"/>
          <w:u w:val="single"/>
          <w:lang w:val="en-US" w:eastAsia="zh-CN"/>
        </w:rPr>
        <w:t>万立方米</w:t>
      </w:r>
      <w:r>
        <w:rPr>
          <w:rFonts w:hint="eastAsia" w:cs="Times New Roman"/>
          <w:color w:val="auto"/>
          <w:sz w:val="32"/>
          <w:szCs w:val="32"/>
          <w:u w:val="single"/>
          <w:lang w:val="en-US" w:eastAsia="zh-CN"/>
        </w:rPr>
        <w:t>（变更）</w:t>
      </w:r>
    </w:p>
    <w:p w14:paraId="76A9D9F9">
      <w:pPr>
        <w:keepNext w:val="0"/>
        <w:keepLines w:val="0"/>
        <w:pageBreakBefore w:val="0"/>
        <w:widowControl w:val="0"/>
        <w:kinsoku/>
        <w:wordWrap/>
        <w:overflowPunct/>
        <w:topLinePunct w:val="0"/>
        <w:autoSpaceDE/>
        <w:autoSpaceDN/>
        <w:bidi w:val="0"/>
        <w:adjustRightInd w:val="0"/>
        <w:snapToGrid w:val="0"/>
        <w:spacing w:line="288" w:lineRule="auto"/>
        <w:ind w:left="0" w:leftChars="0" w:firstLine="0" w:firstLineChars="0"/>
        <w:textAlignment w:val="auto"/>
        <w:rPr>
          <w:rFonts w:hint="default" w:ascii="Times New Roman" w:hAnsi="Times New Roman" w:eastAsia="宋体" w:cs="Times New Roman"/>
          <w:color w:val="auto"/>
          <w:sz w:val="32"/>
          <w:szCs w:val="32"/>
          <w:u w:val="single"/>
          <w:lang w:val="en-US"/>
        </w:rPr>
      </w:pPr>
      <w:r>
        <w:rPr>
          <w:rFonts w:hint="default" w:ascii="Times New Roman" w:hAnsi="Times New Roman" w:eastAsia="宋体" w:cs="Times New Roman"/>
          <w:color w:val="auto"/>
          <w:sz w:val="32"/>
          <w:szCs w:val="32"/>
        </w:rPr>
        <w:t>建设单位（盖章）：</w:t>
      </w:r>
      <w:r>
        <w:rPr>
          <w:rFonts w:hint="eastAsia" w:ascii="Times New Roman" w:hAnsi="Times New Roman" w:eastAsia="宋体" w:cs="Times New Roman"/>
          <w:color w:val="auto"/>
          <w:sz w:val="32"/>
          <w:szCs w:val="32"/>
          <w:u w:val="single"/>
          <w:lang w:val="en-US" w:eastAsia="zh-CN"/>
        </w:rPr>
        <w:t xml:space="preserve">   </w:t>
      </w:r>
      <w:r>
        <w:rPr>
          <w:rFonts w:hint="eastAsia" w:cs="Times New Roman"/>
          <w:color w:val="auto"/>
          <w:sz w:val="32"/>
          <w:szCs w:val="32"/>
          <w:u w:val="single"/>
          <w:lang w:val="en-US" w:eastAsia="zh-CN"/>
        </w:rPr>
        <w:t xml:space="preserve">  </w:t>
      </w:r>
      <w:r>
        <w:rPr>
          <w:rFonts w:hint="eastAsia" w:ascii="Times New Roman" w:hAnsi="Times New Roman" w:eastAsia="宋体" w:cs="Times New Roman"/>
          <w:color w:val="auto"/>
          <w:sz w:val="32"/>
          <w:szCs w:val="32"/>
          <w:u w:val="single"/>
          <w:lang w:val="en-US" w:eastAsia="zh-CN"/>
        </w:rPr>
        <w:t>福建融瀚建材有限公司</w:t>
      </w:r>
      <w:r>
        <w:rPr>
          <w:rFonts w:hint="eastAsia" w:cs="Times New Roman"/>
          <w:color w:val="auto"/>
          <w:sz w:val="32"/>
          <w:szCs w:val="32"/>
          <w:u w:val="single"/>
          <w:lang w:val="en-US" w:eastAsia="zh-CN"/>
        </w:rPr>
        <w:t xml:space="preserve"> </w:t>
      </w:r>
      <w:r>
        <w:rPr>
          <w:rFonts w:hint="default" w:ascii="Times New Roman" w:hAnsi="Times New Roman" w:eastAsia="宋体" w:cs="Times New Roman"/>
          <w:color w:val="auto"/>
          <w:sz w:val="32"/>
          <w:szCs w:val="32"/>
          <w:u w:val="single"/>
          <w:lang w:val="en-US" w:eastAsia="zh-CN"/>
        </w:rPr>
        <w:t xml:space="preserve">  </w:t>
      </w:r>
      <w:r>
        <w:rPr>
          <w:rFonts w:hint="eastAsia" w:cs="Times New Roman"/>
          <w:color w:val="auto"/>
          <w:sz w:val="32"/>
          <w:szCs w:val="32"/>
          <w:u w:val="single"/>
          <w:lang w:val="en-US" w:eastAsia="zh-CN"/>
        </w:rPr>
        <w:t xml:space="preserve">  </w:t>
      </w:r>
      <w:r>
        <w:rPr>
          <w:rFonts w:hint="eastAsia" w:ascii="Times New Roman" w:hAnsi="Times New Roman" w:eastAsia="宋体" w:cs="Times New Roman"/>
          <w:color w:val="auto"/>
          <w:sz w:val="32"/>
          <w:szCs w:val="32"/>
          <w:u w:val="single"/>
          <w:lang w:val="en-US" w:eastAsia="zh-CN"/>
        </w:rPr>
        <w:t xml:space="preserve">      </w:t>
      </w:r>
      <w:r>
        <w:rPr>
          <w:rFonts w:hint="default" w:ascii="Times New Roman" w:hAnsi="Times New Roman" w:eastAsia="宋体" w:cs="Times New Roman"/>
          <w:color w:val="auto"/>
          <w:sz w:val="32"/>
          <w:szCs w:val="32"/>
          <w:u w:val="single"/>
          <w:lang w:val="en-US" w:eastAsia="zh-CN"/>
        </w:rPr>
        <w:t xml:space="preserve"> </w:t>
      </w:r>
    </w:p>
    <w:p w14:paraId="0FBFC28C">
      <w:pPr>
        <w:keepNext w:val="0"/>
        <w:keepLines w:val="0"/>
        <w:pageBreakBefore w:val="0"/>
        <w:widowControl w:val="0"/>
        <w:kinsoku/>
        <w:wordWrap/>
        <w:overflowPunct/>
        <w:topLinePunct w:val="0"/>
        <w:autoSpaceDE/>
        <w:autoSpaceDN/>
        <w:bidi w:val="0"/>
        <w:adjustRightInd w:val="0"/>
        <w:snapToGrid w:val="0"/>
        <w:spacing w:line="288" w:lineRule="auto"/>
        <w:ind w:left="0" w:leftChars="0" w:firstLine="0" w:firstLineChars="0"/>
        <w:jc w:val="both"/>
        <w:textAlignment w:val="auto"/>
        <w:rPr>
          <w:rFonts w:hint="default" w:ascii="Times New Roman" w:hAnsi="Times New Roman" w:eastAsia="宋体" w:cs="Times New Roman"/>
          <w:color w:val="auto"/>
          <w:sz w:val="32"/>
          <w:szCs w:val="32"/>
          <w:u w:val="single"/>
          <w:lang w:val="en-US"/>
        </w:rPr>
      </w:pPr>
      <w:r>
        <w:rPr>
          <w:rFonts w:hint="default" w:ascii="Times New Roman" w:hAnsi="Times New Roman" w:eastAsia="宋体" w:cs="Times New Roman"/>
          <w:color w:val="auto"/>
          <w:sz w:val="32"/>
          <w:szCs w:val="32"/>
        </w:rPr>
        <w:t>编制日期：</w:t>
      </w:r>
      <w:r>
        <w:rPr>
          <w:rFonts w:hint="eastAsia" w:ascii="Times New Roman" w:hAnsi="Times New Roman" w:eastAsia="宋体" w:cs="Times New Roman"/>
          <w:color w:val="auto"/>
          <w:sz w:val="32"/>
          <w:szCs w:val="32"/>
          <w:u w:val="single"/>
          <w:lang w:val="en-US" w:eastAsia="zh-CN"/>
        </w:rPr>
        <w:t xml:space="preserve">                 2</w:t>
      </w:r>
      <w:r>
        <w:rPr>
          <w:rFonts w:hint="default" w:ascii="Times New Roman" w:hAnsi="Times New Roman" w:eastAsia="宋体" w:cs="Times New Roman"/>
          <w:color w:val="auto"/>
          <w:sz w:val="32"/>
          <w:szCs w:val="32"/>
          <w:u w:val="single"/>
          <w:lang w:val="en-US" w:eastAsia="zh-CN"/>
        </w:rPr>
        <w:t>02</w:t>
      </w:r>
      <w:r>
        <w:rPr>
          <w:rFonts w:hint="eastAsia" w:cs="Times New Roman"/>
          <w:color w:val="auto"/>
          <w:sz w:val="32"/>
          <w:szCs w:val="32"/>
          <w:u w:val="single"/>
          <w:lang w:val="en-US" w:eastAsia="zh-CN"/>
        </w:rPr>
        <w:t>5</w:t>
      </w:r>
      <w:r>
        <w:rPr>
          <w:rFonts w:hint="default" w:ascii="Times New Roman" w:hAnsi="Times New Roman" w:eastAsia="宋体" w:cs="Times New Roman"/>
          <w:color w:val="auto"/>
          <w:sz w:val="32"/>
          <w:szCs w:val="32"/>
          <w:u w:val="single"/>
          <w:lang w:val="en-US" w:eastAsia="zh-CN"/>
        </w:rPr>
        <w:t>年</w:t>
      </w:r>
      <w:r>
        <w:rPr>
          <w:rFonts w:hint="eastAsia" w:cs="Times New Roman"/>
          <w:color w:val="auto"/>
          <w:sz w:val="32"/>
          <w:szCs w:val="32"/>
          <w:highlight w:val="none"/>
          <w:u w:val="single"/>
          <w:lang w:val="en-US" w:eastAsia="zh-CN"/>
        </w:rPr>
        <w:t>10</w:t>
      </w:r>
      <w:r>
        <w:rPr>
          <w:rFonts w:hint="default" w:ascii="Times New Roman" w:hAnsi="Times New Roman" w:eastAsia="宋体" w:cs="Times New Roman"/>
          <w:color w:val="auto"/>
          <w:sz w:val="32"/>
          <w:szCs w:val="32"/>
          <w:highlight w:val="none"/>
          <w:u w:val="single"/>
          <w:lang w:val="en-US" w:eastAsia="zh-CN"/>
        </w:rPr>
        <w:t>月</w:t>
      </w:r>
      <w:r>
        <w:rPr>
          <w:rFonts w:hint="eastAsia" w:ascii="Times New Roman" w:hAnsi="Times New Roman" w:eastAsia="宋体" w:cs="Times New Roman"/>
          <w:color w:val="auto"/>
          <w:sz w:val="32"/>
          <w:szCs w:val="32"/>
          <w:u w:val="single"/>
          <w:lang w:val="en-US" w:eastAsia="zh-CN"/>
        </w:rPr>
        <w:t xml:space="preserve">   </w:t>
      </w:r>
      <w:r>
        <w:rPr>
          <w:rFonts w:hint="eastAsia" w:cs="Times New Roman"/>
          <w:color w:val="auto"/>
          <w:sz w:val="32"/>
          <w:szCs w:val="32"/>
          <w:u w:val="single"/>
          <w:lang w:val="en-US" w:eastAsia="zh-CN"/>
        </w:rPr>
        <w:t xml:space="preserve">  </w:t>
      </w:r>
      <w:r>
        <w:rPr>
          <w:rFonts w:hint="eastAsia" w:ascii="Times New Roman" w:hAnsi="Times New Roman" w:eastAsia="宋体" w:cs="Times New Roman"/>
          <w:color w:val="auto"/>
          <w:sz w:val="32"/>
          <w:szCs w:val="32"/>
          <w:u w:val="single"/>
          <w:lang w:val="en-US" w:eastAsia="zh-CN"/>
        </w:rPr>
        <w:t xml:space="preserve">             </w:t>
      </w:r>
    </w:p>
    <w:p w14:paraId="786C2C9C">
      <w:pPr>
        <w:adjustRightInd w:val="0"/>
        <w:snapToGrid w:val="0"/>
        <w:spacing w:line="288" w:lineRule="auto"/>
        <w:ind w:firstLine="1040"/>
        <w:rPr>
          <w:rFonts w:hint="default" w:ascii="Times New Roman" w:hAnsi="Times New Roman" w:eastAsia="宋体" w:cs="Times New Roman"/>
          <w:color w:val="auto"/>
          <w:sz w:val="32"/>
          <w:szCs w:val="32"/>
          <w:u w:val="single"/>
        </w:rPr>
      </w:pPr>
      <w:bookmarkStart w:id="0" w:name="_Hlk57884087"/>
    </w:p>
    <w:p w14:paraId="1AD0D139">
      <w:pPr>
        <w:adjustRightInd w:val="0"/>
        <w:snapToGrid w:val="0"/>
        <w:spacing w:line="288" w:lineRule="auto"/>
        <w:ind w:firstLine="1040"/>
        <w:rPr>
          <w:rFonts w:hint="default" w:ascii="Times New Roman" w:hAnsi="Times New Roman" w:eastAsia="宋体" w:cs="Times New Roman"/>
          <w:color w:val="auto"/>
          <w:sz w:val="36"/>
          <w:szCs w:val="36"/>
        </w:rPr>
      </w:pPr>
    </w:p>
    <w:p w14:paraId="07217DB6">
      <w:pPr>
        <w:adjustRightInd w:val="0"/>
        <w:snapToGrid w:val="0"/>
        <w:spacing w:line="288" w:lineRule="auto"/>
        <w:ind w:firstLine="1040"/>
        <w:rPr>
          <w:rFonts w:hint="default" w:ascii="Times New Roman" w:hAnsi="Times New Roman" w:eastAsia="宋体" w:cs="Times New Roman"/>
          <w:color w:val="auto"/>
          <w:sz w:val="36"/>
          <w:szCs w:val="36"/>
        </w:rPr>
      </w:pPr>
    </w:p>
    <w:p w14:paraId="52257665">
      <w:pPr>
        <w:rPr>
          <w:rFonts w:hint="default"/>
          <w:color w:val="auto"/>
        </w:rPr>
      </w:pPr>
    </w:p>
    <w:p w14:paraId="78F71807">
      <w:pPr>
        <w:adjustRightInd w:val="0"/>
        <w:snapToGrid w:val="0"/>
        <w:spacing w:line="288" w:lineRule="auto"/>
        <w:ind w:firstLine="1040"/>
        <w:rPr>
          <w:rFonts w:hint="default" w:ascii="Times New Roman" w:hAnsi="Times New Roman" w:eastAsia="宋体" w:cs="Times New Roman"/>
          <w:color w:val="auto"/>
          <w:sz w:val="36"/>
          <w:szCs w:val="36"/>
        </w:rPr>
      </w:pPr>
    </w:p>
    <w:bookmarkEnd w:id="0"/>
    <w:p w14:paraId="293C19C8">
      <w:pPr>
        <w:adjustRightInd w:val="0"/>
        <w:snapToGrid w:val="0"/>
        <w:spacing w:line="288" w:lineRule="auto"/>
        <w:ind w:left="0" w:leftChars="0" w:firstLine="0" w:firstLineChars="0"/>
        <w:jc w:val="center"/>
        <w:rPr>
          <w:rFonts w:hint="default" w:ascii="Times New Roman" w:hAnsi="Times New Roman" w:eastAsia="宋体" w:cs="Times New Roman"/>
          <w:color w:val="auto"/>
          <w:sz w:val="36"/>
          <w:szCs w:val="36"/>
        </w:rPr>
      </w:pPr>
      <w:r>
        <w:rPr>
          <w:rFonts w:hint="default" w:ascii="Times New Roman" w:hAnsi="Times New Roman" w:eastAsia="宋体" w:cs="Times New Roman"/>
          <w:color w:val="auto"/>
          <w:sz w:val="36"/>
          <w:szCs w:val="36"/>
        </w:rPr>
        <w:t>中华人民共和国生态环境部制</w:t>
      </w:r>
    </w:p>
    <w:p w14:paraId="31A9C6F4">
      <w:pPr>
        <w:adjustRightInd w:val="0"/>
        <w:snapToGrid w:val="0"/>
        <w:spacing w:line="288" w:lineRule="auto"/>
        <w:ind w:left="0" w:leftChars="0" w:firstLine="0" w:firstLineChars="0"/>
        <w:jc w:val="center"/>
        <w:rPr>
          <w:rFonts w:hint="default" w:ascii="Times New Roman" w:hAnsi="Times New Roman" w:eastAsia="宋体" w:cs="Times New Roman"/>
          <w:color w:val="auto"/>
          <w:sz w:val="36"/>
          <w:szCs w:val="36"/>
        </w:rPr>
      </w:pPr>
    </w:p>
    <w:sdt>
      <w:sdtPr>
        <w:rPr>
          <w:rFonts w:ascii="宋体" w:hAnsi="宋体" w:eastAsia="宋体" w:cs="Times New Roman"/>
          <w:color w:val="auto"/>
          <w:kern w:val="2"/>
          <w:sz w:val="21"/>
          <w:szCs w:val="24"/>
          <w:lang w:val="en-US" w:eastAsia="zh-CN" w:bidi="ar-SA"/>
        </w:rPr>
        <w:id w:val="147472365"/>
        <w15:color w:val="DBDBDB"/>
        <w:docPartObj>
          <w:docPartGallery w:val="Table of Contents"/>
          <w:docPartUnique/>
        </w:docPartObj>
      </w:sdtPr>
      <w:sdtEndPr>
        <w:rPr>
          <w:rFonts w:hint="default" w:ascii="Times New Roman" w:hAnsi="Times New Roman" w:eastAsia="宋体" w:cs="Times New Roman"/>
          <w:color w:val="auto"/>
          <w:kern w:val="2"/>
          <w:sz w:val="24"/>
          <w:szCs w:val="24"/>
          <w:lang w:val="en-US" w:eastAsia="zh-CN" w:bidi="ar-SA"/>
        </w:rPr>
      </w:sdtEndPr>
      <w:sdtContent>
        <w:p w14:paraId="43D4490C">
          <w:pPr>
            <w:spacing w:before="0" w:beforeLines="0" w:after="0" w:afterLines="0" w:line="240" w:lineRule="auto"/>
            <w:ind w:left="0" w:leftChars="0" w:right="0" w:rightChars="0" w:firstLine="0" w:firstLineChars="0"/>
            <w:jc w:val="center"/>
            <w:rPr>
              <w:color w:val="auto"/>
            </w:rPr>
          </w:pPr>
          <w:r>
            <w:rPr>
              <w:rFonts w:ascii="宋体" w:hAnsi="宋体" w:eastAsia="宋体"/>
              <w:b/>
              <w:bCs/>
              <w:color w:val="auto"/>
              <w:sz w:val="28"/>
              <w:szCs w:val="36"/>
            </w:rPr>
            <w:t>目录</w:t>
          </w:r>
        </w:p>
        <w:p w14:paraId="1339BF30">
          <w:pPr>
            <w:pStyle w:val="16"/>
            <w:keepNext w:val="0"/>
            <w:keepLines w:val="0"/>
            <w:pageBreakBefore w:val="0"/>
            <w:widowControl w:val="0"/>
            <w:tabs>
              <w:tab w:val="right" w:leader="dot" w:pos="9072"/>
            </w:tabs>
            <w:kinsoku/>
            <w:wordWrap/>
            <w:overflowPunct/>
            <w:topLinePunct w:val="0"/>
            <w:autoSpaceDE/>
            <w:autoSpaceDN/>
            <w:bidi w:val="0"/>
            <w:adjustRightInd/>
            <w:snapToGrid/>
            <w:spacing w:line="276" w:lineRule="auto"/>
            <w:textAlignment w:val="auto"/>
            <w:rPr>
              <w:sz w:val="21"/>
              <w:szCs w:val="21"/>
            </w:rPr>
          </w:pPr>
          <w:r>
            <w:rPr>
              <w:rFonts w:hint="default"/>
              <w:color w:val="auto"/>
              <w:sz w:val="20"/>
              <w:szCs w:val="20"/>
            </w:rPr>
            <w:fldChar w:fldCharType="begin"/>
          </w:r>
          <w:r>
            <w:rPr>
              <w:rFonts w:hint="default"/>
              <w:color w:val="auto"/>
              <w:sz w:val="20"/>
              <w:szCs w:val="20"/>
            </w:rPr>
            <w:instrText xml:space="preserve">TOC \o "1-1" \h \u </w:instrText>
          </w:r>
          <w:r>
            <w:rPr>
              <w:rFonts w:hint="default"/>
              <w:color w:val="auto"/>
              <w:sz w:val="20"/>
              <w:szCs w:val="20"/>
            </w:rPr>
            <w:fldChar w:fldCharType="separate"/>
          </w:r>
          <w:r>
            <w:rPr>
              <w:rFonts w:hint="default"/>
              <w:color w:val="auto"/>
              <w:sz w:val="21"/>
              <w:szCs w:val="20"/>
            </w:rPr>
            <w:fldChar w:fldCharType="begin"/>
          </w:r>
          <w:r>
            <w:rPr>
              <w:rFonts w:hint="default"/>
              <w:sz w:val="21"/>
              <w:szCs w:val="20"/>
            </w:rPr>
            <w:instrText xml:space="preserve"> HYPERLINK \l _Toc6211 </w:instrText>
          </w:r>
          <w:r>
            <w:rPr>
              <w:rFonts w:hint="default"/>
              <w:sz w:val="21"/>
              <w:szCs w:val="20"/>
            </w:rPr>
            <w:fldChar w:fldCharType="separate"/>
          </w:r>
          <w:r>
            <w:rPr>
              <w:rFonts w:hint="default"/>
              <w:sz w:val="21"/>
              <w:szCs w:val="21"/>
            </w:rPr>
            <w:t>一、建设项目基本情况</w:t>
          </w:r>
          <w:r>
            <w:rPr>
              <w:sz w:val="21"/>
              <w:szCs w:val="21"/>
            </w:rPr>
            <w:tab/>
          </w:r>
          <w:r>
            <w:rPr>
              <w:sz w:val="21"/>
              <w:szCs w:val="21"/>
            </w:rPr>
            <w:fldChar w:fldCharType="begin"/>
          </w:r>
          <w:r>
            <w:rPr>
              <w:sz w:val="21"/>
              <w:szCs w:val="21"/>
            </w:rPr>
            <w:instrText xml:space="preserve"> PAGEREF _Toc6211 \h </w:instrText>
          </w:r>
          <w:r>
            <w:rPr>
              <w:sz w:val="21"/>
              <w:szCs w:val="21"/>
            </w:rPr>
            <w:fldChar w:fldCharType="separate"/>
          </w:r>
          <w:r>
            <w:rPr>
              <w:sz w:val="21"/>
              <w:szCs w:val="21"/>
            </w:rPr>
            <w:t>- 1 -</w:t>
          </w:r>
          <w:r>
            <w:rPr>
              <w:sz w:val="21"/>
              <w:szCs w:val="21"/>
            </w:rPr>
            <w:fldChar w:fldCharType="end"/>
          </w:r>
          <w:r>
            <w:rPr>
              <w:rFonts w:hint="default"/>
              <w:color w:val="auto"/>
              <w:sz w:val="21"/>
              <w:szCs w:val="20"/>
            </w:rPr>
            <w:fldChar w:fldCharType="end"/>
          </w:r>
        </w:p>
        <w:p w14:paraId="38144297">
          <w:pPr>
            <w:pStyle w:val="16"/>
            <w:keepNext w:val="0"/>
            <w:keepLines w:val="0"/>
            <w:pageBreakBefore w:val="0"/>
            <w:widowControl w:val="0"/>
            <w:tabs>
              <w:tab w:val="right" w:leader="dot" w:pos="9072"/>
            </w:tabs>
            <w:kinsoku/>
            <w:wordWrap/>
            <w:overflowPunct/>
            <w:topLinePunct w:val="0"/>
            <w:autoSpaceDE/>
            <w:autoSpaceDN/>
            <w:bidi w:val="0"/>
            <w:adjustRightInd/>
            <w:snapToGrid/>
            <w:spacing w:line="276" w:lineRule="auto"/>
            <w:textAlignment w:val="auto"/>
            <w:rPr>
              <w:sz w:val="21"/>
              <w:szCs w:val="21"/>
            </w:rPr>
          </w:pPr>
          <w:r>
            <w:rPr>
              <w:rFonts w:hint="default"/>
              <w:color w:val="auto"/>
              <w:sz w:val="21"/>
              <w:szCs w:val="20"/>
            </w:rPr>
            <w:fldChar w:fldCharType="begin"/>
          </w:r>
          <w:r>
            <w:rPr>
              <w:rFonts w:hint="default"/>
              <w:sz w:val="21"/>
              <w:szCs w:val="20"/>
            </w:rPr>
            <w:instrText xml:space="preserve"> HYPERLINK \l _Toc26280 </w:instrText>
          </w:r>
          <w:r>
            <w:rPr>
              <w:rFonts w:hint="default"/>
              <w:sz w:val="21"/>
              <w:szCs w:val="20"/>
            </w:rPr>
            <w:fldChar w:fldCharType="separate"/>
          </w:r>
          <w:r>
            <w:rPr>
              <w:rFonts w:hint="default"/>
              <w:sz w:val="21"/>
              <w:szCs w:val="21"/>
            </w:rPr>
            <w:t>二、建设项目工程分析</w:t>
          </w:r>
          <w:r>
            <w:rPr>
              <w:sz w:val="21"/>
              <w:szCs w:val="21"/>
            </w:rPr>
            <w:tab/>
          </w:r>
          <w:r>
            <w:rPr>
              <w:sz w:val="21"/>
              <w:szCs w:val="21"/>
            </w:rPr>
            <w:fldChar w:fldCharType="begin"/>
          </w:r>
          <w:r>
            <w:rPr>
              <w:sz w:val="21"/>
              <w:szCs w:val="21"/>
            </w:rPr>
            <w:instrText xml:space="preserve"> PAGEREF _Toc26280 \h </w:instrText>
          </w:r>
          <w:r>
            <w:rPr>
              <w:sz w:val="21"/>
              <w:szCs w:val="21"/>
            </w:rPr>
            <w:fldChar w:fldCharType="separate"/>
          </w:r>
          <w:r>
            <w:rPr>
              <w:sz w:val="21"/>
              <w:szCs w:val="21"/>
            </w:rPr>
            <w:t>- 20 -</w:t>
          </w:r>
          <w:r>
            <w:rPr>
              <w:sz w:val="21"/>
              <w:szCs w:val="21"/>
            </w:rPr>
            <w:fldChar w:fldCharType="end"/>
          </w:r>
          <w:r>
            <w:rPr>
              <w:rFonts w:hint="default"/>
              <w:color w:val="auto"/>
              <w:sz w:val="21"/>
              <w:szCs w:val="20"/>
            </w:rPr>
            <w:fldChar w:fldCharType="end"/>
          </w:r>
        </w:p>
        <w:p w14:paraId="4DB481E6">
          <w:pPr>
            <w:pStyle w:val="16"/>
            <w:keepNext w:val="0"/>
            <w:keepLines w:val="0"/>
            <w:pageBreakBefore w:val="0"/>
            <w:widowControl w:val="0"/>
            <w:tabs>
              <w:tab w:val="right" w:leader="dot" w:pos="9072"/>
            </w:tabs>
            <w:kinsoku/>
            <w:wordWrap/>
            <w:overflowPunct/>
            <w:topLinePunct w:val="0"/>
            <w:autoSpaceDE/>
            <w:autoSpaceDN/>
            <w:bidi w:val="0"/>
            <w:adjustRightInd/>
            <w:snapToGrid/>
            <w:spacing w:line="276" w:lineRule="auto"/>
            <w:textAlignment w:val="auto"/>
            <w:rPr>
              <w:sz w:val="21"/>
              <w:szCs w:val="21"/>
            </w:rPr>
          </w:pPr>
          <w:r>
            <w:rPr>
              <w:rFonts w:hint="default"/>
              <w:color w:val="auto"/>
              <w:sz w:val="21"/>
              <w:szCs w:val="20"/>
            </w:rPr>
            <w:fldChar w:fldCharType="begin"/>
          </w:r>
          <w:r>
            <w:rPr>
              <w:rFonts w:hint="default"/>
              <w:sz w:val="21"/>
              <w:szCs w:val="20"/>
            </w:rPr>
            <w:instrText xml:space="preserve"> HYPERLINK \l _Toc21309 </w:instrText>
          </w:r>
          <w:r>
            <w:rPr>
              <w:rFonts w:hint="default"/>
              <w:sz w:val="21"/>
              <w:szCs w:val="20"/>
            </w:rPr>
            <w:fldChar w:fldCharType="separate"/>
          </w:r>
          <w:r>
            <w:rPr>
              <w:rFonts w:hint="default"/>
              <w:sz w:val="21"/>
              <w:szCs w:val="21"/>
            </w:rPr>
            <w:t>三、区域环境质量现状、环境保护目标及评价标准</w:t>
          </w:r>
          <w:r>
            <w:rPr>
              <w:sz w:val="21"/>
              <w:szCs w:val="21"/>
            </w:rPr>
            <w:tab/>
          </w:r>
          <w:r>
            <w:rPr>
              <w:sz w:val="21"/>
              <w:szCs w:val="21"/>
            </w:rPr>
            <w:fldChar w:fldCharType="begin"/>
          </w:r>
          <w:r>
            <w:rPr>
              <w:sz w:val="21"/>
              <w:szCs w:val="21"/>
            </w:rPr>
            <w:instrText xml:space="preserve"> PAGEREF _Toc21309 \h </w:instrText>
          </w:r>
          <w:r>
            <w:rPr>
              <w:sz w:val="21"/>
              <w:szCs w:val="21"/>
            </w:rPr>
            <w:fldChar w:fldCharType="separate"/>
          </w:r>
          <w:r>
            <w:rPr>
              <w:sz w:val="21"/>
              <w:szCs w:val="21"/>
            </w:rPr>
            <w:t>- 33 -</w:t>
          </w:r>
          <w:r>
            <w:rPr>
              <w:sz w:val="21"/>
              <w:szCs w:val="21"/>
            </w:rPr>
            <w:fldChar w:fldCharType="end"/>
          </w:r>
          <w:r>
            <w:rPr>
              <w:rFonts w:hint="default"/>
              <w:color w:val="auto"/>
              <w:sz w:val="21"/>
              <w:szCs w:val="20"/>
            </w:rPr>
            <w:fldChar w:fldCharType="end"/>
          </w:r>
        </w:p>
        <w:p w14:paraId="5BB62D50">
          <w:pPr>
            <w:pStyle w:val="16"/>
            <w:keepNext w:val="0"/>
            <w:keepLines w:val="0"/>
            <w:pageBreakBefore w:val="0"/>
            <w:widowControl w:val="0"/>
            <w:tabs>
              <w:tab w:val="right" w:leader="dot" w:pos="9072"/>
            </w:tabs>
            <w:kinsoku/>
            <w:wordWrap/>
            <w:overflowPunct/>
            <w:topLinePunct w:val="0"/>
            <w:autoSpaceDE/>
            <w:autoSpaceDN/>
            <w:bidi w:val="0"/>
            <w:adjustRightInd/>
            <w:snapToGrid/>
            <w:spacing w:line="276" w:lineRule="auto"/>
            <w:textAlignment w:val="auto"/>
            <w:rPr>
              <w:sz w:val="21"/>
              <w:szCs w:val="21"/>
            </w:rPr>
          </w:pPr>
          <w:r>
            <w:rPr>
              <w:rFonts w:hint="default"/>
              <w:color w:val="auto"/>
              <w:sz w:val="21"/>
              <w:szCs w:val="20"/>
            </w:rPr>
            <w:fldChar w:fldCharType="begin"/>
          </w:r>
          <w:r>
            <w:rPr>
              <w:rFonts w:hint="default"/>
              <w:sz w:val="21"/>
              <w:szCs w:val="20"/>
            </w:rPr>
            <w:instrText xml:space="preserve"> HYPERLINK \l _Toc5724 </w:instrText>
          </w:r>
          <w:r>
            <w:rPr>
              <w:rFonts w:hint="default"/>
              <w:sz w:val="21"/>
              <w:szCs w:val="20"/>
            </w:rPr>
            <w:fldChar w:fldCharType="separate"/>
          </w:r>
          <w:r>
            <w:rPr>
              <w:rFonts w:hint="eastAsia" w:ascii="Times New Roman" w:hAnsi="Times New Roman" w:eastAsia="宋体" w:cs="Times New Roman"/>
              <w:bCs/>
              <w:snapToGrid w:val="0"/>
              <w:sz w:val="21"/>
              <w:szCs w:val="24"/>
            </w:rPr>
            <w:t xml:space="preserve">四、 </w:t>
          </w:r>
          <w:r>
            <w:rPr>
              <w:rFonts w:hint="default"/>
              <w:sz w:val="21"/>
              <w:szCs w:val="21"/>
            </w:rPr>
            <w:t>主要环境影响和保护措施</w:t>
          </w:r>
          <w:r>
            <w:rPr>
              <w:sz w:val="21"/>
              <w:szCs w:val="21"/>
            </w:rPr>
            <w:tab/>
          </w:r>
          <w:r>
            <w:rPr>
              <w:sz w:val="21"/>
              <w:szCs w:val="21"/>
            </w:rPr>
            <w:fldChar w:fldCharType="begin"/>
          </w:r>
          <w:r>
            <w:rPr>
              <w:sz w:val="21"/>
              <w:szCs w:val="21"/>
            </w:rPr>
            <w:instrText xml:space="preserve"> PAGEREF _Toc5724 \h </w:instrText>
          </w:r>
          <w:r>
            <w:rPr>
              <w:sz w:val="21"/>
              <w:szCs w:val="21"/>
            </w:rPr>
            <w:fldChar w:fldCharType="separate"/>
          </w:r>
          <w:r>
            <w:rPr>
              <w:sz w:val="21"/>
              <w:szCs w:val="21"/>
            </w:rPr>
            <w:t>- 43 -</w:t>
          </w:r>
          <w:r>
            <w:rPr>
              <w:sz w:val="21"/>
              <w:szCs w:val="21"/>
            </w:rPr>
            <w:fldChar w:fldCharType="end"/>
          </w:r>
          <w:r>
            <w:rPr>
              <w:rFonts w:hint="default"/>
              <w:color w:val="auto"/>
              <w:sz w:val="21"/>
              <w:szCs w:val="20"/>
            </w:rPr>
            <w:fldChar w:fldCharType="end"/>
          </w:r>
        </w:p>
        <w:p w14:paraId="06C72DF1">
          <w:pPr>
            <w:pStyle w:val="16"/>
            <w:keepNext w:val="0"/>
            <w:keepLines w:val="0"/>
            <w:pageBreakBefore w:val="0"/>
            <w:widowControl w:val="0"/>
            <w:tabs>
              <w:tab w:val="right" w:leader="dot" w:pos="9072"/>
            </w:tabs>
            <w:kinsoku/>
            <w:wordWrap/>
            <w:overflowPunct/>
            <w:topLinePunct w:val="0"/>
            <w:autoSpaceDE/>
            <w:autoSpaceDN/>
            <w:bidi w:val="0"/>
            <w:adjustRightInd/>
            <w:snapToGrid/>
            <w:spacing w:line="276" w:lineRule="auto"/>
            <w:textAlignment w:val="auto"/>
            <w:rPr>
              <w:sz w:val="21"/>
              <w:szCs w:val="21"/>
            </w:rPr>
          </w:pPr>
          <w:r>
            <w:rPr>
              <w:rFonts w:hint="default"/>
              <w:color w:val="auto"/>
              <w:sz w:val="21"/>
              <w:szCs w:val="20"/>
            </w:rPr>
            <w:fldChar w:fldCharType="begin"/>
          </w:r>
          <w:r>
            <w:rPr>
              <w:rFonts w:hint="default"/>
              <w:sz w:val="21"/>
              <w:szCs w:val="20"/>
            </w:rPr>
            <w:instrText xml:space="preserve"> HYPERLINK \l _Toc16858 </w:instrText>
          </w:r>
          <w:r>
            <w:rPr>
              <w:rFonts w:hint="default"/>
              <w:sz w:val="21"/>
              <w:szCs w:val="20"/>
            </w:rPr>
            <w:fldChar w:fldCharType="separate"/>
          </w:r>
          <w:r>
            <w:rPr>
              <w:rFonts w:hint="default" w:ascii="Times New Roman" w:hAnsi="Times New Roman" w:eastAsia="宋体" w:cs="Times New Roman"/>
              <w:bCs/>
              <w:snapToGrid w:val="0"/>
              <w:sz w:val="21"/>
              <w:szCs w:val="24"/>
              <w:highlight w:val="none"/>
            </w:rPr>
            <w:t>五、环境保护措施监督检查清单</w:t>
          </w:r>
          <w:r>
            <w:rPr>
              <w:sz w:val="21"/>
              <w:szCs w:val="21"/>
            </w:rPr>
            <w:tab/>
          </w:r>
          <w:r>
            <w:rPr>
              <w:sz w:val="21"/>
              <w:szCs w:val="21"/>
            </w:rPr>
            <w:fldChar w:fldCharType="begin"/>
          </w:r>
          <w:r>
            <w:rPr>
              <w:sz w:val="21"/>
              <w:szCs w:val="21"/>
            </w:rPr>
            <w:instrText xml:space="preserve"> PAGEREF _Toc16858 \h </w:instrText>
          </w:r>
          <w:r>
            <w:rPr>
              <w:sz w:val="21"/>
              <w:szCs w:val="21"/>
            </w:rPr>
            <w:fldChar w:fldCharType="separate"/>
          </w:r>
          <w:r>
            <w:rPr>
              <w:sz w:val="21"/>
              <w:szCs w:val="21"/>
            </w:rPr>
            <w:t>- 91 -</w:t>
          </w:r>
          <w:r>
            <w:rPr>
              <w:sz w:val="21"/>
              <w:szCs w:val="21"/>
            </w:rPr>
            <w:fldChar w:fldCharType="end"/>
          </w:r>
          <w:r>
            <w:rPr>
              <w:rFonts w:hint="default"/>
              <w:color w:val="auto"/>
              <w:sz w:val="21"/>
              <w:szCs w:val="20"/>
            </w:rPr>
            <w:fldChar w:fldCharType="end"/>
          </w:r>
        </w:p>
        <w:p w14:paraId="25C901AE">
          <w:pPr>
            <w:pStyle w:val="16"/>
            <w:keepNext w:val="0"/>
            <w:keepLines w:val="0"/>
            <w:pageBreakBefore w:val="0"/>
            <w:widowControl w:val="0"/>
            <w:tabs>
              <w:tab w:val="right" w:leader="dot" w:pos="9072"/>
            </w:tabs>
            <w:kinsoku/>
            <w:wordWrap/>
            <w:overflowPunct/>
            <w:topLinePunct w:val="0"/>
            <w:autoSpaceDE/>
            <w:autoSpaceDN/>
            <w:bidi w:val="0"/>
            <w:adjustRightInd/>
            <w:snapToGrid/>
            <w:spacing w:line="276" w:lineRule="auto"/>
            <w:textAlignment w:val="auto"/>
            <w:rPr>
              <w:sz w:val="21"/>
              <w:szCs w:val="21"/>
            </w:rPr>
          </w:pPr>
          <w:r>
            <w:rPr>
              <w:rFonts w:hint="default"/>
              <w:color w:val="auto"/>
              <w:sz w:val="21"/>
              <w:szCs w:val="20"/>
            </w:rPr>
            <w:fldChar w:fldCharType="begin"/>
          </w:r>
          <w:r>
            <w:rPr>
              <w:rFonts w:hint="default"/>
              <w:sz w:val="21"/>
              <w:szCs w:val="20"/>
            </w:rPr>
            <w:instrText xml:space="preserve"> HYPERLINK \l _Toc29317 </w:instrText>
          </w:r>
          <w:r>
            <w:rPr>
              <w:rFonts w:hint="default"/>
              <w:sz w:val="21"/>
              <w:szCs w:val="20"/>
            </w:rPr>
            <w:fldChar w:fldCharType="separate"/>
          </w:r>
          <w:r>
            <w:rPr>
              <w:rFonts w:hint="default" w:ascii="Times New Roman" w:hAnsi="Times New Roman" w:eastAsia="宋体" w:cs="Times New Roman"/>
              <w:bCs/>
              <w:snapToGrid w:val="0"/>
              <w:sz w:val="21"/>
              <w:szCs w:val="24"/>
            </w:rPr>
            <w:t>六、结论</w:t>
          </w:r>
          <w:r>
            <w:rPr>
              <w:sz w:val="21"/>
              <w:szCs w:val="21"/>
            </w:rPr>
            <w:tab/>
          </w:r>
          <w:r>
            <w:rPr>
              <w:sz w:val="21"/>
              <w:szCs w:val="21"/>
            </w:rPr>
            <w:fldChar w:fldCharType="begin"/>
          </w:r>
          <w:r>
            <w:rPr>
              <w:sz w:val="21"/>
              <w:szCs w:val="21"/>
            </w:rPr>
            <w:instrText xml:space="preserve"> PAGEREF _Toc29317 \h </w:instrText>
          </w:r>
          <w:r>
            <w:rPr>
              <w:sz w:val="21"/>
              <w:szCs w:val="21"/>
            </w:rPr>
            <w:fldChar w:fldCharType="separate"/>
          </w:r>
          <w:r>
            <w:rPr>
              <w:sz w:val="21"/>
              <w:szCs w:val="21"/>
            </w:rPr>
            <w:t>- 96 -</w:t>
          </w:r>
          <w:r>
            <w:rPr>
              <w:sz w:val="21"/>
              <w:szCs w:val="21"/>
            </w:rPr>
            <w:fldChar w:fldCharType="end"/>
          </w:r>
          <w:r>
            <w:rPr>
              <w:rFonts w:hint="default"/>
              <w:color w:val="auto"/>
              <w:sz w:val="21"/>
              <w:szCs w:val="20"/>
            </w:rPr>
            <w:fldChar w:fldCharType="end"/>
          </w:r>
        </w:p>
        <w:p w14:paraId="4F2E3694">
          <w:pPr>
            <w:pStyle w:val="16"/>
            <w:keepNext w:val="0"/>
            <w:keepLines w:val="0"/>
            <w:pageBreakBefore w:val="0"/>
            <w:widowControl w:val="0"/>
            <w:tabs>
              <w:tab w:val="right" w:leader="dot" w:pos="9072"/>
            </w:tabs>
            <w:kinsoku/>
            <w:wordWrap/>
            <w:overflowPunct/>
            <w:topLinePunct w:val="0"/>
            <w:autoSpaceDE/>
            <w:autoSpaceDN/>
            <w:bidi w:val="0"/>
            <w:adjustRightInd/>
            <w:snapToGrid/>
            <w:spacing w:line="276" w:lineRule="auto"/>
            <w:textAlignment w:val="auto"/>
            <w:rPr>
              <w:sz w:val="21"/>
              <w:szCs w:val="21"/>
            </w:rPr>
          </w:pPr>
          <w:r>
            <w:rPr>
              <w:rFonts w:hint="default"/>
              <w:color w:val="auto"/>
              <w:sz w:val="21"/>
              <w:szCs w:val="20"/>
            </w:rPr>
            <w:fldChar w:fldCharType="begin"/>
          </w:r>
          <w:r>
            <w:rPr>
              <w:rFonts w:hint="default"/>
              <w:sz w:val="21"/>
              <w:szCs w:val="20"/>
            </w:rPr>
            <w:instrText xml:space="preserve"> HYPERLINK \l _Toc20993 </w:instrText>
          </w:r>
          <w:r>
            <w:rPr>
              <w:rFonts w:hint="default"/>
              <w:sz w:val="21"/>
              <w:szCs w:val="20"/>
            </w:rPr>
            <w:fldChar w:fldCharType="separate"/>
          </w:r>
          <w:r>
            <w:rPr>
              <w:rFonts w:hint="default" w:ascii="Times New Roman" w:hAnsi="Times New Roman" w:eastAsia="宋体" w:cs="Times New Roman"/>
              <w:bCs/>
              <w:snapToGrid w:val="0"/>
              <w:sz w:val="21"/>
              <w:szCs w:val="22"/>
            </w:rPr>
            <w:t>附表</w:t>
          </w:r>
          <w:r>
            <w:rPr>
              <w:sz w:val="21"/>
              <w:szCs w:val="21"/>
            </w:rPr>
            <w:tab/>
          </w:r>
          <w:r>
            <w:rPr>
              <w:sz w:val="21"/>
              <w:szCs w:val="21"/>
            </w:rPr>
            <w:fldChar w:fldCharType="begin"/>
          </w:r>
          <w:r>
            <w:rPr>
              <w:sz w:val="21"/>
              <w:szCs w:val="21"/>
            </w:rPr>
            <w:instrText xml:space="preserve"> PAGEREF _Toc20993 \h </w:instrText>
          </w:r>
          <w:r>
            <w:rPr>
              <w:sz w:val="21"/>
              <w:szCs w:val="21"/>
            </w:rPr>
            <w:fldChar w:fldCharType="separate"/>
          </w:r>
          <w:r>
            <w:rPr>
              <w:sz w:val="21"/>
              <w:szCs w:val="21"/>
            </w:rPr>
            <w:t>- 97 -</w:t>
          </w:r>
          <w:r>
            <w:rPr>
              <w:sz w:val="21"/>
              <w:szCs w:val="21"/>
            </w:rPr>
            <w:fldChar w:fldCharType="end"/>
          </w:r>
          <w:r>
            <w:rPr>
              <w:rFonts w:hint="default"/>
              <w:color w:val="auto"/>
              <w:sz w:val="21"/>
              <w:szCs w:val="20"/>
            </w:rPr>
            <w:fldChar w:fldCharType="end"/>
          </w:r>
        </w:p>
        <w:p w14:paraId="3099459B">
          <w:pPr>
            <w:pStyle w:val="16"/>
            <w:keepNext w:val="0"/>
            <w:keepLines w:val="0"/>
            <w:pageBreakBefore w:val="0"/>
            <w:widowControl w:val="0"/>
            <w:tabs>
              <w:tab w:val="right" w:leader="dot" w:pos="9072"/>
            </w:tabs>
            <w:kinsoku/>
            <w:wordWrap/>
            <w:overflowPunct/>
            <w:topLinePunct w:val="0"/>
            <w:autoSpaceDE/>
            <w:autoSpaceDN/>
            <w:bidi w:val="0"/>
            <w:adjustRightInd/>
            <w:snapToGrid/>
            <w:spacing w:line="276" w:lineRule="auto"/>
            <w:textAlignment w:val="auto"/>
            <w:rPr>
              <w:sz w:val="21"/>
              <w:szCs w:val="21"/>
            </w:rPr>
          </w:pPr>
          <w:r>
            <w:rPr>
              <w:rFonts w:hint="default"/>
              <w:color w:val="auto"/>
              <w:sz w:val="21"/>
              <w:szCs w:val="20"/>
            </w:rPr>
            <w:fldChar w:fldCharType="begin"/>
          </w:r>
          <w:r>
            <w:rPr>
              <w:rFonts w:hint="default"/>
              <w:sz w:val="21"/>
              <w:szCs w:val="20"/>
            </w:rPr>
            <w:instrText xml:space="preserve"> HYPERLINK \l _Toc11966 </w:instrText>
          </w:r>
          <w:r>
            <w:rPr>
              <w:rFonts w:hint="default"/>
              <w:sz w:val="21"/>
              <w:szCs w:val="20"/>
            </w:rPr>
            <w:fldChar w:fldCharType="separate"/>
          </w:r>
          <w:r>
            <w:rPr>
              <w:rFonts w:hint="eastAsia"/>
              <w:bCs/>
              <w:sz w:val="21"/>
              <w:szCs w:val="28"/>
              <w:lang w:val="en-US" w:eastAsia="zh-CN"/>
            </w:rPr>
            <w:t xml:space="preserve">附件十二 </w:t>
          </w:r>
          <w:r>
            <w:rPr>
              <w:rFonts w:hint="eastAsia"/>
              <w:bCs/>
              <w:sz w:val="21"/>
              <w:szCs w:val="21"/>
              <w:lang w:val="en-US" w:eastAsia="zh-CN"/>
            </w:rPr>
            <w:t>关于公开建设项目环评文件等信息情况的说明</w:t>
          </w:r>
          <w:r>
            <w:rPr>
              <w:rFonts w:hint="default"/>
              <w:color w:val="auto"/>
              <w:sz w:val="21"/>
              <w:szCs w:val="20"/>
            </w:rPr>
            <w:fldChar w:fldCharType="end"/>
          </w:r>
        </w:p>
        <w:p w14:paraId="2C717D71">
          <w:pPr>
            <w:pStyle w:val="16"/>
            <w:keepNext w:val="0"/>
            <w:keepLines w:val="0"/>
            <w:pageBreakBefore w:val="0"/>
            <w:widowControl w:val="0"/>
            <w:tabs>
              <w:tab w:val="right" w:leader="dot" w:pos="9072"/>
            </w:tabs>
            <w:kinsoku/>
            <w:wordWrap/>
            <w:overflowPunct/>
            <w:topLinePunct w:val="0"/>
            <w:autoSpaceDE/>
            <w:autoSpaceDN/>
            <w:bidi w:val="0"/>
            <w:adjustRightInd/>
            <w:snapToGrid/>
            <w:spacing w:line="276" w:lineRule="auto"/>
            <w:textAlignment w:val="auto"/>
            <w:rPr>
              <w:sz w:val="21"/>
              <w:szCs w:val="21"/>
            </w:rPr>
          </w:pPr>
          <w:r>
            <w:rPr>
              <w:rFonts w:hint="default"/>
              <w:color w:val="auto"/>
              <w:sz w:val="21"/>
              <w:szCs w:val="20"/>
            </w:rPr>
            <w:fldChar w:fldCharType="begin"/>
          </w:r>
          <w:r>
            <w:rPr>
              <w:rFonts w:hint="default"/>
              <w:sz w:val="21"/>
              <w:szCs w:val="20"/>
            </w:rPr>
            <w:instrText xml:space="preserve"> HYPERLINK \l _Toc9907 </w:instrText>
          </w:r>
          <w:r>
            <w:rPr>
              <w:rFonts w:hint="default"/>
              <w:sz w:val="21"/>
              <w:szCs w:val="20"/>
            </w:rPr>
            <w:fldChar w:fldCharType="separate"/>
          </w:r>
          <w:r>
            <w:rPr>
              <w:rFonts w:hint="eastAsia"/>
              <w:bCs/>
              <w:sz w:val="21"/>
              <w:szCs w:val="28"/>
              <w:lang w:val="en-US" w:eastAsia="zh-CN"/>
            </w:rPr>
            <w:t xml:space="preserve">附件十三 </w:t>
          </w:r>
          <w:r>
            <w:rPr>
              <w:rFonts w:hint="eastAsia"/>
              <w:bCs/>
              <w:sz w:val="21"/>
              <w:szCs w:val="21"/>
              <w:lang w:val="en-US" w:eastAsia="zh-CN"/>
            </w:rPr>
            <w:t>信息删除理由说明和删除依据说明</w:t>
          </w:r>
          <w:r>
            <w:rPr>
              <w:rFonts w:hint="default"/>
              <w:color w:val="auto"/>
              <w:sz w:val="21"/>
              <w:szCs w:val="20"/>
            </w:rPr>
            <w:fldChar w:fldCharType="end"/>
          </w:r>
        </w:p>
        <w:p w14:paraId="0D8EB6AE">
          <w:pPr>
            <w:keepNext w:val="0"/>
            <w:keepLines w:val="0"/>
            <w:pageBreakBefore w:val="0"/>
            <w:widowControl w:val="0"/>
            <w:kinsoku/>
            <w:wordWrap/>
            <w:overflowPunct/>
            <w:topLinePunct w:val="0"/>
            <w:autoSpaceDE/>
            <w:autoSpaceDN/>
            <w:bidi w:val="0"/>
            <w:adjustRightInd/>
            <w:snapToGrid/>
            <w:spacing w:line="276" w:lineRule="auto"/>
            <w:textAlignment w:val="auto"/>
            <w:rPr>
              <w:rFonts w:hint="default"/>
              <w:color w:val="auto"/>
            </w:rPr>
          </w:pPr>
          <w:r>
            <w:rPr>
              <w:rFonts w:hint="default"/>
              <w:color w:val="auto"/>
              <w:sz w:val="21"/>
              <w:szCs w:val="20"/>
            </w:rPr>
            <w:fldChar w:fldCharType="end"/>
          </w:r>
        </w:p>
      </w:sdtContent>
    </w:sdt>
    <w:p w14:paraId="699E3DA6">
      <w:pPr>
        <w:keepNext w:val="0"/>
        <w:keepLines w:val="0"/>
        <w:pageBreakBefore w:val="0"/>
        <w:widowControl w:val="0"/>
        <w:kinsoku/>
        <w:wordWrap/>
        <w:overflowPunct/>
        <w:topLinePunct w:val="0"/>
        <w:autoSpaceDE/>
        <w:autoSpaceDN/>
        <w:bidi w:val="0"/>
        <w:adjustRightInd/>
        <w:snapToGrid/>
        <w:spacing w:line="293" w:lineRule="auto"/>
        <w:textAlignment w:val="auto"/>
        <w:rPr>
          <w:rFonts w:hint="default"/>
          <w:color w:val="auto"/>
        </w:rPr>
        <w:sectPr>
          <w:pgSz w:w="11906" w:h="16838"/>
          <w:pgMar w:top="1417" w:right="1417" w:bottom="1417" w:left="1417" w:header="851" w:footer="992" w:gutter="0"/>
          <w:pgBorders>
            <w:top w:val="none" w:sz="0" w:space="0"/>
            <w:left w:val="none" w:sz="0" w:space="0"/>
            <w:bottom w:val="none" w:sz="0" w:space="0"/>
            <w:right w:val="none" w:sz="0" w:space="0"/>
          </w:pgBorders>
          <w:cols w:space="425" w:num="1"/>
          <w:docGrid w:type="lines" w:linePitch="312" w:charSpace="0"/>
        </w:sectPr>
      </w:pPr>
      <w:bookmarkStart w:id="56" w:name="_GoBack"/>
      <w:bookmarkEnd w:id="56"/>
    </w:p>
    <w:p w14:paraId="253AE9C7">
      <w:pPr>
        <w:pStyle w:val="2"/>
        <w:bidi w:val="0"/>
        <w:jc w:val="center"/>
        <w:rPr>
          <w:rFonts w:hint="default"/>
          <w:color w:val="auto"/>
        </w:rPr>
      </w:pPr>
      <w:bookmarkStart w:id="1" w:name="_Toc6211"/>
      <w:r>
        <w:rPr>
          <w:rFonts w:hint="default"/>
          <w:color w:val="auto"/>
        </w:rPr>
        <w:t>一、建设项目基本情况</w:t>
      </w:r>
      <w:bookmarkEnd w:id="1"/>
    </w:p>
    <w:tbl>
      <w:tblPr>
        <w:tblStyle w:val="20"/>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476"/>
        <w:gridCol w:w="2800"/>
        <w:gridCol w:w="1619"/>
        <w:gridCol w:w="3201"/>
      </w:tblGrid>
      <w:tr w14:paraId="380C08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11" w:type="pct"/>
            <w:noWrap w:val="0"/>
            <w:tcMar>
              <w:top w:w="16" w:type="dxa"/>
              <w:left w:w="16" w:type="dxa"/>
              <w:right w:w="16" w:type="dxa"/>
            </w:tcMar>
            <w:vAlign w:val="center"/>
          </w:tcPr>
          <w:p w14:paraId="031563D9">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建设项目名称</w:t>
            </w:r>
          </w:p>
        </w:tc>
        <w:tc>
          <w:tcPr>
            <w:tcW w:w="4188" w:type="pct"/>
            <w:gridSpan w:val="3"/>
            <w:noWrap w:val="0"/>
            <w:vAlign w:val="center"/>
          </w:tcPr>
          <w:p w14:paraId="428E5583">
            <w:pPr>
              <w:bidi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eastAsia"/>
                <w:color w:val="auto"/>
                <w:sz w:val="24"/>
                <w:szCs w:val="32"/>
                <w:lang w:val="en-US" w:eastAsia="zh-CN"/>
              </w:rPr>
              <w:t>福建融瀚建材有限公司年加工预拌商品混凝土80万立方米、砼结构件20万立方米、年回收加工建筑垃圾60万立方米（变更）</w:t>
            </w:r>
          </w:p>
        </w:tc>
      </w:tr>
      <w:tr w14:paraId="386BB5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11" w:type="pct"/>
            <w:noWrap w:val="0"/>
            <w:tcMar>
              <w:top w:w="16" w:type="dxa"/>
              <w:left w:w="16" w:type="dxa"/>
              <w:right w:w="16" w:type="dxa"/>
            </w:tcMar>
            <w:vAlign w:val="center"/>
          </w:tcPr>
          <w:p w14:paraId="775D16D8">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项目代码</w:t>
            </w:r>
          </w:p>
        </w:tc>
        <w:tc>
          <w:tcPr>
            <w:tcW w:w="4188" w:type="pct"/>
            <w:gridSpan w:val="3"/>
            <w:noWrap w:val="0"/>
            <w:vAlign w:val="center"/>
          </w:tcPr>
          <w:p w14:paraId="3F3A57D3">
            <w:pPr>
              <w:adjustRightInd w:val="0"/>
              <w:snapToGrid w:val="0"/>
              <w:spacing w:line="240" w:lineRule="auto"/>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2410-350181-04-01-638725</w:t>
            </w:r>
          </w:p>
        </w:tc>
      </w:tr>
      <w:tr w14:paraId="2C1260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11" w:type="pct"/>
            <w:noWrap w:val="0"/>
            <w:tcMar>
              <w:top w:w="16" w:type="dxa"/>
              <w:left w:w="16" w:type="dxa"/>
              <w:right w:w="16" w:type="dxa"/>
            </w:tcMar>
            <w:vAlign w:val="center"/>
          </w:tcPr>
          <w:p w14:paraId="036F63F1">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建设单位联系人</w:t>
            </w:r>
          </w:p>
        </w:tc>
        <w:tc>
          <w:tcPr>
            <w:tcW w:w="1539" w:type="pct"/>
            <w:noWrap w:val="0"/>
            <w:vAlign w:val="center"/>
          </w:tcPr>
          <w:p w14:paraId="7F3320B9">
            <w:pPr>
              <w:bidi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eastAsia"/>
                <w:color w:val="auto"/>
                <w:sz w:val="24"/>
                <w:szCs w:val="32"/>
                <w:lang w:val="en-US" w:eastAsia="zh-CN"/>
              </w:rPr>
              <w:t>***</w:t>
            </w:r>
          </w:p>
        </w:tc>
        <w:tc>
          <w:tcPr>
            <w:tcW w:w="890" w:type="pct"/>
            <w:noWrap w:val="0"/>
            <w:vAlign w:val="center"/>
          </w:tcPr>
          <w:p w14:paraId="074D9F31">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联系方式</w:t>
            </w:r>
          </w:p>
        </w:tc>
        <w:tc>
          <w:tcPr>
            <w:tcW w:w="1758" w:type="pct"/>
            <w:noWrap w:val="0"/>
            <w:vAlign w:val="center"/>
          </w:tcPr>
          <w:p w14:paraId="2C52997D">
            <w:pPr>
              <w:bidi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eastAsia"/>
                <w:color w:val="auto"/>
                <w:sz w:val="24"/>
                <w:szCs w:val="32"/>
                <w:lang w:val="en-US" w:eastAsia="zh-CN"/>
              </w:rPr>
              <w:t>***</w:t>
            </w:r>
          </w:p>
        </w:tc>
      </w:tr>
      <w:tr w14:paraId="511A34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11" w:type="pct"/>
            <w:noWrap w:val="0"/>
            <w:tcMar>
              <w:top w:w="16" w:type="dxa"/>
              <w:left w:w="16" w:type="dxa"/>
              <w:right w:w="16" w:type="dxa"/>
            </w:tcMar>
            <w:vAlign w:val="center"/>
          </w:tcPr>
          <w:p w14:paraId="0E78CEFF">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建设地点</w:t>
            </w:r>
          </w:p>
        </w:tc>
        <w:tc>
          <w:tcPr>
            <w:tcW w:w="4188" w:type="pct"/>
            <w:gridSpan w:val="3"/>
            <w:noWrap w:val="0"/>
            <w:vAlign w:val="center"/>
          </w:tcPr>
          <w:p w14:paraId="25C6A105">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eastAsia="zh-CN"/>
              </w:rPr>
              <w:t>福建省福州市</w:t>
            </w:r>
            <w:r>
              <w:rPr>
                <w:rFonts w:hint="eastAsia" w:cs="Times New Roman"/>
                <w:color w:val="auto"/>
                <w:sz w:val="24"/>
                <w:szCs w:val="24"/>
                <w:lang w:val="en-US" w:eastAsia="zh-CN"/>
              </w:rPr>
              <w:t>福清市海口镇南厝村</w:t>
            </w:r>
          </w:p>
        </w:tc>
      </w:tr>
      <w:tr w14:paraId="2BD19A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11" w:type="pct"/>
            <w:noWrap w:val="0"/>
            <w:tcMar>
              <w:top w:w="16" w:type="dxa"/>
              <w:left w:w="16" w:type="dxa"/>
              <w:right w:w="16" w:type="dxa"/>
            </w:tcMar>
            <w:vAlign w:val="center"/>
          </w:tcPr>
          <w:p w14:paraId="7CFC59D7">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地理坐标</w:t>
            </w:r>
          </w:p>
        </w:tc>
        <w:tc>
          <w:tcPr>
            <w:tcW w:w="4188" w:type="pct"/>
            <w:gridSpan w:val="3"/>
            <w:noWrap w:val="0"/>
            <w:vAlign w:val="center"/>
          </w:tcPr>
          <w:p w14:paraId="39877C09">
            <w:pPr>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东经</w:t>
            </w:r>
            <w:r>
              <w:rPr>
                <w:rFonts w:hint="default" w:ascii="Times New Roman" w:hAnsi="Times New Roman" w:eastAsia="宋体" w:cs="Times New Roman"/>
                <w:color w:val="auto"/>
                <w:sz w:val="24"/>
                <w:szCs w:val="24"/>
                <w:lang w:eastAsia="zh-CN"/>
              </w:rPr>
              <w:t>：119°25'24.2</w:t>
            </w:r>
            <w:r>
              <w:rPr>
                <w:rFonts w:hint="eastAsia" w:cs="Times New Roman"/>
                <w:color w:val="auto"/>
                <w:sz w:val="24"/>
                <w:szCs w:val="24"/>
                <w:lang w:val="en-US" w:eastAsia="zh-CN"/>
              </w:rPr>
              <w:t>8</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rPr>
              <w:t>，</w:t>
            </w:r>
            <w:r>
              <w:rPr>
                <w:rFonts w:hint="eastAsia" w:cs="Times New Roman"/>
                <w:color w:val="auto"/>
                <w:sz w:val="24"/>
                <w:szCs w:val="24"/>
                <w:lang w:val="en-US" w:eastAsia="zh-CN"/>
              </w:rPr>
              <w:t>北纬</w:t>
            </w:r>
            <w:r>
              <w:rPr>
                <w:rFonts w:hint="default" w:ascii="Times New Roman" w:hAnsi="Times New Roman" w:eastAsia="宋体" w:cs="Times New Roman"/>
                <w:color w:val="auto"/>
                <w:sz w:val="24"/>
                <w:szCs w:val="24"/>
                <w:lang w:eastAsia="zh-CN"/>
              </w:rPr>
              <w:t>：25°39'40.92</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lang w:eastAsia="zh-CN"/>
              </w:rPr>
              <w:t>，地理位置图详见</w:t>
            </w:r>
            <w:r>
              <w:rPr>
                <w:rFonts w:hint="default" w:ascii="Times New Roman" w:hAnsi="Times New Roman" w:eastAsia="宋体" w:cs="Times New Roman"/>
                <w:color w:val="auto"/>
                <w:sz w:val="24"/>
                <w:szCs w:val="24"/>
                <w:highlight w:val="none"/>
                <w:lang w:eastAsia="zh-CN"/>
              </w:rPr>
              <w:t>附图</w:t>
            </w:r>
            <w:r>
              <w:rPr>
                <w:rFonts w:hint="eastAsia" w:cs="Times New Roman"/>
                <w:color w:val="auto"/>
                <w:sz w:val="24"/>
                <w:szCs w:val="24"/>
                <w:highlight w:val="none"/>
                <w:lang w:val="en-US" w:eastAsia="zh-CN"/>
              </w:rPr>
              <w:t>一</w:t>
            </w:r>
          </w:p>
        </w:tc>
      </w:tr>
      <w:tr w14:paraId="2D3730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11" w:type="pct"/>
            <w:noWrap w:val="0"/>
            <w:tcMar>
              <w:top w:w="16" w:type="dxa"/>
              <w:left w:w="16" w:type="dxa"/>
              <w:right w:w="16" w:type="dxa"/>
            </w:tcMar>
            <w:vAlign w:val="center"/>
          </w:tcPr>
          <w:p w14:paraId="78EE1914">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国民经济</w:t>
            </w:r>
          </w:p>
          <w:p w14:paraId="068A17AE">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行业类别</w:t>
            </w:r>
          </w:p>
        </w:tc>
        <w:tc>
          <w:tcPr>
            <w:tcW w:w="1539" w:type="pct"/>
            <w:noWrap w:val="0"/>
            <w:vAlign w:val="center"/>
          </w:tcPr>
          <w:p w14:paraId="6340E7A0">
            <w:pPr>
              <w:bidi w:val="0"/>
              <w:spacing w:line="240" w:lineRule="auto"/>
              <w:ind w:left="0" w:leftChars="0" w:firstLine="0" w:firstLineChars="0"/>
              <w:jc w:val="center"/>
              <w:rPr>
                <w:rFonts w:hint="eastAsia"/>
                <w:color w:val="auto"/>
                <w:sz w:val="24"/>
                <w:szCs w:val="32"/>
                <w:lang w:val="en-US" w:eastAsia="zh-CN"/>
              </w:rPr>
            </w:pPr>
            <w:r>
              <w:rPr>
                <w:rFonts w:hint="eastAsia"/>
                <w:color w:val="auto"/>
                <w:sz w:val="24"/>
                <w:szCs w:val="32"/>
              </w:rPr>
              <w:t>C</w:t>
            </w:r>
            <w:r>
              <w:rPr>
                <w:rFonts w:hint="eastAsia"/>
                <w:color w:val="auto"/>
                <w:sz w:val="24"/>
                <w:szCs w:val="32"/>
                <w:lang w:val="en-US" w:eastAsia="zh-CN"/>
              </w:rPr>
              <w:t>3021</w:t>
            </w:r>
          </w:p>
          <w:p w14:paraId="67348088">
            <w:pPr>
              <w:bidi w:val="0"/>
              <w:spacing w:line="240" w:lineRule="auto"/>
              <w:ind w:left="0" w:leftChars="0" w:firstLine="0" w:firstLineChars="0"/>
              <w:jc w:val="center"/>
              <w:rPr>
                <w:rFonts w:hint="default"/>
                <w:color w:val="auto"/>
                <w:sz w:val="24"/>
                <w:szCs w:val="32"/>
              </w:rPr>
            </w:pPr>
            <w:r>
              <w:rPr>
                <w:rFonts w:hint="eastAsia"/>
                <w:color w:val="auto"/>
                <w:sz w:val="24"/>
                <w:szCs w:val="32"/>
                <w:lang w:eastAsia="zh-CN"/>
              </w:rPr>
              <w:t>（</w:t>
            </w:r>
            <w:r>
              <w:rPr>
                <w:rFonts w:hint="eastAsia"/>
                <w:color w:val="auto"/>
                <w:sz w:val="24"/>
                <w:szCs w:val="32"/>
                <w:lang w:val="en-US" w:eastAsia="zh-CN"/>
              </w:rPr>
              <w:t>水泥制品</w:t>
            </w:r>
            <w:r>
              <w:rPr>
                <w:rFonts w:hint="eastAsia"/>
                <w:color w:val="auto"/>
                <w:sz w:val="24"/>
                <w:szCs w:val="32"/>
                <w:lang w:eastAsia="zh-CN"/>
              </w:rPr>
              <w:t>制造</w:t>
            </w:r>
            <w:r>
              <w:rPr>
                <w:rFonts w:hint="eastAsia"/>
                <w:color w:val="auto"/>
                <w:sz w:val="24"/>
                <w:szCs w:val="32"/>
                <w:lang w:val="en-US" w:eastAsia="zh-CN"/>
              </w:rPr>
              <w:t>）</w:t>
            </w:r>
          </w:p>
        </w:tc>
        <w:tc>
          <w:tcPr>
            <w:tcW w:w="890" w:type="pct"/>
            <w:noWrap w:val="0"/>
            <w:vAlign w:val="center"/>
          </w:tcPr>
          <w:p w14:paraId="3592EC87">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bookmarkStart w:id="2" w:name="_Hlk49843745"/>
            <w:r>
              <w:rPr>
                <w:rFonts w:hint="default" w:ascii="Times New Roman" w:hAnsi="Times New Roman" w:eastAsia="宋体" w:cs="Times New Roman"/>
                <w:color w:val="auto"/>
                <w:sz w:val="24"/>
                <w:szCs w:val="24"/>
              </w:rPr>
              <w:t>建设项目</w:t>
            </w:r>
          </w:p>
          <w:p w14:paraId="234BF0BE">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行业类别</w:t>
            </w:r>
            <w:bookmarkEnd w:id="2"/>
          </w:p>
        </w:tc>
        <w:tc>
          <w:tcPr>
            <w:tcW w:w="1758" w:type="pct"/>
            <w:noWrap w:val="0"/>
            <w:vAlign w:val="center"/>
          </w:tcPr>
          <w:p w14:paraId="35CA8294">
            <w:pPr>
              <w:spacing w:beforeLines="0" w:afterLines="0" w:line="240" w:lineRule="auto"/>
              <w:ind w:left="0" w:leftChars="0" w:firstLine="0" w:firstLineChars="0"/>
              <w:jc w:val="both"/>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eastAsia="zh-CN"/>
              </w:rPr>
              <w:t>二十七、非金属矿物制品业</w:t>
            </w:r>
            <w:r>
              <w:rPr>
                <w:rFonts w:hint="eastAsia" w:ascii="Times New Roman" w:hAnsi="Times New Roman" w:eastAsia="宋体" w:cs="Times New Roman"/>
                <w:color w:val="auto"/>
                <w:sz w:val="24"/>
                <w:szCs w:val="24"/>
                <w:lang w:val="en-US" w:eastAsia="zh-CN"/>
              </w:rPr>
              <w:t>30</w:t>
            </w:r>
            <w:r>
              <w:rPr>
                <w:rFonts w:hint="eastAsia"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55石膏、水泥制品及类似制品制造302</w:t>
            </w:r>
            <w:r>
              <w:rPr>
                <w:rFonts w:hint="eastAsia" w:cs="Times New Roman"/>
                <w:color w:val="auto"/>
                <w:sz w:val="24"/>
                <w:szCs w:val="24"/>
                <w:lang w:val="en-US" w:eastAsia="zh-CN"/>
              </w:rPr>
              <w:t>-商品混凝土；</w:t>
            </w:r>
            <w:r>
              <w:rPr>
                <w:rFonts w:hint="eastAsia" w:ascii="Times New Roman" w:hAnsi="Times New Roman" w:eastAsia="宋体" w:cs="Times New Roman"/>
                <w:color w:val="auto"/>
                <w:sz w:val="24"/>
                <w:szCs w:val="24"/>
                <w:lang w:eastAsia="zh-CN"/>
              </w:rPr>
              <w:t>砼结构构件制造</w:t>
            </w:r>
          </w:p>
        </w:tc>
      </w:tr>
      <w:tr w14:paraId="62F81D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11" w:type="pct"/>
            <w:noWrap w:val="0"/>
            <w:tcMar>
              <w:top w:w="16" w:type="dxa"/>
              <w:left w:w="16" w:type="dxa"/>
              <w:right w:w="16" w:type="dxa"/>
            </w:tcMar>
            <w:vAlign w:val="center"/>
          </w:tcPr>
          <w:p w14:paraId="36E036B1">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建设性质</w:t>
            </w:r>
          </w:p>
        </w:tc>
        <w:tc>
          <w:tcPr>
            <w:tcW w:w="1539" w:type="pct"/>
            <w:noWrap w:val="0"/>
            <w:vAlign w:val="center"/>
          </w:tcPr>
          <w:p w14:paraId="17687162">
            <w:pPr>
              <w:spacing w:line="240" w:lineRule="auto"/>
              <w:ind w:left="0" w:leftChars="0" w:firstLine="0" w:firstLineChars="0"/>
              <w:jc w:val="left"/>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sym w:font="Wingdings 2" w:char="0052"/>
            </w:r>
            <w:r>
              <w:rPr>
                <w:rFonts w:hint="default" w:ascii="Times New Roman" w:hAnsi="Times New Roman" w:eastAsia="宋体" w:cs="Times New Roman"/>
                <w:color w:val="auto"/>
                <w:sz w:val="24"/>
                <w:szCs w:val="24"/>
              </w:rPr>
              <w:t>新建（迁建）</w:t>
            </w:r>
          </w:p>
          <w:p w14:paraId="475BB822">
            <w:pPr>
              <w:spacing w:line="240" w:lineRule="auto"/>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sym w:font="Wingdings 2" w:char="00A3"/>
            </w:r>
            <w:r>
              <w:rPr>
                <w:rFonts w:hint="default" w:ascii="Times New Roman" w:hAnsi="Times New Roman" w:eastAsia="宋体" w:cs="Times New Roman"/>
                <w:color w:val="auto"/>
                <w:sz w:val="24"/>
                <w:szCs w:val="24"/>
              </w:rPr>
              <w:t>改建</w:t>
            </w:r>
          </w:p>
          <w:p w14:paraId="31ECFE77">
            <w:pPr>
              <w:spacing w:line="240" w:lineRule="auto"/>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sym w:font="Wingdings 2" w:char="00A3"/>
            </w:r>
            <w:r>
              <w:rPr>
                <w:rFonts w:hint="default" w:ascii="Times New Roman" w:hAnsi="Times New Roman" w:eastAsia="宋体" w:cs="Times New Roman"/>
                <w:color w:val="auto"/>
                <w:sz w:val="24"/>
                <w:szCs w:val="24"/>
              </w:rPr>
              <w:t>扩建</w:t>
            </w:r>
          </w:p>
          <w:p w14:paraId="6470267B">
            <w:pPr>
              <w:spacing w:line="240" w:lineRule="auto"/>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sym w:font="Wingdings 2" w:char="00A3"/>
            </w:r>
            <w:r>
              <w:rPr>
                <w:rFonts w:hint="default" w:ascii="Times New Roman" w:hAnsi="Times New Roman" w:eastAsia="宋体" w:cs="Times New Roman"/>
                <w:color w:val="auto"/>
                <w:sz w:val="24"/>
                <w:szCs w:val="24"/>
              </w:rPr>
              <w:t>技术改造</w:t>
            </w:r>
          </w:p>
        </w:tc>
        <w:tc>
          <w:tcPr>
            <w:tcW w:w="890" w:type="pct"/>
            <w:noWrap w:val="0"/>
            <w:vAlign w:val="center"/>
          </w:tcPr>
          <w:p w14:paraId="1B279E48">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建设项目</w:t>
            </w:r>
          </w:p>
          <w:p w14:paraId="7FDD9278">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申报情形</w:t>
            </w:r>
          </w:p>
        </w:tc>
        <w:tc>
          <w:tcPr>
            <w:tcW w:w="1758" w:type="pct"/>
            <w:noWrap w:val="0"/>
            <w:vAlign w:val="center"/>
          </w:tcPr>
          <w:p w14:paraId="321CD723">
            <w:pPr>
              <w:spacing w:line="240" w:lineRule="auto"/>
              <w:ind w:left="0" w:leftChars="0" w:firstLine="0" w:firstLineChars="0"/>
              <w:jc w:val="left"/>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sym w:font="Wingdings 2" w:char="00A3"/>
            </w:r>
            <w:r>
              <w:rPr>
                <w:rFonts w:hint="default" w:ascii="Times New Roman" w:hAnsi="Times New Roman" w:eastAsia="宋体" w:cs="Times New Roman"/>
                <w:color w:val="auto"/>
                <w:sz w:val="24"/>
                <w:szCs w:val="24"/>
              </w:rPr>
              <w:t>首次申报项目</w:t>
            </w:r>
          </w:p>
          <w:p w14:paraId="54594CBC">
            <w:pPr>
              <w:spacing w:line="240" w:lineRule="auto"/>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sym w:font="Wingdings 2" w:char="00A3"/>
            </w:r>
            <w:r>
              <w:rPr>
                <w:rFonts w:hint="default" w:ascii="Times New Roman" w:hAnsi="Times New Roman" w:eastAsia="宋体" w:cs="Times New Roman"/>
                <w:color w:val="auto"/>
                <w:sz w:val="24"/>
                <w:szCs w:val="24"/>
              </w:rPr>
              <w:t>不予批准后再次申报项目</w:t>
            </w:r>
          </w:p>
          <w:p w14:paraId="7C548953">
            <w:pPr>
              <w:spacing w:line="240" w:lineRule="auto"/>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sym w:font="Wingdings 2" w:char="00A3"/>
            </w:r>
            <w:r>
              <w:rPr>
                <w:rFonts w:hint="default" w:ascii="Times New Roman" w:hAnsi="Times New Roman" w:eastAsia="宋体" w:cs="Times New Roman"/>
                <w:color w:val="auto"/>
                <w:sz w:val="24"/>
                <w:szCs w:val="24"/>
              </w:rPr>
              <w:t>超五年重新审核项目</w:t>
            </w:r>
          </w:p>
          <w:p w14:paraId="3DDF6034">
            <w:pPr>
              <w:spacing w:line="240" w:lineRule="auto"/>
              <w:ind w:left="0" w:leftChars="0" w:firstLine="0" w:firstLineChars="0"/>
              <w:jc w:val="left"/>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eastAsia="zh-CN"/>
              </w:rPr>
              <w:sym w:font="Wingdings 2" w:char="0052"/>
            </w:r>
            <w:r>
              <w:rPr>
                <w:rFonts w:hint="default" w:ascii="Times New Roman" w:hAnsi="Times New Roman" w:eastAsia="宋体" w:cs="Times New Roman"/>
                <w:color w:val="auto"/>
                <w:sz w:val="24"/>
                <w:szCs w:val="24"/>
              </w:rPr>
              <w:t>重大变动重新报批项目</w:t>
            </w:r>
          </w:p>
        </w:tc>
      </w:tr>
      <w:tr w14:paraId="4BBD48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11" w:type="pct"/>
            <w:noWrap w:val="0"/>
            <w:tcMar>
              <w:top w:w="16" w:type="dxa"/>
              <w:left w:w="16" w:type="dxa"/>
              <w:right w:w="16" w:type="dxa"/>
            </w:tcMar>
            <w:vAlign w:val="center"/>
          </w:tcPr>
          <w:p w14:paraId="448F3980">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项目审批（核准/备案）部门</w:t>
            </w:r>
          </w:p>
          <w:p w14:paraId="6DBFAEA1">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（选填）</w:t>
            </w:r>
          </w:p>
        </w:tc>
        <w:tc>
          <w:tcPr>
            <w:tcW w:w="1539" w:type="pct"/>
            <w:noWrap w:val="0"/>
            <w:vAlign w:val="center"/>
          </w:tcPr>
          <w:p w14:paraId="5D2B6A95">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highlight w:val="none"/>
                <w:lang w:eastAsia="zh-CN"/>
              </w:rPr>
            </w:pPr>
            <w:r>
              <w:rPr>
                <w:rFonts w:hint="eastAsia" w:cs="Times New Roman"/>
                <w:color w:val="auto"/>
                <w:sz w:val="24"/>
                <w:szCs w:val="24"/>
                <w:highlight w:val="none"/>
                <w:lang w:val="en-US" w:eastAsia="zh-CN"/>
              </w:rPr>
              <w:t>福清</w:t>
            </w:r>
            <w:r>
              <w:rPr>
                <w:rFonts w:hint="eastAsia" w:ascii="Times New Roman" w:hAnsi="Times New Roman" w:eastAsia="宋体" w:cs="Times New Roman"/>
                <w:color w:val="auto"/>
                <w:sz w:val="24"/>
                <w:szCs w:val="24"/>
                <w:highlight w:val="none"/>
                <w:lang w:eastAsia="zh-CN"/>
              </w:rPr>
              <w:t>市发展和改革局</w:t>
            </w:r>
          </w:p>
        </w:tc>
        <w:tc>
          <w:tcPr>
            <w:tcW w:w="890" w:type="pct"/>
            <w:noWrap w:val="0"/>
            <w:vAlign w:val="center"/>
          </w:tcPr>
          <w:p w14:paraId="12C1BC1A">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项目审批（核准/备案）文号</w:t>
            </w:r>
          </w:p>
          <w:p w14:paraId="7C701AB4">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（选填）</w:t>
            </w:r>
          </w:p>
        </w:tc>
        <w:tc>
          <w:tcPr>
            <w:tcW w:w="1758" w:type="pct"/>
            <w:noWrap w:val="0"/>
            <w:vAlign w:val="center"/>
          </w:tcPr>
          <w:p w14:paraId="2F93182E">
            <w:pPr>
              <w:adjustRightInd w:val="0"/>
              <w:snapToGrid w:val="0"/>
              <w:spacing w:line="240" w:lineRule="auto"/>
              <w:ind w:left="0" w:leftChars="0" w:firstLine="0" w:firstLineChars="0"/>
              <w:jc w:val="both"/>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eastAsia="zh-CN"/>
              </w:rPr>
              <w:t>闽发改备</w:t>
            </w:r>
            <w:r>
              <w:rPr>
                <w:rFonts w:hint="eastAsia" w:cs="Times New Roman"/>
                <w:color w:val="auto"/>
                <w:sz w:val="24"/>
                <w:szCs w:val="24"/>
                <w:highlight w:val="none"/>
                <w:lang w:val="en-US" w:eastAsia="zh-CN"/>
              </w:rPr>
              <w:t>[</w:t>
            </w:r>
            <w:r>
              <w:rPr>
                <w:rFonts w:hint="eastAsia" w:cs="Times New Roman"/>
                <w:color w:val="auto"/>
                <w:sz w:val="24"/>
                <w:szCs w:val="24"/>
                <w:highlight w:val="none"/>
                <w:lang w:eastAsia="zh-CN"/>
              </w:rPr>
              <w:t>2024</w:t>
            </w:r>
            <w:r>
              <w:rPr>
                <w:rFonts w:hint="eastAsia" w:cs="Times New Roman"/>
                <w:color w:val="auto"/>
                <w:sz w:val="24"/>
                <w:szCs w:val="24"/>
                <w:highlight w:val="none"/>
                <w:lang w:val="en-US" w:eastAsia="zh-CN"/>
              </w:rPr>
              <w:t>]A060389</w:t>
            </w:r>
            <w:r>
              <w:rPr>
                <w:rFonts w:hint="eastAsia" w:cs="Times New Roman"/>
                <w:color w:val="auto"/>
                <w:sz w:val="24"/>
                <w:szCs w:val="24"/>
                <w:highlight w:val="none"/>
                <w:lang w:eastAsia="zh-CN"/>
              </w:rPr>
              <w:t>号</w:t>
            </w:r>
          </w:p>
        </w:tc>
      </w:tr>
      <w:tr w14:paraId="2E8996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11" w:type="pct"/>
            <w:noWrap w:val="0"/>
            <w:tcMar>
              <w:top w:w="16" w:type="dxa"/>
              <w:left w:w="16" w:type="dxa"/>
              <w:right w:w="16" w:type="dxa"/>
            </w:tcMar>
            <w:vAlign w:val="center"/>
          </w:tcPr>
          <w:p w14:paraId="075E22E0">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总投资</w:t>
            </w:r>
          </w:p>
          <w:p w14:paraId="5898ADD9">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（万元）</w:t>
            </w:r>
          </w:p>
        </w:tc>
        <w:tc>
          <w:tcPr>
            <w:tcW w:w="1539" w:type="pct"/>
            <w:noWrap w:val="0"/>
            <w:vAlign w:val="center"/>
          </w:tcPr>
          <w:p w14:paraId="0CD0BD05">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24600</w:t>
            </w:r>
          </w:p>
        </w:tc>
        <w:tc>
          <w:tcPr>
            <w:tcW w:w="890" w:type="pct"/>
            <w:noWrap w:val="0"/>
            <w:tcMar>
              <w:top w:w="16" w:type="dxa"/>
              <w:left w:w="16" w:type="dxa"/>
              <w:right w:w="16" w:type="dxa"/>
            </w:tcMar>
            <w:vAlign w:val="center"/>
          </w:tcPr>
          <w:p w14:paraId="0D4BC59C">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环保投资</w:t>
            </w:r>
          </w:p>
          <w:p w14:paraId="584ADEDF">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（万元）</w:t>
            </w:r>
          </w:p>
        </w:tc>
        <w:tc>
          <w:tcPr>
            <w:tcW w:w="1758" w:type="pct"/>
            <w:noWrap w:val="0"/>
            <w:vAlign w:val="center"/>
          </w:tcPr>
          <w:p w14:paraId="00B73F77">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highlight w:val="none"/>
                <w:lang w:val="en-US" w:eastAsia="zh-CN"/>
              </w:rPr>
              <w:t>105</w:t>
            </w:r>
          </w:p>
        </w:tc>
      </w:tr>
      <w:tr w14:paraId="688107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11" w:type="pct"/>
            <w:noWrap w:val="0"/>
            <w:tcMar>
              <w:top w:w="16" w:type="dxa"/>
              <w:left w:w="16" w:type="dxa"/>
              <w:right w:w="16" w:type="dxa"/>
            </w:tcMar>
            <w:vAlign w:val="center"/>
          </w:tcPr>
          <w:p w14:paraId="699D6A14">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环保投资占比（%）</w:t>
            </w:r>
          </w:p>
        </w:tc>
        <w:tc>
          <w:tcPr>
            <w:tcW w:w="1539" w:type="pct"/>
            <w:noWrap w:val="0"/>
            <w:vAlign w:val="center"/>
          </w:tcPr>
          <w:p w14:paraId="614BDDA5">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highlight w:val="none"/>
                <w:lang w:val="en-US" w:eastAsia="zh-CN"/>
              </w:rPr>
              <w:t>0.43</w:t>
            </w:r>
            <w:r>
              <w:rPr>
                <w:rFonts w:hint="eastAsia" w:ascii="Times New Roman" w:hAnsi="Times New Roman" w:eastAsia="宋体" w:cs="Times New Roman"/>
                <w:color w:val="auto"/>
                <w:sz w:val="24"/>
                <w:szCs w:val="24"/>
                <w:highlight w:val="none"/>
                <w:lang w:val="en-US" w:eastAsia="zh-CN"/>
              </w:rPr>
              <w:t>%</w:t>
            </w:r>
          </w:p>
        </w:tc>
        <w:tc>
          <w:tcPr>
            <w:tcW w:w="890" w:type="pct"/>
            <w:noWrap w:val="0"/>
            <w:tcMar>
              <w:top w:w="16" w:type="dxa"/>
              <w:left w:w="16" w:type="dxa"/>
              <w:right w:w="16" w:type="dxa"/>
            </w:tcMar>
            <w:vAlign w:val="center"/>
          </w:tcPr>
          <w:p w14:paraId="5E44D54E">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施工工期</w:t>
            </w:r>
          </w:p>
        </w:tc>
        <w:tc>
          <w:tcPr>
            <w:tcW w:w="1758" w:type="pct"/>
            <w:noWrap w:val="0"/>
            <w:vAlign w:val="center"/>
          </w:tcPr>
          <w:p w14:paraId="2BB9E593">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24</w:t>
            </w:r>
            <w:r>
              <w:rPr>
                <w:rFonts w:hint="default" w:ascii="Times New Roman" w:hAnsi="Times New Roman" w:eastAsia="宋体" w:cs="Times New Roman"/>
                <w:color w:val="auto"/>
                <w:sz w:val="24"/>
                <w:szCs w:val="24"/>
                <w:lang w:val="en-US" w:eastAsia="zh-CN"/>
              </w:rPr>
              <w:t>个月</w:t>
            </w:r>
          </w:p>
        </w:tc>
      </w:tr>
      <w:tr w14:paraId="47CFA5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11" w:type="pct"/>
            <w:noWrap w:val="0"/>
            <w:tcMar>
              <w:top w:w="16" w:type="dxa"/>
              <w:left w:w="16" w:type="dxa"/>
              <w:right w:w="16" w:type="dxa"/>
            </w:tcMar>
            <w:vAlign w:val="center"/>
          </w:tcPr>
          <w:p w14:paraId="744AF598">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是否开工建设</w:t>
            </w:r>
          </w:p>
        </w:tc>
        <w:tc>
          <w:tcPr>
            <w:tcW w:w="1539" w:type="pct"/>
            <w:noWrap w:val="0"/>
            <w:vAlign w:val="center"/>
          </w:tcPr>
          <w:p w14:paraId="7A9C9446">
            <w:pPr>
              <w:adjustRightInd w:val="0"/>
              <w:snapToGrid w:val="0"/>
              <w:spacing w:line="240" w:lineRule="auto"/>
              <w:ind w:left="0" w:leftChars="0" w:firstLine="0" w:firstLineChars="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sym w:font="Wingdings 2" w:char="0052"/>
            </w:r>
            <w:r>
              <w:rPr>
                <w:rFonts w:hint="default" w:ascii="Times New Roman" w:hAnsi="Times New Roman" w:eastAsia="宋体" w:cs="Times New Roman"/>
                <w:color w:val="auto"/>
                <w:sz w:val="24"/>
                <w:szCs w:val="24"/>
              </w:rPr>
              <w:t>否</w:t>
            </w:r>
          </w:p>
          <w:p w14:paraId="71718187">
            <w:pPr>
              <w:adjustRightInd w:val="0"/>
              <w:snapToGrid w:val="0"/>
              <w:spacing w:line="240" w:lineRule="auto"/>
              <w:ind w:left="0" w:leftChars="0" w:firstLine="0" w:firstLineChars="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eastAsia="zh-CN"/>
              </w:rPr>
              <w:sym w:font="Wingdings 2" w:char="00A3"/>
            </w:r>
            <w:r>
              <w:rPr>
                <w:rFonts w:hint="default" w:ascii="Times New Roman" w:hAnsi="Times New Roman" w:eastAsia="宋体" w:cs="Times New Roman"/>
                <w:color w:val="auto"/>
                <w:sz w:val="24"/>
                <w:szCs w:val="24"/>
              </w:rPr>
              <w:t>是：</w:t>
            </w:r>
            <w:r>
              <w:rPr>
                <w:rFonts w:hint="eastAsia" w:ascii="Times New Roman" w:hAnsi="Times New Roman" w:eastAsia="宋体" w:cs="Times New Roman"/>
                <w:color w:val="auto"/>
                <w:sz w:val="24"/>
                <w:szCs w:val="24"/>
                <w:lang w:val="en-US" w:eastAsia="zh-CN"/>
              </w:rPr>
              <w:t>_________</w:t>
            </w:r>
          </w:p>
        </w:tc>
        <w:tc>
          <w:tcPr>
            <w:tcW w:w="890" w:type="pct"/>
            <w:noWrap w:val="0"/>
            <w:tcMar>
              <w:top w:w="16" w:type="dxa"/>
              <w:left w:w="16" w:type="dxa"/>
              <w:right w:w="16" w:type="dxa"/>
            </w:tcMar>
            <w:vAlign w:val="center"/>
          </w:tcPr>
          <w:p w14:paraId="2A052250">
            <w:pPr>
              <w:adjustRightInd w:val="0"/>
              <w:snapToGrid w:val="0"/>
              <w:spacing w:line="240" w:lineRule="auto"/>
              <w:ind w:left="0" w:leftChars="0" w:firstLine="0" w:firstLineChars="0"/>
              <w:jc w:val="center"/>
              <w:rPr>
                <w:rFonts w:hint="default" w:ascii="Times New Roman" w:hAnsi="Times New Roman" w:eastAsia="宋体" w:cs="Times New Roman"/>
                <w:color w:val="auto"/>
                <w:spacing w:val="-6"/>
                <w:sz w:val="24"/>
                <w:szCs w:val="24"/>
              </w:rPr>
            </w:pPr>
            <w:r>
              <w:rPr>
                <w:rFonts w:hint="default" w:ascii="Times New Roman" w:hAnsi="Times New Roman" w:eastAsia="宋体" w:cs="Times New Roman"/>
                <w:color w:val="auto"/>
                <w:spacing w:val="-6"/>
                <w:sz w:val="24"/>
                <w:szCs w:val="24"/>
              </w:rPr>
              <w:t>用地（用海）</w:t>
            </w:r>
          </w:p>
          <w:p w14:paraId="121F9A62">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6"/>
                <w:sz w:val="24"/>
                <w:szCs w:val="24"/>
              </w:rPr>
              <w:t>面积（m</w:t>
            </w:r>
            <w:r>
              <w:rPr>
                <w:rFonts w:hint="default" w:ascii="Times New Roman" w:hAnsi="Times New Roman" w:eastAsia="宋体" w:cs="Times New Roman"/>
                <w:color w:val="auto"/>
                <w:spacing w:val="-6"/>
                <w:sz w:val="24"/>
                <w:szCs w:val="24"/>
                <w:vertAlign w:val="superscript"/>
              </w:rPr>
              <w:t>2</w:t>
            </w:r>
            <w:r>
              <w:rPr>
                <w:rFonts w:hint="default" w:ascii="Times New Roman" w:hAnsi="Times New Roman" w:eastAsia="宋体" w:cs="Times New Roman"/>
                <w:color w:val="auto"/>
                <w:spacing w:val="-6"/>
                <w:sz w:val="24"/>
                <w:szCs w:val="24"/>
              </w:rPr>
              <w:t>）</w:t>
            </w:r>
          </w:p>
        </w:tc>
        <w:tc>
          <w:tcPr>
            <w:tcW w:w="1758" w:type="pct"/>
            <w:noWrap w:val="0"/>
            <w:vAlign w:val="center"/>
          </w:tcPr>
          <w:p w14:paraId="2A33024F">
            <w:pPr>
              <w:bidi w:val="0"/>
              <w:spacing w:line="240" w:lineRule="auto"/>
              <w:ind w:left="0" w:leftChars="0" w:firstLine="0" w:firstLineChars="0"/>
              <w:jc w:val="center"/>
              <w:rPr>
                <w:rFonts w:hint="eastAsia"/>
                <w:color w:val="auto"/>
                <w:sz w:val="24"/>
                <w:szCs w:val="32"/>
                <w:vertAlign w:val="superscript"/>
                <w:lang w:val="en-US" w:eastAsia="zh-CN"/>
              </w:rPr>
            </w:pPr>
            <w:r>
              <w:rPr>
                <w:rFonts w:hint="eastAsia"/>
                <w:color w:val="auto"/>
                <w:sz w:val="24"/>
                <w:szCs w:val="32"/>
                <w:lang w:val="en-US" w:eastAsia="zh-CN"/>
              </w:rPr>
              <w:t>用地面积36469m</w:t>
            </w:r>
            <w:r>
              <w:rPr>
                <w:rFonts w:hint="eastAsia"/>
                <w:color w:val="auto"/>
                <w:sz w:val="24"/>
                <w:szCs w:val="32"/>
                <w:vertAlign w:val="superscript"/>
                <w:lang w:val="en-US" w:eastAsia="zh-CN"/>
              </w:rPr>
              <w:t>2</w:t>
            </w:r>
          </w:p>
          <w:p w14:paraId="56267005">
            <w:pPr>
              <w:bidi w:val="0"/>
              <w:spacing w:line="240" w:lineRule="auto"/>
              <w:ind w:left="0" w:leftChars="0" w:firstLine="0" w:firstLineChars="0"/>
              <w:jc w:val="center"/>
              <w:rPr>
                <w:rFonts w:hint="default" w:ascii="Times New Roman" w:hAnsi="Times New Roman" w:eastAsia="宋体" w:cs="Times New Roman"/>
                <w:color w:val="auto"/>
                <w:sz w:val="24"/>
                <w:szCs w:val="24"/>
                <w:vertAlign w:val="baseline"/>
                <w:lang w:val="en-US" w:eastAsia="zh-CN"/>
              </w:rPr>
            </w:pPr>
            <w:r>
              <w:rPr>
                <w:rFonts w:hint="eastAsia"/>
                <w:color w:val="auto"/>
                <w:sz w:val="24"/>
                <w:szCs w:val="32"/>
                <w:lang w:val="en-US" w:eastAsia="zh-CN"/>
              </w:rPr>
              <w:t>（合54.7亩）</w:t>
            </w:r>
          </w:p>
        </w:tc>
      </w:tr>
      <w:tr w14:paraId="037AED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68" w:hRule="atLeast"/>
          <w:jc w:val="center"/>
        </w:trPr>
        <w:tc>
          <w:tcPr>
            <w:tcW w:w="811" w:type="pct"/>
            <w:noWrap w:val="0"/>
            <w:vAlign w:val="center"/>
          </w:tcPr>
          <w:p w14:paraId="66355B3D">
            <w:pPr>
              <w:autoSpaceDE w:val="0"/>
              <w:autoSpaceDN w:val="0"/>
              <w:adjustRightInd w:val="0"/>
              <w:snapToGrid w:val="0"/>
              <w:ind w:left="0" w:leftChars="0" w:firstLine="0" w:firstLineChars="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专项评价设置情况</w:t>
            </w:r>
          </w:p>
        </w:tc>
        <w:tc>
          <w:tcPr>
            <w:tcW w:w="4188" w:type="pct"/>
            <w:gridSpan w:val="3"/>
            <w:noWrap w:val="0"/>
            <w:vAlign w:val="center"/>
          </w:tcPr>
          <w:p w14:paraId="4FB09F7A">
            <w:pPr>
              <w:bidi w:val="0"/>
              <w:rPr>
                <w:rFonts w:hint="eastAsia"/>
                <w:color w:val="auto"/>
              </w:rPr>
            </w:pPr>
            <w:r>
              <w:rPr>
                <w:rFonts w:hint="eastAsia"/>
                <w:color w:val="auto"/>
              </w:rPr>
              <w:t>根据《建设项目环境影响报告表编制技术指南</w:t>
            </w:r>
            <w:r>
              <w:rPr>
                <w:rFonts w:hint="eastAsia"/>
                <w:color w:val="auto"/>
                <w:lang w:eastAsia="zh-CN"/>
              </w:rPr>
              <w:t>（</w:t>
            </w:r>
            <w:r>
              <w:rPr>
                <w:rFonts w:hint="eastAsia"/>
                <w:color w:val="auto"/>
              </w:rPr>
              <w:t>污染影响类</w:t>
            </w:r>
            <w:r>
              <w:rPr>
                <w:rFonts w:hint="eastAsia"/>
                <w:color w:val="auto"/>
                <w:lang w:eastAsia="zh-CN"/>
              </w:rPr>
              <w:t>）（</w:t>
            </w:r>
            <w:r>
              <w:rPr>
                <w:rFonts w:hint="eastAsia"/>
                <w:color w:val="auto"/>
              </w:rPr>
              <w:t>试行</w:t>
            </w:r>
            <w:r>
              <w:rPr>
                <w:rFonts w:hint="eastAsia"/>
                <w:color w:val="auto"/>
                <w:lang w:eastAsia="zh-CN"/>
              </w:rPr>
              <w:t>）</w:t>
            </w:r>
            <w:r>
              <w:rPr>
                <w:rFonts w:hint="eastAsia"/>
                <w:color w:val="auto"/>
              </w:rPr>
              <w:t>》</w:t>
            </w:r>
            <w:r>
              <w:rPr>
                <w:rFonts w:hint="eastAsia"/>
                <w:color w:val="auto"/>
                <w:lang w:eastAsia="zh-CN"/>
              </w:rPr>
              <w:t>（</w:t>
            </w:r>
            <w:r>
              <w:rPr>
                <w:rFonts w:hint="default"/>
                <w:color w:val="auto"/>
                <w:lang w:val="zh-CN" w:eastAsia="zh-CN"/>
              </w:rPr>
              <w:t>环办环评〔2020〕33号</w:t>
            </w:r>
            <w:r>
              <w:rPr>
                <w:rFonts w:hint="eastAsia"/>
                <w:color w:val="auto"/>
                <w:lang w:val="zh-CN" w:eastAsia="zh-CN"/>
              </w:rPr>
              <w:t>）</w:t>
            </w:r>
            <w:r>
              <w:rPr>
                <w:rFonts w:hint="eastAsia"/>
                <w:color w:val="auto"/>
              </w:rPr>
              <w:t>，土壤、声不开展专项评价，地下水原则不开展专项评价。项目专项</w:t>
            </w:r>
            <w:r>
              <w:rPr>
                <w:rFonts w:hint="eastAsia"/>
                <w:color w:val="auto"/>
                <w:lang w:val="en-US" w:eastAsia="zh-CN"/>
              </w:rPr>
              <w:t>评价</w:t>
            </w:r>
            <w:r>
              <w:rPr>
                <w:rFonts w:hint="eastAsia"/>
                <w:color w:val="auto"/>
              </w:rPr>
              <w:t>设置</w:t>
            </w:r>
            <w:r>
              <w:rPr>
                <w:rFonts w:hint="eastAsia"/>
                <w:color w:val="auto"/>
                <w:lang w:val="en-US" w:eastAsia="zh-CN"/>
              </w:rPr>
              <w:t>原则</w:t>
            </w:r>
            <w:r>
              <w:rPr>
                <w:rFonts w:hint="eastAsia"/>
                <w:color w:val="auto"/>
              </w:rPr>
              <w:t>情况具体见表1</w:t>
            </w:r>
            <w:r>
              <w:rPr>
                <w:rFonts w:hint="eastAsia"/>
                <w:color w:val="auto"/>
                <w:lang w:val="en-US" w:eastAsia="zh-CN"/>
              </w:rPr>
              <w:t>-1</w:t>
            </w:r>
            <w:r>
              <w:rPr>
                <w:rFonts w:hint="eastAsia"/>
                <w:color w:val="auto"/>
              </w:rPr>
              <w:t>。</w:t>
            </w:r>
          </w:p>
          <w:p w14:paraId="26A49FC7">
            <w:pPr>
              <w:spacing w:before="120" w:beforeLines="50"/>
              <w:ind w:firstLine="0" w:firstLineChars="0"/>
              <w:jc w:val="center"/>
              <w:rPr>
                <w:rFonts w:hint="default" w:ascii="Times New Roman" w:hAnsi="Times New Roman" w:eastAsia="宋体" w:cs="Times New Roman"/>
                <w:b/>
                <w:bCs/>
                <w:color w:val="auto"/>
                <w:sz w:val="21"/>
                <w:szCs w:val="21"/>
              </w:rPr>
            </w:pPr>
            <w:r>
              <w:rPr>
                <w:rFonts w:hint="eastAsia" w:ascii="Times New Roman" w:hAnsi="Times New Roman" w:eastAsia="宋体" w:cs="Times New Roman"/>
                <w:b/>
                <w:bCs/>
                <w:color w:val="auto"/>
                <w:sz w:val="21"/>
                <w:szCs w:val="21"/>
              </w:rPr>
              <w:t>表1</w:t>
            </w:r>
            <w:r>
              <w:rPr>
                <w:rFonts w:hint="eastAsia" w:ascii="Times New Roman" w:hAnsi="Times New Roman" w:eastAsia="宋体" w:cs="Times New Roman"/>
                <w:b/>
                <w:bCs/>
                <w:color w:val="auto"/>
                <w:sz w:val="21"/>
                <w:szCs w:val="21"/>
                <w:lang w:val="en-US" w:eastAsia="zh-CN"/>
              </w:rPr>
              <w:t>-1</w:t>
            </w:r>
            <w:r>
              <w:rPr>
                <w:rFonts w:hint="default" w:ascii="Times New Roman" w:hAnsi="Times New Roman" w:eastAsia="宋体" w:cs="Times New Roman"/>
                <w:b/>
                <w:bCs/>
                <w:color w:val="auto"/>
                <w:sz w:val="21"/>
                <w:szCs w:val="21"/>
              </w:rPr>
              <w:t xml:space="preserve"> </w:t>
            </w:r>
            <w:r>
              <w:rPr>
                <w:rFonts w:hint="eastAsia" w:ascii="Times New Roman" w:hAnsi="Times New Roman" w:eastAsia="宋体" w:cs="Times New Roman"/>
                <w:b/>
                <w:bCs/>
                <w:color w:val="auto"/>
                <w:sz w:val="21"/>
                <w:szCs w:val="21"/>
              </w:rPr>
              <w:t>专项评价设置</w:t>
            </w:r>
            <w:r>
              <w:rPr>
                <w:rFonts w:hint="eastAsia" w:ascii="Times New Roman" w:hAnsi="Times New Roman" w:eastAsia="宋体" w:cs="Times New Roman"/>
                <w:b/>
                <w:bCs/>
                <w:color w:val="auto"/>
                <w:sz w:val="21"/>
                <w:szCs w:val="21"/>
                <w:lang w:val="en-US" w:eastAsia="zh-CN"/>
              </w:rPr>
              <w:t>原则</w:t>
            </w:r>
            <w:r>
              <w:rPr>
                <w:rFonts w:hint="eastAsia" w:ascii="Times New Roman" w:hAnsi="Times New Roman" w:eastAsia="宋体" w:cs="Times New Roman"/>
                <w:b/>
                <w:bCs/>
                <w:color w:val="auto"/>
                <w:sz w:val="21"/>
                <w:szCs w:val="21"/>
              </w:rPr>
              <w:t>表</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57" w:type="dxa"/>
                <w:bottom w:w="0" w:type="dxa"/>
                <w:right w:w="57" w:type="dxa"/>
              </w:tblCellMar>
            </w:tblPr>
            <w:tblGrid>
              <w:gridCol w:w="898"/>
              <w:gridCol w:w="3754"/>
              <w:gridCol w:w="1998"/>
              <w:gridCol w:w="754"/>
            </w:tblGrid>
            <w:tr w14:paraId="0992CF0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607" w:type="pct"/>
                  <w:noWrap w:val="0"/>
                  <w:vAlign w:val="center"/>
                </w:tcPr>
                <w:p w14:paraId="6B9362F2">
                  <w:pPr>
                    <w:pStyle w:val="33"/>
                    <w:keepLines w:val="0"/>
                    <w:pageBreakBefore w:val="0"/>
                    <w:widowControl w:val="0"/>
                    <w:kinsoku/>
                    <w:wordWrap/>
                    <w:overflowPunct/>
                    <w:topLinePunct w:val="0"/>
                    <w:bidi w:val="0"/>
                    <w:spacing w:before="0" w:beforeLines="0" w:after="0" w:afterLines="0" w:line="240" w:lineRule="auto"/>
                    <w:ind w:firstLine="0" w:firstLineChars="0"/>
                    <w:textAlignment w:val="auto"/>
                    <w:rPr>
                      <w:rFonts w:hint="default"/>
                      <w:color w:val="auto"/>
                      <w:sz w:val="21"/>
                      <w:szCs w:val="21"/>
                    </w:rPr>
                  </w:pPr>
                  <w:r>
                    <w:rPr>
                      <w:rFonts w:hint="default"/>
                      <w:color w:val="auto"/>
                      <w:sz w:val="21"/>
                      <w:szCs w:val="21"/>
                    </w:rPr>
                    <w:t>专项评价类别</w:t>
                  </w:r>
                </w:p>
              </w:tc>
              <w:tc>
                <w:tcPr>
                  <w:tcW w:w="2535" w:type="pct"/>
                  <w:noWrap w:val="0"/>
                  <w:vAlign w:val="center"/>
                </w:tcPr>
                <w:p w14:paraId="1740295E">
                  <w:pPr>
                    <w:pStyle w:val="33"/>
                    <w:keepLines w:val="0"/>
                    <w:pageBreakBefore w:val="0"/>
                    <w:widowControl w:val="0"/>
                    <w:kinsoku/>
                    <w:wordWrap/>
                    <w:overflowPunct/>
                    <w:topLinePunct w:val="0"/>
                    <w:bidi w:val="0"/>
                    <w:spacing w:before="0" w:beforeLines="0" w:after="0" w:afterLines="0" w:line="240" w:lineRule="auto"/>
                    <w:ind w:firstLine="0" w:firstLineChars="0"/>
                    <w:textAlignment w:val="auto"/>
                    <w:rPr>
                      <w:rFonts w:hint="default"/>
                      <w:color w:val="auto"/>
                      <w:sz w:val="21"/>
                      <w:szCs w:val="21"/>
                      <w:lang w:val="en-US" w:eastAsia="zh-CN"/>
                    </w:rPr>
                  </w:pPr>
                  <w:r>
                    <w:rPr>
                      <w:rFonts w:hint="default"/>
                      <w:color w:val="auto"/>
                      <w:sz w:val="21"/>
                      <w:szCs w:val="21"/>
                      <w:lang w:val="en-US" w:eastAsia="zh-CN"/>
                    </w:rPr>
                    <w:t>设置原则</w:t>
                  </w:r>
                </w:p>
              </w:tc>
              <w:tc>
                <w:tcPr>
                  <w:tcW w:w="1349" w:type="pct"/>
                  <w:noWrap w:val="0"/>
                  <w:vAlign w:val="center"/>
                </w:tcPr>
                <w:p w14:paraId="12D5844E">
                  <w:pPr>
                    <w:pStyle w:val="33"/>
                    <w:keepLines w:val="0"/>
                    <w:pageBreakBefore w:val="0"/>
                    <w:widowControl w:val="0"/>
                    <w:kinsoku/>
                    <w:wordWrap/>
                    <w:overflowPunct/>
                    <w:topLinePunct w:val="0"/>
                    <w:bidi w:val="0"/>
                    <w:spacing w:before="0" w:beforeLines="0" w:after="0" w:afterLines="0" w:line="240" w:lineRule="auto"/>
                    <w:ind w:firstLine="0" w:firstLineChars="0"/>
                    <w:textAlignment w:val="auto"/>
                    <w:rPr>
                      <w:rFonts w:hint="default"/>
                      <w:color w:val="auto"/>
                      <w:sz w:val="21"/>
                      <w:szCs w:val="21"/>
                      <w:lang w:val="en-US" w:eastAsia="zh-CN"/>
                    </w:rPr>
                  </w:pPr>
                  <w:r>
                    <w:rPr>
                      <w:rFonts w:hint="default"/>
                      <w:color w:val="auto"/>
                      <w:sz w:val="21"/>
                      <w:szCs w:val="21"/>
                    </w:rPr>
                    <w:t>本项目</w:t>
                  </w:r>
                  <w:r>
                    <w:rPr>
                      <w:rFonts w:hint="default"/>
                      <w:color w:val="auto"/>
                      <w:sz w:val="21"/>
                      <w:szCs w:val="21"/>
                      <w:lang w:val="en-US" w:eastAsia="zh-CN"/>
                    </w:rPr>
                    <w:t>情况</w:t>
                  </w:r>
                </w:p>
              </w:tc>
              <w:tc>
                <w:tcPr>
                  <w:tcW w:w="508" w:type="pct"/>
                  <w:noWrap w:val="0"/>
                  <w:vAlign w:val="center"/>
                </w:tcPr>
                <w:p w14:paraId="5CC3C54D">
                  <w:pPr>
                    <w:pStyle w:val="33"/>
                    <w:keepLines w:val="0"/>
                    <w:pageBreakBefore w:val="0"/>
                    <w:widowControl w:val="0"/>
                    <w:kinsoku/>
                    <w:wordWrap/>
                    <w:overflowPunct/>
                    <w:topLinePunct w:val="0"/>
                    <w:bidi w:val="0"/>
                    <w:spacing w:before="0" w:beforeLines="0" w:after="0" w:afterLines="0" w:line="240" w:lineRule="auto"/>
                    <w:ind w:firstLine="0" w:firstLineChars="0"/>
                    <w:textAlignment w:val="auto"/>
                    <w:rPr>
                      <w:rFonts w:hint="default"/>
                      <w:color w:val="auto"/>
                      <w:sz w:val="21"/>
                      <w:szCs w:val="21"/>
                    </w:rPr>
                  </w:pPr>
                  <w:r>
                    <w:rPr>
                      <w:rFonts w:hint="default"/>
                      <w:color w:val="auto"/>
                      <w:sz w:val="21"/>
                      <w:szCs w:val="21"/>
                    </w:rPr>
                    <w:t>是否设置</w:t>
                  </w:r>
                </w:p>
              </w:tc>
            </w:tr>
            <w:tr w14:paraId="02B3755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607" w:type="pct"/>
                  <w:noWrap w:val="0"/>
                  <w:vAlign w:val="center"/>
                </w:tcPr>
                <w:p w14:paraId="52F0022C">
                  <w:pPr>
                    <w:pStyle w:val="28"/>
                    <w:keepLines w:val="0"/>
                    <w:pageBreakBefore w:val="0"/>
                    <w:widowControl w:val="0"/>
                    <w:kinsoku/>
                    <w:wordWrap/>
                    <w:overflowPunct/>
                    <w:topLinePunct w:val="0"/>
                    <w:bidi w:val="0"/>
                    <w:spacing w:line="240" w:lineRule="auto"/>
                    <w:ind w:firstLine="0" w:firstLineChars="0"/>
                    <w:textAlignment w:val="auto"/>
                    <w:rPr>
                      <w:rFonts w:hint="default"/>
                      <w:color w:val="auto"/>
                      <w:sz w:val="21"/>
                      <w:szCs w:val="21"/>
                    </w:rPr>
                  </w:pPr>
                  <w:r>
                    <w:rPr>
                      <w:rFonts w:hint="default"/>
                      <w:color w:val="auto"/>
                      <w:sz w:val="21"/>
                      <w:szCs w:val="21"/>
                    </w:rPr>
                    <w:t>大气</w:t>
                  </w:r>
                </w:p>
              </w:tc>
              <w:tc>
                <w:tcPr>
                  <w:tcW w:w="2535" w:type="pct"/>
                  <w:noWrap w:val="0"/>
                  <w:vAlign w:val="center"/>
                </w:tcPr>
                <w:p w14:paraId="2DF754FD">
                  <w:pPr>
                    <w:pStyle w:val="28"/>
                    <w:keepLines w:val="0"/>
                    <w:pageBreakBefore w:val="0"/>
                    <w:widowControl w:val="0"/>
                    <w:kinsoku/>
                    <w:wordWrap/>
                    <w:overflowPunct/>
                    <w:topLinePunct w:val="0"/>
                    <w:bidi w:val="0"/>
                    <w:spacing w:line="240" w:lineRule="auto"/>
                    <w:ind w:firstLine="0" w:firstLineChars="0"/>
                    <w:textAlignment w:val="auto"/>
                    <w:rPr>
                      <w:rFonts w:hint="default"/>
                      <w:color w:val="auto"/>
                      <w:sz w:val="21"/>
                      <w:szCs w:val="21"/>
                    </w:rPr>
                  </w:pPr>
                  <w:r>
                    <w:rPr>
                      <w:rFonts w:hint="default"/>
                      <w:color w:val="auto"/>
                      <w:sz w:val="21"/>
                      <w:szCs w:val="21"/>
                    </w:rPr>
                    <w:t>排放废气含有毒有害污染物、二噁英、苯并[a]芘、氰化物、氯气且厂界外500米范围内有环境空气保护目标的建设项目。</w:t>
                  </w:r>
                </w:p>
              </w:tc>
              <w:tc>
                <w:tcPr>
                  <w:tcW w:w="1349" w:type="pct"/>
                  <w:noWrap w:val="0"/>
                  <w:vAlign w:val="center"/>
                </w:tcPr>
                <w:p w14:paraId="52C68014">
                  <w:pPr>
                    <w:pStyle w:val="28"/>
                    <w:keepLines w:val="0"/>
                    <w:pageBreakBefore w:val="0"/>
                    <w:widowControl w:val="0"/>
                    <w:kinsoku/>
                    <w:wordWrap/>
                    <w:overflowPunct/>
                    <w:topLinePunct w:val="0"/>
                    <w:bidi w:val="0"/>
                    <w:spacing w:line="240" w:lineRule="auto"/>
                    <w:ind w:firstLine="0" w:firstLineChars="0"/>
                    <w:textAlignment w:val="auto"/>
                    <w:rPr>
                      <w:rFonts w:hint="default"/>
                      <w:color w:val="auto"/>
                      <w:sz w:val="21"/>
                      <w:szCs w:val="21"/>
                      <w:lang w:val="en-US" w:eastAsia="zh-CN"/>
                    </w:rPr>
                  </w:pPr>
                  <w:r>
                    <w:rPr>
                      <w:rFonts w:hint="default"/>
                      <w:color w:val="auto"/>
                      <w:sz w:val="21"/>
                      <w:szCs w:val="21"/>
                      <w:lang w:val="en-US" w:eastAsia="zh-CN"/>
                    </w:rPr>
                    <w:t>本项目排放的废气污染物</w:t>
                  </w:r>
                  <w:r>
                    <w:rPr>
                      <w:rFonts w:hint="default"/>
                      <w:color w:val="auto"/>
                      <w:sz w:val="21"/>
                      <w:szCs w:val="21"/>
                    </w:rPr>
                    <w:t>不涉及</w:t>
                  </w:r>
                  <w:r>
                    <w:rPr>
                      <w:rFonts w:hint="eastAsia"/>
                      <w:color w:val="auto"/>
                      <w:sz w:val="21"/>
                      <w:szCs w:val="21"/>
                      <w:lang w:val="en-US" w:eastAsia="zh-CN"/>
                    </w:rPr>
                    <w:t>所述</w:t>
                  </w:r>
                  <w:r>
                    <w:rPr>
                      <w:rFonts w:hint="default"/>
                      <w:color w:val="auto"/>
                      <w:sz w:val="21"/>
                      <w:szCs w:val="21"/>
                    </w:rPr>
                    <w:t>大气污染物。</w:t>
                  </w:r>
                </w:p>
              </w:tc>
              <w:tc>
                <w:tcPr>
                  <w:tcW w:w="508" w:type="pct"/>
                  <w:noWrap w:val="0"/>
                  <w:vAlign w:val="center"/>
                </w:tcPr>
                <w:p w14:paraId="57E58F44">
                  <w:pPr>
                    <w:pStyle w:val="28"/>
                    <w:keepLines w:val="0"/>
                    <w:pageBreakBefore w:val="0"/>
                    <w:widowControl w:val="0"/>
                    <w:kinsoku/>
                    <w:wordWrap/>
                    <w:overflowPunct/>
                    <w:topLinePunct w:val="0"/>
                    <w:bidi w:val="0"/>
                    <w:spacing w:line="240" w:lineRule="auto"/>
                    <w:ind w:firstLine="0" w:firstLineChars="0"/>
                    <w:textAlignment w:val="auto"/>
                    <w:rPr>
                      <w:rFonts w:hint="default"/>
                      <w:color w:val="auto"/>
                      <w:sz w:val="21"/>
                      <w:szCs w:val="21"/>
                    </w:rPr>
                  </w:pPr>
                  <w:r>
                    <w:rPr>
                      <w:rFonts w:hint="default"/>
                      <w:color w:val="auto"/>
                      <w:sz w:val="21"/>
                      <w:szCs w:val="21"/>
                    </w:rPr>
                    <w:t>否</w:t>
                  </w:r>
                </w:p>
              </w:tc>
            </w:tr>
            <w:tr w14:paraId="762B400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607" w:type="pct"/>
                  <w:noWrap w:val="0"/>
                  <w:vAlign w:val="center"/>
                </w:tcPr>
                <w:p w14:paraId="4567C248">
                  <w:pPr>
                    <w:pStyle w:val="28"/>
                    <w:keepLines w:val="0"/>
                    <w:pageBreakBefore w:val="0"/>
                    <w:widowControl w:val="0"/>
                    <w:kinsoku/>
                    <w:wordWrap/>
                    <w:overflowPunct/>
                    <w:topLinePunct w:val="0"/>
                    <w:bidi w:val="0"/>
                    <w:spacing w:line="240" w:lineRule="auto"/>
                    <w:ind w:firstLine="0" w:firstLineChars="0"/>
                    <w:textAlignment w:val="auto"/>
                    <w:rPr>
                      <w:rFonts w:hint="default"/>
                      <w:color w:val="auto"/>
                      <w:sz w:val="21"/>
                      <w:szCs w:val="21"/>
                    </w:rPr>
                  </w:pPr>
                  <w:r>
                    <w:rPr>
                      <w:rFonts w:hint="default"/>
                      <w:color w:val="auto"/>
                      <w:sz w:val="21"/>
                      <w:szCs w:val="21"/>
                    </w:rPr>
                    <w:t>地表水</w:t>
                  </w:r>
                </w:p>
              </w:tc>
              <w:tc>
                <w:tcPr>
                  <w:tcW w:w="2535" w:type="pct"/>
                  <w:noWrap w:val="0"/>
                  <w:vAlign w:val="center"/>
                </w:tcPr>
                <w:p w14:paraId="1F24CA6F">
                  <w:pPr>
                    <w:pStyle w:val="28"/>
                    <w:keepLines w:val="0"/>
                    <w:pageBreakBefore w:val="0"/>
                    <w:widowControl w:val="0"/>
                    <w:kinsoku/>
                    <w:wordWrap/>
                    <w:overflowPunct/>
                    <w:topLinePunct w:val="0"/>
                    <w:bidi w:val="0"/>
                    <w:spacing w:line="240" w:lineRule="auto"/>
                    <w:ind w:firstLine="0" w:firstLineChars="0"/>
                    <w:textAlignment w:val="auto"/>
                    <w:rPr>
                      <w:rFonts w:hint="default"/>
                      <w:color w:val="auto"/>
                      <w:sz w:val="21"/>
                      <w:szCs w:val="21"/>
                    </w:rPr>
                  </w:pPr>
                  <w:r>
                    <w:rPr>
                      <w:rFonts w:hint="default"/>
                      <w:color w:val="auto"/>
                      <w:sz w:val="21"/>
                      <w:szCs w:val="21"/>
                    </w:rPr>
                    <w:t>新增工业废水直排建设项目</w:t>
                  </w:r>
                  <w:r>
                    <w:rPr>
                      <w:rFonts w:hint="eastAsia"/>
                      <w:color w:val="auto"/>
                      <w:sz w:val="21"/>
                      <w:szCs w:val="21"/>
                      <w:lang w:eastAsia="zh-CN"/>
                    </w:rPr>
                    <w:t>（</w:t>
                  </w:r>
                  <w:r>
                    <w:rPr>
                      <w:rFonts w:hint="default"/>
                      <w:color w:val="auto"/>
                      <w:sz w:val="21"/>
                      <w:szCs w:val="21"/>
                    </w:rPr>
                    <w:t>槽罐车外送污水处理厂的除外</w:t>
                  </w:r>
                  <w:r>
                    <w:rPr>
                      <w:rFonts w:hint="eastAsia"/>
                      <w:color w:val="auto"/>
                      <w:sz w:val="21"/>
                      <w:szCs w:val="21"/>
                      <w:lang w:eastAsia="zh-CN"/>
                    </w:rPr>
                    <w:t>）</w:t>
                  </w:r>
                  <w:r>
                    <w:rPr>
                      <w:rFonts w:hint="default"/>
                      <w:color w:val="auto"/>
                      <w:sz w:val="21"/>
                      <w:szCs w:val="21"/>
                    </w:rPr>
                    <w:t>；新增废水直排的污水集中处理厂。</w:t>
                  </w:r>
                </w:p>
              </w:tc>
              <w:tc>
                <w:tcPr>
                  <w:tcW w:w="1349" w:type="pct"/>
                  <w:noWrap w:val="0"/>
                  <w:vAlign w:val="center"/>
                </w:tcPr>
                <w:p w14:paraId="42487078">
                  <w:pPr>
                    <w:pStyle w:val="28"/>
                    <w:keepLines w:val="0"/>
                    <w:pageBreakBefore w:val="0"/>
                    <w:widowControl w:val="0"/>
                    <w:kinsoku/>
                    <w:wordWrap/>
                    <w:overflowPunct/>
                    <w:topLinePunct w:val="0"/>
                    <w:bidi w:val="0"/>
                    <w:spacing w:line="240" w:lineRule="auto"/>
                    <w:ind w:firstLine="0" w:firstLineChars="0"/>
                    <w:textAlignment w:val="auto"/>
                    <w:rPr>
                      <w:rFonts w:hint="default"/>
                      <w:color w:val="auto"/>
                      <w:sz w:val="21"/>
                      <w:szCs w:val="21"/>
                      <w:lang w:eastAsia="zh-CN"/>
                    </w:rPr>
                  </w:pPr>
                  <w:r>
                    <w:rPr>
                      <w:rFonts w:hint="default"/>
                      <w:color w:val="auto"/>
                      <w:sz w:val="21"/>
                      <w:szCs w:val="21"/>
                    </w:rPr>
                    <w:t>本项目不涉及</w:t>
                  </w:r>
                  <w:r>
                    <w:rPr>
                      <w:rFonts w:hint="default"/>
                      <w:color w:val="auto"/>
                      <w:sz w:val="21"/>
                      <w:szCs w:val="21"/>
                      <w:lang w:eastAsia="zh-CN"/>
                    </w:rPr>
                    <w:t>。</w:t>
                  </w:r>
                </w:p>
              </w:tc>
              <w:tc>
                <w:tcPr>
                  <w:tcW w:w="508" w:type="pct"/>
                  <w:noWrap w:val="0"/>
                  <w:vAlign w:val="center"/>
                </w:tcPr>
                <w:p w14:paraId="217FBED5">
                  <w:pPr>
                    <w:pStyle w:val="28"/>
                    <w:keepLines w:val="0"/>
                    <w:pageBreakBefore w:val="0"/>
                    <w:widowControl w:val="0"/>
                    <w:kinsoku/>
                    <w:wordWrap/>
                    <w:overflowPunct/>
                    <w:topLinePunct w:val="0"/>
                    <w:bidi w:val="0"/>
                    <w:spacing w:line="240" w:lineRule="auto"/>
                    <w:ind w:firstLine="0" w:firstLineChars="0"/>
                    <w:textAlignment w:val="auto"/>
                    <w:rPr>
                      <w:rFonts w:hint="default"/>
                      <w:color w:val="auto"/>
                      <w:sz w:val="21"/>
                      <w:szCs w:val="21"/>
                    </w:rPr>
                  </w:pPr>
                  <w:r>
                    <w:rPr>
                      <w:rFonts w:hint="default"/>
                      <w:color w:val="auto"/>
                      <w:sz w:val="21"/>
                      <w:szCs w:val="21"/>
                    </w:rPr>
                    <w:t>否</w:t>
                  </w:r>
                </w:p>
              </w:tc>
            </w:tr>
            <w:tr w14:paraId="1258D28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607" w:type="pct"/>
                  <w:noWrap w:val="0"/>
                  <w:vAlign w:val="center"/>
                </w:tcPr>
                <w:p w14:paraId="1B2BB844">
                  <w:pPr>
                    <w:pStyle w:val="28"/>
                    <w:keepLines w:val="0"/>
                    <w:pageBreakBefore w:val="0"/>
                    <w:widowControl w:val="0"/>
                    <w:kinsoku/>
                    <w:wordWrap/>
                    <w:overflowPunct/>
                    <w:topLinePunct w:val="0"/>
                    <w:bidi w:val="0"/>
                    <w:spacing w:line="240" w:lineRule="auto"/>
                    <w:ind w:firstLine="0" w:firstLineChars="0"/>
                    <w:textAlignment w:val="auto"/>
                    <w:rPr>
                      <w:rFonts w:hint="default"/>
                      <w:color w:val="auto"/>
                      <w:sz w:val="21"/>
                      <w:szCs w:val="21"/>
                    </w:rPr>
                  </w:pPr>
                  <w:r>
                    <w:rPr>
                      <w:rFonts w:hint="default"/>
                      <w:color w:val="auto"/>
                      <w:sz w:val="21"/>
                      <w:szCs w:val="21"/>
                    </w:rPr>
                    <w:t>环境</w:t>
                  </w:r>
                </w:p>
                <w:p w14:paraId="09CB2C26">
                  <w:pPr>
                    <w:pStyle w:val="28"/>
                    <w:keepLines w:val="0"/>
                    <w:pageBreakBefore w:val="0"/>
                    <w:widowControl w:val="0"/>
                    <w:kinsoku/>
                    <w:wordWrap/>
                    <w:overflowPunct/>
                    <w:topLinePunct w:val="0"/>
                    <w:bidi w:val="0"/>
                    <w:spacing w:line="240" w:lineRule="auto"/>
                    <w:ind w:firstLine="0" w:firstLineChars="0"/>
                    <w:textAlignment w:val="auto"/>
                    <w:rPr>
                      <w:rFonts w:hint="default"/>
                      <w:color w:val="auto"/>
                      <w:sz w:val="21"/>
                      <w:szCs w:val="21"/>
                    </w:rPr>
                  </w:pPr>
                  <w:r>
                    <w:rPr>
                      <w:rFonts w:hint="default"/>
                      <w:color w:val="auto"/>
                      <w:sz w:val="21"/>
                      <w:szCs w:val="21"/>
                    </w:rPr>
                    <w:t>风险</w:t>
                  </w:r>
                </w:p>
              </w:tc>
              <w:tc>
                <w:tcPr>
                  <w:tcW w:w="2535" w:type="pct"/>
                  <w:noWrap w:val="0"/>
                  <w:vAlign w:val="center"/>
                </w:tcPr>
                <w:p w14:paraId="5887AF6A">
                  <w:pPr>
                    <w:pStyle w:val="28"/>
                    <w:keepLines w:val="0"/>
                    <w:pageBreakBefore w:val="0"/>
                    <w:widowControl w:val="0"/>
                    <w:kinsoku/>
                    <w:wordWrap/>
                    <w:overflowPunct/>
                    <w:topLinePunct w:val="0"/>
                    <w:bidi w:val="0"/>
                    <w:spacing w:line="240" w:lineRule="auto"/>
                    <w:ind w:firstLine="0" w:firstLineChars="0"/>
                    <w:textAlignment w:val="auto"/>
                    <w:rPr>
                      <w:rFonts w:hint="default"/>
                      <w:color w:val="auto"/>
                      <w:sz w:val="21"/>
                      <w:szCs w:val="21"/>
                    </w:rPr>
                  </w:pPr>
                  <w:r>
                    <w:rPr>
                      <w:rFonts w:hint="default"/>
                      <w:color w:val="auto"/>
                      <w:sz w:val="21"/>
                      <w:szCs w:val="21"/>
                    </w:rPr>
                    <w:t>有毒有害和易燃易爆危险物质存储量超过临界量的建设项目。</w:t>
                  </w:r>
                </w:p>
              </w:tc>
              <w:tc>
                <w:tcPr>
                  <w:tcW w:w="1349" w:type="pct"/>
                  <w:noWrap w:val="0"/>
                  <w:vAlign w:val="center"/>
                </w:tcPr>
                <w:p w14:paraId="09E7E54C">
                  <w:pPr>
                    <w:pStyle w:val="28"/>
                    <w:keepLines w:val="0"/>
                    <w:pageBreakBefore w:val="0"/>
                    <w:widowControl w:val="0"/>
                    <w:kinsoku/>
                    <w:wordWrap/>
                    <w:overflowPunct/>
                    <w:topLinePunct w:val="0"/>
                    <w:bidi w:val="0"/>
                    <w:spacing w:line="240" w:lineRule="auto"/>
                    <w:ind w:firstLine="0" w:firstLineChars="0"/>
                    <w:textAlignment w:val="auto"/>
                    <w:rPr>
                      <w:rFonts w:hint="default"/>
                      <w:color w:val="auto"/>
                      <w:sz w:val="21"/>
                      <w:szCs w:val="21"/>
                    </w:rPr>
                  </w:pPr>
                  <w:r>
                    <w:rPr>
                      <w:rFonts w:hint="default"/>
                      <w:color w:val="auto"/>
                      <w:sz w:val="21"/>
                      <w:szCs w:val="21"/>
                    </w:rPr>
                    <w:t>本项目</w:t>
                  </w:r>
                  <w:r>
                    <w:rPr>
                      <w:rFonts w:hint="eastAsia"/>
                      <w:color w:val="auto"/>
                      <w:sz w:val="21"/>
                      <w:szCs w:val="21"/>
                      <w:lang w:val="en-US" w:eastAsia="zh-CN"/>
                    </w:rPr>
                    <w:t>厂内主要涉及废机油等危险废物储存，</w:t>
                  </w:r>
                  <w:r>
                    <w:rPr>
                      <w:rFonts w:hint="default" w:ascii="Times New Roman" w:hAnsi="Times New Roman" w:eastAsia="宋体" w:cs="Times New Roman"/>
                      <w:b w:val="0"/>
                      <w:bCs w:val="0"/>
                      <w:color w:val="auto"/>
                      <w:sz w:val="21"/>
                      <w:szCs w:val="21"/>
                      <w:highlight w:val="none"/>
                      <w:lang w:val="en-US" w:eastAsia="zh-CN"/>
                    </w:rPr>
                    <w:t>环境风险物质数量与临界量比值</w:t>
                  </w:r>
                  <w:r>
                    <w:rPr>
                      <w:rFonts w:ascii="Times New Roman" w:hAnsi="Times New Roman" w:eastAsia="宋体"/>
                      <w:color w:val="auto"/>
                      <w:sz w:val="21"/>
                      <w:szCs w:val="21"/>
                      <w:highlight w:val="none"/>
                      <w:lang w:val="zh-CN"/>
                    </w:rPr>
                    <w:t>Q=</w:t>
                  </w:r>
                  <w:r>
                    <w:rPr>
                      <w:rFonts w:hint="eastAsia"/>
                      <w:color w:val="auto"/>
                      <w:sz w:val="21"/>
                      <w:szCs w:val="21"/>
                      <w:highlight w:val="none"/>
                      <w:lang w:val="en-US" w:eastAsia="zh-CN"/>
                    </w:rPr>
                    <w:t>0.00718</w:t>
                  </w:r>
                  <w:r>
                    <w:rPr>
                      <w:rFonts w:hint="eastAsia" w:ascii="Times New Roman" w:hAnsi="Times New Roman" w:eastAsia="宋体"/>
                      <w:color w:val="auto"/>
                      <w:sz w:val="21"/>
                      <w:szCs w:val="21"/>
                      <w:highlight w:val="none"/>
                      <w:lang w:val="en-US" w:eastAsia="zh-CN"/>
                    </w:rPr>
                    <w:t>＜1</w:t>
                  </w:r>
                  <w:r>
                    <w:rPr>
                      <w:rFonts w:hint="default"/>
                      <w:color w:val="auto"/>
                      <w:sz w:val="21"/>
                      <w:szCs w:val="21"/>
                    </w:rPr>
                    <w:t>。</w:t>
                  </w:r>
                </w:p>
              </w:tc>
              <w:tc>
                <w:tcPr>
                  <w:tcW w:w="508" w:type="pct"/>
                  <w:noWrap w:val="0"/>
                  <w:vAlign w:val="center"/>
                </w:tcPr>
                <w:p w14:paraId="31533CC2">
                  <w:pPr>
                    <w:pStyle w:val="28"/>
                    <w:keepLines w:val="0"/>
                    <w:pageBreakBefore w:val="0"/>
                    <w:widowControl w:val="0"/>
                    <w:kinsoku/>
                    <w:wordWrap/>
                    <w:overflowPunct/>
                    <w:topLinePunct w:val="0"/>
                    <w:bidi w:val="0"/>
                    <w:spacing w:line="240" w:lineRule="auto"/>
                    <w:ind w:firstLine="0" w:firstLineChars="0"/>
                    <w:textAlignment w:val="auto"/>
                    <w:rPr>
                      <w:rFonts w:hint="default"/>
                      <w:color w:val="auto"/>
                      <w:sz w:val="21"/>
                      <w:szCs w:val="21"/>
                    </w:rPr>
                  </w:pPr>
                  <w:r>
                    <w:rPr>
                      <w:rFonts w:hint="default"/>
                      <w:color w:val="auto"/>
                      <w:sz w:val="21"/>
                      <w:szCs w:val="21"/>
                    </w:rPr>
                    <w:t>否</w:t>
                  </w:r>
                </w:p>
              </w:tc>
            </w:tr>
            <w:tr w14:paraId="07B96E0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607" w:type="pct"/>
                  <w:noWrap w:val="0"/>
                  <w:vAlign w:val="center"/>
                </w:tcPr>
                <w:p w14:paraId="18F3D86E">
                  <w:pPr>
                    <w:pStyle w:val="28"/>
                    <w:keepLines w:val="0"/>
                    <w:pageBreakBefore w:val="0"/>
                    <w:widowControl w:val="0"/>
                    <w:kinsoku/>
                    <w:wordWrap/>
                    <w:overflowPunct/>
                    <w:topLinePunct w:val="0"/>
                    <w:bidi w:val="0"/>
                    <w:spacing w:line="240" w:lineRule="auto"/>
                    <w:ind w:firstLine="0" w:firstLineChars="0"/>
                    <w:textAlignment w:val="auto"/>
                    <w:rPr>
                      <w:rFonts w:hint="default"/>
                      <w:color w:val="auto"/>
                      <w:sz w:val="21"/>
                      <w:szCs w:val="21"/>
                    </w:rPr>
                  </w:pPr>
                  <w:r>
                    <w:rPr>
                      <w:rFonts w:hint="default"/>
                      <w:color w:val="auto"/>
                      <w:sz w:val="21"/>
                      <w:szCs w:val="21"/>
                    </w:rPr>
                    <w:t>生态</w:t>
                  </w:r>
                </w:p>
              </w:tc>
              <w:tc>
                <w:tcPr>
                  <w:tcW w:w="2535" w:type="pct"/>
                  <w:noWrap w:val="0"/>
                  <w:vAlign w:val="center"/>
                </w:tcPr>
                <w:p w14:paraId="02777965">
                  <w:pPr>
                    <w:pStyle w:val="28"/>
                    <w:keepLines w:val="0"/>
                    <w:pageBreakBefore w:val="0"/>
                    <w:widowControl w:val="0"/>
                    <w:kinsoku/>
                    <w:wordWrap/>
                    <w:overflowPunct/>
                    <w:topLinePunct w:val="0"/>
                    <w:bidi w:val="0"/>
                    <w:spacing w:line="240" w:lineRule="auto"/>
                    <w:ind w:firstLine="0" w:firstLineChars="0"/>
                    <w:textAlignment w:val="auto"/>
                    <w:rPr>
                      <w:rFonts w:hint="default"/>
                      <w:color w:val="auto"/>
                      <w:sz w:val="21"/>
                      <w:szCs w:val="21"/>
                    </w:rPr>
                  </w:pPr>
                  <w:r>
                    <w:rPr>
                      <w:rFonts w:hint="default"/>
                      <w:color w:val="auto"/>
                      <w:sz w:val="21"/>
                      <w:szCs w:val="21"/>
                    </w:rPr>
                    <w:t>取水口下游500米范围内有重要水生生物的自然产卵场、索饵场、越冬场和洄游通道的新增河道取水的污染类建设项目。</w:t>
                  </w:r>
                </w:p>
              </w:tc>
              <w:tc>
                <w:tcPr>
                  <w:tcW w:w="1349" w:type="pct"/>
                  <w:noWrap w:val="0"/>
                  <w:vAlign w:val="center"/>
                </w:tcPr>
                <w:p w14:paraId="2D7648C3">
                  <w:pPr>
                    <w:pStyle w:val="28"/>
                    <w:keepLines w:val="0"/>
                    <w:pageBreakBefore w:val="0"/>
                    <w:widowControl w:val="0"/>
                    <w:kinsoku/>
                    <w:wordWrap/>
                    <w:overflowPunct/>
                    <w:topLinePunct w:val="0"/>
                    <w:bidi w:val="0"/>
                    <w:spacing w:line="240" w:lineRule="auto"/>
                    <w:ind w:firstLine="0" w:firstLineChars="0"/>
                    <w:textAlignment w:val="auto"/>
                    <w:rPr>
                      <w:rFonts w:hint="default"/>
                      <w:color w:val="auto"/>
                      <w:sz w:val="21"/>
                      <w:szCs w:val="21"/>
                    </w:rPr>
                  </w:pPr>
                  <w:r>
                    <w:rPr>
                      <w:rFonts w:hint="default"/>
                      <w:color w:val="auto"/>
                      <w:sz w:val="21"/>
                      <w:szCs w:val="21"/>
                    </w:rPr>
                    <w:t>本项目不涉及取水口。</w:t>
                  </w:r>
                </w:p>
              </w:tc>
              <w:tc>
                <w:tcPr>
                  <w:tcW w:w="508" w:type="pct"/>
                  <w:noWrap w:val="0"/>
                  <w:vAlign w:val="center"/>
                </w:tcPr>
                <w:p w14:paraId="706FEB5E">
                  <w:pPr>
                    <w:pStyle w:val="28"/>
                    <w:keepLines w:val="0"/>
                    <w:pageBreakBefore w:val="0"/>
                    <w:widowControl w:val="0"/>
                    <w:kinsoku/>
                    <w:wordWrap/>
                    <w:overflowPunct/>
                    <w:topLinePunct w:val="0"/>
                    <w:bidi w:val="0"/>
                    <w:spacing w:line="240" w:lineRule="auto"/>
                    <w:ind w:firstLine="0" w:firstLineChars="0"/>
                    <w:textAlignment w:val="auto"/>
                    <w:rPr>
                      <w:rFonts w:hint="default"/>
                      <w:color w:val="auto"/>
                      <w:sz w:val="21"/>
                      <w:szCs w:val="21"/>
                    </w:rPr>
                  </w:pPr>
                  <w:r>
                    <w:rPr>
                      <w:rFonts w:hint="default"/>
                      <w:color w:val="auto"/>
                      <w:sz w:val="21"/>
                      <w:szCs w:val="21"/>
                    </w:rPr>
                    <w:t>否</w:t>
                  </w:r>
                </w:p>
              </w:tc>
            </w:tr>
            <w:tr w14:paraId="3026CA6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607" w:type="pct"/>
                  <w:noWrap w:val="0"/>
                  <w:vAlign w:val="center"/>
                </w:tcPr>
                <w:p w14:paraId="4152510D">
                  <w:pPr>
                    <w:pStyle w:val="28"/>
                    <w:keepLines w:val="0"/>
                    <w:pageBreakBefore w:val="0"/>
                    <w:widowControl w:val="0"/>
                    <w:kinsoku/>
                    <w:wordWrap/>
                    <w:overflowPunct/>
                    <w:topLinePunct w:val="0"/>
                    <w:bidi w:val="0"/>
                    <w:spacing w:line="240" w:lineRule="auto"/>
                    <w:ind w:firstLine="0" w:firstLineChars="0"/>
                    <w:textAlignment w:val="auto"/>
                    <w:rPr>
                      <w:rFonts w:hint="default"/>
                      <w:color w:val="auto"/>
                      <w:sz w:val="21"/>
                      <w:szCs w:val="21"/>
                    </w:rPr>
                  </w:pPr>
                  <w:r>
                    <w:rPr>
                      <w:rFonts w:hint="default"/>
                      <w:color w:val="auto"/>
                      <w:sz w:val="21"/>
                      <w:szCs w:val="21"/>
                    </w:rPr>
                    <w:t>海洋</w:t>
                  </w:r>
                </w:p>
              </w:tc>
              <w:tc>
                <w:tcPr>
                  <w:tcW w:w="2535" w:type="pct"/>
                  <w:noWrap w:val="0"/>
                  <w:vAlign w:val="center"/>
                </w:tcPr>
                <w:p w14:paraId="2B840477">
                  <w:pPr>
                    <w:pStyle w:val="28"/>
                    <w:keepLines w:val="0"/>
                    <w:pageBreakBefore w:val="0"/>
                    <w:widowControl w:val="0"/>
                    <w:kinsoku/>
                    <w:wordWrap/>
                    <w:overflowPunct/>
                    <w:topLinePunct w:val="0"/>
                    <w:bidi w:val="0"/>
                    <w:spacing w:line="240" w:lineRule="auto"/>
                    <w:ind w:firstLine="0" w:firstLineChars="0"/>
                    <w:textAlignment w:val="auto"/>
                    <w:rPr>
                      <w:rFonts w:hint="default"/>
                      <w:color w:val="auto"/>
                      <w:sz w:val="21"/>
                      <w:szCs w:val="21"/>
                    </w:rPr>
                  </w:pPr>
                  <w:r>
                    <w:rPr>
                      <w:rFonts w:hint="default"/>
                      <w:color w:val="auto"/>
                      <w:sz w:val="21"/>
                      <w:szCs w:val="21"/>
                    </w:rPr>
                    <w:t>直接向海排放污染物的海洋工程建设项目。</w:t>
                  </w:r>
                </w:p>
              </w:tc>
              <w:tc>
                <w:tcPr>
                  <w:tcW w:w="1349" w:type="pct"/>
                  <w:noWrap w:val="0"/>
                  <w:vAlign w:val="center"/>
                </w:tcPr>
                <w:p w14:paraId="0125A3AB">
                  <w:pPr>
                    <w:pStyle w:val="28"/>
                    <w:keepLines w:val="0"/>
                    <w:pageBreakBefore w:val="0"/>
                    <w:widowControl w:val="0"/>
                    <w:kinsoku/>
                    <w:wordWrap/>
                    <w:overflowPunct/>
                    <w:topLinePunct w:val="0"/>
                    <w:bidi w:val="0"/>
                    <w:spacing w:line="240" w:lineRule="auto"/>
                    <w:ind w:firstLine="0" w:firstLineChars="0"/>
                    <w:textAlignment w:val="auto"/>
                    <w:rPr>
                      <w:rFonts w:hint="default"/>
                      <w:color w:val="auto"/>
                      <w:sz w:val="21"/>
                      <w:szCs w:val="21"/>
                    </w:rPr>
                  </w:pPr>
                  <w:r>
                    <w:rPr>
                      <w:rFonts w:hint="default"/>
                      <w:color w:val="auto"/>
                      <w:sz w:val="21"/>
                      <w:szCs w:val="21"/>
                    </w:rPr>
                    <w:t>本项目不属于海洋工程建设项目。</w:t>
                  </w:r>
                </w:p>
              </w:tc>
              <w:tc>
                <w:tcPr>
                  <w:tcW w:w="508" w:type="pct"/>
                  <w:noWrap w:val="0"/>
                  <w:vAlign w:val="center"/>
                </w:tcPr>
                <w:p w14:paraId="69F61567">
                  <w:pPr>
                    <w:pStyle w:val="28"/>
                    <w:keepLines w:val="0"/>
                    <w:pageBreakBefore w:val="0"/>
                    <w:widowControl w:val="0"/>
                    <w:kinsoku/>
                    <w:wordWrap/>
                    <w:overflowPunct/>
                    <w:topLinePunct w:val="0"/>
                    <w:bidi w:val="0"/>
                    <w:spacing w:line="240" w:lineRule="auto"/>
                    <w:ind w:firstLine="0" w:firstLineChars="0"/>
                    <w:textAlignment w:val="auto"/>
                    <w:rPr>
                      <w:rFonts w:hint="default"/>
                      <w:color w:val="auto"/>
                      <w:sz w:val="21"/>
                      <w:szCs w:val="21"/>
                    </w:rPr>
                  </w:pPr>
                  <w:r>
                    <w:rPr>
                      <w:rFonts w:hint="default"/>
                      <w:color w:val="auto"/>
                      <w:sz w:val="21"/>
                      <w:szCs w:val="21"/>
                    </w:rPr>
                    <w:t>否</w:t>
                  </w:r>
                </w:p>
              </w:tc>
            </w:tr>
            <w:tr w14:paraId="72209FD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5000" w:type="pct"/>
                  <w:gridSpan w:val="4"/>
                  <w:noWrap w:val="0"/>
                  <w:vAlign w:val="center"/>
                </w:tcPr>
                <w:p w14:paraId="4F50D612">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val="en-US" w:eastAsia="zh-CN"/>
                    </w:rPr>
                    <w:t>注：</w:t>
                  </w:r>
                  <w:r>
                    <w:rPr>
                      <w:rFonts w:hint="default" w:ascii="Times New Roman" w:hAnsi="Times New Roman" w:eastAsia="宋体" w:cs="Times New Roman"/>
                      <w:color w:val="auto"/>
                      <w:sz w:val="21"/>
                      <w:szCs w:val="21"/>
                    </w:rPr>
                    <w:t>①废气中有毒有害污染物指纳入《有毒有害大气污染物名录》的污染物</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不包括无排放标准的污染物</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w:t>
                  </w:r>
                </w:p>
                <w:p w14:paraId="531C8ED6">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②环境空气保护目标指自然保护区、风景名胜区居住区、文化区和农村地区中人群较集中的区域。</w:t>
                  </w:r>
                </w:p>
                <w:p w14:paraId="42F59F81">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left"/>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③临界量及其计算方法参考《建设项目环境风险评价技术导则》</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HJ 169</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附录B、附录C。</w:t>
                  </w:r>
                </w:p>
              </w:tc>
            </w:tr>
          </w:tbl>
          <w:p w14:paraId="3A09B8B2">
            <w:pPr>
              <w:keepNext w:val="0"/>
              <w:keepLines w:val="0"/>
              <w:pageBreakBefore w:val="0"/>
              <w:widowControl w:val="0"/>
              <w:kinsoku/>
              <w:wordWrap/>
              <w:overflowPunct/>
              <w:topLinePunct w:val="0"/>
              <w:autoSpaceDE/>
              <w:autoSpaceDN/>
              <w:bidi w:val="0"/>
              <w:adjustRightInd/>
              <w:snapToGrid/>
              <w:spacing w:before="157" w:beforeLines="50"/>
              <w:textAlignment w:val="auto"/>
              <w:rPr>
                <w:rFonts w:hint="default" w:ascii="Times New Roman" w:hAnsi="Times New Roman" w:eastAsia="宋体" w:cs="Times New Roman"/>
                <w:color w:val="auto"/>
                <w:kern w:val="0"/>
                <w:szCs w:val="21"/>
                <w:lang w:eastAsia="zh-CN"/>
              </w:rPr>
            </w:pPr>
            <w:r>
              <w:rPr>
                <w:rFonts w:hint="eastAsia"/>
                <w:color w:val="auto"/>
              </w:rPr>
              <w:t>根据上表分析，本项目</w:t>
            </w:r>
            <w:r>
              <w:rPr>
                <w:rFonts w:hint="eastAsia"/>
                <w:color w:val="auto"/>
                <w:lang w:eastAsia="zh-CN"/>
              </w:rPr>
              <w:t>无需设置</w:t>
            </w:r>
            <w:r>
              <w:rPr>
                <w:rFonts w:hint="eastAsia"/>
                <w:color w:val="auto"/>
              </w:rPr>
              <w:t>专项评价。</w:t>
            </w:r>
          </w:p>
        </w:tc>
      </w:tr>
      <w:tr w14:paraId="5F03B6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811" w:type="pct"/>
            <w:noWrap w:val="0"/>
            <w:vAlign w:val="center"/>
          </w:tcPr>
          <w:p w14:paraId="50593AF1">
            <w:pPr>
              <w:autoSpaceDE w:val="0"/>
              <w:autoSpaceDN w:val="0"/>
              <w:adjustRightInd w:val="0"/>
              <w:snapToGrid w:val="0"/>
              <w:ind w:left="0" w:leftChars="0" w:firstLine="0" w:firstLineChars="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kern w:val="0"/>
                <w:szCs w:val="21"/>
              </w:rPr>
              <w:t>规划情况</w:t>
            </w:r>
          </w:p>
        </w:tc>
        <w:tc>
          <w:tcPr>
            <w:tcW w:w="4188" w:type="pct"/>
            <w:gridSpan w:val="3"/>
            <w:noWrap w:val="0"/>
            <w:vAlign w:val="center"/>
          </w:tcPr>
          <w:p w14:paraId="4D22CECE">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0" w:firstLineChars="0"/>
              <w:jc w:val="left"/>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r>
      <w:tr w14:paraId="4A3CCA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811" w:type="pct"/>
            <w:noWrap w:val="0"/>
            <w:vAlign w:val="center"/>
          </w:tcPr>
          <w:p w14:paraId="3194EDCD">
            <w:pPr>
              <w:autoSpaceDE w:val="0"/>
              <w:autoSpaceDN w:val="0"/>
              <w:adjustRightInd w:val="0"/>
              <w:snapToGrid w:val="0"/>
              <w:ind w:left="0" w:leftChars="0" w:firstLine="0" w:firstLineChars="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规划环境影响评价情况</w:t>
            </w:r>
          </w:p>
        </w:tc>
        <w:tc>
          <w:tcPr>
            <w:tcW w:w="4188" w:type="pct"/>
            <w:gridSpan w:val="3"/>
            <w:noWrap w:val="0"/>
            <w:vAlign w:val="center"/>
          </w:tcPr>
          <w:p w14:paraId="64C8AB83">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0" w:firstLineChars="0"/>
              <w:jc w:val="left"/>
              <w:textAlignment w:val="auto"/>
              <w:rPr>
                <w:rFonts w:hint="eastAsia" w:ascii="Times New Roman" w:hAnsi="Times New Roman" w:eastAsia="宋体" w:cs="Times New Roman"/>
                <w:color w:val="auto"/>
                <w:sz w:val="21"/>
                <w:szCs w:val="21"/>
                <w:lang w:val="en-US" w:eastAsia="zh-CN"/>
              </w:rPr>
            </w:pPr>
            <w:r>
              <w:rPr>
                <w:rFonts w:hint="eastAsia" w:cs="Times New Roman"/>
                <w:b/>
                <w:bCs/>
                <w:color w:val="auto"/>
                <w:sz w:val="21"/>
                <w:szCs w:val="21"/>
                <w:lang w:val="en-US" w:eastAsia="zh-CN"/>
              </w:rPr>
              <w:t>/</w:t>
            </w:r>
          </w:p>
        </w:tc>
      </w:tr>
      <w:tr w14:paraId="7A39DF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811" w:type="pct"/>
            <w:noWrap w:val="0"/>
            <w:vAlign w:val="center"/>
          </w:tcPr>
          <w:p w14:paraId="39650E8F">
            <w:pPr>
              <w:autoSpaceDE w:val="0"/>
              <w:autoSpaceDN w:val="0"/>
              <w:adjustRightInd w:val="0"/>
              <w:snapToGrid w:val="0"/>
              <w:ind w:left="0" w:leftChars="0" w:firstLine="0" w:firstLineChars="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规划及规划环境影响评价符合性分析</w:t>
            </w:r>
          </w:p>
        </w:tc>
        <w:tc>
          <w:tcPr>
            <w:tcW w:w="4188" w:type="pct"/>
            <w:gridSpan w:val="3"/>
            <w:noWrap w:val="0"/>
            <w:vAlign w:val="center"/>
          </w:tcPr>
          <w:p w14:paraId="21C6708F">
            <w:pPr>
              <w:numPr>
                <w:ilvl w:val="0"/>
                <w:numId w:val="2"/>
              </w:numPr>
              <w:bidi w:val="0"/>
              <w:rPr>
                <w:rFonts w:hint="eastAsia" w:ascii="Times New Roman" w:hAnsi="Times New Roman" w:eastAsia="宋体" w:cs="Times New Roman"/>
                <w:color w:val="auto"/>
                <w:sz w:val="24"/>
                <w:szCs w:val="24"/>
                <w:lang w:val="en-US" w:eastAsia="zh-CN"/>
              </w:rPr>
            </w:pPr>
            <w:r>
              <w:rPr>
                <w:rFonts w:hint="eastAsia"/>
                <w:color w:val="auto"/>
                <w:lang w:val="en-US" w:eastAsia="zh-CN"/>
              </w:rPr>
              <w:t>与《福清市国土空间总体规划（2021-2035年）》符合性分析</w:t>
            </w:r>
          </w:p>
          <w:p w14:paraId="2DAAD9B7">
            <w:pPr>
              <w:bidi w:val="0"/>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lang w:val="en-US" w:eastAsia="zh-CN"/>
              </w:rPr>
              <w:t>根据《福清市国土空间总体规划（2021-2035年）》，</w:t>
            </w:r>
            <w:r>
              <w:rPr>
                <w:rFonts w:hint="default" w:ascii="Times New Roman" w:hAnsi="Times New Roman" w:eastAsia="宋体" w:cs="Times New Roman"/>
                <w:color w:val="auto"/>
                <w:sz w:val="24"/>
                <w:szCs w:val="24"/>
              </w:rPr>
              <w:t>福清市行政辖区，包括陆域和管辖海域，总面积2430平方公里。</w:t>
            </w:r>
            <w:r>
              <w:rPr>
                <w:rFonts w:hint="default" w:ascii="Times New Roman" w:hAnsi="Times New Roman" w:eastAsia="宋体" w:cs="Times New Roman"/>
                <w:color w:val="auto"/>
                <w:sz w:val="24"/>
                <w:szCs w:val="24"/>
                <w:lang w:val="en-US" w:eastAsia="zh-CN"/>
              </w:rPr>
              <w:t>总体规划的</w:t>
            </w:r>
            <w:r>
              <w:rPr>
                <w:rFonts w:hint="eastAsia" w:ascii="Times New Roman" w:hAnsi="Times New Roman" w:cs="Times New Roman"/>
                <w:color w:val="auto"/>
                <w:sz w:val="24"/>
                <w:szCs w:val="24"/>
                <w:lang w:val="en-US" w:eastAsia="zh-CN"/>
              </w:rPr>
              <w:t>内容</w:t>
            </w:r>
            <w:r>
              <w:rPr>
                <w:rFonts w:hint="default" w:ascii="Times New Roman" w:hAnsi="Times New Roman" w:eastAsia="宋体" w:cs="Times New Roman"/>
                <w:color w:val="auto"/>
                <w:sz w:val="24"/>
                <w:szCs w:val="24"/>
                <w:lang w:val="en-US" w:eastAsia="zh-CN"/>
              </w:rPr>
              <w:t>涵盖目标战略、五大总体格局、六大支撑要素和三大保障机制。</w:t>
            </w:r>
            <w:r>
              <w:rPr>
                <w:rFonts w:hint="eastAsia" w:ascii="宋体" w:hAnsi="宋体" w:eastAsia="宋体" w:cs="宋体"/>
                <w:color w:val="auto"/>
                <w:sz w:val="24"/>
                <w:szCs w:val="24"/>
                <w:lang w:val="en-US" w:eastAsia="zh-CN"/>
              </w:rPr>
              <w:t>坚持底线思维，以国土空间规划为依据，将“三区三线”作为调整经济结构、规划产业发展、推进城镇化不可逾越的红线。</w:t>
            </w:r>
          </w:p>
          <w:p w14:paraId="5D81C1D1">
            <w:pPr>
              <w:pStyle w:val="7"/>
              <w:rPr>
                <w:rFonts w:hint="eastAsia" w:ascii="宋体" w:hAnsi="宋体" w:eastAsia="宋体" w:cs="宋体"/>
                <w:color w:val="auto"/>
                <w:sz w:val="24"/>
                <w:szCs w:val="24"/>
                <w:lang w:val="en-US" w:eastAsia="zh-CN"/>
              </w:rPr>
            </w:pPr>
            <w:r>
              <w:rPr>
                <w:rFonts w:hint="eastAsia" w:ascii="宋体" w:hAnsi="宋体" w:cs="宋体"/>
                <w:color w:val="auto"/>
                <w:sz w:val="24"/>
                <w:szCs w:val="24"/>
                <w:lang w:val="en-US" w:eastAsia="zh-CN"/>
              </w:rPr>
              <w:t>国土空间格局：规划</w:t>
            </w:r>
            <w:r>
              <w:rPr>
                <w:rFonts w:hint="eastAsia" w:ascii="宋体" w:hAnsi="宋体" w:eastAsia="宋体" w:cs="宋体"/>
                <w:color w:val="auto"/>
                <w:sz w:val="24"/>
                <w:szCs w:val="24"/>
                <w:lang w:val="en-US" w:eastAsia="zh-CN"/>
              </w:rPr>
              <w:t>“一轴两湾五组团”</w:t>
            </w:r>
            <w:r>
              <w:rPr>
                <w:rFonts w:hint="eastAsia" w:ascii="宋体" w:hAnsi="宋体" w:cs="宋体"/>
                <w:color w:val="auto"/>
                <w:sz w:val="24"/>
                <w:szCs w:val="24"/>
                <w:lang w:val="en-US" w:eastAsia="zh-CN"/>
              </w:rPr>
              <w:t>的国土空间格局。</w:t>
            </w:r>
            <w:r>
              <w:rPr>
                <w:rFonts w:hint="eastAsia" w:ascii="宋体" w:hAnsi="宋体" w:eastAsia="宋体" w:cs="宋体"/>
                <w:color w:val="auto"/>
                <w:sz w:val="24"/>
                <w:szCs w:val="24"/>
                <w:lang w:val="en-US" w:eastAsia="zh-CN"/>
              </w:rPr>
              <w:t>一轴</w:t>
            </w:r>
            <w:r>
              <w:rPr>
                <w:rFonts w:hint="eastAsia" w:ascii="宋体" w:hAnsi="宋体" w:cs="宋体"/>
                <w:color w:val="auto"/>
                <w:sz w:val="24"/>
                <w:szCs w:val="24"/>
                <w:lang w:val="en-US" w:eastAsia="zh-CN"/>
              </w:rPr>
              <w:t>：</w:t>
            </w:r>
            <w:r>
              <w:rPr>
                <w:rFonts w:hint="eastAsia" w:ascii="宋体" w:hAnsi="宋体" w:eastAsia="宋体" w:cs="宋体"/>
                <w:color w:val="auto"/>
                <w:sz w:val="24"/>
                <w:szCs w:val="24"/>
                <w:lang w:val="en-US" w:eastAsia="zh-CN"/>
              </w:rPr>
              <w:t>龙江城市综合发展轴</w:t>
            </w:r>
            <w:r>
              <w:rPr>
                <w:rFonts w:hint="eastAsia" w:ascii="宋体" w:hAnsi="宋体" w:cs="宋体"/>
                <w:color w:val="auto"/>
                <w:sz w:val="24"/>
                <w:szCs w:val="24"/>
                <w:lang w:val="en-US" w:eastAsia="zh-CN"/>
              </w:rPr>
              <w:t>；</w:t>
            </w:r>
            <w:r>
              <w:rPr>
                <w:rFonts w:hint="eastAsia" w:ascii="宋体" w:hAnsi="宋体" w:eastAsia="宋体" w:cs="宋体"/>
                <w:color w:val="auto"/>
                <w:sz w:val="24"/>
                <w:szCs w:val="24"/>
                <w:lang w:val="en-US" w:eastAsia="zh-CN"/>
              </w:rPr>
              <w:t>两湾</w:t>
            </w:r>
            <w:r>
              <w:rPr>
                <w:rFonts w:hint="eastAsia" w:ascii="宋体" w:hAnsi="宋体" w:cs="宋体"/>
                <w:color w:val="auto"/>
                <w:sz w:val="24"/>
                <w:szCs w:val="24"/>
                <w:lang w:val="en-US" w:eastAsia="zh-CN"/>
              </w:rPr>
              <w:t>：</w:t>
            </w:r>
            <w:r>
              <w:rPr>
                <w:rFonts w:hint="eastAsia" w:ascii="宋体" w:hAnsi="宋体" w:eastAsia="宋体" w:cs="宋体"/>
                <w:color w:val="auto"/>
                <w:sz w:val="24"/>
                <w:szCs w:val="24"/>
                <w:lang w:val="en-US" w:eastAsia="zh-CN"/>
              </w:rPr>
              <w:t>福清湾生态宜居湾、江阴湾临港产业湾</w:t>
            </w:r>
            <w:r>
              <w:rPr>
                <w:rFonts w:hint="eastAsia" w:ascii="宋体" w:hAnsi="宋体" w:cs="宋体"/>
                <w:color w:val="auto"/>
                <w:sz w:val="24"/>
                <w:szCs w:val="24"/>
                <w:lang w:val="en-US" w:eastAsia="zh-CN"/>
              </w:rPr>
              <w:t>；</w:t>
            </w:r>
            <w:r>
              <w:rPr>
                <w:rFonts w:hint="eastAsia" w:ascii="宋体" w:hAnsi="宋体" w:eastAsia="宋体" w:cs="宋体"/>
                <w:color w:val="auto"/>
                <w:sz w:val="24"/>
                <w:szCs w:val="24"/>
                <w:lang w:val="en-US" w:eastAsia="zh-CN"/>
              </w:rPr>
              <w:t>五组团</w:t>
            </w:r>
            <w:r>
              <w:rPr>
                <w:rFonts w:hint="eastAsia" w:ascii="宋体" w:hAnsi="宋体" w:cs="宋体"/>
                <w:color w:val="auto"/>
                <w:sz w:val="24"/>
                <w:szCs w:val="24"/>
                <w:lang w:val="en-US" w:eastAsia="zh-CN"/>
              </w:rPr>
              <w:t>：</w:t>
            </w:r>
            <w:r>
              <w:rPr>
                <w:rFonts w:hint="eastAsia" w:ascii="宋体" w:hAnsi="宋体" w:eastAsia="宋体" w:cs="宋体"/>
                <w:color w:val="auto"/>
                <w:sz w:val="24"/>
                <w:szCs w:val="24"/>
                <w:lang w:val="en-US" w:eastAsia="zh-CN"/>
              </w:rPr>
              <w:t>中心城区组团、元洪港城组团、江阴港城组团、龙高半岛城镇组团、西北部特色生态组团。</w:t>
            </w:r>
          </w:p>
          <w:p w14:paraId="24A0E65A">
            <w:pPr>
              <w:pStyle w:val="7"/>
              <w:rPr>
                <w:rFonts w:ascii="宋体" w:hAnsi="宋体" w:eastAsia="宋体" w:cs="宋体"/>
                <w:color w:val="auto"/>
                <w:sz w:val="24"/>
                <w:szCs w:val="24"/>
              </w:rPr>
            </w:pPr>
            <w:r>
              <w:rPr>
                <w:rFonts w:hint="eastAsia" w:ascii="宋体" w:hAnsi="宋体" w:eastAsia="宋体" w:cs="宋体"/>
                <w:color w:val="auto"/>
                <w:sz w:val="24"/>
                <w:szCs w:val="24"/>
                <w:lang w:val="en-US" w:eastAsia="zh-CN"/>
              </w:rPr>
              <w:t>产业发展格局：形成“一带两湾四区”的产业发展格局，壮大</w:t>
            </w:r>
            <w:r>
              <w:rPr>
                <w:rFonts w:ascii="宋体" w:hAnsi="宋体" w:eastAsia="宋体" w:cs="宋体"/>
                <w:color w:val="auto"/>
                <w:sz w:val="24"/>
                <w:szCs w:val="24"/>
              </w:rPr>
              <w:t>电子信息、食品、化工新材料、精密汽车部件</w:t>
            </w:r>
            <w:r>
              <w:rPr>
                <w:rFonts w:hint="eastAsia" w:ascii="宋体" w:hAnsi="宋体" w:eastAsia="宋体" w:cs="宋体"/>
                <w:color w:val="auto"/>
                <w:sz w:val="24"/>
                <w:szCs w:val="24"/>
                <w:lang w:val="en-US" w:eastAsia="zh-CN"/>
              </w:rPr>
              <w:t>等四大优势产业，培育</w:t>
            </w:r>
            <w:r>
              <w:rPr>
                <w:rFonts w:ascii="宋体" w:hAnsi="宋体" w:eastAsia="宋体" w:cs="宋体"/>
                <w:color w:val="auto"/>
                <w:sz w:val="24"/>
                <w:szCs w:val="24"/>
              </w:rPr>
              <w:t>氢能源和新能源、高端装备制造、海洋生物医药、互联网与大数据</w:t>
            </w:r>
            <w:r>
              <w:rPr>
                <w:rFonts w:hint="eastAsia" w:ascii="宋体" w:hAnsi="宋体" w:eastAsia="宋体" w:cs="宋体"/>
                <w:color w:val="auto"/>
                <w:sz w:val="24"/>
                <w:szCs w:val="24"/>
                <w:lang w:val="en-US" w:eastAsia="zh-CN"/>
              </w:rPr>
              <w:t>等四大新兴产业，提升</w:t>
            </w:r>
            <w:r>
              <w:rPr>
                <w:rFonts w:ascii="宋体" w:hAnsi="宋体" w:eastAsia="宋体" w:cs="宋体"/>
                <w:color w:val="auto"/>
                <w:sz w:val="24"/>
                <w:szCs w:val="24"/>
              </w:rPr>
              <w:t>塑胶产业、纺织产业</w:t>
            </w:r>
            <w:r>
              <w:rPr>
                <w:rFonts w:hint="eastAsia" w:ascii="宋体" w:hAnsi="宋体" w:eastAsia="宋体" w:cs="宋体"/>
                <w:color w:val="auto"/>
                <w:sz w:val="24"/>
                <w:szCs w:val="24"/>
                <w:lang w:val="en-US" w:eastAsia="zh-CN"/>
              </w:rPr>
              <w:t>两大传统产业，发展</w:t>
            </w:r>
            <w:r>
              <w:rPr>
                <w:rFonts w:ascii="宋体" w:hAnsi="宋体" w:eastAsia="宋体" w:cs="宋体"/>
                <w:color w:val="auto"/>
                <w:sz w:val="24"/>
                <w:szCs w:val="24"/>
              </w:rPr>
              <w:t>现代服务业、现代农业</w:t>
            </w:r>
            <w:r>
              <w:rPr>
                <w:rFonts w:hint="eastAsia" w:ascii="宋体" w:hAnsi="宋体" w:eastAsia="宋体" w:cs="宋体"/>
                <w:color w:val="auto"/>
                <w:sz w:val="24"/>
                <w:szCs w:val="24"/>
                <w:lang w:val="en-US" w:eastAsia="zh-CN"/>
              </w:rPr>
              <w:t>两大现代特色产业，培育</w:t>
            </w:r>
            <w:r>
              <w:rPr>
                <w:rFonts w:ascii="宋体" w:hAnsi="宋体" w:eastAsia="宋体" w:cs="宋体"/>
                <w:color w:val="auto"/>
                <w:sz w:val="24"/>
                <w:szCs w:val="24"/>
              </w:rPr>
              <w:t>三大千亿产业集群+N个百亿产业集群</w:t>
            </w:r>
            <w:r>
              <w:rPr>
                <w:rFonts w:hint="eastAsia" w:ascii="宋体" w:hAnsi="宋体" w:eastAsia="宋体" w:cs="宋体"/>
                <w:color w:val="auto"/>
                <w:sz w:val="24"/>
                <w:szCs w:val="24"/>
                <w:lang w:eastAsia="zh-CN"/>
              </w:rPr>
              <w:t>。</w:t>
            </w:r>
            <w:r>
              <w:rPr>
                <w:rFonts w:ascii="宋体" w:hAnsi="宋体" w:eastAsia="宋体" w:cs="宋体"/>
                <w:color w:val="auto"/>
                <w:sz w:val="24"/>
                <w:szCs w:val="24"/>
              </w:rPr>
              <w:t>形成“四个重点园区、多个工业集中区”的产业园区空间布局，加快推进重点产业园区标准化建设，统筹划定工业用地控制线。</w:t>
            </w:r>
          </w:p>
          <w:p w14:paraId="4E7B960F">
            <w:pPr>
              <w:pStyle w:val="7"/>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符合性分析：本项目位于福清市海口镇南厝村</w:t>
            </w:r>
            <w:r>
              <w:rPr>
                <w:rFonts w:hint="eastAsia" w:cs="Times New Roman"/>
                <w:b w:val="0"/>
                <w:bCs w:val="0"/>
                <w:color w:val="auto"/>
                <w:sz w:val="24"/>
                <w:szCs w:val="24"/>
                <w:lang w:val="en-US" w:eastAsia="zh-CN"/>
              </w:rPr>
              <w:t>，</w:t>
            </w:r>
            <w:r>
              <w:rPr>
                <w:rFonts w:hint="default" w:ascii="Times New Roman" w:hAnsi="Times New Roman" w:eastAsia="宋体" w:cs="Times New Roman"/>
                <w:color w:val="auto"/>
                <w:sz w:val="24"/>
                <w:szCs w:val="24"/>
                <w:lang w:val="en-US" w:eastAsia="zh-CN"/>
              </w:rPr>
              <w:t>属</w:t>
            </w:r>
            <w:r>
              <w:rPr>
                <w:rFonts w:hint="default" w:ascii="Times New Roman" w:hAnsi="Times New Roman" w:cs="Times New Roman"/>
                <w:color w:val="auto"/>
                <w:sz w:val="24"/>
                <w:szCs w:val="24"/>
                <w:lang w:val="en-US" w:eastAsia="zh-CN"/>
              </w:rPr>
              <w:t>于</w:t>
            </w:r>
            <w:r>
              <w:rPr>
                <w:rFonts w:hint="default" w:ascii="Times New Roman" w:hAnsi="Times New Roman" w:eastAsia="宋体" w:cs="Times New Roman"/>
                <w:color w:val="auto"/>
                <w:sz w:val="24"/>
                <w:szCs w:val="24"/>
                <w:lang w:val="en-US" w:eastAsia="zh-CN"/>
              </w:rPr>
              <w:t>《福清市国土空间总体规划（2021-2035年）》中的</w:t>
            </w:r>
            <w:r>
              <w:rPr>
                <w:rFonts w:hint="default" w:ascii="Times New Roman" w:hAnsi="Times New Roman" w:eastAsia="宋体" w:cs="Times New Roman"/>
                <w:color w:val="auto"/>
                <w:sz w:val="24"/>
                <w:szCs w:val="24"/>
              </w:rPr>
              <w:t>元洪港城组团</w:t>
            </w:r>
            <w:r>
              <w:rPr>
                <w:rFonts w:hint="eastAsia" w:cs="Times New Roman"/>
                <w:color w:val="auto"/>
                <w:sz w:val="24"/>
                <w:szCs w:val="24"/>
                <w:lang w:eastAsia="zh-CN"/>
              </w:rPr>
              <w:t>。</w:t>
            </w:r>
            <w:r>
              <w:rPr>
                <w:rFonts w:hint="default" w:ascii="Times New Roman" w:hAnsi="Times New Roman" w:eastAsia="宋体" w:cs="Times New Roman"/>
                <w:color w:val="auto"/>
                <w:sz w:val="24"/>
                <w:szCs w:val="24"/>
                <w:lang w:val="en-US" w:eastAsia="zh-CN"/>
              </w:rPr>
              <w:t>本项目主要从事</w:t>
            </w:r>
            <w:r>
              <w:rPr>
                <w:rFonts w:hint="eastAsia"/>
                <w:sz w:val="24"/>
                <w:szCs w:val="32"/>
                <w:lang w:val="en-US" w:eastAsia="zh-CN"/>
              </w:rPr>
              <w:t>建筑垃圾回收利用以及</w:t>
            </w:r>
            <w:r>
              <w:rPr>
                <w:rFonts w:hint="default" w:ascii="Times New Roman" w:hAnsi="Times New Roman" w:eastAsia="宋体" w:cs="Times New Roman"/>
                <w:color w:val="auto"/>
                <w:sz w:val="24"/>
                <w:szCs w:val="24"/>
                <w:lang w:val="en-US" w:eastAsia="zh-CN"/>
              </w:rPr>
              <w:t>预制混凝土和预制砼结构件的加工，属于</w:t>
            </w:r>
            <w:r>
              <w:rPr>
                <w:rFonts w:hint="eastAsia" w:cs="Times New Roman"/>
                <w:color w:val="auto"/>
                <w:sz w:val="24"/>
                <w:szCs w:val="24"/>
                <w:lang w:val="en-US" w:eastAsia="zh-CN"/>
              </w:rPr>
              <w:t>建筑垃圾回收和</w:t>
            </w:r>
            <w:r>
              <w:rPr>
                <w:rFonts w:hint="default" w:ascii="Times New Roman" w:hAnsi="Times New Roman" w:eastAsia="宋体" w:cs="Times New Roman"/>
                <w:color w:val="auto"/>
                <w:sz w:val="24"/>
                <w:szCs w:val="24"/>
                <w:lang w:val="en-US" w:eastAsia="zh-CN"/>
              </w:rPr>
              <w:t>水泥制品制造业，作为传统建材生产加工行业，</w:t>
            </w:r>
            <w:r>
              <w:rPr>
                <w:rFonts w:hint="eastAsia" w:cs="Times New Roman"/>
                <w:color w:val="auto"/>
                <w:sz w:val="24"/>
                <w:szCs w:val="24"/>
                <w:lang w:val="en-US" w:eastAsia="zh-CN"/>
              </w:rPr>
              <w:t>可</w:t>
            </w:r>
            <w:r>
              <w:rPr>
                <w:rFonts w:hint="default" w:ascii="Times New Roman" w:hAnsi="Times New Roman" w:eastAsia="宋体" w:cs="Times New Roman"/>
                <w:color w:val="auto"/>
                <w:sz w:val="24"/>
                <w:szCs w:val="24"/>
                <w:lang w:val="en-US" w:eastAsia="zh-CN"/>
              </w:rPr>
              <w:t>为福清市的城乡建设发展提供基本的建设保障</w:t>
            </w:r>
            <w:r>
              <w:rPr>
                <w:rFonts w:hint="default" w:ascii="Times New Roman" w:hAnsi="Times New Roman" w:cs="Times New Roman"/>
                <w:b w:val="0"/>
                <w:bCs w:val="0"/>
                <w:color w:val="auto"/>
                <w:sz w:val="24"/>
                <w:szCs w:val="24"/>
                <w:lang w:val="en-US" w:eastAsia="zh-CN"/>
              </w:rPr>
              <w:t>，</w:t>
            </w:r>
            <w:r>
              <w:rPr>
                <w:rFonts w:hint="eastAsia" w:cs="Times New Roman"/>
                <w:b w:val="0"/>
                <w:bCs w:val="0"/>
                <w:color w:val="auto"/>
                <w:sz w:val="24"/>
                <w:szCs w:val="24"/>
                <w:lang w:val="en-US" w:eastAsia="zh-CN"/>
              </w:rPr>
              <w:t>建筑垃圾回收可实现固废资源化利用，</w:t>
            </w:r>
            <w:r>
              <w:rPr>
                <w:rFonts w:hint="default" w:ascii="Times New Roman" w:hAnsi="Times New Roman" w:eastAsia="宋体" w:cs="Times New Roman"/>
                <w:color w:val="auto"/>
                <w:sz w:val="24"/>
                <w:szCs w:val="24"/>
                <w:lang w:val="en-US" w:eastAsia="zh-CN"/>
              </w:rPr>
              <w:t>与福清市国土空间总体规划的产业体系和产业空间布局不相冲突。</w:t>
            </w:r>
          </w:p>
          <w:p w14:paraId="0C9EF09A">
            <w:pPr>
              <w:pStyle w:val="7"/>
              <w:rPr>
                <w:rFonts w:hint="eastAsia" w:ascii="宋体" w:hAnsi="宋体" w:cs="宋体"/>
                <w:color w:val="auto"/>
                <w:sz w:val="24"/>
                <w:szCs w:val="24"/>
                <w:lang w:val="en-US" w:eastAsia="zh-CN"/>
              </w:rPr>
            </w:pPr>
            <w:r>
              <w:rPr>
                <w:rFonts w:hint="default" w:ascii="宋体" w:hAnsi="宋体" w:eastAsia="宋体" w:cs="宋体"/>
                <w:color w:val="auto"/>
                <w:sz w:val="24"/>
                <w:szCs w:val="24"/>
                <w:lang w:val="en-US" w:eastAsia="zh-CN"/>
              </w:rPr>
              <w:t>经查询</w:t>
            </w:r>
            <w:r>
              <w:rPr>
                <w:rFonts w:hint="eastAsia" w:ascii="宋体" w:hAnsi="宋体" w:cs="宋体"/>
                <w:color w:val="auto"/>
                <w:sz w:val="24"/>
                <w:szCs w:val="24"/>
                <w:lang w:val="en-US" w:eastAsia="zh-CN"/>
              </w:rPr>
              <w:t>福清市</w:t>
            </w:r>
            <w:r>
              <w:rPr>
                <w:rFonts w:hint="default" w:ascii="宋体" w:hAnsi="宋体" w:eastAsia="宋体" w:cs="宋体"/>
                <w:color w:val="auto"/>
                <w:sz w:val="24"/>
                <w:szCs w:val="24"/>
                <w:lang w:val="en-US" w:eastAsia="zh-CN"/>
              </w:rPr>
              <w:t>阳光规划网站国土空间</w:t>
            </w:r>
            <w:r>
              <w:rPr>
                <w:rFonts w:hint="eastAsia" w:ascii="宋体" w:hAnsi="宋体" w:cs="宋体"/>
                <w:color w:val="auto"/>
                <w:sz w:val="24"/>
                <w:szCs w:val="24"/>
                <w:lang w:val="en-US" w:eastAsia="zh-CN"/>
              </w:rPr>
              <w:t>规划</w:t>
            </w:r>
            <w:r>
              <w:rPr>
                <w:rFonts w:hint="default" w:ascii="宋体" w:hAnsi="宋体" w:eastAsia="宋体" w:cs="宋体"/>
                <w:color w:val="auto"/>
                <w:sz w:val="24"/>
                <w:szCs w:val="24"/>
                <w:lang w:val="en-US" w:eastAsia="zh-CN"/>
              </w:rPr>
              <w:t>，本项目选址用地现状为</w:t>
            </w:r>
            <w:r>
              <w:rPr>
                <w:rFonts w:hint="eastAsia" w:ascii="宋体" w:hAnsi="宋体" w:eastAsia="宋体" w:cs="宋体"/>
                <w:color w:val="auto"/>
                <w:sz w:val="24"/>
                <w:szCs w:val="24"/>
                <w:lang w:val="en-US" w:eastAsia="zh-CN"/>
              </w:rPr>
              <w:t>留白</w:t>
            </w:r>
            <w:r>
              <w:rPr>
                <w:rFonts w:hint="default" w:ascii="宋体" w:hAnsi="宋体" w:eastAsia="宋体" w:cs="宋体"/>
                <w:color w:val="auto"/>
                <w:sz w:val="24"/>
                <w:szCs w:val="24"/>
                <w:lang w:val="en-US" w:eastAsia="zh-CN"/>
              </w:rPr>
              <w:t>用地，不涉及永久基本农田、生态保护红线等敏感区，位于城镇开发边界内，</w:t>
            </w:r>
            <w:r>
              <w:rPr>
                <w:rFonts w:hint="eastAsia" w:ascii="宋体" w:hAnsi="宋体" w:cs="宋体"/>
                <w:color w:val="auto"/>
                <w:sz w:val="24"/>
                <w:szCs w:val="24"/>
                <w:lang w:val="en-US" w:eastAsia="zh-CN"/>
              </w:rPr>
              <w:t>因此项目</w:t>
            </w:r>
            <w:r>
              <w:rPr>
                <w:rFonts w:hint="default" w:ascii="宋体" w:hAnsi="宋体" w:eastAsia="宋体" w:cs="宋体"/>
                <w:color w:val="auto"/>
                <w:sz w:val="24"/>
                <w:szCs w:val="24"/>
                <w:lang w:val="en-US" w:eastAsia="zh-CN"/>
              </w:rPr>
              <w:t>符合</w:t>
            </w:r>
            <w:r>
              <w:rPr>
                <w:rFonts w:hint="eastAsia" w:ascii="宋体" w:hAnsi="宋体" w:eastAsia="宋体" w:cs="宋体"/>
                <w:color w:val="auto"/>
                <w:sz w:val="24"/>
                <w:szCs w:val="24"/>
                <w:lang w:val="en-US" w:eastAsia="zh-CN"/>
              </w:rPr>
              <w:t>福清市</w:t>
            </w:r>
            <w:r>
              <w:rPr>
                <w:rFonts w:hint="default" w:ascii="宋体" w:hAnsi="宋体" w:eastAsia="宋体" w:cs="宋体"/>
                <w:color w:val="auto"/>
                <w:sz w:val="24"/>
                <w:szCs w:val="24"/>
                <w:lang w:val="en-US" w:eastAsia="zh-CN"/>
              </w:rPr>
              <w:t>国土空间总体规划的三线控制要求。</w:t>
            </w:r>
            <w:r>
              <w:rPr>
                <w:rFonts w:hint="eastAsia" w:ascii="宋体" w:hAnsi="宋体" w:cs="宋体"/>
                <w:color w:val="auto"/>
                <w:sz w:val="24"/>
                <w:szCs w:val="24"/>
                <w:lang w:val="en-US" w:eastAsia="zh-CN"/>
              </w:rPr>
              <w:t>项目与三区三线叠图结果</w:t>
            </w:r>
            <w:r>
              <w:rPr>
                <w:rFonts w:hint="eastAsia" w:ascii="宋体" w:hAnsi="宋体" w:eastAsia="宋体" w:cs="宋体"/>
                <w:color w:val="auto"/>
                <w:sz w:val="24"/>
                <w:szCs w:val="24"/>
                <w:lang w:val="en-US" w:eastAsia="zh-CN"/>
              </w:rPr>
              <w:t>详见附图</w:t>
            </w:r>
            <w:r>
              <w:rPr>
                <w:rFonts w:hint="eastAsia" w:ascii="宋体" w:hAnsi="宋体" w:cs="宋体"/>
                <w:color w:val="auto"/>
                <w:sz w:val="24"/>
                <w:szCs w:val="24"/>
                <w:lang w:val="en-US" w:eastAsia="zh-CN"/>
              </w:rPr>
              <w:t>十一。</w:t>
            </w:r>
          </w:p>
          <w:p w14:paraId="12AF95A3">
            <w:pPr>
              <w:pStyle w:val="7"/>
              <w:ind w:left="0" w:leftChars="0" w:firstLine="0" w:firstLineChars="0"/>
              <w:jc w:val="center"/>
              <w:rPr>
                <w:rFonts w:hint="eastAsia" w:ascii="宋体" w:hAnsi="宋体" w:cs="宋体"/>
                <w:color w:val="auto"/>
                <w:sz w:val="24"/>
                <w:szCs w:val="24"/>
                <w:lang w:val="en-US" w:eastAsia="zh-CN"/>
              </w:rPr>
            </w:pPr>
          </w:p>
          <w:p w14:paraId="091DBCA8">
            <w:pPr>
              <w:pStyle w:val="7"/>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宋体" w:hAnsi="宋体" w:cs="宋体"/>
                <w:color w:val="auto"/>
                <w:sz w:val="24"/>
                <w:szCs w:val="24"/>
                <w:lang w:val="en-US" w:eastAsia="zh-CN"/>
              </w:rPr>
            </w:pPr>
            <w:r>
              <w:rPr>
                <w:rFonts w:hint="eastAsia" w:ascii="宋体" w:hAnsi="宋体" w:cs="宋体"/>
                <w:b/>
                <w:bCs/>
                <w:color w:val="auto"/>
                <w:sz w:val="24"/>
                <w:szCs w:val="24"/>
                <w:lang w:val="en-US" w:eastAsia="zh-CN"/>
              </w:rPr>
              <w:t>图1 福清市国土空间格局图</w:t>
            </w:r>
          </w:p>
        </w:tc>
      </w:tr>
      <w:tr w14:paraId="2541C6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811" w:type="pct"/>
            <w:noWrap w:val="0"/>
            <w:vAlign w:val="center"/>
          </w:tcPr>
          <w:p w14:paraId="0E3689DC">
            <w:pPr>
              <w:autoSpaceDE w:val="0"/>
              <w:autoSpaceDN w:val="0"/>
              <w:adjustRightInd w:val="0"/>
              <w:snapToGrid w:val="0"/>
              <w:ind w:left="0" w:leftChars="0" w:firstLine="0" w:firstLineChars="0"/>
              <w:jc w:val="center"/>
              <w:rPr>
                <w:rFonts w:hint="eastAsia" w:ascii="Times New Roman" w:hAnsi="Times New Roman" w:eastAsia="宋体" w:cs="Times New Roman"/>
                <w:color w:val="auto"/>
                <w:kern w:val="0"/>
                <w:szCs w:val="21"/>
                <w:lang w:eastAsia="zh-CN"/>
              </w:rPr>
            </w:pPr>
            <w:r>
              <w:rPr>
                <w:rFonts w:hint="eastAsia" w:ascii="Times New Roman" w:hAnsi="Times New Roman" w:eastAsia="宋体" w:cs="Times New Roman"/>
                <w:color w:val="auto"/>
                <w:kern w:val="0"/>
                <w:szCs w:val="21"/>
                <w:lang w:eastAsia="zh-CN"/>
              </w:rPr>
              <w:t>其他符合性分析</w:t>
            </w:r>
          </w:p>
        </w:tc>
        <w:tc>
          <w:tcPr>
            <w:tcW w:w="4188" w:type="pct"/>
            <w:gridSpan w:val="3"/>
            <w:noWrap w:val="0"/>
            <w:vAlign w:val="center"/>
          </w:tcPr>
          <w:p w14:paraId="4CCA8D09">
            <w:pPr>
              <w:keepNext w:val="0"/>
              <w:keepLines w:val="0"/>
              <w:pageBreakBefore w:val="0"/>
              <w:widowControl w:val="0"/>
              <w:kinsoku/>
              <w:wordWrap/>
              <w:overflowPunct/>
              <w:topLinePunct w:val="0"/>
              <w:autoSpaceDE/>
              <w:autoSpaceDN/>
              <w:bidi w:val="0"/>
              <w:adjustRightInd/>
              <w:snapToGrid/>
              <w:spacing w:before="157" w:beforeLines="50" w:line="360" w:lineRule="auto"/>
              <w:textAlignment w:val="auto"/>
              <w:rPr>
                <w:rFonts w:hint="default" w:ascii="Times New Roman" w:hAnsi="Times New Roman" w:eastAsia="宋体"/>
                <w:b/>
                <w:bCs/>
                <w:color w:val="auto"/>
                <w:sz w:val="24"/>
                <w:szCs w:val="24"/>
                <w:lang w:val="en-US" w:eastAsia="zh-CN"/>
              </w:rPr>
            </w:pPr>
            <w:r>
              <w:rPr>
                <w:rFonts w:hint="eastAsia" w:ascii="Times New Roman" w:hAnsi="Times New Roman" w:eastAsia="宋体"/>
                <w:b/>
                <w:bCs/>
                <w:color w:val="auto"/>
                <w:sz w:val="24"/>
                <w:szCs w:val="24"/>
                <w:lang w:val="en-US" w:eastAsia="zh-CN"/>
              </w:rPr>
              <w:t>1</w:t>
            </w:r>
            <w:r>
              <w:rPr>
                <w:rFonts w:hint="default" w:ascii="Times New Roman" w:hAnsi="Times New Roman" w:eastAsia="宋体"/>
                <w:b/>
                <w:bCs/>
                <w:color w:val="auto"/>
                <w:sz w:val="24"/>
                <w:szCs w:val="24"/>
                <w:lang w:val="en-US" w:eastAsia="zh-CN"/>
              </w:rPr>
              <w:t>、产业政策</w:t>
            </w:r>
            <w:r>
              <w:rPr>
                <w:rFonts w:hint="eastAsia"/>
                <w:b/>
                <w:bCs/>
                <w:color w:val="auto"/>
                <w:sz w:val="24"/>
                <w:szCs w:val="24"/>
                <w:lang w:val="en-US" w:eastAsia="zh-CN"/>
              </w:rPr>
              <w:t>符合</w:t>
            </w:r>
            <w:r>
              <w:rPr>
                <w:rFonts w:hint="default" w:ascii="Times New Roman" w:hAnsi="Times New Roman" w:eastAsia="宋体"/>
                <w:b/>
                <w:bCs/>
                <w:color w:val="auto"/>
                <w:sz w:val="24"/>
                <w:szCs w:val="24"/>
                <w:lang w:val="en-US" w:eastAsia="zh-CN"/>
              </w:rPr>
              <w:t>性分析</w:t>
            </w:r>
          </w:p>
          <w:p w14:paraId="02134D9A">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spacing w:val="0"/>
                <w:sz w:val="24"/>
                <w:szCs w:val="24"/>
                <w:highlight w:val="none"/>
                <w:lang w:eastAsia="zh-CN"/>
              </w:rPr>
            </w:pPr>
            <w:r>
              <w:rPr>
                <w:rFonts w:hint="default" w:ascii="Times New Roman" w:hAnsi="Times New Roman" w:eastAsia="宋体" w:cs="Times New Roman"/>
                <w:color w:val="auto"/>
                <w:spacing w:val="0"/>
                <w:sz w:val="24"/>
                <w:szCs w:val="24"/>
                <w:highlight w:val="none"/>
              </w:rPr>
              <w:t>项目主要</w:t>
            </w:r>
            <w:r>
              <w:rPr>
                <w:rFonts w:hint="default" w:ascii="Times New Roman" w:hAnsi="Times New Roman" w:eastAsia="宋体" w:cs="Times New Roman"/>
                <w:color w:val="auto"/>
                <w:spacing w:val="0"/>
                <w:sz w:val="24"/>
                <w:szCs w:val="24"/>
                <w:highlight w:val="none"/>
                <w:lang w:eastAsia="zh-CN"/>
              </w:rPr>
              <w:t>从事预拌商品混凝土、砼构件的生产</w:t>
            </w:r>
            <w:r>
              <w:rPr>
                <w:rFonts w:hint="eastAsia" w:cs="Times New Roman"/>
                <w:color w:val="auto"/>
                <w:spacing w:val="0"/>
                <w:sz w:val="24"/>
                <w:szCs w:val="24"/>
                <w:highlight w:val="none"/>
                <w:lang w:val="en-US" w:eastAsia="zh-CN"/>
              </w:rPr>
              <w:t>以及建筑垃圾的回收利用生产</w:t>
            </w:r>
            <w:r>
              <w:rPr>
                <w:rFonts w:hint="default" w:ascii="Times New Roman" w:hAnsi="Times New Roman" w:eastAsia="宋体" w:cs="Times New Roman"/>
                <w:color w:val="auto"/>
                <w:spacing w:val="0"/>
                <w:sz w:val="24"/>
                <w:szCs w:val="24"/>
                <w:highlight w:val="none"/>
                <w:lang w:eastAsia="zh-CN"/>
              </w:rPr>
              <w:t>，对照《产业结构调整指导目录（2024年本）》，</w:t>
            </w:r>
            <w:r>
              <w:rPr>
                <w:rFonts w:hint="eastAsia" w:cs="Times New Roman"/>
                <w:color w:val="auto"/>
                <w:spacing w:val="0"/>
                <w:sz w:val="24"/>
                <w:szCs w:val="24"/>
                <w:highlight w:val="none"/>
                <w:lang w:val="en-US" w:eastAsia="zh-CN"/>
              </w:rPr>
              <w:t>建筑垃圾回收利用属于鼓励类项目，符合国家关于资源综合利用和循环经济的政策方向。</w:t>
            </w:r>
            <w:r>
              <w:rPr>
                <w:rFonts w:hint="default" w:ascii="Times New Roman" w:hAnsi="Times New Roman" w:eastAsia="宋体" w:cs="Times New Roman"/>
                <w:color w:val="auto"/>
                <w:spacing w:val="0"/>
                <w:sz w:val="24"/>
                <w:szCs w:val="24"/>
                <w:highlight w:val="none"/>
                <w:lang w:eastAsia="zh-CN"/>
              </w:rPr>
              <w:t>预拌商品混凝土、砼构件的生产不属于</w:t>
            </w:r>
            <w:r>
              <w:rPr>
                <w:rFonts w:hint="eastAsia" w:ascii="Times New Roman" w:hAnsi="Times New Roman" w:eastAsia="宋体" w:cs="Times New Roman"/>
                <w:color w:val="auto"/>
                <w:spacing w:val="0"/>
                <w:sz w:val="24"/>
                <w:szCs w:val="24"/>
                <w:highlight w:val="none"/>
                <w:lang w:val="en-US" w:eastAsia="zh-CN"/>
              </w:rPr>
              <w:t>其中</w:t>
            </w:r>
            <w:r>
              <w:rPr>
                <w:rFonts w:hint="default" w:ascii="Times New Roman" w:hAnsi="Times New Roman" w:eastAsia="宋体" w:cs="Times New Roman"/>
                <w:color w:val="auto"/>
                <w:spacing w:val="0"/>
                <w:sz w:val="24"/>
                <w:szCs w:val="24"/>
                <w:highlight w:val="none"/>
                <w:lang w:eastAsia="zh-CN"/>
              </w:rPr>
              <w:t>限制和淘汰类的项目</w:t>
            </w:r>
            <w:r>
              <w:rPr>
                <w:rFonts w:hint="eastAsia" w:cs="Times New Roman"/>
                <w:color w:val="auto"/>
                <w:spacing w:val="0"/>
                <w:sz w:val="24"/>
                <w:szCs w:val="24"/>
                <w:highlight w:val="none"/>
                <w:lang w:eastAsia="zh-CN"/>
              </w:rPr>
              <w:t>且</w:t>
            </w:r>
            <w:r>
              <w:rPr>
                <w:rFonts w:hint="default" w:ascii="Times New Roman" w:hAnsi="Times New Roman" w:eastAsia="宋体" w:cs="Times New Roman"/>
                <w:color w:val="auto"/>
                <w:spacing w:val="0"/>
                <w:sz w:val="24"/>
                <w:szCs w:val="24"/>
                <w:highlight w:val="none"/>
                <w:lang w:eastAsia="zh-CN"/>
              </w:rPr>
              <w:t>未被纳入《市场准入负面清单（202</w:t>
            </w:r>
            <w:r>
              <w:rPr>
                <w:rFonts w:hint="eastAsia" w:cs="Times New Roman"/>
                <w:color w:val="auto"/>
                <w:spacing w:val="0"/>
                <w:sz w:val="24"/>
                <w:szCs w:val="24"/>
                <w:highlight w:val="none"/>
                <w:lang w:val="en-US" w:eastAsia="zh-CN"/>
              </w:rPr>
              <w:t>5</w:t>
            </w:r>
            <w:r>
              <w:rPr>
                <w:rFonts w:hint="default" w:ascii="Times New Roman" w:hAnsi="Times New Roman" w:eastAsia="宋体" w:cs="Times New Roman"/>
                <w:color w:val="auto"/>
                <w:spacing w:val="0"/>
                <w:sz w:val="24"/>
                <w:szCs w:val="24"/>
                <w:highlight w:val="none"/>
                <w:lang w:eastAsia="zh-CN"/>
              </w:rPr>
              <w:t>年版）》负面清单中。根据《促进产业结构调整暂行规定》（国发〔2005〕40号）可知，不属于鼓励类、限制类和淘汰类</w:t>
            </w:r>
            <w:r>
              <w:rPr>
                <w:rFonts w:hint="eastAsia" w:cs="Times New Roman"/>
                <w:color w:val="auto"/>
                <w:spacing w:val="0"/>
                <w:sz w:val="24"/>
                <w:szCs w:val="24"/>
                <w:highlight w:val="none"/>
                <w:lang w:eastAsia="zh-CN"/>
              </w:rPr>
              <w:t>且</w:t>
            </w:r>
            <w:r>
              <w:rPr>
                <w:rFonts w:hint="default" w:ascii="Times New Roman" w:hAnsi="Times New Roman" w:eastAsia="宋体" w:cs="Times New Roman"/>
                <w:color w:val="auto"/>
                <w:spacing w:val="0"/>
                <w:sz w:val="24"/>
                <w:szCs w:val="24"/>
                <w:highlight w:val="none"/>
                <w:lang w:eastAsia="zh-CN"/>
              </w:rPr>
              <w:t>符合国家有关法律法规和政策规定的，为允许类，因此，项目属于允许类。该项目于</w:t>
            </w:r>
            <w:r>
              <w:rPr>
                <w:rFonts w:hint="eastAsia" w:ascii="Times New Roman" w:hAnsi="Times New Roman" w:eastAsia="宋体" w:cs="Times New Roman"/>
                <w:color w:val="auto"/>
                <w:spacing w:val="0"/>
                <w:sz w:val="24"/>
                <w:szCs w:val="24"/>
                <w:highlight w:val="none"/>
                <w:lang w:val="en-US" w:eastAsia="zh-CN"/>
              </w:rPr>
              <w:t>2024年1</w:t>
            </w:r>
            <w:r>
              <w:rPr>
                <w:rFonts w:hint="eastAsia" w:cs="Times New Roman"/>
                <w:color w:val="auto"/>
                <w:spacing w:val="0"/>
                <w:sz w:val="24"/>
                <w:szCs w:val="24"/>
                <w:highlight w:val="none"/>
                <w:lang w:val="en-US" w:eastAsia="zh-CN"/>
              </w:rPr>
              <w:t>0</w:t>
            </w:r>
            <w:r>
              <w:rPr>
                <w:rFonts w:hint="eastAsia" w:ascii="Times New Roman" w:hAnsi="Times New Roman" w:eastAsia="宋体" w:cs="Times New Roman"/>
                <w:color w:val="auto"/>
                <w:spacing w:val="0"/>
                <w:sz w:val="24"/>
                <w:szCs w:val="24"/>
                <w:highlight w:val="none"/>
                <w:lang w:val="en-US" w:eastAsia="zh-CN"/>
              </w:rPr>
              <w:t>月</w:t>
            </w:r>
            <w:r>
              <w:rPr>
                <w:rFonts w:hint="eastAsia" w:cs="Times New Roman"/>
                <w:color w:val="auto"/>
                <w:spacing w:val="0"/>
                <w:sz w:val="24"/>
                <w:szCs w:val="24"/>
                <w:highlight w:val="none"/>
                <w:lang w:val="en-US" w:eastAsia="zh-CN"/>
              </w:rPr>
              <w:t>24</w:t>
            </w:r>
            <w:r>
              <w:rPr>
                <w:rFonts w:hint="eastAsia" w:ascii="Times New Roman" w:hAnsi="Times New Roman" w:eastAsia="宋体" w:cs="Times New Roman"/>
                <w:color w:val="auto"/>
                <w:spacing w:val="0"/>
                <w:sz w:val="24"/>
                <w:szCs w:val="24"/>
                <w:highlight w:val="none"/>
                <w:lang w:val="en-US" w:eastAsia="zh-CN"/>
              </w:rPr>
              <w:t>日通过</w:t>
            </w:r>
            <w:r>
              <w:rPr>
                <w:rFonts w:hint="eastAsia" w:cs="Times New Roman"/>
                <w:color w:val="auto"/>
                <w:spacing w:val="0"/>
                <w:sz w:val="24"/>
                <w:szCs w:val="24"/>
                <w:highlight w:val="none"/>
                <w:lang w:val="en-US" w:eastAsia="zh-CN"/>
              </w:rPr>
              <w:t>福清</w:t>
            </w:r>
            <w:r>
              <w:rPr>
                <w:rFonts w:hint="eastAsia" w:ascii="Times New Roman" w:hAnsi="Times New Roman" w:eastAsia="宋体" w:cs="Times New Roman"/>
                <w:color w:val="auto"/>
                <w:spacing w:val="0"/>
                <w:sz w:val="24"/>
                <w:szCs w:val="24"/>
                <w:highlight w:val="none"/>
                <w:lang w:val="en-US" w:eastAsia="zh-CN"/>
              </w:rPr>
              <w:t>市发展和改革局备案</w:t>
            </w:r>
            <w:r>
              <w:rPr>
                <w:rFonts w:hint="default" w:ascii="Times New Roman" w:hAnsi="Times New Roman" w:eastAsia="宋体" w:cs="Times New Roman"/>
                <w:color w:val="auto"/>
                <w:spacing w:val="0"/>
                <w:sz w:val="24"/>
                <w:szCs w:val="24"/>
                <w:highlight w:val="none"/>
                <w:lang w:eastAsia="zh-CN"/>
              </w:rPr>
              <w:t>（闽发改备</w:t>
            </w:r>
            <w:r>
              <w:rPr>
                <w:rFonts w:hint="eastAsia"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eastAsia="zh-CN"/>
              </w:rPr>
              <w:t>2024</w:t>
            </w:r>
            <w:r>
              <w:rPr>
                <w:rFonts w:hint="eastAsia"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eastAsia="zh-CN"/>
              </w:rPr>
              <w:t>A060389号，详见附件</w:t>
            </w:r>
            <w:r>
              <w:rPr>
                <w:rFonts w:hint="eastAsia" w:cs="Times New Roman"/>
                <w:color w:val="auto"/>
                <w:spacing w:val="0"/>
                <w:sz w:val="24"/>
                <w:szCs w:val="24"/>
                <w:highlight w:val="none"/>
                <w:lang w:val="en-US" w:eastAsia="zh-CN"/>
              </w:rPr>
              <w:t>二</w:t>
            </w:r>
            <w:r>
              <w:rPr>
                <w:rFonts w:hint="default" w:ascii="Times New Roman" w:hAnsi="Times New Roman" w:eastAsia="宋体" w:cs="Times New Roman"/>
                <w:color w:val="auto"/>
                <w:spacing w:val="0"/>
                <w:sz w:val="24"/>
                <w:szCs w:val="24"/>
                <w:highlight w:val="none"/>
                <w:lang w:eastAsia="zh-CN"/>
              </w:rPr>
              <w:t>）</w:t>
            </w:r>
            <w:r>
              <w:rPr>
                <w:rFonts w:hint="eastAsia" w:ascii="Times New Roman" w:hAnsi="Times New Roman" w:eastAsia="宋体"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eastAsia="zh-CN"/>
              </w:rPr>
              <w:t>因此项目的建设内容符合当前国家和地方的产业政策。</w:t>
            </w:r>
          </w:p>
          <w:p w14:paraId="3F6F5B1E">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2、与城市土地利用规划符合性分析</w:t>
            </w:r>
          </w:p>
          <w:p w14:paraId="428680AC">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spacing w:val="0"/>
                <w:sz w:val="21"/>
                <w:szCs w:val="21"/>
                <w:highlight w:val="none"/>
              </w:rPr>
            </w:pPr>
            <w:r>
              <w:rPr>
                <w:rFonts w:hint="eastAsia" w:ascii="Times New Roman" w:hAnsi="Times New Roman" w:eastAsia="宋体" w:cs="Times New Roman"/>
                <w:color w:val="auto"/>
                <w:spacing w:val="0"/>
                <w:sz w:val="24"/>
                <w:szCs w:val="24"/>
                <w:highlight w:val="none"/>
                <w:lang w:eastAsia="zh-CN"/>
              </w:rPr>
              <w:t>根据</w:t>
            </w:r>
            <w:r>
              <w:rPr>
                <w:rFonts w:hint="eastAsia" w:cs="Times New Roman"/>
                <w:color w:val="auto"/>
                <w:spacing w:val="0"/>
                <w:sz w:val="24"/>
                <w:szCs w:val="24"/>
                <w:highlight w:val="none"/>
                <w:lang w:val="en-US" w:eastAsia="zh-CN"/>
              </w:rPr>
              <w:t>福清市自然资源和规划局出具</w:t>
            </w:r>
            <w:r>
              <w:rPr>
                <w:rFonts w:hint="eastAsia" w:ascii="Times New Roman" w:hAnsi="Times New Roman" w:eastAsia="宋体" w:cs="Times New Roman"/>
                <w:color w:val="auto"/>
                <w:spacing w:val="0"/>
                <w:sz w:val="24"/>
                <w:szCs w:val="24"/>
                <w:highlight w:val="none"/>
                <w:lang w:eastAsia="zh-CN"/>
              </w:rPr>
              <w:t>的</w:t>
            </w:r>
            <w:r>
              <w:rPr>
                <w:rFonts w:hint="eastAsia" w:cs="Times New Roman"/>
                <w:color w:val="auto"/>
                <w:spacing w:val="0"/>
                <w:sz w:val="24"/>
                <w:szCs w:val="24"/>
                <w:highlight w:val="none"/>
                <w:lang w:eastAsia="zh-CN"/>
              </w:rPr>
              <w:t>《</w:t>
            </w:r>
            <w:r>
              <w:rPr>
                <w:rFonts w:hint="eastAsia" w:cs="Times New Roman"/>
                <w:color w:val="auto"/>
                <w:spacing w:val="0"/>
                <w:sz w:val="24"/>
                <w:szCs w:val="24"/>
                <w:highlight w:val="none"/>
                <w:lang w:val="en-US" w:eastAsia="zh-CN"/>
              </w:rPr>
              <w:t>福清市建设用地规划许可证</w:t>
            </w:r>
            <w:r>
              <w:rPr>
                <w:rFonts w:hint="eastAsia" w:cs="Times New Roman"/>
                <w:color w:val="auto"/>
                <w:spacing w:val="0"/>
                <w:sz w:val="24"/>
                <w:szCs w:val="24"/>
                <w:highlight w:val="none"/>
                <w:lang w:eastAsia="zh-CN"/>
              </w:rPr>
              <w:t>》（</w:t>
            </w:r>
            <w:r>
              <w:rPr>
                <w:rFonts w:hint="eastAsia" w:cs="Times New Roman"/>
                <w:color w:val="auto"/>
                <w:spacing w:val="0"/>
                <w:sz w:val="24"/>
                <w:szCs w:val="24"/>
                <w:highlight w:val="none"/>
                <w:lang w:val="en-US" w:eastAsia="zh-CN"/>
              </w:rPr>
              <w:t>地字第350181202400119号，详见附件四</w:t>
            </w:r>
            <w:r>
              <w:rPr>
                <w:rFonts w:hint="eastAsia" w:cs="Times New Roman"/>
                <w:color w:val="auto"/>
                <w:spacing w:val="0"/>
                <w:sz w:val="24"/>
                <w:szCs w:val="24"/>
                <w:highlight w:val="none"/>
                <w:lang w:eastAsia="zh-CN"/>
              </w:rPr>
              <w:t>）</w:t>
            </w:r>
            <w:r>
              <w:rPr>
                <w:rFonts w:hint="eastAsia" w:ascii="Times New Roman" w:hAnsi="Times New Roman" w:eastAsia="宋体" w:cs="Times New Roman"/>
                <w:color w:val="auto"/>
                <w:spacing w:val="0"/>
                <w:sz w:val="24"/>
                <w:szCs w:val="24"/>
                <w:highlight w:val="none"/>
                <w:lang w:eastAsia="zh-CN"/>
              </w:rPr>
              <w:t>，本项目</w:t>
            </w:r>
            <w:r>
              <w:rPr>
                <w:rFonts w:hint="eastAsia" w:cs="Times New Roman"/>
                <w:color w:val="auto"/>
                <w:spacing w:val="0"/>
                <w:sz w:val="24"/>
                <w:szCs w:val="24"/>
                <w:highlight w:val="none"/>
                <w:lang w:val="en-US" w:eastAsia="zh-CN"/>
              </w:rPr>
              <w:t>土地用途为工矿仓储</w:t>
            </w:r>
            <w:r>
              <w:rPr>
                <w:rFonts w:hint="eastAsia" w:ascii="Times New Roman" w:hAnsi="Times New Roman" w:eastAsia="宋体" w:cs="Times New Roman"/>
                <w:color w:val="auto"/>
                <w:spacing w:val="0"/>
                <w:sz w:val="24"/>
                <w:szCs w:val="24"/>
                <w:highlight w:val="none"/>
                <w:lang w:eastAsia="zh-CN"/>
              </w:rPr>
              <w:t>用地</w:t>
            </w:r>
            <w:r>
              <w:rPr>
                <w:rFonts w:hint="eastAsia" w:cs="Times New Roman"/>
                <w:color w:val="auto"/>
                <w:spacing w:val="0"/>
                <w:sz w:val="24"/>
                <w:szCs w:val="24"/>
                <w:highlight w:val="none"/>
                <w:lang w:eastAsia="zh-CN"/>
              </w:rPr>
              <w:t>且</w:t>
            </w:r>
            <w:r>
              <w:rPr>
                <w:rFonts w:hint="eastAsia"/>
                <w:b w:val="0"/>
                <w:bCs w:val="0"/>
                <w:color w:val="auto"/>
                <w:sz w:val="24"/>
                <w:szCs w:val="24"/>
                <w:u w:val="none"/>
                <w:lang w:val="en-US" w:eastAsia="zh-CN"/>
              </w:rPr>
              <w:t>已取得建设工程规划许可证（建字第350181202400398号，</w:t>
            </w:r>
            <w:r>
              <w:rPr>
                <w:rFonts w:hint="eastAsia" w:cs="Times New Roman"/>
                <w:b w:val="0"/>
                <w:bCs w:val="0"/>
                <w:color w:val="auto"/>
                <w:sz w:val="24"/>
                <w:szCs w:val="24"/>
                <w:u w:val="none"/>
                <w:lang w:val="en-US" w:eastAsia="zh-CN"/>
              </w:rPr>
              <w:t>见附件五</w:t>
            </w:r>
            <w:r>
              <w:rPr>
                <w:rFonts w:hint="eastAsia"/>
                <w:b w:val="0"/>
                <w:bCs w:val="0"/>
                <w:color w:val="auto"/>
                <w:sz w:val="24"/>
                <w:szCs w:val="24"/>
                <w:u w:val="none"/>
                <w:lang w:val="en-US" w:eastAsia="zh-CN"/>
              </w:rPr>
              <w:t>）</w:t>
            </w:r>
            <w:r>
              <w:rPr>
                <w:rFonts w:hint="eastAsia" w:cs="Times New Roman"/>
                <w:b w:val="0"/>
                <w:bCs w:val="0"/>
                <w:color w:val="auto"/>
                <w:sz w:val="24"/>
                <w:szCs w:val="24"/>
                <w:u w:val="none"/>
                <w:lang w:val="en-US" w:eastAsia="zh-CN"/>
              </w:rPr>
              <w:t>。</w:t>
            </w:r>
            <w:r>
              <w:rPr>
                <w:rFonts w:hint="eastAsia" w:ascii="Times New Roman" w:hAnsi="Times New Roman" w:eastAsia="宋体" w:cs="Times New Roman"/>
                <w:color w:val="auto"/>
                <w:spacing w:val="0"/>
                <w:sz w:val="24"/>
                <w:szCs w:val="24"/>
                <w:highlight w:val="none"/>
                <w:lang w:eastAsia="zh-CN"/>
              </w:rPr>
              <w:t>项目主要</w:t>
            </w:r>
            <w:r>
              <w:rPr>
                <w:rFonts w:hint="eastAsia" w:cs="Times New Roman"/>
                <w:color w:val="auto"/>
                <w:spacing w:val="0"/>
                <w:sz w:val="24"/>
                <w:szCs w:val="24"/>
                <w:highlight w:val="none"/>
                <w:lang w:eastAsia="zh-CN"/>
              </w:rPr>
              <w:t>从事</w:t>
            </w:r>
            <w:r>
              <w:rPr>
                <w:rFonts w:hint="eastAsia" w:cs="Times New Roman"/>
                <w:color w:val="auto"/>
                <w:spacing w:val="0"/>
                <w:sz w:val="24"/>
                <w:szCs w:val="24"/>
                <w:highlight w:val="none"/>
                <w:lang w:val="en-US" w:eastAsia="zh-CN"/>
              </w:rPr>
              <w:t>商用混凝土搅拌、</w:t>
            </w:r>
            <w:r>
              <w:rPr>
                <w:rFonts w:hint="eastAsia" w:ascii="Times New Roman" w:hAnsi="Times New Roman" w:eastAsia="宋体" w:cs="Times New Roman"/>
                <w:color w:val="auto"/>
                <w:spacing w:val="0"/>
                <w:sz w:val="24"/>
                <w:szCs w:val="24"/>
                <w:highlight w:val="none"/>
                <w:lang w:eastAsia="zh-CN"/>
              </w:rPr>
              <w:t>混凝</w:t>
            </w:r>
            <w:r>
              <w:rPr>
                <w:rFonts w:hint="eastAsia" w:cs="Times New Roman"/>
                <w:color w:val="auto"/>
                <w:spacing w:val="0"/>
                <w:sz w:val="24"/>
                <w:szCs w:val="24"/>
                <w:highlight w:val="none"/>
                <w:lang w:val="en-US" w:eastAsia="zh-CN"/>
              </w:rPr>
              <w:t>土</w:t>
            </w:r>
            <w:r>
              <w:rPr>
                <w:rFonts w:hint="eastAsia" w:ascii="Times New Roman" w:hAnsi="Times New Roman" w:eastAsia="宋体" w:cs="Times New Roman"/>
                <w:color w:val="auto"/>
                <w:spacing w:val="0"/>
                <w:sz w:val="24"/>
                <w:szCs w:val="24"/>
                <w:highlight w:val="none"/>
                <w:lang w:eastAsia="zh-CN"/>
              </w:rPr>
              <w:t>预制</w:t>
            </w:r>
            <w:r>
              <w:rPr>
                <w:rFonts w:hint="eastAsia" w:cs="Times New Roman"/>
                <w:color w:val="auto"/>
                <w:spacing w:val="0"/>
                <w:sz w:val="24"/>
                <w:szCs w:val="24"/>
                <w:highlight w:val="none"/>
                <w:lang w:val="en-US" w:eastAsia="zh-CN"/>
              </w:rPr>
              <w:t>件以及建筑垃圾回收利用的</w:t>
            </w:r>
            <w:r>
              <w:rPr>
                <w:rFonts w:hint="eastAsia" w:ascii="Times New Roman" w:hAnsi="Times New Roman" w:eastAsia="宋体" w:cs="Times New Roman"/>
                <w:color w:val="auto"/>
                <w:spacing w:val="0"/>
                <w:sz w:val="24"/>
                <w:szCs w:val="24"/>
                <w:highlight w:val="none"/>
                <w:lang w:eastAsia="zh-CN"/>
              </w:rPr>
              <w:t>生产，属于工业企业，</w:t>
            </w:r>
            <w:r>
              <w:rPr>
                <w:rFonts w:hint="default" w:ascii="Times New Roman" w:hAnsi="Times New Roman" w:eastAsia="宋体" w:cs="Times New Roman"/>
                <w:color w:val="auto"/>
                <w:spacing w:val="0"/>
                <w:sz w:val="24"/>
                <w:szCs w:val="24"/>
                <w:highlight w:val="none"/>
              </w:rPr>
              <w:t>选址符合土地利用规划要求。</w:t>
            </w:r>
          </w:p>
          <w:p w14:paraId="34514C0C">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lang w:val="en-US" w:eastAsia="zh-CN"/>
              </w:rPr>
              <w:t>、环境功能区划符合性分析</w:t>
            </w:r>
          </w:p>
          <w:p w14:paraId="46F846E0">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eastAsia" w:ascii="Times New Roman" w:hAnsi="Times New Roman" w:eastAsia="宋体" w:cs="Times New Roman"/>
                <w:color w:val="auto"/>
                <w:spacing w:val="0"/>
                <w:sz w:val="24"/>
                <w:szCs w:val="24"/>
                <w:highlight w:val="none"/>
                <w:lang w:val="en-US" w:eastAsia="zh-CN"/>
              </w:rPr>
            </w:pPr>
            <w:r>
              <w:rPr>
                <w:rFonts w:hint="eastAsia" w:ascii="Times New Roman" w:hAnsi="Times New Roman" w:eastAsia="宋体" w:cs="Times New Roman"/>
                <w:color w:val="auto"/>
                <w:spacing w:val="0"/>
                <w:sz w:val="24"/>
                <w:szCs w:val="24"/>
                <w:highlight w:val="none"/>
                <w:lang w:val="en-US" w:eastAsia="zh-CN"/>
              </w:rPr>
              <w:t>项目运营期废气采取有效的治理措施后，对周围环境空气不会产生显著影响，不会改变区域环境空气质量等级；项目生产废水及收集的初期雨水经处理后，全部回用于搅拌等，不外排；生活污水经化粪池</w:t>
            </w:r>
            <w:r>
              <w:rPr>
                <w:rFonts w:hint="eastAsia" w:cs="Times New Roman"/>
                <w:color w:val="auto"/>
                <w:spacing w:val="0"/>
                <w:sz w:val="24"/>
                <w:szCs w:val="24"/>
                <w:highlight w:val="none"/>
                <w:lang w:val="en-US" w:eastAsia="zh-CN"/>
              </w:rPr>
              <w:t>和一体化污水处理设施</w:t>
            </w:r>
            <w:r>
              <w:rPr>
                <w:rFonts w:hint="eastAsia" w:ascii="Times New Roman" w:hAnsi="Times New Roman" w:eastAsia="宋体" w:cs="Times New Roman"/>
                <w:color w:val="auto"/>
                <w:spacing w:val="0"/>
                <w:sz w:val="24"/>
                <w:szCs w:val="24"/>
                <w:highlight w:val="none"/>
                <w:lang w:val="en-US" w:eastAsia="zh-CN"/>
              </w:rPr>
              <w:t>处理后</w:t>
            </w:r>
            <w:r>
              <w:rPr>
                <w:rFonts w:hint="eastAsia" w:cs="Times New Roman"/>
                <w:color w:val="auto"/>
                <w:spacing w:val="0"/>
                <w:sz w:val="24"/>
                <w:szCs w:val="24"/>
                <w:highlight w:val="none"/>
                <w:lang w:val="en-US" w:eastAsia="zh-CN"/>
              </w:rPr>
              <w:t>，近期回用于厂区绿化灌溉</w:t>
            </w:r>
            <w:r>
              <w:rPr>
                <w:rFonts w:hint="eastAsia" w:ascii="Times New Roman" w:hAnsi="Times New Roman" w:eastAsia="宋体" w:cs="Times New Roman"/>
                <w:color w:val="auto"/>
                <w:sz w:val="24"/>
                <w:szCs w:val="24"/>
                <w:lang w:val="en-US" w:eastAsia="zh-CN"/>
              </w:rPr>
              <w:t>，远期待项目周边市政污水管网及相关配套设施建成后，统一接入当地市政污水处理系统处理，</w:t>
            </w:r>
            <w:r>
              <w:rPr>
                <w:rFonts w:hint="eastAsia" w:cs="Times New Roman"/>
                <w:color w:val="auto"/>
                <w:sz w:val="24"/>
                <w:szCs w:val="24"/>
                <w:lang w:val="en-US" w:eastAsia="zh-CN"/>
              </w:rPr>
              <w:t>不直接排入地表水体，</w:t>
            </w:r>
            <w:r>
              <w:rPr>
                <w:rFonts w:hint="eastAsia" w:ascii="Times New Roman" w:hAnsi="Times New Roman" w:eastAsia="宋体" w:cs="Times New Roman"/>
                <w:color w:val="auto"/>
                <w:spacing w:val="0"/>
                <w:sz w:val="24"/>
                <w:szCs w:val="24"/>
                <w:highlight w:val="none"/>
                <w:lang w:val="en-US" w:eastAsia="zh-CN"/>
              </w:rPr>
              <w:t>不会改变区域</w:t>
            </w:r>
            <w:r>
              <w:rPr>
                <w:rFonts w:hint="default" w:ascii="Times New Roman" w:hAnsi="Times New Roman" w:eastAsia="宋体" w:cs="Times New Roman"/>
                <w:color w:val="auto"/>
                <w:spacing w:val="0"/>
                <w:sz w:val="24"/>
                <w:szCs w:val="24"/>
                <w:highlight w:val="none"/>
                <w:lang w:val="en-US" w:eastAsia="zh-CN"/>
              </w:rPr>
              <w:t>地表水环境质量</w:t>
            </w:r>
            <w:r>
              <w:rPr>
                <w:rFonts w:hint="eastAsia" w:ascii="Times New Roman" w:hAnsi="Times New Roman" w:eastAsia="宋体" w:cs="Times New Roman"/>
                <w:color w:val="auto"/>
                <w:spacing w:val="0"/>
                <w:sz w:val="24"/>
                <w:szCs w:val="24"/>
                <w:highlight w:val="none"/>
                <w:lang w:val="en-US" w:eastAsia="zh-CN"/>
              </w:rPr>
              <w:t>等级</w:t>
            </w:r>
            <w:r>
              <w:rPr>
                <w:rFonts w:hint="default" w:ascii="Times New Roman" w:hAnsi="Times New Roman" w:eastAsia="宋体" w:cs="Times New Roman"/>
                <w:color w:val="auto"/>
                <w:spacing w:val="0"/>
                <w:sz w:val="24"/>
                <w:szCs w:val="24"/>
                <w:highlight w:val="none"/>
                <w:lang w:val="en-US" w:eastAsia="zh-CN"/>
              </w:rPr>
              <w:t>；</w:t>
            </w:r>
            <w:r>
              <w:rPr>
                <w:rFonts w:hint="eastAsia" w:ascii="Times New Roman" w:hAnsi="Times New Roman" w:eastAsia="宋体" w:cs="Times New Roman"/>
                <w:color w:val="auto"/>
                <w:spacing w:val="0"/>
                <w:sz w:val="24"/>
                <w:szCs w:val="24"/>
                <w:highlight w:val="none"/>
                <w:lang w:val="en-US" w:eastAsia="zh-CN"/>
              </w:rPr>
              <w:t>项目在采取一定的噪声污染防治措施后，项目产生的噪声不会对周围环境产生显著影响，不会改变区域环境噪声质量等级；项目周边地下水、土壤环境相对不敏感，采取有效的防渗措施后，项目对地下水、土壤环境影响小，不会改变地下水环境、土壤环境质量现状等级，因此，项目建设符合环境功能。</w:t>
            </w:r>
          </w:p>
          <w:p w14:paraId="259CD9C7">
            <w:pPr>
              <w:bidi w:val="0"/>
              <w:rPr>
                <w:rFonts w:hint="default"/>
                <w:b/>
                <w:bCs/>
                <w:color w:val="auto"/>
                <w:lang w:val="en-US" w:eastAsia="zh-CN"/>
              </w:rPr>
            </w:pPr>
            <w:r>
              <w:rPr>
                <w:rFonts w:hint="eastAsia"/>
                <w:b/>
                <w:bCs/>
                <w:color w:val="auto"/>
                <w:lang w:val="en-US" w:eastAsia="zh-CN"/>
              </w:rPr>
              <w:t>4</w:t>
            </w:r>
            <w:r>
              <w:rPr>
                <w:rFonts w:hint="default"/>
                <w:b/>
                <w:bCs/>
                <w:color w:val="auto"/>
                <w:lang w:val="en-US" w:eastAsia="zh-CN"/>
              </w:rPr>
              <w:t>、与周边</w:t>
            </w:r>
            <w:r>
              <w:rPr>
                <w:rFonts w:hint="eastAsia"/>
                <w:b/>
                <w:bCs/>
                <w:color w:val="auto"/>
                <w:lang w:val="en-US" w:eastAsia="zh-CN"/>
              </w:rPr>
              <w:t>环境</w:t>
            </w:r>
            <w:r>
              <w:rPr>
                <w:rFonts w:hint="default"/>
                <w:b/>
                <w:bCs/>
                <w:color w:val="auto"/>
                <w:lang w:val="en-US" w:eastAsia="zh-CN"/>
              </w:rPr>
              <w:t>相容性分析</w:t>
            </w:r>
          </w:p>
          <w:p w14:paraId="112EA1EF">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eastAsia" w:cs="Times New Roman"/>
                <w:color w:val="auto"/>
                <w:spacing w:val="0"/>
                <w:sz w:val="24"/>
                <w:szCs w:val="24"/>
                <w:highlight w:val="none"/>
                <w:lang w:val="en-US" w:eastAsia="zh-CN"/>
              </w:rPr>
            </w:pPr>
            <w:r>
              <w:rPr>
                <w:rFonts w:hint="eastAsia"/>
                <w:color w:val="auto"/>
                <w:lang w:val="en-US" w:eastAsia="zh-CN"/>
              </w:rPr>
              <w:t>项目厂址不位于自然保护区、风景名胜区、饮用水水源保护区和其他需要特别保护等法律法规禁止开发建设的区域。</w:t>
            </w:r>
            <w:r>
              <w:rPr>
                <w:rFonts w:hint="default" w:ascii="Times New Roman" w:hAnsi="Times New Roman" w:eastAsia="宋体" w:cs="Times New Roman"/>
                <w:color w:val="auto"/>
                <w:spacing w:val="0"/>
                <w:sz w:val="24"/>
                <w:szCs w:val="24"/>
                <w:highlight w:val="none"/>
                <w:lang w:val="en-US" w:eastAsia="zh-CN"/>
              </w:rPr>
              <w:t>根据现场勘查，</w:t>
            </w:r>
            <w:r>
              <w:rPr>
                <w:rFonts w:hint="eastAsia" w:cs="Times New Roman"/>
                <w:color w:val="auto"/>
                <w:spacing w:val="0"/>
                <w:sz w:val="24"/>
                <w:szCs w:val="24"/>
                <w:highlight w:val="none"/>
                <w:lang w:val="en-US" w:eastAsia="zh-CN"/>
              </w:rPr>
              <w:t>项目</w:t>
            </w:r>
            <w:r>
              <w:rPr>
                <w:rFonts w:hint="default" w:ascii="Times New Roman" w:hAnsi="Times New Roman" w:eastAsia="宋体" w:cs="Times New Roman"/>
                <w:color w:val="auto"/>
                <w:spacing w:val="0"/>
                <w:sz w:val="24"/>
                <w:szCs w:val="24"/>
                <w:highlight w:val="none"/>
                <w:lang w:eastAsia="zh-CN"/>
              </w:rPr>
              <w:t>周边</w:t>
            </w:r>
            <w:r>
              <w:rPr>
                <w:rFonts w:hint="eastAsia" w:ascii="Times New Roman" w:hAnsi="Times New Roman" w:eastAsia="宋体" w:cs="Times New Roman"/>
                <w:color w:val="auto"/>
                <w:spacing w:val="0"/>
                <w:sz w:val="24"/>
                <w:szCs w:val="24"/>
                <w:highlight w:val="none"/>
                <w:lang w:val="en-US" w:eastAsia="zh-CN"/>
              </w:rPr>
              <w:t>以工业企业、</w:t>
            </w:r>
            <w:r>
              <w:rPr>
                <w:rFonts w:hint="eastAsia" w:ascii="Times New Roman" w:hAnsi="Times New Roman" w:eastAsia="宋体"/>
                <w:color w:val="auto"/>
                <w:sz w:val="24"/>
                <w:szCs w:val="24"/>
                <w:lang w:val="en-US" w:eastAsia="zh-CN"/>
              </w:rPr>
              <w:t>农田</w:t>
            </w:r>
            <w:r>
              <w:rPr>
                <w:rFonts w:hint="eastAsia" w:ascii="Times New Roman" w:hAnsi="Times New Roman" w:eastAsia="宋体" w:cs="Times New Roman"/>
                <w:color w:val="auto"/>
                <w:spacing w:val="0"/>
                <w:sz w:val="24"/>
                <w:szCs w:val="24"/>
                <w:highlight w:val="none"/>
                <w:lang w:val="en-US" w:eastAsia="zh-CN"/>
              </w:rPr>
              <w:t>等为主</w:t>
            </w:r>
            <w:r>
              <w:rPr>
                <w:rFonts w:hint="eastAsia" w:ascii="Times New Roman" w:hAnsi="Times New Roman" w:eastAsia="宋体" w:cs="Times New Roman"/>
                <w:color w:val="auto"/>
                <w:spacing w:val="0"/>
                <w:sz w:val="24"/>
                <w:szCs w:val="24"/>
                <w:highlight w:val="none"/>
                <w:lang w:eastAsia="zh-CN"/>
              </w:rPr>
              <w:t>，</w:t>
            </w:r>
            <w:r>
              <w:rPr>
                <w:rFonts w:hint="eastAsia" w:cs="Times New Roman"/>
                <w:color w:val="auto"/>
                <w:spacing w:val="0"/>
                <w:sz w:val="24"/>
                <w:szCs w:val="24"/>
                <w:highlight w:val="none"/>
                <w:lang w:val="en-US" w:eastAsia="zh-CN"/>
              </w:rPr>
              <w:t>其中厂区南侧主要有福建平达新材料科技有限公司、福清市伟达塑料制品有限公司和福清市海兴保健食品有限公司（从事紫菜饼、绿藻粉和海带粉的生产）等企业，</w:t>
            </w:r>
            <w:r>
              <w:rPr>
                <w:rFonts w:hint="eastAsia" w:ascii="Times New Roman" w:hAnsi="Times New Roman" w:eastAsia="宋体" w:cs="Times New Roman"/>
                <w:color w:val="auto"/>
                <w:spacing w:val="0"/>
                <w:sz w:val="24"/>
                <w:szCs w:val="24"/>
                <w:highlight w:val="none"/>
                <w:lang w:val="en-US" w:eastAsia="zh-CN"/>
              </w:rPr>
              <w:t>主要环境保护目标为</w:t>
            </w:r>
            <w:r>
              <w:rPr>
                <w:rFonts w:hint="eastAsia"/>
                <w:color w:val="auto"/>
                <w:lang w:val="en-US" w:eastAsia="zh-CN"/>
              </w:rPr>
              <w:t>石溪村（西北侧约260m）</w:t>
            </w:r>
            <w:r>
              <w:rPr>
                <w:rFonts w:hint="eastAsia" w:ascii="Times New Roman" w:hAnsi="Times New Roman" w:eastAsia="宋体" w:cs="Times New Roman"/>
                <w:color w:val="auto"/>
                <w:spacing w:val="0"/>
                <w:sz w:val="24"/>
                <w:szCs w:val="24"/>
                <w:highlight w:val="none"/>
                <w:lang w:val="en-US" w:eastAsia="zh-CN"/>
              </w:rPr>
              <w:t>，</w:t>
            </w:r>
            <w:r>
              <w:rPr>
                <w:rFonts w:hint="eastAsia"/>
                <w:color w:val="auto"/>
                <w:lang w:eastAsia="zh-CN"/>
              </w:rPr>
              <w:t>项目周边环境现状</w:t>
            </w:r>
            <w:r>
              <w:rPr>
                <w:rFonts w:hint="eastAsia"/>
                <w:color w:val="auto"/>
                <w:lang w:val="en-US" w:eastAsia="zh-CN"/>
              </w:rPr>
              <w:t>及敏感目标</w:t>
            </w:r>
            <w:r>
              <w:rPr>
                <w:rFonts w:hint="eastAsia"/>
                <w:color w:val="auto"/>
                <w:lang w:eastAsia="zh-CN"/>
              </w:rPr>
              <w:t>示意图详见附图</w:t>
            </w:r>
            <w:r>
              <w:rPr>
                <w:rFonts w:hint="eastAsia"/>
                <w:color w:val="auto"/>
                <w:lang w:val="en-US" w:eastAsia="zh-CN"/>
              </w:rPr>
              <w:t>二，</w:t>
            </w:r>
            <w:r>
              <w:rPr>
                <w:rFonts w:hint="eastAsia"/>
                <w:color w:val="auto"/>
                <w:lang w:eastAsia="zh-CN"/>
              </w:rPr>
              <w:t>项目周边环境现状拍摄图详见附图</w:t>
            </w:r>
            <w:r>
              <w:rPr>
                <w:rFonts w:hint="eastAsia"/>
                <w:color w:val="auto"/>
                <w:lang w:val="en-US" w:eastAsia="zh-CN"/>
              </w:rPr>
              <w:t>三</w:t>
            </w:r>
            <w:r>
              <w:rPr>
                <w:rFonts w:hint="eastAsia" w:cs="Times New Roman"/>
                <w:color w:val="auto"/>
                <w:spacing w:val="0"/>
                <w:sz w:val="24"/>
                <w:szCs w:val="24"/>
                <w:highlight w:val="none"/>
                <w:lang w:val="en-US" w:eastAsia="zh-CN"/>
              </w:rPr>
              <w:t>。</w:t>
            </w:r>
          </w:p>
          <w:p w14:paraId="2E38AE5A">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spacing w:val="0"/>
                <w:sz w:val="24"/>
                <w:szCs w:val="24"/>
                <w:highlight w:val="none"/>
                <w:lang w:eastAsia="zh-CN"/>
              </w:rPr>
            </w:pPr>
            <w:r>
              <w:rPr>
                <w:rFonts w:hint="eastAsia" w:cs="Times New Roman"/>
                <w:color w:val="auto"/>
                <w:spacing w:val="0"/>
                <w:sz w:val="24"/>
                <w:szCs w:val="24"/>
                <w:highlight w:val="none"/>
                <w:lang w:val="en-US" w:eastAsia="zh-CN"/>
              </w:rPr>
              <w:t>本项目距离环境保护目标较远，产生的噪声和废气等各类污染物基本不会对其产生影响。</w:t>
            </w:r>
            <w:r>
              <w:rPr>
                <w:rFonts w:hint="default" w:ascii="Times New Roman" w:hAnsi="Times New Roman" w:eastAsia="宋体" w:cs="Times New Roman"/>
                <w:color w:val="auto"/>
                <w:spacing w:val="0"/>
                <w:sz w:val="24"/>
                <w:szCs w:val="24"/>
                <w:highlight w:val="none"/>
                <w:lang w:eastAsia="zh-CN"/>
              </w:rPr>
              <w:t>建设单位在</w:t>
            </w:r>
            <w:r>
              <w:rPr>
                <w:rFonts w:hint="eastAsia" w:ascii="Times New Roman" w:hAnsi="Times New Roman" w:eastAsia="宋体" w:cs="Times New Roman"/>
                <w:color w:val="auto"/>
                <w:spacing w:val="0"/>
                <w:sz w:val="24"/>
                <w:szCs w:val="24"/>
                <w:highlight w:val="none"/>
                <w:lang w:eastAsia="zh-CN"/>
              </w:rPr>
              <w:t>切实落实</w:t>
            </w:r>
            <w:r>
              <w:rPr>
                <w:rFonts w:hint="default" w:ascii="Times New Roman" w:hAnsi="Times New Roman" w:eastAsia="宋体" w:cs="Times New Roman"/>
                <w:color w:val="auto"/>
                <w:spacing w:val="0"/>
                <w:sz w:val="24"/>
                <w:szCs w:val="24"/>
                <w:highlight w:val="none"/>
                <w:lang w:eastAsia="zh-CN"/>
              </w:rPr>
              <w:t>本评价提出的各项污染治理措施</w:t>
            </w:r>
            <w:r>
              <w:rPr>
                <w:rFonts w:hint="eastAsia" w:ascii="Times New Roman" w:hAnsi="Times New Roman" w:eastAsia="宋体" w:cs="Times New Roman"/>
                <w:color w:val="auto"/>
                <w:spacing w:val="0"/>
                <w:sz w:val="24"/>
                <w:szCs w:val="24"/>
                <w:highlight w:val="none"/>
                <w:lang w:eastAsia="zh-CN"/>
              </w:rPr>
              <w:t>，</w:t>
            </w:r>
            <w:r>
              <w:rPr>
                <w:rFonts w:hint="eastAsia" w:ascii="Times New Roman" w:hAnsi="Times New Roman" w:eastAsia="宋体" w:cs="Times New Roman"/>
                <w:color w:val="auto"/>
                <w:spacing w:val="0"/>
                <w:sz w:val="24"/>
                <w:szCs w:val="24"/>
                <w:highlight w:val="none"/>
                <w:lang w:val="en-US" w:eastAsia="zh-CN"/>
              </w:rPr>
              <w:t>做好车间和堆场封闭、定期喷淋抑尘等，控制粉尘排放</w:t>
            </w:r>
            <w:r>
              <w:rPr>
                <w:rFonts w:hint="default" w:ascii="Times New Roman" w:hAnsi="Times New Roman" w:eastAsia="宋体" w:cs="Times New Roman"/>
                <w:color w:val="auto"/>
                <w:spacing w:val="0"/>
                <w:sz w:val="24"/>
                <w:szCs w:val="24"/>
                <w:highlight w:val="none"/>
                <w:lang w:eastAsia="zh-CN"/>
              </w:rPr>
              <w:t>的前提下，</w:t>
            </w:r>
            <w:r>
              <w:rPr>
                <w:rFonts w:hint="eastAsia" w:ascii="Times New Roman" w:hAnsi="Times New Roman" w:eastAsia="宋体" w:cs="Times New Roman"/>
                <w:color w:val="auto"/>
                <w:spacing w:val="0"/>
                <w:sz w:val="24"/>
                <w:szCs w:val="24"/>
                <w:highlight w:val="none"/>
                <w:lang w:val="en-US" w:eastAsia="zh-CN"/>
              </w:rPr>
              <w:t>对</w:t>
            </w:r>
            <w:r>
              <w:rPr>
                <w:rFonts w:hint="eastAsia" w:cs="Times New Roman"/>
                <w:color w:val="auto"/>
                <w:spacing w:val="0"/>
                <w:sz w:val="24"/>
                <w:szCs w:val="24"/>
                <w:highlight w:val="none"/>
                <w:lang w:val="en-US" w:eastAsia="zh-CN"/>
              </w:rPr>
              <w:t>福清市海兴保健食品有限公司</w:t>
            </w:r>
            <w:r>
              <w:rPr>
                <w:rFonts w:hint="eastAsia" w:ascii="Times New Roman" w:hAnsi="Times New Roman" w:eastAsia="宋体" w:cs="Times New Roman"/>
                <w:color w:val="auto"/>
                <w:spacing w:val="0"/>
                <w:sz w:val="24"/>
                <w:szCs w:val="24"/>
                <w:highlight w:val="none"/>
                <w:lang w:val="en-US" w:eastAsia="zh-CN"/>
              </w:rPr>
              <w:t>及周边企业影响较小，</w:t>
            </w:r>
            <w:r>
              <w:rPr>
                <w:rFonts w:hint="eastAsia" w:ascii="Times New Roman" w:hAnsi="Times New Roman"/>
                <w:color w:val="auto"/>
                <w:lang w:val="en-US" w:eastAsia="zh-CN"/>
              </w:rPr>
              <w:t>海兴食品</w:t>
            </w:r>
            <w:r>
              <w:rPr>
                <w:rFonts w:hint="eastAsia"/>
                <w:color w:val="auto"/>
                <w:lang w:val="en-US" w:eastAsia="zh-CN"/>
              </w:rPr>
              <w:t>不</w:t>
            </w:r>
            <w:r>
              <w:rPr>
                <w:rFonts w:hint="eastAsia" w:ascii="Times New Roman" w:hAnsi="Times New Roman"/>
                <w:color w:val="auto"/>
                <w:lang w:val="en-US" w:eastAsia="zh-CN"/>
              </w:rPr>
              <w:t>位于本项目主导风向</w:t>
            </w:r>
            <w:r>
              <w:rPr>
                <w:rFonts w:hint="eastAsia"/>
                <w:color w:val="auto"/>
                <w:lang w:val="en-US" w:eastAsia="zh-CN"/>
              </w:rPr>
              <w:t>的下风向且</w:t>
            </w:r>
            <w:r>
              <w:rPr>
                <w:rFonts w:hint="eastAsia" w:ascii="Times New Roman" w:hAnsi="Times New Roman" w:eastAsia="宋体" w:cs="Times New Roman"/>
                <w:color w:val="auto"/>
                <w:spacing w:val="0"/>
                <w:sz w:val="24"/>
                <w:szCs w:val="24"/>
                <w:highlight w:val="none"/>
                <w:lang w:val="en-US" w:eastAsia="zh-CN"/>
              </w:rPr>
              <w:t>通过合理布局，将靠近</w:t>
            </w:r>
            <w:r>
              <w:rPr>
                <w:rFonts w:hint="eastAsia" w:cs="Times New Roman"/>
                <w:color w:val="auto"/>
                <w:spacing w:val="0"/>
                <w:sz w:val="24"/>
                <w:szCs w:val="24"/>
                <w:highlight w:val="none"/>
                <w:lang w:val="en-US" w:eastAsia="zh-CN"/>
              </w:rPr>
              <w:t>海兴食品公司位置布置为小车停车区，进一步减少对海兴食品公司的影响</w:t>
            </w:r>
            <w:r>
              <w:rPr>
                <w:rFonts w:hint="eastAsia" w:ascii="Times New Roman" w:hAnsi="Times New Roman" w:eastAsia="宋体"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eastAsia="zh-CN"/>
              </w:rPr>
              <w:t>因此，项目建设与周边环境基本相容。</w:t>
            </w:r>
          </w:p>
          <w:p w14:paraId="413A21ED">
            <w:pPr>
              <w:bidi w:val="0"/>
              <w:rPr>
                <w:rFonts w:hint="default"/>
                <w:b/>
                <w:bCs/>
                <w:color w:val="auto"/>
                <w:lang w:val="en-US" w:eastAsia="zh-CN"/>
              </w:rPr>
            </w:pPr>
            <w:r>
              <w:rPr>
                <w:rFonts w:hint="eastAsia"/>
                <w:b/>
                <w:bCs/>
                <w:color w:val="auto"/>
                <w:lang w:val="en-US" w:eastAsia="zh-CN"/>
              </w:rPr>
              <w:t>5</w:t>
            </w:r>
            <w:r>
              <w:rPr>
                <w:rFonts w:hint="default"/>
                <w:b/>
                <w:bCs/>
                <w:color w:val="auto"/>
                <w:lang w:val="en-US" w:eastAsia="zh-CN"/>
              </w:rPr>
              <w:t>、</w:t>
            </w:r>
            <w:r>
              <w:rPr>
                <w:rFonts w:hint="eastAsia"/>
                <w:b/>
                <w:bCs/>
                <w:color w:val="auto"/>
                <w:lang w:val="en-US" w:eastAsia="zh-CN"/>
              </w:rPr>
              <w:t>生态环境分区管控要求的符合性分析</w:t>
            </w:r>
          </w:p>
          <w:p w14:paraId="5F7CE6DC">
            <w:pPr>
              <w:bidi w:val="0"/>
              <w:rPr>
                <w:rFonts w:hint="eastAsia"/>
                <w:color w:val="auto"/>
                <w:sz w:val="24"/>
                <w:szCs w:val="24"/>
                <w:lang w:val="en-US" w:eastAsia="zh-CN"/>
              </w:rPr>
            </w:pPr>
            <w:bookmarkStart w:id="3" w:name="_Toc27236"/>
            <w:bookmarkStart w:id="4" w:name="_Toc7228"/>
            <w:bookmarkStart w:id="5" w:name="_Toc3067"/>
            <w:bookmarkStart w:id="6" w:name="_Toc16029"/>
            <w:bookmarkStart w:id="7" w:name="_Toc3746"/>
            <w:r>
              <w:rPr>
                <w:rFonts w:hint="eastAsia" w:ascii="Times New Roman" w:hAnsi="Times New Roman" w:eastAsia="宋体" w:cs="Times New Roman"/>
                <w:color w:val="auto"/>
                <w:sz w:val="24"/>
                <w:szCs w:val="24"/>
                <w:lang w:val="en-US" w:eastAsia="zh-CN"/>
              </w:rPr>
              <w:t>根据</w:t>
            </w:r>
            <w:r>
              <w:rPr>
                <w:rFonts w:hint="default" w:ascii="Times New Roman" w:hAnsi="Times New Roman" w:eastAsia="宋体" w:cs="Times New Roman"/>
                <w:color w:val="auto"/>
                <w:sz w:val="24"/>
                <w:szCs w:val="24"/>
                <w:lang w:val="en-US" w:eastAsia="zh-CN"/>
              </w:rPr>
              <w:t>《福州市生态环境局关于发布福州市2024年生态环境分区管控动态更新成果的通知》（榕环保综〔2025〕1号）</w:t>
            </w:r>
            <w:r>
              <w:rPr>
                <w:rFonts w:hint="default" w:ascii="Times New Roman" w:hAnsi="Times New Roman" w:eastAsia="宋体" w:cs="Times New Roman"/>
                <w:color w:val="auto"/>
                <w:sz w:val="24"/>
                <w:szCs w:val="24"/>
                <w:highlight w:val="none"/>
                <w:lang w:val="en-US" w:eastAsia="zh-CN"/>
              </w:rPr>
              <w:t>及</w:t>
            </w:r>
            <w:r>
              <w:rPr>
                <w:rFonts w:hint="default" w:ascii="Times New Roman" w:hAnsi="Times New Roman" w:eastAsia="宋体" w:cs="Times New Roman"/>
                <w:color w:val="auto"/>
                <w:sz w:val="24"/>
                <w:szCs w:val="24"/>
                <w:lang w:val="en-US" w:eastAsia="zh-CN"/>
              </w:rPr>
              <w:t>福建省生态环境分区管控数据应用平台查询结果</w:t>
            </w:r>
            <w:r>
              <w:rPr>
                <w:rFonts w:hint="eastAsia" w:ascii="Times New Roman" w:hAnsi="Times New Roman" w:eastAsia="宋体" w:cs="Times New Roman"/>
                <w:color w:val="auto"/>
                <w:sz w:val="24"/>
                <w:szCs w:val="24"/>
                <w:lang w:val="en-US" w:eastAsia="zh-CN"/>
              </w:rPr>
              <w:t>，</w:t>
            </w:r>
            <w:r>
              <w:rPr>
                <w:rFonts w:hint="eastAsia"/>
                <w:color w:val="auto"/>
                <w:sz w:val="24"/>
                <w:szCs w:val="24"/>
                <w:lang w:val="en-US" w:eastAsia="zh-CN"/>
              </w:rPr>
              <w:t>项目与福州市生态环境分区管控要求符合性分析如下：</w:t>
            </w:r>
          </w:p>
          <w:p w14:paraId="67900F04">
            <w:pPr>
              <w:bidi w:val="0"/>
              <w:rPr>
                <w:rFonts w:hint="eastAsia"/>
                <w:b/>
                <w:bCs/>
                <w:color w:val="auto"/>
                <w:lang w:val="en-US" w:eastAsia="zh-CN"/>
              </w:rPr>
            </w:pPr>
            <w:r>
              <w:rPr>
                <w:rFonts w:hint="eastAsia"/>
                <w:b/>
                <w:bCs/>
                <w:color w:val="auto"/>
                <w:lang w:val="en-US" w:eastAsia="zh-CN"/>
              </w:rPr>
              <w:t>（1）</w:t>
            </w:r>
            <w:r>
              <w:rPr>
                <w:rFonts w:hint="default"/>
                <w:b/>
                <w:bCs/>
                <w:color w:val="auto"/>
                <w:lang w:val="en-US" w:eastAsia="zh-CN"/>
              </w:rPr>
              <w:t>生态保护红线与一般生态空间</w:t>
            </w:r>
          </w:p>
          <w:p w14:paraId="469A06F1">
            <w:pPr>
              <w:bidi w:val="0"/>
              <w:rPr>
                <w:rFonts w:hint="default"/>
                <w:color w:val="auto"/>
                <w:lang w:val="en-US" w:eastAsia="zh-CN"/>
              </w:rPr>
            </w:pPr>
            <w:r>
              <w:rPr>
                <w:rFonts w:hint="default"/>
                <w:color w:val="auto"/>
                <w:lang w:val="en-US" w:eastAsia="zh-CN"/>
              </w:rPr>
              <w:t>①</w:t>
            </w:r>
            <w:r>
              <w:rPr>
                <w:rFonts w:hint="eastAsia"/>
                <w:color w:val="auto"/>
                <w:lang w:val="en-US" w:eastAsia="zh-CN"/>
              </w:rPr>
              <w:t>生态保护红线</w:t>
            </w:r>
          </w:p>
          <w:p w14:paraId="4C779EF8">
            <w:pPr>
              <w:bidi w:val="0"/>
              <w:rPr>
                <w:rFonts w:hint="default" w:ascii="Times New Roman" w:hAnsi="Times New Roman" w:eastAsia="宋体" w:cs="Times New Roman"/>
                <w:color w:val="auto"/>
                <w:szCs w:val="21"/>
                <w:lang w:val="en-US" w:eastAsia="zh-CN"/>
              </w:rPr>
            </w:pPr>
            <w:r>
              <w:rPr>
                <w:rFonts w:hint="default"/>
                <w:color w:val="auto"/>
                <w:lang w:val="en-US" w:eastAsia="zh-CN"/>
              </w:rPr>
              <w:t>完整利用福建省“三区三线”生态保护红线划定成果，福州市生态保护红线划定面积为5082.05平方千米，其中陆域面积为2410.32平方千米，海域面积为2671.73平方千米。生态保护红线最终面积以省政府发布结果为准。</w:t>
            </w:r>
          </w:p>
          <w:p w14:paraId="7C591EE1">
            <w:pPr>
              <w:bidi w:val="0"/>
              <w:rPr>
                <w:rFonts w:hint="default"/>
                <w:color w:val="auto"/>
                <w:lang w:val="en-US" w:eastAsia="zh-CN"/>
              </w:rPr>
            </w:pPr>
            <w:r>
              <w:rPr>
                <w:rFonts w:hint="default"/>
                <w:color w:val="auto"/>
                <w:lang w:val="en-US" w:eastAsia="zh-CN"/>
              </w:rPr>
              <w:t>②</w:t>
            </w:r>
            <w:r>
              <w:rPr>
                <w:rFonts w:hint="eastAsia"/>
                <w:color w:val="auto"/>
                <w:lang w:val="en-US" w:eastAsia="zh-CN"/>
              </w:rPr>
              <w:t>一般生态空间</w:t>
            </w:r>
          </w:p>
          <w:p w14:paraId="0C08A2E9">
            <w:pPr>
              <w:bidi w:val="0"/>
              <w:rPr>
                <w:rFonts w:hint="default"/>
                <w:color w:val="auto"/>
                <w:lang w:val="en-US" w:eastAsia="zh-CN"/>
              </w:rPr>
            </w:pPr>
            <w:r>
              <w:rPr>
                <w:rFonts w:hint="default"/>
                <w:color w:val="auto"/>
                <w:lang w:val="en-US" w:eastAsia="zh-CN"/>
              </w:rPr>
              <w:t>一般生态空间面积为5022.51平方千米，其中陆域面积为3703.34平方千米、海域面积为1319.17平方千米。一般生态空间将随生态保护红线最终发布成果做调整。</w:t>
            </w:r>
          </w:p>
          <w:p w14:paraId="4BD041CD">
            <w:pPr>
              <w:bidi w:val="0"/>
              <w:rPr>
                <w:rFonts w:hint="default"/>
                <w:color w:val="auto"/>
                <w:lang w:val="en-US" w:eastAsia="zh-CN"/>
              </w:rPr>
            </w:pPr>
            <w:r>
              <w:rPr>
                <w:rFonts w:hint="default"/>
                <w:color w:val="auto"/>
                <w:lang w:val="en-US" w:eastAsia="zh-CN"/>
              </w:rPr>
              <w:t>陆域一般生态空间主要包括生态评估得到的生态功能重要区域和生态环境敏感区域以及未纳入生态保护红线的各类法定保护地、饮用水水源保护区等需要保护的区域。</w:t>
            </w:r>
          </w:p>
          <w:p w14:paraId="3F3143DE">
            <w:pPr>
              <w:bidi w:val="0"/>
              <w:rPr>
                <w:rFonts w:hint="default"/>
                <w:color w:val="auto"/>
                <w:lang w:val="en-US" w:eastAsia="zh-CN"/>
              </w:rPr>
            </w:pPr>
            <w:r>
              <w:rPr>
                <w:rFonts w:hint="default"/>
                <w:color w:val="auto"/>
                <w:lang w:val="en-US" w:eastAsia="zh-CN"/>
              </w:rPr>
              <w:t>项目位于陆域范围，经对照福建省“三区三线”生态保护红线划定成果</w:t>
            </w:r>
            <w:r>
              <w:rPr>
                <w:rFonts w:hint="eastAsia"/>
                <w:color w:val="auto"/>
                <w:lang w:val="en-US" w:eastAsia="zh-CN"/>
              </w:rPr>
              <w:t>和一般生态空间划定成果</w:t>
            </w:r>
            <w:r>
              <w:rPr>
                <w:rFonts w:hint="default"/>
                <w:color w:val="auto"/>
                <w:lang w:val="en-US" w:eastAsia="zh-CN"/>
              </w:rPr>
              <w:t>，项目建设区未涉及生态保护红线</w:t>
            </w:r>
            <w:r>
              <w:rPr>
                <w:rFonts w:hint="eastAsia"/>
                <w:color w:val="auto"/>
                <w:lang w:val="en-US" w:eastAsia="zh-CN"/>
              </w:rPr>
              <w:t>和一般生态空间</w:t>
            </w:r>
            <w:r>
              <w:rPr>
                <w:rFonts w:hint="default"/>
                <w:color w:val="auto"/>
                <w:lang w:val="en-US" w:eastAsia="zh-CN"/>
              </w:rPr>
              <w:t>，因此项目建设与生态保护红线</w:t>
            </w:r>
            <w:r>
              <w:rPr>
                <w:rFonts w:hint="eastAsia"/>
                <w:color w:val="auto"/>
                <w:lang w:val="en-US" w:eastAsia="zh-CN"/>
              </w:rPr>
              <w:t>及</w:t>
            </w:r>
            <w:r>
              <w:rPr>
                <w:rFonts w:hint="default"/>
                <w:color w:val="auto"/>
                <w:lang w:val="en-US" w:eastAsia="zh-CN"/>
              </w:rPr>
              <w:t>一般生态空间管控要求不冲突。</w:t>
            </w:r>
          </w:p>
          <w:p w14:paraId="36D096A2">
            <w:pPr>
              <w:bidi w:val="0"/>
              <w:rPr>
                <w:rFonts w:hint="default"/>
                <w:b/>
                <w:bCs/>
                <w:color w:val="auto"/>
                <w:lang w:val="en-US" w:eastAsia="zh-CN"/>
              </w:rPr>
            </w:pPr>
            <w:r>
              <w:rPr>
                <w:rFonts w:hint="eastAsia"/>
                <w:b/>
                <w:bCs/>
                <w:color w:val="auto"/>
                <w:lang w:val="en-US" w:eastAsia="zh-CN"/>
              </w:rPr>
              <w:t>（</w:t>
            </w:r>
            <w:r>
              <w:rPr>
                <w:rFonts w:hint="default"/>
                <w:b/>
                <w:bCs/>
                <w:color w:val="auto"/>
                <w:lang w:val="en-US" w:eastAsia="zh-CN"/>
              </w:rPr>
              <w:t>2</w:t>
            </w:r>
            <w:r>
              <w:rPr>
                <w:rFonts w:hint="eastAsia"/>
                <w:b/>
                <w:bCs/>
                <w:color w:val="auto"/>
                <w:lang w:val="en-US" w:eastAsia="zh-CN"/>
              </w:rPr>
              <w:t>）</w:t>
            </w:r>
            <w:r>
              <w:rPr>
                <w:rFonts w:hint="default"/>
                <w:b/>
                <w:bCs/>
                <w:color w:val="auto"/>
                <w:lang w:val="en-US" w:eastAsia="zh-CN"/>
              </w:rPr>
              <w:t>环境质量底线</w:t>
            </w:r>
          </w:p>
          <w:p w14:paraId="51D5148C">
            <w:pPr>
              <w:bidi w:val="0"/>
              <w:rPr>
                <w:rFonts w:hint="eastAsia"/>
                <w:color w:val="auto"/>
                <w:lang w:val="en-US" w:eastAsia="zh-CN"/>
              </w:rPr>
            </w:pPr>
            <w:r>
              <w:rPr>
                <w:rFonts w:hint="default"/>
                <w:color w:val="auto"/>
                <w:lang w:val="en-US" w:eastAsia="zh-CN"/>
              </w:rPr>
              <w:t>①</w:t>
            </w:r>
            <w:r>
              <w:rPr>
                <w:rFonts w:hint="eastAsia"/>
                <w:color w:val="auto"/>
                <w:lang w:val="en-US" w:eastAsia="zh-CN"/>
              </w:rPr>
              <w:t>地表水</w:t>
            </w:r>
            <w:r>
              <w:rPr>
                <w:rFonts w:hint="default"/>
                <w:color w:val="auto"/>
                <w:lang w:val="en-US" w:eastAsia="zh-CN"/>
              </w:rPr>
              <w:t>水环境质量底线</w:t>
            </w:r>
          </w:p>
          <w:p w14:paraId="47FD5B20">
            <w:pPr>
              <w:bidi w:val="0"/>
              <w:rPr>
                <w:rFonts w:hint="default"/>
                <w:color w:val="auto"/>
                <w:lang w:val="en-US" w:eastAsia="zh-CN"/>
              </w:rPr>
            </w:pPr>
            <w:r>
              <w:rPr>
                <w:rFonts w:hint="default"/>
                <w:color w:val="auto"/>
                <w:lang w:val="en-US" w:eastAsia="zh-CN"/>
              </w:rPr>
              <w:t>到2025年，国省控断面水质优良（达到或优于Ⅲ类）比例总体达97.2%以上；县级以上集中式饮用水水源水质达标率达100%。到2035年，国省控断面水质优良（达到或优于Ⅲ类）比例总体达到100%；生态系统实现良性循环。</w:t>
            </w:r>
          </w:p>
          <w:p w14:paraId="3390C9C4">
            <w:pPr>
              <w:bidi w:val="0"/>
              <w:rPr>
                <w:rFonts w:hint="default"/>
                <w:color w:val="auto"/>
                <w:lang w:val="en-US" w:eastAsia="zh-CN"/>
              </w:rPr>
            </w:pPr>
            <w:r>
              <w:rPr>
                <w:rFonts w:hint="eastAsia"/>
                <w:color w:val="auto"/>
                <w:lang w:val="en-US" w:eastAsia="zh-CN"/>
              </w:rPr>
              <w:t>②</w:t>
            </w:r>
            <w:r>
              <w:rPr>
                <w:rFonts w:hint="default"/>
                <w:color w:val="auto"/>
                <w:lang w:val="en-US" w:eastAsia="zh-CN"/>
              </w:rPr>
              <w:t>近岸海域环境质量底线</w:t>
            </w:r>
          </w:p>
          <w:p w14:paraId="6C03816D">
            <w:pPr>
              <w:bidi w:val="0"/>
              <w:rPr>
                <w:rFonts w:hint="default"/>
                <w:color w:val="auto"/>
                <w:lang w:val="en-US" w:eastAsia="zh-CN"/>
              </w:rPr>
            </w:pPr>
            <w:r>
              <w:rPr>
                <w:rFonts w:hint="default"/>
                <w:color w:val="auto"/>
                <w:lang w:val="en-US" w:eastAsia="zh-CN"/>
              </w:rPr>
              <w:t>到2025年，近岸海域水质持续改善，重要河口海湾水质稳定好转，鉴江半岛—黄岐半岛东部海域湾区、长乐东部海域湾区建成美丽海湾，近岸海域优良水质面积比例不低于85%（国控点优良水质面积不低于84.0%）。到2035年，海洋生态环境显著改善，重要河口海湾水质大幅提升，近岸海域优良水质面积比例不低于89%，全面建成美丽海湾。</w:t>
            </w:r>
          </w:p>
          <w:p w14:paraId="0A71A3B1">
            <w:pPr>
              <w:bidi w:val="0"/>
              <w:rPr>
                <w:rFonts w:hint="default"/>
                <w:color w:val="auto"/>
                <w:lang w:val="en-US" w:eastAsia="zh-CN"/>
              </w:rPr>
            </w:pPr>
            <w:r>
              <w:rPr>
                <w:rFonts w:hint="eastAsia"/>
                <w:color w:val="auto"/>
                <w:lang w:val="en-US" w:eastAsia="zh-CN"/>
              </w:rPr>
              <w:t>项目不位于</w:t>
            </w:r>
            <w:r>
              <w:rPr>
                <w:rFonts w:hint="default"/>
                <w:color w:val="auto"/>
                <w:lang w:val="en-US" w:eastAsia="zh-CN"/>
              </w:rPr>
              <w:t>近岸海域</w:t>
            </w:r>
            <w:r>
              <w:rPr>
                <w:rFonts w:hint="eastAsia"/>
                <w:color w:val="auto"/>
                <w:lang w:val="en-US" w:eastAsia="zh-CN"/>
              </w:rPr>
              <w:t>，项目生产废水及收集的初期雨水经处理后，全部回用于搅拌等，不外排；厂区职工生活污水经化粪池+一体化污水处理设施处理后近期回用于厂区绿化灌溉，远期待项目周边市政污水管网及相关配套设施建成后，统一接入当地市政污水处理系统处理排放。项目生产废水不排入地表水外环境</w:t>
            </w:r>
            <w:r>
              <w:rPr>
                <w:color w:val="auto"/>
              </w:rPr>
              <w:t>，</w:t>
            </w:r>
            <w:r>
              <w:rPr>
                <w:rFonts w:hint="eastAsia"/>
                <w:color w:val="auto"/>
                <w:lang w:val="en-US" w:eastAsia="zh-CN"/>
              </w:rPr>
              <w:t>生活污水</w:t>
            </w:r>
            <w:r>
              <w:rPr>
                <w:rFonts w:hint="eastAsia" w:cs="Times New Roman"/>
                <w:color w:val="auto"/>
                <w:sz w:val="24"/>
                <w:szCs w:val="24"/>
                <w:lang w:val="en-US" w:eastAsia="zh-CN"/>
              </w:rPr>
              <w:t>不直接排入地表水体，</w:t>
            </w:r>
            <w:r>
              <w:rPr>
                <w:rFonts w:hint="eastAsia"/>
                <w:color w:val="auto"/>
                <w:lang w:eastAsia="zh-CN"/>
              </w:rPr>
              <w:t>不会</w:t>
            </w:r>
            <w:r>
              <w:rPr>
                <w:rFonts w:hint="eastAsia"/>
                <w:color w:val="auto"/>
                <w:lang w:val="en-US" w:eastAsia="zh-CN"/>
              </w:rPr>
              <w:t>改变区域</w:t>
            </w:r>
            <w:r>
              <w:rPr>
                <w:rFonts w:hint="default"/>
                <w:color w:val="auto"/>
                <w:lang w:val="en-US" w:eastAsia="zh-CN"/>
              </w:rPr>
              <w:t>地表水环境质量</w:t>
            </w:r>
            <w:r>
              <w:rPr>
                <w:rFonts w:hint="eastAsia"/>
                <w:color w:val="auto"/>
                <w:lang w:val="en-US" w:eastAsia="zh-CN"/>
              </w:rPr>
              <w:t>等级，</w:t>
            </w:r>
            <w:r>
              <w:rPr>
                <w:rFonts w:hint="default"/>
                <w:color w:val="auto"/>
                <w:lang w:val="en-US" w:eastAsia="zh-CN"/>
              </w:rPr>
              <w:t>项目建设不会突破区域</w:t>
            </w:r>
            <w:r>
              <w:rPr>
                <w:rFonts w:hint="eastAsia"/>
                <w:color w:val="auto"/>
                <w:lang w:val="en-US" w:eastAsia="zh-CN"/>
              </w:rPr>
              <w:t>地表</w:t>
            </w:r>
            <w:r>
              <w:rPr>
                <w:rFonts w:hint="default"/>
                <w:color w:val="auto"/>
                <w:lang w:val="en-US" w:eastAsia="zh-CN"/>
              </w:rPr>
              <w:t>水环境质量底线。</w:t>
            </w:r>
          </w:p>
          <w:p w14:paraId="732386C3">
            <w:pPr>
              <w:bidi w:val="0"/>
              <w:rPr>
                <w:rFonts w:hint="default"/>
                <w:color w:val="auto"/>
                <w:lang w:val="en-US" w:eastAsia="zh-CN"/>
              </w:rPr>
            </w:pPr>
            <w:r>
              <w:rPr>
                <w:rFonts w:hint="default"/>
                <w:color w:val="auto"/>
                <w:lang w:val="en-US" w:eastAsia="zh-CN"/>
              </w:rPr>
              <w:t>③大气环境质量底线</w:t>
            </w:r>
          </w:p>
          <w:p w14:paraId="0207D126">
            <w:pPr>
              <w:bidi w:val="0"/>
              <w:rPr>
                <w:rFonts w:hint="default"/>
                <w:color w:val="auto"/>
                <w:lang w:val="en-US" w:eastAsia="zh-CN"/>
              </w:rPr>
            </w:pPr>
            <w:r>
              <w:rPr>
                <w:rFonts w:hint="default"/>
                <w:color w:val="auto"/>
                <w:lang w:val="en-US" w:eastAsia="zh-CN"/>
              </w:rPr>
              <w:t>到2025年，环境空气质量持续改善，细颗粒物（PM2.5）年均浓度降至18.6μg/m</w:t>
            </w:r>
            <w:r>
              <w:rPr>
                <w:rFonts w:hint="default"/>
                <w:color w:val="auto"/>
                <w:vertAlign w:val="superscript"/>
                <w:lang w:val="en-US" w:eastAsia="zh-CN"/>
              </w:rPr>
              <w:t>3</w:t>
            </w:r>
            <w:r>
              <w:rPr>
                <w:rFonts w:hint="default"/>
                <w:color w:val="auto"/>
                <w:lang w:val="en-US" w:eastAsia="zh-CN"/>
              </w:rPr>
              <w:t>。到2035年，县级城市细颗粒物（PM2.5）年均浓度小于15μg/m</w:t>
            </w:r>
            <w:r>
              <w:rPr>
                <w:rFonts w:hint="default"/>
                <w:color w:val="auto"/>
                <w:vertAlign w:val="superscript"/>
                <w:lang w:val="en-US" w:eastAsia="zh-CN"/>
              </w:rPr>
              <w:t>3</w:t>
            </w:r>
            <w:r>
              <w:rPr>
                <w:rFonts w:hint="default"/>
                <w:color w:val="auto"/>
                <w:lang w:val="en-US" w:eastAsia="zh-CN"/>
              </w:rPr>
              <w:t>，最终指标值以省下达指标为准。</w:t>
            </w:r>
          </w:p>
          <w:p w14:paraId="676E4A18">
            <w:pPr>
              <w:bidi w:val="0"/>
              <w:rPr>
                <w:rFonts w:hint="eastAsia"/>
                <w:color w:val="auto"/>
                <w:lang w:val="en-US" w:eastAsia="zh-CN"/>
              </w:rPr>
            </w:pPr>
            <w:r>
              <w:rPr>
                <w:rFonts w:hint="eastAsia"/>
                <w:color w:val="auto"/>
                <w:lang w:val="en-US" w:eastAsia="zh-CN"/>
              </w:rPr>
              <w:t>项目废气经采取有效的污染防治措施后，各污染物均可实现达标排放，</w:t>
            </w:r>
            <w:r>
              <w:rPr>
                <w:rFonts w:hint="default"/>
                <w:color w:val="auto"/>
                <w:lang w:val="en-US" w:eastAsia="zh-CN"/>
              </w:rPr>
              <w:t>项目的建设不会突破区域大气环境质量底线。</w:t>
            </w:r>
          </w:p>
          <w:p w14:paraId="486F215B">
            <w:pPr>
              <w:bidi w:val="0"/>
              <w:rPr>
                <w:rFonts w:hint="eastAsia"/>
                <w:color w:val="auto"/>
                <w:lang w:val="en-US" w:eastAsia="zh-CN"/>
              </w:rPr>
            </w:pPr>
            <w:r>
              <w:rPr>
                <w:rFonts w:hint="eastAsia"/>
                <w:color w:val="auto"/>
                <w:lang w:val="en-US" w:eastAsia="zh-CN"/>
              </w:rPr>
              <w:t>④土壤环境风险防控底线</w:t>
            </w:r>
          </w:p>
          <w:p w14:paraId="307F7FF2">
            <w:pPr>
              <w:bidi w:val="0"/>
              <w:rPr>
                <w:rFonts w:hint="eastAsia"/>
                <w:color w:val="auto"/>
                <w:lang w:val="en-US" w:eastAsia="zh-CN"/>
              </w:rPr>
            </w:pPr>
            <w:r>
              <w:rPr>
                <w:rFonts w:hint="eastAsia"/>
                <w:color w:val="auto"/>
                <w:lang w:val="en-US" w:eastAsia="zh-CN"/>
              </w:rPr>
              <w:t>到2025年，受污染耕地安全利用率达到95%（含）以上，重点建设用地安全利用率得到有效保障，重点行业企业用地优先管控名录地块风险管控率达到95%（含）以上，开垦耕地土壤污染调查覆盖率达90%以上，畜禽粪污综合利用率预期达95%（含）以上。</w:t>
            </w:r>
          </w:p>
          <w:p w14:paraId="587F9141">
            <w:pPr>
              <w:bidi w:val="0"/>
              <w:rPr>
                <w:rFonts w:hint="eastAsia"/>
                <w:color w:val="auto"/>
                <w:lang w:val="en-US" w:eastAsia="zh-CN"/>
              </w:rPr>
            </w:pPr>
            <w:r>
              <w:rPr>
                <w:rFonts w:hint="eastAsia"/>
                <w:color w:val="auto"/>
                <w:lang w:val="en-US" w:eastAsia="zh-CN"/>
              </w:rPr>
              <w:t>项目建设后，项目厂区除绿化区域外地面全部硬化，生产过程不排放持久性及重金属等污染物，并严格按照要求进行分区防渗防控，对土壤环境影响小，不会改变地下水环境、土壤环境质量现状等级，符合土壤环境风险防控底线要求。</w:t>
            </w:r>
          </w:p>
          <w:p w14:paraId="3ABE792F">
            <w:pPr>
              <w:bidi w:val="0"/>
              <w:rPr>
                <w:rFonts w:hint="eastAsia"/>
                <w:b/>
                <w:bCs/>
                <w:color w:val="auto"/>
                <w:lang w:val="en-US" w:eastAsia="zh-CN"/>
              </w:rPr>
            </w:pPr>
            <w:r>
              <w:rPr>
                <w:rFonts w:hint="eastAsia"/>
                <w:b/>
                <w:bCs/>
                <w:color w:val="auto"/>
                <w:lang w:val="en-US" w:eastAsia="zh-CN"/>
              </w:rPr>
              <w:t>（3）资源利用上线</w:t>
            </w:r>
          </w:p>
          <w:p w14:paraId="079D30B7">
            <w:pPr>
              <w:bidi w:val="0"/>
              <w:rPr>
                <w:rFonts w:hint="eastAsia"/>
                <w:color w:val="auto"/>
                <w:lang w:val="en-US" w:eastAsia="zh-CN"/>
              </w:rPr>
            </w:pPr>
            <w:r>
              <w:rPr>
                <w:rFonts w:hint="eastAsia"/>
                <w:color w:val="auto"/>
                <w:lang w:val="en-US" w:eastAsia="zh-CN"/>
              </w:rPr>
              <w:t>①水资源利用上线</w:t>
            </w:r>
          </w:p>
          <w:p w14:paraId="20532916">
            <w:pPr>
              <w:bidi w:val="0"/>
              <w:rPr>
                <w:rFonts w:hint="eastAsia"/>
                <w:color w:val="auto"/>
                <w:lang w:val="en-US" w:eastAsia="zh-CN"/>
              </w:rPr>
            </w:pPr>
            <w:r>
              <w:rPr>
                <w:rFonts w:hint="eastAsia"/>
                <w:color w:val="auto"/>
                <w:lang w:val="en-US" w:eastAsia="zh-CN"/>
              </w:rPr>
              <w:t>到2025年，全市总用水量目标值为28亿立方米，万元工业增加值用水量达到12立方米、万元GDP用水量达到19立方米、农田灌溉有效利用系数达到0.586。2035年指标以省人民政府下达为准</w:t>
            </w:r>
            <w:r>
              <w:rPr>
                <w:rFonts w:hint="default"/>
                <w:color w:val="auto"/>
                <w:lang w:val="en-US" w:eastAsia="zh-CN"/>
              </w:rPr>
              <w:t>。</w:t>
            </w:r>
          </w:p>
          <w:p w14:paraId="3A017DF8">
            <w:pPr>
              <w:bidi w:val="0"/>
              <w:rPr>
                <w:rFonts w:hint="eastAsia"/>
                <w:color w:val="auto"/>
                <w:lang w:val="en-US" w:eastAsia="zh-CN"/>
              </w:rPr>
            </w:pPr>
            <w:r>
              <w:rPr>
                <w:rFonts w:hint="eastAsia"/>
                <w:color w:val="auto"/>
                <w:lang w:val="en-US" w:eastAsia="zh-CN"/>
              </w:rPr>
              <w:t>项目运营期用水均来自市政供水，用水量不大，不属于高耗水项目，因此项目建设不会突破水资源利用上线。</w:t>
            </w:r>
          </w:p>
          <w:p w14:paraId="6A8E2C9A">
            <w:pPr>
              <w:bidi w:val="0"/>
              <w:rPr>
                <w:rFonts w:hint="eastAsia"/>
                <w:color w:val="auto"/>
                <w:lang w:val="en-US" w:eastAsia="zh-CN"/>
              </w:rPr>
            </w:pPr>
            <w:r>
              <w:rPr>
                <w:rFonts w:hint="eastAsia"/>
                <w:color w:val="auto"/>
                <w:lang w:val="en-US" w:eastAsia="zh-CN"/>
              </w:rPr>
              <w:t>②土地资源利用上线</w:t>
            </w:r>
          </w:p>
          <w:p w14:paraId="7F90F55B">
            <w:pPr>
              <w:bidi w:val="0"/>
              <w:rPr>
                <w:rFonts w:hint="eastAsia"/>
                <w:color w:val="auto"/>
                <w:lang w:val="en-US" w:eastAsia="zh-CN"/>
              </w:rPr>
            </w:pPr>
            <w:r>
              <w:rPr>
                <w:rFonts w:hint="eastAsia"/>
                <w:color w:val="auto"/>
                <w:lang w:val="en-US" w:eastAsia="zh-CN"/>
              </w:rPr>
              <w:t>到2025年，耕地保有量达到947.53平方千米，基本农田保护面积达到844.82平方千米。2035年指标与2025年保持一致。</w:t>
            </w:r>
          </w:p>
          <w:p w14:paraId="2E213399">
            <w:pPr>
              <w:bidi w:val="0"/>
              <w:rPr>
                <w:rFonts w:hint="eastAsia"/>
                <w:color w:val="auto"/>
                <w:lang w:val="en-US" w:eastAsia="zh-CN"/>
              </w:rPr>
            </w:pPr>
            <w:r>
              <w:rPr>
                <w:rFonts w:hint="eastAsia" w:ascii="Times New Roman" w:hAnsi="Times New Roman" w:eastAsia="宋体" w:cs="Times New Roman"/>
                <w:color w:val="auto"/>
                <w:spacing w:val="0"/>
                <w:sz w:val="24"/>
                <w:szCs w:val="24"/>
                <w:highlight w:val="none"/>
                <w:lang w:eastAsia="zh-CN"/>
              </w:rPr>
              <w:t>本项目</w:t>
            </w:r>
            <w:r>
              <w:rPr>
                <w:rFonts w:hint="eastAsia"/>
                <w:color w:val="auto"/>
                <w:lang w:val="en-US" w:eastAsia="zh-CN"/>
              </w:rPr>
              <w:t>不涉及占用基本农田，</w:t>
            </w:r>
            <w:r>
              <w:rPr>
                <w:rFonts w:hint="eastAsia" w:cs="Times New Roman"/>
                <w:color w:val="auto"/>
                <w:spacing w:val="0"/>
                <w:sz w:val="24"/>
                <w:szCs w:val="24"/>
                <w:highlight w:val="none"/>
                <w:lang w:val="en-US" w:eastAsia="zh-CN"/>
              </w:rPr>
              <w:t>土地用途已变更为</w:t>
            </w:r>
            <w:r>
              <w:rPr>
                <w:rFonts w:hint="eastAsia" w:ascii="Times New Roman" w:hAnsi="Times New Roman" w:eastAsia="宋体" w:cs="Times New Roman"/>
                <w:color w:val="auto"/>
                <w:spacing w:val="0"/>
                <w:sz w:val="24"/>
                <w:szCs w:val="24"/>
                <w:highlight w:val="none"/>
                <w:lang w:eastAsia="zh-CN"/>
              </w:rPr>
              <w:t>工业用地，</w:t>
            </w:r>
            <w:r>
              <w:rPr>
                <w:rFonts w:hint="eastAsia"/>
                <w:b w:val="0"/>
                <w:bCs w:val="0"/>
                <w:color w:val="auto"/>
                <w:sz w:val="24"/>
                <w:szCs w:val="24"/>
                <w:u w:val="none"/>
                <w:lang w:val="en-US" w:eastAsia="zh-CN"/>
              </w:rPr>
              <w:t>取得建设工程规划许可证（建字第350181202400398号，</w:t>
            </w:r>
            <w:r>
              <w:rPr>
                <w:rFonts w:hint="eastAsia" w:cs="Times New Roman"/>
                <w:b w:val="0"/>
                <w:bCs w:val="0"/>
                <w:color w:val="auto"/>
                <w:sz w:val="24"/>
                <w:szCs w:val="24"/>
                <w:u w:val="none"/>
                <w:lang w:val="en-US" w:eastAsia="zh-CN"/>
              </w:rPr>
              <w:t>见附件五</w:t>
            </w:r>
            <w:r>
              <w:rPr>
                <w:rFonts w:hint="eastAsia"/>
                <w:b w:val="0"/>
                <w:bCs w:val="0"/>
                <w:color w:val="auto"/>
                <w:sz w:val="24"/>
                <w:szCs w:val="24"/>
                <w:u w:val="none"/>
                <w:lang w:val="en-US" w:eastAsia="zh-CN"/>
              </w:rPr>
              <w:t>）</w:t>
            </w:r>
            <w:r>
              <w:rPr>
                <w:rFonts w:hint="eastAsia"/>
                <w:color w:val="auto"/>
                <w:lang w:val="en-US" w:eastAsia="zh-CN"/>
              </w:rPr>
              <w:t>，符合土地资源利用上线管控要求。</w:t>
            </w:r>
          </w:p>
          <w:p w14:paraId="314F897A">
            <w:pPr>
              <w:bidi w:val="0"/>
              <w:rPr>
                <w:rFonts w:hint="eastAsia"/>
                <w:color w:val="auto"/>
                <w:lang w:val="en-US" w:eastAsia="zh-CN"/>
              </w:rPr>
            </w:pPr>
            <w:r>
              <w:rPr>
                <w:rFonts w:hint="eastAsia"/>
                <w:color w:val="auto"/>
                <w:lang w:val="en-US" w:eastAsia="zh-CN"/>
              </w:rPr>
              <w:t>③能源资源利用上线</w:t>
            </w:r>
          </w:p>
          <w:p w14:paraId="49037177">
            <w:pPr>
              <w:bidi w:val="0"/>
              <w:rPr>
                <w:rFonts w:hint="eastAsia"/>
                <w:color w:val="auto"/>
                <w:lang w:val="en-US" w:eastAsia="zh-CN"/>
              </w:rPr>
            </w:pPr>
            <w:r>
              <w:rPr>
                <w:rFonts w:hint="eastAsia"/>
                <w:color w:val="auto"/>
                <w:lang w:val="en-US" w:eastAsia="zh-CN"/>
              </w:rPr>
              <w:t>到2025年，单位地区生产总值二氧化碳排放降低率达到19.5%，单位地区生产总值能源消耗降低率达到14%，非化石能源占一次能源消费比例达到32%。2035年指标以省人民政府下达为准。</w:t>
            </w:r>
          </w:p>
          <w:p w14:paraId="7C3D73C0">
            <w:pPr>
              <w:bidi w:val="0"/>
              <w:rPr>
                <w:rFonts w:hint="eastAsia"/>
                <w:color w:val="auto"/>
                <w:lang w:val="en-US" w:eastAsia="zh-CN"/>
              </w:rPr>
            </w:pPr>
            <w:r>
              <w:rPr>
                <w:rFonts w:hint="eastAsia"/>
                <w:color w:val="auto"/>
                <w:lang w:val="en-US" w:eastAsia="zh-CN"/>
              </w:rPr>
              <w:t>项目设备使用电能作为能源，不涉及高污染燃料使用，项目与福州市能源资源利用上线要求相符。</w:t>
            </w:r>
          </w:p>
          <w:p w14:paraId="1971F5B5">
            <w:pPr>
              <w:pStyle w:val="30"/>
              <w:spacing w:line="360" w:lineRule="auto"/>
              <w:ind w:firstLine="480" w:firstLineChars="200"/>
              <w:outlineLvl w:val="1"/>
              <w:rPr>
                <w:rFonts w:hint="default"/>
                <w:color w:val="auto"/>
                <w:lang w:val="en-US" w:eastAsia="zh-CN"/>
              </w:rPr>
            </w:pPr>
            <w:r>
              <w:rPr>
                <w:rFonts w:hint="eastAsia"/>
                <w:color w:val="auto"/>
                <w:u w:val="none"/>
              </w:rPr>
              <w:t>综上所述，项目建设不会突破区域资源利用上线。</w:t>
            </w:r>
          </w:p>
          <w:p w14:paraId="1D9B1BC9">
            <w:pPr>
              <w:bidi w:val="0"/>
              <w:rPr>
                <w:rFonts w:hint="eastAsia"/>
                <w:b/>
                <w:bCs/>
                <w:color w:val="auto"/>
                <w:lang w:val="en-US" w:eastAsia="zh-CN"/>
              </w:rPr>
            </w:pPr>
            <w:r>
              <w:rPr>
                <w:rFonts w:hint="eastAsia"/>
                <w:b/>
                <w:bCs/>
                <w:color w:val="auto"/>
                <w:lang w:val="en-US" w:eastAsia="zh-CN"/>
              </w:rPr>
              <w:t>（4）</w:t>
            </w:r>
            <w:r>
              <w:rPr>
                <w:rFonts w:hint="default"/>
                <w:b/>
                <w:bCs/>
                <w:color w:val="auto"/>
                <w:lang w:val="en-US" w:eastAsia="zh-CN"/>
              </w:rPr>
              <w:t>生态环境准入清单</w:t>
            </w:r>
          </w:p>
          <w:p w14:paraId="352D5D85">
            <w:pPr>
              <w:bidi w:val="0"/>
              <w:rPr>
                <w:rFonts w:hint="default" w:ascii="Times New Roman" w:hAnsi="Times New Roman" w:eastAsia="宋体"/>
                <w:color w:val="auto"/>
                <w:sz w:val="21"/>
                <w:szCs w:val="21"/>
                <w:lang w:val="en-US" w:eastAsia="zh-CN"/>
              </w:rPr>
            </w:pPr>
            <w:r>
              <w:rPr>
                <w:rFonts w:hint="eastAsia"/>
                <w:b w:val="0"/>
                <w:bCs w:val="0"/>
                <w:color w:val="auto"/>
                <w:lang w:val="en-US" w:eastAsia="zh-CN"/>
              </w:rPr>
              <w:t>对照</w:t>
            </w:r>
            <w:r>
              <w:rPr>
                <w:rFonts w:hint="default" w:ascii="Times New Roman" w:hAnsi="Times New Roman" w:eastAsia="宋体" w:cs="Times New Roman"/>
                <w:color w:val="auto"/>
                <w:sz w:val="24"/>
                <w:szCs w:val="24"/>
                <w:lang w:val="en-US" w:eastAsia="zh-CN"/>
              </w:rPr>
              <w:t>《福州市2024年生态环境分区管控动态更新成果》（榕环保综〔2025〕1号）</w:t>
            </w:r>
            <w:r>
              <w:rPr>
                <w:rFonts w:hint="default" w:ascii="Times New Roman" w:hAnsi="Times New Roman" w:eastAsia="宋体" w:cs="Times New Roman"/>
                <w:color w:val="auto"/>
                <w:sz w:val="24"/>
                <w:szCs w:val="24"/>
                <w:highlight w:val="none"/>
                <w:lang w:val="en-US" w:eastAsia="zh-CN"/>
              </w:rPr>
              <w:t>及</w:t>
            </w:r>
            <w:r>
              <w:rPr>
                <w:rFonts w:hint="default" w:ascii="Times New Roman" w:hAnsi="Times New Roman" w:eastAsia="宋体" w:cs="Times New Roman"/>
                <w:color w:val="auto"/>
                <w:sz w:val="24"/>
                <w:szCs w:val="24"/>
                <w:lang w:val="en-US" w:eastAsia="zh-CN"/>
              </w:rPr>
              <w:t>福建省生态环境分区管控数据应用平台查询结果</w:t>
            </w:r>
            <w:r>
              <w:rPr>
                <w:rFonts w:hint="eastAsia"/>
                <w:b w:val="0"/>
                <w:bCs w:val="0"/>
                <w:color w:val="auto"/>
                <w:lang w:val="en-US" w:eastAsia="zh-CN"/>
              </w:rPr>
              <w:t>，项目与福州市陆域总体准入要求符合性分析见表1-2，与福清市重点管控单元准入要求符合性分析见表1-3。福建省生态环境分区管控数据应用平台查询结果截图详见附件八、附图十五。</w:t>
            </w:r>
            <w:bookmarkEnd w:id="3"/>
            <w:bookmarkEnd w:id="4"/>
            <w:bookmarkEnd w:id="5"/>
            <w:bookmarkEnd w:id="6"/>
            <w:bookmarkEnd w:id="7"/>
          </w:p>
        </w:tc>
      </w:tr>
    </w:tbl>
    <w:p w14:paraId="474F5A2D">
      <w:pPr>
        <w:pStyle w:val="17"/>
        <w:jc w:val="center"/>
        <w:outlineLvl w:val="9"/>
        <w:rPr>
          <w:rFonts w:hint="default" w:ascii="Times New Roman" w:hAnsi="Times New Roman" w:eastAsia="宋体" w:cs="Times New Roman"/>
          <w:snapToGrid w:val="0"/>
          <w:color w:val="auto"/>
          <w:sz w:val="30"/>
          <w:szCs w:val="30"/>
        </w:rPr>
        <w:sectPr>
          <w:footerReference r:id="rId5" w:type="default"/>
          <w:pgSz w:w="11906" w:h="16838"/>
          <w:pgMar w:top="1417" w:right="1417" w:bottom="1417" w:left="1417" w:header="851" w:footer="1077" w:gutter="0"/>
          <w:pgBorders>
            <w:top w:val="none" w:sz="0" w:space="0"/>
            <w:left w:val="none" w:sz="0" w:space="0"/>
            <w:bottom w:val="none" w:sz="0" w:space="0"/>
            <w:right w:val="none" w:sz="0" w:space="0"/>
          </w:pgBorders>
          <w:pgNumType w:fmt="numberInDash" w:start="1"/>
          <w:cols w:space="720" w:num="1"/>
          <w:docGrid w:linePitch="312" w:charSpace="0"/>
        </w:sectPr>
      </w:pP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7"/>
        <w:gridCol w:w="12945"/>
      </w:tblGrid>
      <w:tr w14:paraId="0747F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644" w:hRule="atLeast"/>
        </w:trPr>
        <w:tc>
          <w:tcPr>
            <w:tcW w:w="707" w:type="dxa"/>
            <w:noWrap w:val="0"/>
            <w:vAlign w:val="top"/>
          </w:tcPr>
          <w:p w14:paraId="20174FA0">
            <w:pPr>
              <w:widowControl/>
              <w:spacing w:before="100" w:beforeAutospacing="1" w:after="100" w:afterAutospacing="1"/>
              <w:jc w:val="both"/>
              <w:outlineLvl w:val="9"/>
              <w:rPr>
                <w:rFonts w:hint="default" w:ascii="Times New Roman" w:hAnsi="Times New Roman" w:eastAsia="宋体" w:cs="Times New Roman"/>
                <w:snapToGrid w:val="0"/>
                <w:color w:val="auto"/>
                <w:kern w:val="0"/>
                <w:sz w:val="30"/>
                <w:szCs w:val="30"/>
                <w:vertAlign w:val="baseline"/>
                <w:lang w:val="en-US" w:eastAsia="zh-CN" w:bidi="ar-SA"/>
              </w:rPr>
            </w:pPr>
          </w:p>
        </w:tc>
        <w:tc>
          <w:tcPr>
            <w:tcW w:w="12945" w:type="dxa"/>
            <w:noWrap w:val="0"/>
            <w:vAlign w:val="top"/>
          </w:tcPr>
          <w:p w14:paraId="51ADDF28">
            <w:pPr>
              <w:keepNext w:val="0"/>
              <w:keepLines w:val="0"/>
              <w:pageBreakBefore w:val="0"/>
              <w:widowControl w:val="0"/>
              <w:kinsoku/>
              <w:wordWrap/>
              <w:overflowPunct/>
              <w:topLinePunct w:val="0"/>
              <w:autoSpaceDE/>
              <w:autoSpaceDN/>
              <w:bidi w:val="0"/>
              <w:adjustRightInd/>
              <w:snapToGrid/>
              <w:spacing w:before="313" w:beforeLines="100" w:line="240" w:lineRule="auto"/>
              <w:ind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w:t>
            </w:r>
            <w:r>
              <w:rPr>
                <w:rFonts w:hint="eastAsia" w:ascii="Times New Roman" w:hAnsi="Times New Roman" w:eastAsia="宋体" w:cs="Times New Roman"/>
                <w:b/>
                <w:bCs/>
                <w:color w:val="auto"/>
                <w:sz w:val="21"/>
                <w:szCs w:val="21"/>
                <w:highlight w:val="none"/>
                <w:lang w:val="en-US" w:eastAsia="zh-CN"/>
              </w:rPr>
              <w:t>1-</w:t>
            </w:r>
            <w:r>
              <w:rPr>
                <w:rFonts w:hint="eastAsia" w:cs="Times New Roman"/>
                <w:b/>
                <w:bCs/>
                <w:color w:val="auto"/>
                <w:sz w:val="21"/>
                <w:szCs w:val="21"/>
                <w:highlight w:val="none"/>
                <w:lang w:val="en-US" w:eastAsia="zh-CN"/>
              </w:rPr>
              <w:t>2</w:t>
            </w:r>
            <w:r>
              <w:rPr>
                <w:rFonts w:hint="eastAsia" w:ascii="Times New Roman" w:hAnsi="Times New Roman" w:eastAsia="宋体" w:cs="Times New Roman"/>
                <w:b/>
                <w:bCs/>
                <w:color w:val="auto"/>
                <w:sz w:val="21"/>
                <w:szCs w:val="21"/>
                <w:highlight w:val="none"/>
                <w:lang w:val="en-US" w:eastAsia="zh-CN"/>
              </w:rPr>
              <w:t xml:space="preserve"> 与福州市陆域总体准入要求的符合性分析</w:t>
            </w:r>
          </w:p>
          <w:tbl>
            <w:tblPr>
              <w:tblStyle w:val="20"/>
              <w:tblW w:w="12923" w:type="dxa"/>
              <w:tblInd w:w="-108"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7" w:type="dxa"/>
                <w:bottom w:w="0" w:type="dxa"/>
                <w:right w:w="57" w:type="dxa"/>
              </w:tblCellMar>
            </w:tblPr>
            <w:tblGrid>
              <w:gridCol w:w="108"/>
              <w:gridCol w:w="558"/>
              <w:gridCol w:w="416"/>
              <w:gridCol w:w="165"/>
              <w:gridCol w:w="788"/>
              <w:gridCol w:w="687"/>
              <w:gridCol w:w="749"/>
              <w:gridCol w:w="4874"/>
              <w:gridCol w:w="1"/>
              <w:gridCol w:w="1833"/>
              <w:gridCol w:w="3"/>
              <w:gridCol w:w="1786"/>
              <w:gridCol w:w="1"/>
              <w:gridCol w:w="375"/>
              <w:gridCol w:w="3"/>
              <w:gridCol w:w="445"/>
              <w:gridCol w:w="1"/>
              <w:gridCol w:w="114"/>
              <w:gridCol w:w="3"/>
              <w:gridCol w:w="12"/>
            </w:tblGrid>
            <w:tr w14:paraId="280E22B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gridBefore w:val="1"/>
                <w:gridAfter w:val="1"/>
                <w:wBefore w:w="41" w:type="pct"/>
                <w:wAfter w:w="1" w:type="pct"/>
                <w:trHeight w:val="397" w:hRule="atLeast"/>
              </w:trPr>
              <w:tc>
                <w:tcPr>
                  <w:tcW w:w="216" w:type="pct"/>
                  <w:noWrap w:val="0"/>
                  <w:vAlign w:val="center"/>
                </w:tcPr>
                <w:p w14:paraId="52596AA4">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line="240" w:lineRule="auto"/>
                    <w:ind w:right="0" w:firstLine="0" w:firstLineChars="0"/>
                    <w:jc w:val="center"/>
                    <w:textAlignment w:val="auto"/>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适用范围</w:t>
                  </w:r>
                </w:p>
              </w:tc>
              <w:tc>
                <w:tcPr>
                  <w:tcW w:w="3682" w:type="pct"/>
                  <w:gridSpan w:val="9"/>
                  <w:noWrap w:val="0"/>
                  <w:vAlign w:val="center"/>
                </w:tcPr>
                <w:p w14:paraId="68C16F7B">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line="240" w:lineRule="auto"/>
                    <w:ind w:right="0" w:firstLine="0" w:firstLineChars="0"/>
                    <w:jc w:val="center"/>
                    <w:textAlignment w:val="auto"/>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准入要求</w:t>
                  </w:r>
                </w:p>
              </w:tc>
              <w:tc>
                <w:tcPr>
                  <w:tcW w:w="838" w:type="pct"/>
                  <w:gridSpan w:val="4"/>
                  <w:noWrap w:val="0"/>
                  <w:vAlign w:val="center"/>
                </w:tcPr>
                <w:p w14:paraId="4CC6AA0A">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line="240" w:lineRule="auto"/>
                    <w:ind w:right="0" w:firstLine="0" w:firstLineChars="0"/>
                    <w:jc w:val="center"/>
                    <w:textAlignment w:val="auto"/>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本项目情况</w:t>
                  </w:r>
                </w:p>
              </w:tc>
              <w:tc>
                <w:tcPr>
                  <w:tcW w:w="218" w:type="pct"/>
                  <w:gridSpan w:val="4"/>
                  <w:noWrap w:val="0"/>
                  <w:vAlign w:val="center"/>
                </w:tcPr>
                <w:p w14:paraId="1FC1C11B">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line="340" w:lineRule="exact"/>
                    <w:ind w:right="0" w:firstLine="0" w:firstLineChars="0"/>
                    <w:jc w:val="center"/>
                    <w:textAlignment w:val="auto"/>
                    <w:outlineLvl w:val="9"/>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符合性</w:t>
                  </w:r>
                </w:p>
              </w:tc>
            </w:tr>
            <w:tr w14:paraId="5DD463B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gridBefore w:val="1"/>
                <w:gridAfter w:val="2"/>
                <w:wBefore w:w="41" w:type="pct"/>
                <w:wAfter w:w="2" w:type="pct"/>
                <w:trHeight w:val="397" w:hRule="atLeast"/>
              </w:trPr>
              <w:tc>
                <w:tcPr>
                  <w:tcW w:w="216" w:type="pct"/>
                  <w:vMerge w:val="restart"/>
                  <w:noWrap w:val="0"/>
                  <w:vAlign w:val="center"/>
                </w:tcPr>
                <w:p w14:paraId="3DB2ED96">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line="240" w:lineRule="auto"/>
                    <w:ind w:right="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福州市</w:t>
                  </w:r>
                  <w:r>
                    <w:rPr>
                      <w:rFonts w:hint="default" w:ascii="Times New Roman" w:hAnsi="Times New Roman" w:eastAsia="宋体" w:cs="Times New Roman"/>
                      <w:color w:val="auto"/>
                      <w:sz w:val="21"/>
                      <w:szCs w:val="21"/>
                    </w:rPr>
                    <w:t>陆域</w:t>
                  </w:r>
                </w:p>
              </w:tc>
              <w:tc>
                <w:tcPr>
                  <w:tcW w:w="225" w:type="pct"/>
                  <w:gridSpan w:val="2"/>
                  <w:vMerge w:val="restart"/>
                  <w:noWrap w:val="0"/>
                  <w:vAlign w:val="center"/>
                </w:tcPr>
                <w:p w14:paraId="25336FB5">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line="240" w:lineRule="auto"/>
                    <w:ind w:right="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3456" w:type="pct"/>
                  <w:gridSpan w:val="6"/>
                  <w:noWrap w:val="0"/>
                  <w:vAlign w:val="center"/>
                </w:tcPr>
                <w:p w14:paraId="3F397938">
                  <w:pPr>
                    <w:keepNext w:val="0"/>
                    <w:keepLines w:val="0"/>
                    <w:pageBreakBefore w:val="0"/>
                    <w:widowControl w:val="0"/>
                    <w:numPr>
                      <w:ilvl w:val="0"/>
                      <w:numId w:val="3"/>
                    </w:numPr>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rPr>
                      <w:rFonts w:hint="eastAsia" w:ascii="Times New Roman" w:hAnsi="Times New Roman" w:eastAsia="宋体" w:cs="Times New Roman"/>
                      <w:b/>
                      <w:bCs/>
                      <w:color w:val="auto"/>
                      <w:sz w:val="21"/>
                      <w:szCs w:val="21"/>
                      <w:lang w:eastAsia="zh-CN"/>
                    </w:rPr>
                  </w:pPr>
                  <w:r>
                    <w:rPr>
                      <w:rFonts w:hint="eastAsia" w:ascii="Times New Roman" w:hAnsi="Times New Roman" w:eastAsia="宋体" w:cs="Times New Roman"/>
                      <w:b/>
                      <w:bCs/>
                      <w:color w:val="auto"/>
                      <w:sz w:val="21"/>
                      <w:szCs w:val="21"/>
                      <w:lang w:eastAsia="zh-CN"/>
                    </w:rPr>
                    <w:t>优先保护单元中的生态保护红线</w:t>
                  </w:r>
                </w:p>
                <w:p w14:paraId="2716710F">
                  <w:pPr>
                    <w:keepNext w:val="0"/>
                    <w:keepLines w:val="0"/>
                    <w:pageBreakBefore w:val="0"/>
                    <w:widowControl/>
                    <w:numPr>
                      <w:ilvl w:val="0"/>
                      <w:numId w:val="0"/>
                    </w:numPr>
                    <w:kinsoku/>
                    <w:wordWrap/>
                    <w:overflowPunct/>
                    <w:topLinePunct w:val="0"/>
                    <w:autoSpaceDE/>
                    <w:autoSpaceDN/>
                    <w:bidi w:val="0"/>
                    <w:adjustRightInd/>
                    <w:snapToGrid w:val="0"/>
                    <w:spacing w:before="0" w:after="0" w:line="240" w:lineRule="auto"/>
                    <w:ind w:right="0" w:rightChars="0"/>
                    <w:jc w:val="both"/>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1.根据《关于在国土空间规划中统筹划定落实三条控制线的指导意见》《自然资源部生态环境部国家林业和草原局关于加强生态保护红线管理的通知（试行）》，加强生态保护红线管理，严守自然生态安全边界。生态保护红线内，自然保护地核心保护区原则上禁止人为活动，其它区域禁止开发性、生产性建设活动，在符合法律法规的前提下，仅允许以下对生态功能不造成破坏的有限人为活动。生态保护红线内自然保护区、风景名胜区、饮用水水源保护区等区域，依照法律法规执行。</w:t>
                  </w:r>
                </w:p>
                <w:p w14:paraId="252B04C3">
                  <w:pPr>
                    <w:keepNext w:val="0"/>
                    <w:keepLines w:val="0"/>
                    <w:pageBreakBefore w:val="0"/>
                    <w:widowControl/>
                    <w:numPr>
                      <w:ilvl w:val="0"/>
                      <w:numId w:val="4"/>
                    </w:numPr>
                    <w:kinsoku/>
                    <w:wordWrap/>
                    <w:overflowPunct/>
                    <w:topLinePunct w:val="0"/>
                    <w:autoSpaceDE/>
                    <w:autoSpaceDN/>
                    <w:bidi w:val="0"/>
                    <w:adjustRightInd/>
                    <w:snapToGrid w:val="0"/>
                    <w:spacing w:before="0" w:after="0" w:line="240" w:lineRule="auto"/>
                    <w:ind w:right="0" w:rightChars="0"/>
                    <w:jc w:val="both"/>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管护巡护、保护执法、科学研究、调查监测、测绘导航、防灾减灾救灾、军事国防、疫情防控等活动及相关的必要设施修筑。</w:t>
                  </w:r>
                </w:p>
                <w:p w14:paraId="5B865A20">
                  <w:pPr>
                    <w:keepNext w:val="0"/>
                    <w:keepLines w:val="0"/>
                    <w:pageBreakBefore w:val="0"/>
                    <w:widowControl/>
                    <w:numPr>
                      <w:ilvl w:val="0"/>
                      <w:numId w:val="4"/>
                    </w:numPr>
                    <w:kinsoku/>
                    <w:wordWrap/>
                    <w:overflowPunct/>
                    <w:topLinePunct w:val="0"/>
                    <w:autoSpaceDE/>
                    <w:autoSpaceDN/>
                    <w:bidi w:val="0"/>
                    <w:adjustRightInd/>
                    <w:snapToGrid w:val="0"/>
                    <w:spacing w:before="0" w:after="0" w:line="240" w:lineRule="auto"/>
                    <w:ind w:left="0" w:leftChars="0" w:right="0" w:rightChars="0" w:firstLine="0" w:firstLineChars="0"/>
                    <w:jc w:val="both"/>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原住居民和其他合法权益主体，允许在不扩大现有建设用地、用海用岛、耕地、水产养殖规模和放牧强度（符合草畜平衡管理规定）的前提下，开展种植、放牧、捕捞、养殖（不包括投礁型海洋牧场、围海养殖）等活动，修筑生产生活设施。</w:t>
                  </w:r>
                </w:p>
                <w:p w14:paraId="2A0E66A0">
                  <w:pPr>
                    <w:keepNext w:val="0"/>
                    <w:keepLines w:val="0"/>
                    <w:pageBreakBefore w:val="0"/>
                    <w:widowControl/>
                    <w:numPr>
                      <w:ilvl w:val="0"/>
                      <w:numId w:val="4"/>
                    </w:numPr>
                    <w:kinsoku/>
                    <w:wordWrap/>
                    <w:overflowPunct/>
                    <w:topLinePunct w:val="0"/>
                    <w:autoSpaceDE/>
                    <w:autoSpaceDN/>
                    <w:bidi w:val="0"/>
                    <w:adjustRightInd/>
                    <w:snapToGrid w:val="0"/>
                    <w:spacing w:before="0" w:after="0" w:line="240" w:lineRule="auto"/>
                    <w:ind w:left="0" w:leftChars="0" w:right="0" w:rightChars="0" w:firstLine="0" w:firstLineChars="0"/>
                    <w:jc w:val="both"/>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经依法批准的考古调查发掘、古生物化石调查发掘、标本采集和文物保护活动。</w:t>
                  </w:r>
                </w:p>
                <w:p w14:paraId="4C94CBCD">
                  <w:pPr>
                    <w:keepNext w:val="0"/>
                    <w:keepLines w:val="0"/>
                    <w:pageBreakBefore w:val="0"/>
                    <w:widowControl/>
                    <w:numPr>
                      <w:ilvl w:val="0"/>
                      <w:numId w:val="4"/>
                    </w:numPr>
                    <w:kinsoku/>
                    <w:wordWrap/>
                    <w:overflowPunct/>
                    <w:topLinePunct w:val="0"/>
                    <w:autoSpaceDE/>
                    <w:autoSpaceDN/>
                    <w:bidi w:val="0"/>
                    <w:adjustRightInd/>
                    <w:snapToGrid w:val="0"/>
                    <w:spacing w:before="0" w:after="0" w:line="240" w:lineRule="auto"/>
                    <w:ind w:left="0" w:leftChars="0" w:right="0" w:rightChars="0" w:firstLine="0" w:firstLineChars="0"/>
                    <w:jc w:val="both"/>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按规定对人工商品林进行抚育采伐，或以提升森林质量、优化栖息地、建设生物防火隔离带等为目的的树种更新，依法开展的竹林采伐经营。</w:t>
                  </w:r>
                </w:p>
                <w:p w14:paraId="3219555F">
                  <w:pPr>
                    <w:keepNext w:val="0"/>
                    <w:keepLines w:val="0"/>
                    <w:pageBreakBefore w:val="0"/>
                    <w:widowControl/>
                    <w:numPr>
                      <w:ilvl w:val="0"/>
                      <w:numId w:val="4"/>
                    </w:numPr>
                    <w:kinsoku/>
                    <w:wordWrap/>
                    <w:overflowPunct/>
                    <w:topLinePunct w:val="0"/>
                    <w:autoSpaceDE/>
                    <w:autoSpaceDN/>
                    <w:bidi w:val="0"/>
                    <w:adjustRightInd/>
                    <w:snapToGrid w:val="0"/>
                    <w:spacing w:before="0" w:after="0" w:line="240" w:lineRule="auto"/>
                    <w:ind w:left="0" w:leftChars="0" w:right="0" w:rightChars="0" w:firstLine="0" w:firstLineChars="0"/>
                    <w:jc w:val="both"/>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不破坏生态功能的适度参观旅游、科普宣教及符合相关规划的配套性服务设施和相关的必要公共设施建设及维护。</w:t>
                  </w:r>
                </w:p>
                <w:p w14:paraId="35F4112F">
                  <w:pPr>
                    <w:keepNext w:val="0"/>
                    <w:keepLines w:val="0"/>
                    <w:pageBreakBefore w:val="0"/>
                    <w:widowControl/>
                    <w:numPr>
                      <w:ilvl w:val="0"/>
                      <w:numId w:val="4"/>
                    </w:numPr>
                    <w:kinsoku/>
                    <w:wordWrap/>
                    <w:overflowPunct/>
                    <w:topLinePunct w:val="0"/>
                    <w:autoSpaceDE/>
                    <w:autoSpaceDN/>
                    <w:bidi w:val="0"/>
                    <w:adjustRightInd/>
                    <w:snapToGrid w:val="0"/>
                    <w:spacing w:before="0" w:after="0" w:line="240" w:lineRule="auto"/>
                    <w:ind w:left="0" w:leftChars="0" w:right="0" w:rightChars="0" w:firstLine="0" w:firstLineChars="0"/>
                    <w:jc w:val="both"/>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必须且无法避让、符合县级以上国土空间规划的线性基础设施、通讯和防洪、供水设施建设和船舶航行、航道疏浚清淤等活动；已有的合法水利、交通运输等设施运行维护改造。</w:t>
                  </w:r>
                </w:p>
                <w:p w14:paraId="66747752">
                  <w:pPr>
                    <w:keepNext w:val="0"/>
                    <w:keepLines w:val="0"/>
                    <w:pageBreakBefore w:val="0"/>
                    <w:widowControl/>
                    <w:numPr>
                      <w:ilvl w:val="0"/>
                      <w:numId w:val="4"/>
                    </w:numPr>
                    <w:kinsoku/>
                    <w:wordWrap/>
                    <w:overflowPunct/>
                    <w:topLinePunct w:val="0"/>
                    <w:autoSpaceDE/>
                    <w:autoSpaceDN/>
                    <w:bidi w:val="0"/>
                    <w:adjustRightInd/>
                    <w:snapToGrid w:val="0"/>
                    <w:spacing w:before="0" w:after="0" w:line="240" w:lineRule="auto"/>
                    <w:ind w:left="0" w:leftChars="0" w:right="0" w:rightChars="0" w:firstLine="0" w:firstLineChars="0"/>
                    <w:jc w:val="both"/>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地质调查与矿产资源勘查开采。包括：基础地质调查和战略性矿产资源远景调查等公益性工作；铀矿勘查开采活动，可办理矿业权登记；已依法设立的油气探矿权继续勘查活动，可办理探矿权延续、变更（不含扩大勘查区块范围）、保留、注销，当发现可供开采油气资源并探明储量时，可将开采拟占用的地表或海域范围依照国家相关规定调出生态保护红线；已依法设立的油气采矿权不扩大用地用海范围，继续开采，可办理采矿权延续、变更（不含扩大矿区范围）、注销；已依法设立的矿泉水和地热采矿权，在不超出已经核定的生产规模、不新增生产设施的前提下继续开采，可办理采矿权延续、变更（不含扩大矿区范围）、注销；已依法设立和新立铬、铜、镍、锂、钴、锆、钾盐、（中）重稀土矿等战略性矿产探矿权开展勘查活动，可办理探矿权登记，因国家战略需要开展开采活动的，可办理采矿权登记。上述勘查开采活动，应落实减缓生态环境影响措施，严格执行绿色勘查、开采及矿山环境生态修复相关要求。</w:t>
                  </w:r>
                </w:p>
                <w:p w14:paraId="707A766E">
                  <w:pPr>
                    <w:keepNext w:val="0"/>
                    <w:keepLines w:val="0"/>
                    <w:pageBreakBefore w:val="0"/>
                    <w:widowControl/>
                    <w:numPr>
                      <w:ilvl w:val="0"/>
                      <w:numId w:val="4"/>
                    </w:numPr>
                    <w:kinsoku/>
                    <w:wordWrap/>
                    <w:overflowPunct/>
                    <w:topLinePunct w:val="0"/>
                    <w:autoSpaceDE/>
                    <w:autoSpaceDN/>
                    <w:bidi w:val="0"/>
                    <w:adjustRightInd/>
                    <w:snapToGrid w:val="0"/>
                    <w:spacing w:before="0" w:after="0" w:line="240" w:lineRule="auto"/>
                    <w:ind w:left="0" w:leftChars="0" w:right="0" w:rightChars="0" w:firstLine="0" w:firstLineChars="0"/>
                    <w:jc w:val="both"/>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依据县级以上国土空间规划和生态保护修复专项规划开展的生态修复。</w:t>
                  </w:r>
                </w:p>
                <w:p w14:paraId="65BB4253">
                  <w:pPr>
                    <w:keepNext w:val="0"/>
                    <w:keepLines w:val="0"/>
                    <w:pageBreakBefore w:val="0"/>
                    <w:widowControl/>
                    <w:numPr>
                      <w:ilvl w:val="0"/>
                      <w:numId w:val="0"/>
                    </w:numPr>
                    <w:kinsoku/>
                    <w:wordWrap/>
                    <w:overflowPunct/>
                    <w:topLinePunct w:val="0"/>
                    <w:autoSpaceDE/>
                    <w:autoSpaceDN/>
                    <w:bidi w:val="0"/>
                    <w:adjustRightInd/>
                    <w:snapToGrid w:val="0"/>
                    <w:spacing w:before="0" w:after="0" w:line="240" w:lineRule="auto"/>
                    <w:ind w:leftChars="0" w:right="0" w:rightChars="0"/>
                    <w:jc w:val="both"/>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（9）法律法规规定允许的其他人为活动。</w:t>
                  </w:r>
                </w:p>
                <w:p w14:paraId="02D1D8E1">
                  <w:pPr>
                    <w:keepNext w:val="0"/>
                    <w:keepLines w:val="0"/>
                    <w:pageBreakBefore w:val="0"/>
                    <w:widowControl/>
                    <w:kinsoku/>
                    <w:wordWrap/>
                    <w:overflowPunct/>
                    <w:topLinePunct w:val="0"/>
                    <w:autoSpaceDE/>
                    <w:autoSpaceDN/>
                    <w:bidi w:val="0"/>
                    <w:adjustRightInd/>
                    <w:snapToGrid w:val="0"/>
                    <w:spacing w:before="0" w:after="0" w:line="240" w:lineRule="auto"/>
                    <w:ind w:right="0"/>
                    <w:jc w:val="both"/>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2.依据《福建省自然资源厅福建省生态环境厅福建省林业局关于进一步加强生态保护红线监管的通知（试行）》（闽自然资发〔2023〕56号），允许占用生态保护红线的重大项目范围：</w:t>
                  </w:r>
                </w:p>
                <w:p w14:paraId="10A6DB24">
                  <w:pPr>
                    <w:keepNext w:val="0"/>
                    <w:keepLines w:val="0"/>
                    <w:pageBreakBefore w:val="0"/>
                    <w:widowControl/>
                    <w:kinsoku/>
                    <w:wordWrap/>
                    <w:overflowPunct/>
                    <w:topLinePunct w:val="0"/>
                    <w:autoSpaceDE/>
                    <w:autoSpaceDN/>
                    <w:bidi w:val="0"/>
                    <w:adjustRightInd/>
                    <w:snapToGrid w:val="0"/>
                    <w:spacing w:before="0" w:after="0" w:line="240" w:lineRule="auto"/>
                    <w:ind w:right="0"/>
                    <w:jc w:val="both"/>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（1）党中央、国务院发布文件或批准规划中明确具体名称的项目和国务院批准的项目。</w:t>
                  </w:r>
                </w:p>
                <w:p w14:paraId="399408A0">
                  <w:pPr>
                    <w:keepNext w:val="0"/>
                    <w:keepLines w:val="0"/>
                    <w:pageBreakBefore w:val="0"/>
                    <w:widowControl/>
                    <w:kinsoku/>
                    <w:wordWrap/>
                    <w:overflowPunct/>
                    <w:topLinePunct w:val="0"/>
                    <w:autoSpaceDE/>
                    <w:autoSpaceDN/>
                    <w:bidi w:val="0"/>
                    <w:adjustRightInd/>
                    <w:snapToGrid w:val="0"/>
                    <w:spacing w:before="0" w:after="0" w:line="240" w:lineRule="auto"/>
                    <w:ind w:right="0"/>
                    <w:jc w:val="both"/>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（2）中央军委及其有关部门批准的军事国防项目。</w:t>
                  </w:r>
                </w:p>
                <w:p w14:paraId="00F53E9F">
                  <w:pPr>
                    <w:keepNext w:val="0"/>
                    <w:keepLines w:val="0"/>
                    <w:pageBreakBefore w:val="0"/>
                    <w:widowControl/>
                    <w:kinsoku/>
                    <w:wordWrap/>
                    <w:overflowPunct/>
                    <w:topLinePunct w:val="0"/>
                    <w:autoSpaceDE/>
                    <w:autoSpaceDN/>
                    <w:bidi w:val="0"/>
                    <w:adjustRightInd/>
                    <w:snapToGrid w:val="0"/>
                    <w:spacing w:before="0" w:after="0" w:line="240" w:lineRule="auto"/>
                    <w:ind w:right="0"/>
                    <w:jc w:val="both"/>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（3）国家级规划（指国务院及其有关部门正式颁布）明确的交通、水利项目。</w:t>
                  </w:r>
                </w:p>
                <w:p w14:paraId="4F1680F0">
                  <w:pPr>
                    <w:keepNext w:val="0"/>
                    <w:keepLines w:val="0"/>
                    <w:pageBreakBefore w:val="0"/>
                    <w:widowControl/>
                    <w:kinsoku/>
                    <w:wordWrap/>
                    <w:overflowPunct/>
                    <w:topLinePunct w:val="0"/>
                    <w:autoSpaceDE/>
                    <w:autoSpaceDN/>
                    <w:bidi w:val="0"/>
                    <w:adjustRightInd/>
                    <w:snapToGrid w:val="0"/>
                    <w:spacing w:before="0" w:after="0" w:line="240" w:lineRule="auto"/>
                    <w:ind w:right="0"/>
                    <w:jc w:val="both"/>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（4）国家级规划明确的电网项目，国家级规划明确的且符合国家产业政策的能源矿产勘查开采、油气管线、水电、核电项目。</w:t>
                  </w:r>
                </w:p>
                <w:p w14:paraId="36629D71">
                  <w:pPr>
                    <w:keepNext w:val="0"/>
                    <w:keepLines w:val="0"/>
                    <w:pageBreakBefore w:val="0"/>
                    <w:widowControl/>
                    <w:kinsoku/>
                    <w:wordWrap/>
                    <w:overflowPunct/>
                    <w:topLinePunct w:val="0"/>
                    <w:autoSpaceDE/>
                    <w:autoSpaceDN/>
                    <w:bidi w:val="0"/>
                    <w:adjustRightInd/>
                    <w:snapToGrid w:val="0"/>
                    <w:spacing w:before="0" w:after="0" w:line="240" w:lineRule="auto"/>
                    <w:ind w:right="0"/>
                    <w:jc w:val="both"/>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（5）为贯彻落实党中央、国务院重大决策部署，国务院投资主管部门或国务院投资主管部门会同有关部门确认的交通、能源、水利等基础设施项目。</w:t>
                  </w:r>
                </w:p>
                <w:p w14:paraId="11E3BA27">
                  <w:pPr>
                    <w:keepNext w:val="0"/>
                    <w:keepLines w:val="0"/>
                    <w:pageBreakBefore w:val="0"/>
                    <w:widowControl/>
                    <w:kinsoku/>
                    <w:wordWrap/>
                    <w:overflowPunct/>
                    <w:topLinePunct w:val="0"/>
                    <w:autoSpaceDE/>
                    <w:autoSpaceDN/>
                    <w:bidi w:val="0"/>
                    <w:adjustRightInd/>
                    <w:snapToGrid w:val="0"/>
                    <w:spacing w:before="0" w:after="0" w:line="240" w:lineRule="auto"/>
                    <w:ind w:right="0"/>
                    <w:jc w:val="both"/>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（6）按照国家重大项目用地保障工作机制要求，国家发展</w:t>
                  </w:r>
                  <w:r>
                    <w:rPr>
                      <w:rFonts w:hint="eastAsia" w:cs="Times New Roman"/>
                      <w:color w:val="auto"/>
                      <w:kern w:val="0"/>
                      <w:sz w:val="21"/>
                      <w:szCs w:val="21"/>
                      <w:lang w:val="en-US" w:eastAsia="zh-CN" w:bidi="ar-SA"/>
                    </w:rPr>
                    <w:t>和改革委员会</w:t>
                  </w:r>
                  <w:r>
                    <w:rPr>
                      <w:rFonts w:hint="eastAsia" w:ascii="Times New Roman" w:hAnsi="Times New Roman" w:eastAsia="宋体" w:cs="Times New Roman"/>
                      <w:color w:val="auto"/>
                      <w:kern w:val="0"/>
                      <w:sz w:val="21"/>
                      <w:szCs w:val="21"/>
                      <w:lang w:val="en-US" w:eastAsia="zh-CN" w:bidi="ar-SA"/>
                    </w:rPr>
                    <w:t>同有关部门确认的需中央加大建设用地保障力度，确实难以避让的国家重大项目。</w:t>
                  </w:r>
                </w:p>
              </w:tc>
              <w:tc>
                <w:tcPr>
                  <w:tcW w:w="838" w:type="pct"/>
                  <w:gridSpan w:val="4"/>
                  <w:noWrap w:val="0"/>
                  <w:vAlign w:val="center"/>
                </w:tcPr>
                <w:p w14:paraId="608144CD">
                  <w:pPr>
                    <w:keepNext w:val="0"/>
                    <w:keepLines w:val="0"/>
                    <w:pageBreakBefore w:val="0"/>
                    <w:widowControl/>
                    <w:kinsoku/>
                    <w:wordWrap/>
                    <w:overflowPunct/>
                    <w:topLinePunct w:val="0"/>
                    <w:autoSpaceDE/>
                    <w:autoSpaceDN/>
                    <w:bidi w:val="0"/>
                    <w:snapToGrid w:val="0"/>
                    <w:spacing w:before="0" w:after="0" w:line="240" w:lineRule="auto"/>
                    <w:ind w:left="0" w:leftChars="0" w:right="0" w:firstLine="0" w:firstLineChars="0"/>
                    <w:jc w:val="both"/>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本项目位于福建省福州市福清市海口镇南厝村，不涉及生态保护红线。</w:t>
                  </w:r>
                </w:p>
              </w:tc>
              <w:tc>
                <w:tcPr>
                  <w:tcW w:w="218" w:type="pct"/>
                  <w:gridSpan w:val="4"/>
                  <w:noWrap w:val="0"/>
                  <w:vAlign w:val="center"/>
                </w:tcPr>
                <w:p w14:paraId="18115B9F">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line="340" w:lineRule="exact"/>
                    <w:ind w:right="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符合</w:t>
                  </w:r>
                </w:p>
              </w:tc>
            </w:tr>
            <w:tr w14:paraId="5D756B7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gridBefore w:val="1"/>
                <w:gridAfter w:val="2"/>
                <w:wBefore w:w="41" w:type="pct"/>
                <w:wAfter w:w="2" w:type="pct"/>
                <w:trHeight w:val="397" w:hRule="atLeast"/>
              </w:trPr>
              <w:tc>
                <w:tcPr>
                  <w:tcW w:w="216" w:type="pct"/>
                  <w:vMerge w:val="continue"/>
                  <w:noWrap w:val="0"/>
                  <w:vAlign w:val="center"/>
                </w:tcPr>
                <w:p w14:paraId="392FA6D0">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line="240" w:lineRule="auto"/>
                    <w:ind w:right="0" w:firstLine="0" w:firstLineChars="0"/>
                    <w:jc w:val="center"/>
                    <w:textAlignment w:val="auto"/>
                    <w:outlineLvl w:val="9"/>
                    <w:rPr>
                      <w:rFonts w:hint="default" w:ascii="Times New Roman" w:hAnsi="Times New Roman" w:eastAsia="宋体" w:cs="Times New Roman"/>
                      <w:color w:val="auto"/>
                      <w:sz w:val="21"/>
                      <w:szCs w:val="21"/>
                    </w:rPr>
                  </w:pPr>
                </w:p>
              </w:tc>
              <w:tc>
                <w:tcPr>
                  <w:tcW w:w="225" w:type="pct"/>
                  <w:gridSpan w:val="2"/>
                  <w:vMerge w:val="continue"/>
                  <w:noWrap w:val="0"/>
                  <w:vAlign w:val="center"/>
                </w:tcPr>
                <w:p w14:paraId="1B94C239">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line="240" w:lineRule="auto"/>
                    <w:ind w:right="0" w:firstLine="0" w:firstLineChars="0"/>
                    <w:jc w:val="center"/>
                    <w:textAlignment w:val="auto"/>
                    <w:outlineLvl w:val="9"/>
                    <w:rPr>
                      <w:rFonts w:hint="default" w:ascii="Times New Roman" w:hAnsi="Times New Roman" w:eastAsia="宋体" w:cs="Times New Roman"/>
                      <w:color w:val="auto"/>
                      <w:sz w:val="21"/>
                      <w:szCs w:val="21"/>
                    </w:rPr>
                  </w:pPr>
                </w:p>
              </w:tc>
              <w:tc>
                <w:tcPr>
                  <w:tcW w:w="3456" w:type="pct"/>
                  <w:gridSpan w:val="6"/>
                  <w:noWrap w:val="0"/>
                  <w:vAlign w:val="center"/>
                </w:tcPr>
                <w:p w14:paraId="11703390">
                  <w:pPr>
                    <w:keepNext w:val="0"/>
                    <w:keepLines w:val="0"/>
                    <w:pageBreakBefore w:val="0"/>
                    <w:widowControl/>
                    <w:kinsoku/>
                    <w:wordWrap/>
                    <w:overflowPunct/>
                    <w:topLinePunct w:val="0"/>
                    <w:autoSpaceDE/>
                    <w:autoSpaceDN/>
                    <w:bidi w:val="0"/>
                    <w:adjustRightInd/>
                    <w:snapToGrid w:val="0"/>
                    <w:spacing w:before="0" w:after="0" w:line="240" w:lineRule="auto"/>
                    <w:ind w:right="0"/>
                    <w:jc w:val="both"/>
                    <w:textAlignment w:val="auto"/>
                    <w:rPr>
                      <w:rFonts w:hint="eastAsia" w:ascii="Times New Roman" w:hAnsi="Times New Roman" w:eastAsia="宋体" w:cs="Times New Roman"/>
                      <w:b/>
                      <w:bCs/>
                      <w:color w:val="auto"/>
                      <w:kern w:val="0"/>
                      <w:sz w:val="21"/>
                      <w:szCs w:val="21"/>
                      <w:lang w:val="en-US" w:eastAsia="zh-CN" w:bidi="ar-SA"/>
                    </w:rPr>
                  </w:pPr>
                  <w:r>
                    <w:rPr>
                      <w:rFonts w:hint="eastAsia" w:ascii="Times New Roman" w:hAnsi="Times New Roman" w:eastAsia="宋体" w:cs="Times New Roman"/>
                      <w:b/>
                      <w:bCs/>
                      <w:color w:val="auto"/>
                      <w:kern w:val="0"/>
                      <w:sz w:val="21"/>
                      <w:szCs w:val="21"/>
                      <w:lang w:val="en-US" w:eastAsia="zh-CN" w:bidi="ar-SA"/>
                    </w:rPr>
                    <w:t>二、优先保护单元中的一般生态空间</w:t>
                  </w:r>
                </w:p>
                <w:p w14:paraId="015F37D1">
                  <w:pPr>
                    <w:keepNext w:val="0"/>
                    <w:keepLines w:val="0"/>
                    <w:pageBreakBefore w:val="0"/>
                    <w:widowControl/>
                    <w:kinsoku/>
                    <w:wordWrap/>
                    <w:overflowPunct/>
                    <w:topLinePunct w:val="0"/>
                    <w:autoSpaceDE/>
                    <w:autoSpaceDN/>
                    <w:bidi w:val="0"/>
                    <w:adjustRightInd/>
                    <w:snapToGrid w:val="0"/>
                    <w:spacing w:before="0" w:after="0" w:line="240" w:lineRule="auto"/>
                    <w:ind w:right="0"/>
                    <w:jc w:val="both"/>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1.一般生态空间以保护和修复生态环境、提供生态产品和服务为首要任务，因地制宜地发展不影响主体功能定位的适宜产业。</w:t>
                  </w:r>
                </w:p>
                <w:p w14:paraId="4C52D1ED">
                  <w:pPr>
                    <w:keepNext w:val="0"/>
                    <w:keepLines w:val="0"/>
                    <w:pageBreakBefore w:val="0"/>
                    <w:widowControl/>
                    <w:kinsoku/>
                    <w:wordWrap/>
                    <w:overflowPunct/>
                    <w:topLinePunct w:val="0"/>
                    <w:autoSpaceDE/>
                    <w:autoSpaceDN/>
                    <w:bidi w:val="0"/>
                    <w:adjustRightInd/>
                    <w:snapToGrid w:val="0"/>
                    <w:spacing w:before="0" w:after="0" w:line="240" w:lineRule="auto"/>
                    <w:ind w:right="0"/>
                    <w:jc w:val="both"/>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2.一般生态空间内未纳入生态保护红线的饮用水水源保护区等各类法定保护地，其管控要求依照相关法律法规执行。</w:t>
                  </w:r>
                </w:p>
                <w:p w14:paraId="0943F1FA">
                  <w:pPr>
                    <w:keepNext w:val="0"/>
                    <w:keepLines w:val="0"/>
                    <w:pageBreakBefore w:val="0"/>
                    <w:widowControl/>
                    <w:kinsoku/>
                    <w:wordWrap/>
                    <w:overflowPunct/>
                    <w:topLinePunct w:val="0"/>
                    <w:autoSpaceDE/>
                    <w:autoSpaceDN/>
                    <w:bidi w:val="0"/>
                    <w:adjustRightInd/>
                    <w:snapToGrid w:val="0"/>
                    <w:spacing w:before="0" w:after="0" w:line="240" w:lineRule="auto"/>
                    <w:ind w:right="0"/>
                    <w:jc w:val="both"/>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3.一般生态空间内现有合法的水泥厂、矿山开发等生产性设施及生活垃圾处置等民生工程予以保留，应按照法律法规要求落实污染防治和生态保护措施，避免对生态功能造成破坏。</w:t>
                  </w:r>
                </w:p>
              </w:tc>
              <w:tc>
                <w:tcPr>
                  <w:tcW w:w="838" w:type="pct"/>
                  <w:gridSpan w:val="4"/>
                  <w:noWrap w:val="0"/>
                  <w:vAlign w:val="center"/>
                </w:tcPr>
                <w:p w14:paraId="26FAEC75">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line="240" w:lineRule="auto"/>
                    <w:ind w:right="0" w:firstLine="0" w:firstLineChars="0"/>
                    <w:jc w:val="left"/>
                    <w:textAlignment w:val="auto"/>
                    <w:outlineLvl w:val="9"/>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本项目位于</w:t>
                  </w:r>
                  <w:r>
                    <w:rPr>
                      <w:rFonts w:hint="eastAsia" w:ascii="Times New Roman" w:hAnsi="Times New Roman" w:eastAsia="宋体" w:cs="Times New Roman"/>
                      <w:color w:val="auto"/>
                      <w:kern w:val="0"/>
                      <w:sz w:val="21"/>
                      <w:szCs w:val="21"/>
                      <w:lang w:val="en-US" w:eastAsia="zh-CN" w:bidi="ar-SA"/>
                    </w:rPr>
                    <w:t>福清市海口镇南厝村</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kern w:val="0"/>
                      <w:sz w:val="21"/>
                      <w:szCs w:val="21"/>
                      <w:lang w:val="en-US" w:eastAsia="zh-CN" w:bidi="ar-SA"/>
                    </w:rPr>
                    <w:t>不涉及一般生态空间。</w:t>
                  </w:r>
                </w:p>
              </w:tc>
              <w:tc>
                <w:tcPr>
                  <w:tcW w:w="218" w:type="pct"/>
                  <w:gridSpan w:val="4"/>
                  <w:noWrap w:val="0"/>
                  <w:vAlign w:val="center"/>
                </w:tcPr>
                <w:p w14:paraId="5BA0A654">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line="340" w:lineRule="exact"/>
                    <w:ind w:right="0" w:firstLine="0" w:firstLineChars="0"/>
                    <w:jc w:val="center"/>
                    <w:textAlignment w:val="auto"/>
                    <w:outlineLvl w:val="9"/>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符合</w:t>
                  </w:r>
                </w:p>
              </w:tc>
            </w:tr>
            <w:tr w14:paraId="4B2FAD5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gridBefore w:val="1"/>
                <w:gridAfter w:val="2"/>
                <w:wBefore w:w="41" w:type="pct"/>
                <w:wAfter w:w="2" w:type="pct"/>
                <w:trHeight w:val="90" w:hRule="atLeast"/>
              </w:trPr>
              <w:tc>
                <w:tcPr>
                  <w:tcW w:w="216" w:type="pct"/>
                  <w:vMerge w:val="continue"/>
                  <w:noWrap w:val="0"/>
                  <w:vAlign w:val="center"/>
                </w:tcPr>
                <w:p w14:paraId="7D3C0CE0">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line="240" w:lineRule="auto"/>
                    <w:ind w:right="0" w:firstLine="0" w:firstLineChars="0"/>
                    <w:jc w:val="center"/>
                    <w:textAlignment w:val="auto"/>
                    <w:outlineLvl w:val="9"/>
                    <w:rPr>
                      <w:rFonts w:hint="default" w:ascii="Times New Roman" w:hAnsi="Times New Roman" w:eastAsia="宋体" w:cs="Times New Roman"/>
                      <w:color w:val="auto"/>
                      <w:sz w:val="21"/>
                      <w:szCs w:val="21"/>
                    </w:rPr>
                  </w:pPr>
                </w:p>
              </w:tc>
              <w:tc>
                <w:tcPr>
                  <w:tcW w:w="225" w:type="pct"/>
                  <w:gridSpan w:val="2"/>
                  <w:vMerge w:val="continue"/>
                  <w:noWrap w:val="0"/>
                  <w:vAlign w:val="center"/>
                </w:tcPr>
                <w:p w14:paraId="4D31ACF3">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line="240" w:lineRule="auto"/>
                    <w:ind w:right="0" w:firstLine="0" w:firstLineChars="0"/>
                    <w:jc w:val="center"/>
                    <w:textAlignment w:val="auto"/>
                    <w:outlineLvl w:val="9"/>
                    <w:rPr>
                      <w:rFonts w:hint="default" w:ascii="Times New Roman" w:hAnsi="Times New Roman" w:eastAsia="宋体" w:cs="Times New Roman"/>
                      <w:color w:val="auto"/>
                      <w:sz w:val="21"/>
                      <w:szCs w:val="21"/>
                    </w:rPr>
                  </w:pPr>
                </w:p>
              </w:tc>
              <w:tc>
                <w:tcPr>
                  <w:tcW w:w="3456" w:type="pct"/>
                  <w:gridSpan w:val="6"/>
                  <w:noWrap w:val="0"/>
                  <w:vAlign w:val="center"/>
                </w:tcPr>
                <w:p w14:paraId="0E73A97D">
                  <w:pPr>
                    <w:keepNext w:val="0"/>
                    <w:keepLines w:val="0"/>
                    <w:pageBreakBefore w:val="0"/>
                    <w:widowControl/>
                    <w:kinsoku/>
                    <w:wordWrap/>
                    <w:overflowPunct/>
                    <w:topLinePunct w:val="0"/>
                    <w:autoSpaceDE/>
                    <w:autoSpaceDN/>
                    <w:bidi w:val="0"/>
                    <w:adjustRightInd/>
                    <w:snapToGrid w:val="0"/>
                    <w:spacing w:before="0" w:after="0" w:line="240" w:lineRule="auto"/>
                    <w:ind w:right="0"/>
                    <w:jc w:val="left"/>
                    <w:textAlignment w:val="auto"/>
                    <w:rPr>
                      <w:rFonts w:hint="eastAsia" w:ascii="Times New Roman" w:hAnsi="Times New Roman" w:eastAsia="宋体" w:cs="Times New Roman"/>
                      <w:b/>
                      <w:bCs/>
                      <w:color w:val="auto"/>
                      <w:kern w:val="0"/>
                      <w:sz w:val="21"/>
                      <w:szCs w:val="21"/>
                      <w:lang w:val="en-US" w:eastAsia="zh-CN" w:bidi="ar-SA"/>
                    </w:rPr>
                  </w:pPr>
                  <w:r>
                    <w:rPr>
                      <w:rFonts w:hint="eastAsia" w:ascii="Times New Roman" w:hAnsi="Times New Roman" w:eastAsia="宋体" w:cs="Times New Roman"/>
                      <w:b/>
                      <w:bCs/>
                      <w:color w:val="auto"/>
                      <w:kern w:val="0"/>
                      <w:sz w:val="21"/>
                      <w:szCs w:val="21"/>
                      <w:lang w:val="en-US" w:eastAsia="zh-CN" w:bidi="ar-SA"/>
                    </w:rPr>
                    <w:t>三、其他要求</w:t>
                  </w:r>
                </w:p>
                <w:p w14:paraId="4E0FAD0F">
                  <w:pPr>
                    <w:keepNext w:val="0"/>
                    <w:keepLines w:val="0"/>
                    <w:pageBreakBefore w:val="0"/>
                    <w:widowControl/>
                    <w:kinsoku/>
                    <w:wordWrap/>
                    <w:overflowPunct/>
                    <w:topLinePunct w:val="0"/>
                    <w:autoSpaceDE/>
                    <w:autoSpaceDN/>
                    <w:bidi w:val="0"/>
                    <w:adjustRightInd/>
                    <w:snapToGrid w:val="0"/>
                    <w:spacing w:before="0" w:after="0" w:line="240" w:lineRule="auto"/>
                    <w:ind w:right="0"/>
                    <w:jc w:val="left"/>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bidi="ar-SA"/>
                    </w:rPr>
                    <w:t>1.福州市石化中上游项目重点在福州江阴港城经济区、可门港经济区化工新材料产业园布局。</w:t>
                  </w:r>
                </w:p>
                <w:p w14:paraId="2770CA6A">
                  <w:pPr>
                    <w:keepNext w:val="0"/>
                    <w:keepLines w:val="0"/>
                    <w:pageBreakBefore w:val="0"/>
                    <w:widowControl/>
                    <w:kinsoku/>
                    <w:wordWrap/>
                    <w:overflowPunct/>
                    <w:topLinePunct w:val="0"/>
                    <w:autoSpaceDE/>
                    <w:autoSpaceDN/>
                    <w:bidi w:val="0"/>
                    <w:adjustRightInd/>
                    <w:snapToGrid w:val="0"/>
                    <w:spacing w:before="0" w:after="0" w:line="240" w:lineRule="auto"/>
                    <w:ind w:right="0"/>
                    <w:jc w:val="left"/>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bidi="ar-SA"/>
                    </w:rPr>
                    <w:t>2.禁止在闽江马尾罗星塔以上流域范围新、扩建制革项目，严控新（扩）建植物制浆、印染、合成革及人造革、电镀项目。</w:t>
                  </w:r>
                </w:p>
                <w:p w14:paraId="2F09EF9D">
                  <w:pPr>
                    <w:keepNext w:val="0"/>
                    <w:keepLines w:val="0"/>
                    <w:pageBreakBefore w:val="0"/>
                    <w:widowControl/>
                    <w:kinsoku/>
                    <w:wordWrap/>
                    <w:overflowPunct/>
                    <w:topLinePunct w:val="0"/>
                    <w:autoSpaceDE/>
                    <w:autoSpaceDN/>
                    <w:bidi w:val="0"/>
                    <w:adjustRightInd/>
                    <w:snapToGrid w:val="0"/>
                    <w:spacing w:before="0" w:after="0" w:line="240" w:lineRule="auto"/>
                    <w:ind w:right="0"/>
                    <w:jc w:val="left"/>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bidi="ar-SA"/>
                    </w:rPr>
                    <w:t>3.禁止在通风廊道和主导风向的上风向布局大气重污染企业，推进建成区大气重污染企业搬迁或升级改造、环境风险企业搬迁或关闭退出。</w:t>
                  </w:r>
                </w:p>
                <w:p w14:paraId="21785AE2">
                  <w:pPr>
                    <w:keepNext w:val="0"/>
                    <w:keepLines w:val="0"/>
                    <w:pageBreakBefore w:val="0"/>
                    <w:widowControl/>
                    <w:kinsoku/>
                    <w:wordWrap/>
                    <w:overflowPunct/>
                    <w:topLinePunct w:val="0"/>
                    <w:autoSpaceDE/>
                    <w:autoSpaceDN/>
                    <w:bidi w:val="0"/>
                    <w:adjustRightInd/>
                    <w:snapToGrid w:val="0"/>
                    <w:spacing w:before="0" w:after="0" w:line="240" w:lineRule="auto"/>
                    <w:ind w:right="0"/>
                    <w:jc w:val="left"/>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bidi="ar-SA"/>
                    </w:rPr>
                    <w:t>4.禁止新、改、扩建生产高VOCs含量有机溶剂型涂料、油墨和胶黏剂的项目。</w:t>
                  </w:r>
                </w:p>
                <w:p w14:paraId="62B86211">
                  <w:pPr>
                    <w:keepNext w:val="0"/>
                    <w:keepLines w:val="0"/>
                    <w:pageBreakBefore w:val="0"/>
                    <w:widowControl/>
                    <w:kinsoku/>
                    <w:wordWrap/>
                    <w:overflowPunct/>
                    <w:topLinePunct w:val="0"/>
                    <w:autoSpaceDE/>
                    <w:autoSpaceDN/>
                    <w:bidi w:val="0"/>
                    <w:adjustRightInd/>
                    <w:snapToGrid w:val="0"/>
                    <w:spacing w:before="0" w:after="0" w:line="240" w:lineRule="auto"/>
                    <w:ind w:right="0"/>
                    <w:jc w:val="left"/>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bidi="ar-SA"/>
                    </w:rPr>
                    <w:t>5.持续加强闽清等地建陶产业的环境综合治理，充分衔接国土空间规划和生态环境分区管控，并对照产业政策、城市总体发展规划等要求，进一步明确发展定位，优化产业布局和规模。</w:t>
                  </w:r>
                </w:p>
                <w:p w14:paraId="3AD201BA">
                  <w:pPr>
                    <w:keepNext w:val="0"/>
                    <w:keepLines w:val="0"/>
                    <w:pageBreakBefore w:val="0"/>
                    <w:widowControl/>
                    <w:kinsoku/>
                    <w:wordWrap/>
                    <w:overflowPunct/>
                    <w:topLinePunct w:val="0"/>
                    <w:autoSpaceDE/>
                    <w:autoSpaceDN/>
                    <w:bidi w:val="0"/>
                    <w:adjustRightInd/>
                    <w:snapToGrid w:val="0"/>
                    <w:spacing w:before="0" w:after="0" w:line="240" w:lineRule="auto"/>
                    <w:ind w:right="0"/>
                    <w:jc w:val="left"/>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bidi="ar-SA"/>
                    </w:rPr>
                    <w:t>6.新建、扩建的涉及重点重金属污染物</w:t>
                  </w:r>
                  <w:r>
                    <w:rPr>
                      <w:rFonts w:hint="eastAsia" w:ascii="Times New Roman" w:hAnsi="Times New Roman" w:eastAsia="宋体" w:cs="Times New Roman"/>
                      <w:b w:val="0"/>
                      <w:bCs w:val="0"/>
                      <w:color w:val="auto"/>
                      <w:kern w:val="0"/>
                      <w:sz w:val="21"/>
                      <w:szCs w:val="21"/>
                      <w:vertAlign w:val="superscript"/>
                      <w:lang w:val="en-US" w:eastAsia="zh-CN" w:bidi="ar-SA"/>
                    </w:rPr>
                    <w:t>[1]</w:t>
                  </w:r>
                  <w:r>
                    <w:rPr>
                      <w:rFonts w:hint="eastAsia" w:ascii="Times New Roman" w:hAnsi="Times New Roman" w:eastAsia="宋体" w:cs="Times New Roman"/>
                      <w:b w:val="0"/>
                      <w:bCs w:val="0"/>
                      <w:color w:val="auto"/>
                      <w:kern w:val="0"/>
                      <w:sz w:val="21"/>
                      <w:szCs w:val="21"/>
                      <w:lang w:val="en-US" w:eastAsia="zh-CN" w:bidi="ar-SA"/>
                    </w:rPr>
                    <w:t>的有色金属冶炼、电镀、制革、铅蓄电池制造企业应优先选择布设在依法合规设立并经规划环评、环境基础设施和环境风险防范措施齐全的产业园区。禁止低端落后产能向闽江中上游地区转移。禁止新建用汞的电石法（聚）氯乙烯生产工艺。加快推进专业电镀企业入园，到2025年底专业电镀企业入园率达到90%以上。</w:t>
                  </w:r>
                </w:p>
                <w:p w14:paraId="1E023244">
                  <w:pPr>
                    <w:keepNext w:val="0"/>
                    <w:keepLines w:val="0"/>
                    <w:pageBreakBefore w:val="0"/>
                    <w:widowControl/>
                    <w:kinsoku/>
                    <w:wordWrap/>
                    <w:overflowPunct/>
                    <w:topLinePunct w:val="0"/>
                    <w:autoSpaceDE/>
                    <w:autoSpaceDN/>
                    <w:bidi w:val="0"/>
                    <w:adjustRightInd/>
                    <w:snapToGrid w:val="0"/>
                    <w:spacing w:before="0" w:after="0" w:line="240" w:lineRule="auto"/>
                    <w:ind w:right="0"/>
                    <w:jc w:val="left"/>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bidi="ar-SA"/>
                    </w:rPr>
                    <w:t>7.禁止在流域上游新建、扩建重污染企业和项目。</w:t>
                  </w:r>
                </w:p>
                <w:p w14:paraId="58BF5F39">
                  <w:pPr>
                    <w:keepNext w:val="0"/>
                    <w:keepLines w:val="0"/>
                    <w:pageBreakBefore w:val="0"/>
                    <w:widowControl/>
                    <w:kinsoku/>
                    <w:wordWrap/>
                    <w:overflowPunct/>
                    <w:topLinePunct w:val="0"/>
                    <w:autoSpaceDE/>
                    <w:autoSpaceDN/>
                    <w:bidi w:val="0"/>
                    <w:adjustRightInd/>
                    <w:snapToGrid w:val="0"/>
                    <w:spacing w:before="0" w:after="0" w:line="240" w:lineRule="auto"/>
                    <w:ind w:right="0"/>
                    <w:jc w:val="left"/>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bidi="ar-SA"/>
                    </w:rPr>
                    <w:t>8.重要敏感水体及富营养化湖库生态缓冲带除相关政府部门批准的科学研究活动外，禁止其它可能对保护区构成危害或不良影响的大规模生产、建设活动。</w:t>
                  </w:r>
                </w:p>
                <w:p w14:paraId="2DAA60F3">
                  <w:pPr>
                    <w:keepNext w:val="0"/>
                    <w:keepLines w:val="0"/>
                    <w:pageBreakBefore w:val="0"/>
                    <w:widowControl/>
                    <w:kinsoku/>
                    <w:wordWrap/>
                    <w:overflowPunct/>
                    <w:topLinePunct w:val="0"/>
                    <w:autoSpaceDE/>
                    <w:autoSpaceDN/>
                    <w:bidi w:val="0"/>
                    <w:adjustRightInd/>
                    <w:snapToGrid w:val="0"/>
                    <w:spacing w:before="0" w:after="0" w:line="240" w:lineRule="auto"/>
                    <w:ind w:right="0"/>
                    <w:jc w:val="left"/>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bidi="ar-SA"/>
                    </w:rPr>
                    <w:t>9.新、改、扩建煤电、钢铁、建材、石化、化工等“两高”项目，严格落实国家、省、市产业规划、产业政策、“三线一单”、规划环评，以及产能置换、煤炭消费减量替代、区域污染削减等相关要求。</w:t>
                  </w:r>
                </w:p>
                <w:p w14:paraId="751D728B">
                  <w:pPr>
                    <w:keepNext w:val="0"/>
                    <w:keepLines w:val="0"/>
                    <w:pageBreakBefore w:val="0"/>
                    <w:widowControl/>
                    <w:kinsoku/>
                    <w:wordWrap/>
                    <w:overflowPunct/>
                    <w:topLinePunct w:val="0"/>
                    <w:autoSpaceDE/>
                    <w:autoSpaceDN/>
                    <w:bidi w:val="0"/>
                    <w:adjustRightInd/>
                    <w:snapToGrid w:val="0"/>
                    <w:spacing w:before="0" w:after="0" w:line="240" w:lineRule="auto"/>
                    <w:ind w:right="0"/>
                    <w:jc w:val="left"/>
                    <w:textAlignment w:val="auto"/>
                    <w:rPr>
                      <w:rFonts w:hint="eastAsia" w:ascii="Times New Roman" w:hAnsi="Times New Roman" w:eastAsia="宋体" w:cs="Times New Roman"/>
                      <w:b w:val="0"/>
                      <w:bCs w:val="0"/>
                      <w:color w:val="auto"/>
                      <w:kern w:val="0"/>
                      <w:sz w:val="21"/>
                      <w:szCs w:val="21"/>
                      <w:lang w:val="en-US" w:eastAsia="zh-CN" w:bidi="ar-SA"/>
                    </w:rPr>
                  </w:pPr>
                  <w:r>
                    <w:rPr>
                      <w:rFonts w:hint="eastAsia" w:ascii="Times New Roman" w:hAnsi="Times New Roman" w:eastAsia="宋体" w:cs="Times New Roman"/>
                      <w:b w:val="0"/>
                      <w:bCs w:val="0"/>
                      <w:color w:val="auto"/>
                      <w:kern w:val="0"/>
                      <w:sz w:val="21"/>
                      <w:szCs w:val="21"/>
                      <w:lang w:val="en-US" w:eastAsia="zh-CN" w:bidi="ar-SA"/>
                    </w:rPr>
                    <w:t>10.单元内涉及永久基本农田的，应按照《福建省基本农田保护条例》（2010年修正本）、《国土资源部关于全面实行永久基本农田特殊保护的通知》（国土资规〔2018〕1号）、《中共中央国务院关于加强耕地保护和改进占补平衡的意见》（2017年1月9日）等相关文件要求进行严格管理，一般建设项目不得占用永久基本农田，重大建设项目选址确实难以避让永久基本农田的，必须依法依规办理。严禁通过擅自调整县乡国土空间规划，规避占用永久基本农田的审批。禁止随意砍伐防风固沙林和农田保护林。严格按照自然资源部、农业农村部、国家林业和草原局《关于严格耕地用途管制有关问题的通知》（自然资发〔2021〕166号）要求全面落实耕地用途管制。</w:t>
                  </w:r>
                </w:p>
              </w:tc>
              <w:tc>
                <w:tcPr>
                  <w:tcW w:w="838" w:type="pct"/>
                  <w:gridSpan w:val="4"/>
                  <w:noWrap w:val="0"/>
                  <w:vAlign w:val="center"/>
                </w:tcPr>
                <w:p w14:paraId="4B07DCFA">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line="240" w:lineRule="auto"/>
                    <w:ind w:right="0" w:firstLine="0" w:firstLineChars="0"/>
                    <w:jc w:val="left"/>
                    <w:textAlignment w:val="auto"/>
                    <w:outlineLvl w:val="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1.项目不属于石化项目；</w:t>
                  </w:r>
                </w:p>
                <w:p w14:paraId="14A41EC1">
                  <w:pPr>
                    <w:keepNext w:val="0"/>
                    <w:keepLines w:val="0"/>
                    <w:pageBreakBefore w:val="0"/>
                    <w:widowControl/>
                    <w:kinsoku/>
                    <w:wordWrap/>
                    <w:overflowPunct/>
                    <w:topLinePunct w:val="0"/>
                    <w:autoSpaceDE/>
                    <w:autoSpaceDN/>
                    <w:bidi w:val="0"/>
                    <w:snapToGrid w:val="0"/>
                    <w:spacing w:before="0" w:after="0" w:line="240" w:lineRule="auto"/>
                    <w:ind w:left="0" w:leftChars="0" w:right="0" w:firstLine="0" w:firstLineChars="0"/>
                    <w:jc w:val="left"/>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2.项目不属于制革项目，也不属于植物制浆、印染、合成革及人造革、电镀项目；</w:t>
                  </w:r>
                </w:p>
                <w:p w14:paraId="6C666C71">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line="240" w:lineRule="auto"/>
                    <w:ind w:right="0" w:firstLine="0" w:firstLineChars="0"/>
                    <w:jc w:val="left"/>
                    <w:textAlignment w:val="auto"/>
                    <w:outlineLvl w:val="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3.项目废气经处理后可达标排放，不属于大气重污染企业；</w:t>
                  </w:r>
                </w:p>
                <w:p w14:paraId="1E0922A1">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line="240" w:lineRule="auto"/>
                    <w:ind w:right="0" w:firstLine="0" w:firstLineChars="0"/>
                    <w:jc w:val="left"/>
                    <w:textAlignment w:val="auto"/>
                    <w:outlineLvl w:val="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4.项目不属于生产高VOCs含量有机溶剂型涂料、油墨和胶黏剂的项目；</w:t>
                  </w:r>
                </w:p>
                <w:p w14:paraId="7BAEA6F3">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line="240" w:lineRule="auto"/>
                    <w:ind w:right="0" w:firstLine="0" w:firstLineChars="0"/>
                    <w:jc w:val="left"/>
                    <w:textAlignment w:val="auto"/>
                    <w:outlineLvl w:val="9"/>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5.项目不属于建陶行业；</w:t>
                  </w:r>
                </w:p>
                <w:p w14:paraId="41CDF241">
                  <w:pPr>
                    <w:keepNext w:val="0"/>
                    <w:keepLines w:val="0"/>
                    <w:pageBreakBefore w:val="0"/>
                    <w:kinsoku/>
                    <w:wordWrap/>
                    <w:overflowPunct/>
                    <w:topLinePunct w:val="0"/>
                    <w:autoSpaceDE/>
                    <w:autoSpaceDN/>
                    <w:bidi w:val="0"/>
                    <w:spacing w:line="240" w:lineRule="auto"/>
                    <w:ind w:left="0" w:leftChars="0" w:right="0" w:firstLine="0" w:firstLineChars="0"/>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6.项目不涉及重点重金属污染物排放</w:t>
                  </w:r>
                  <w:r>
                    <w:rPr>
                      <w:rFonts w:hint="eastAsia" w:ascii="Times New Roman" w:hAnsi="Times New Roman" w:cs="Times New Roman"/>
                      <w:color w:val="auto"/>
                      <w:kern w:val="0"/>
                      <w:sz w:val="21"/>
                      <w:szCs w:val="21"/>
                      <w:lang w:val="en-US" w:eastAsia="zh-CN" w:bidi="ar-SA"/>
                    </w:rPr>
                    <w:t>项目</w:t>
                  </w:r>
                  <w:r>
                    <w:rPr>
                      <w:rFonts w:hint="eastAsia" w:ascii="Times New Roman" w:hAnsi="Times New Roman" w:eastAsia="宋体" w:cs="Times New Roman"/>
                      <w:color w:val="auto"/>
                      <w:kern w:val="0"/>
                      <w:sz w:val="21"/>
                      <w:szCs w:val="21"/>
                      <w:lang w:val="en-US" w:eastAsia="zh-CN" w:bidi="ar-SA"/>
                    </w:rPr>
                    <w:t>，不属于低端落后产能项目，不涉及使用汞的电石法（聚）氯乙烯生产工艺，不属于电镀企业；</w:t>
                  </w:r>
                </w:p>
                <w:p w14:paraId="32E1FF22">
                  <w:pPr>
                    <w:keepNext w:val="0"/>
                    <w:keepLines w:val="0"/>
                    <w:pageBreakBefore w:val="0"/>
                    <w:widowControl/>
                    <w:kinsoku/>
                    <w:wordWrap/>
                    <w:overflowPunct/>
                    <w:topLinePunct w:val="0"/>
                    <w:autoSpaceDE/>
                    <w:autoSpaceDN/>
                    <w:bidi w:val="0"/>
                    <w:snapToGrid w:val="0"/>
                    <w:spacing w:before="0" w:after="0" w:line="240" w:lineRule="auto"/>
                    <w:ind w:left="0" w:leftChars="0" w:right="0" w:firstLine="0" w:firstLineChars="0"/>
                    <w:jc w:val="both"/>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7.项目不属于重污染项目；</w:t>
                  </w:r>
                </w:p>
                <w:p w14:paraId="112138FC">
                  <w:pPr>
                    <w:keepNext w:val="0"/>
                    <w:keepLines w:val="0"/>
                    <w:pageBreakBefore w:val="0"/>
                    <w:kinsoku/>
                    <w:wordWrap/>
                    <w:overflowPunct/>
                    <w:topLinePunct w:val="0"/>
                    <w:autoSpaceDE/>
                    <w:autoSpaceDN/>
                    <w:bidi w:val="0"/>
                    <w:spacing w:line="240" w:lineRule="auto"/>
                    <w:ind w:left="0" w:leftChars="0" w:right="0" w:firstLine="0" w:firstLineChars="0"/>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8.项目不位于重要敏感水体及富营养化湖库生态缓冲带；</w:t>
                  </w:r>
                </w:p>
                <w:p w14:paraId="44F8AA39">
                  <w:pPr>
                    <w:keepNext w:val="0"/>
                    <w:keepLines w:val="0"/>
                    <w:pageBreakBefore w:val="0"/>
                    <w:widowControl/>
                    <w:kinsoku/>
                    <w:wordWrap/>
                    <w:overflowPunct/>
                    <w:topLinePunct w:val="0"/>
                    <w:autoSpaceDE/>
                    <w:autoSpaceDN/>
                    <w:bidi w:val="0"/>
                    <w:snapToGrid w:val="0"/>
                    <w:spacing w:before="0" w:after="0" w:line="240" w:lineRule="auto"/>
                    <w:ind w:left="0" w:leftChars="0" w:right="0" w:firstLine="0" w:firstLineChars="0"/>
                    <w:jc w:val="both"/>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9.项目不属于煤电、钢铁、建材、石化、化工等“两高”项目；</w:t>
                  </w:r>
                </w:p>
                <w:p w14:paraId="301D4A49">
                  <w:pPr>
                    <w:keepNext w:val="0"/>
                    <w:keepLines w:val="0"/>
                    <w:pageBreakBefore w:val="0"/>
                    <w:kinsoku/>
                    <w:wordWrap/>
                    <w:overflowPunct/>
                    <w:topLinePunct w:val="0"/>
                    <w:autoSpaceDE/>
                    <w:autoSpaceDN/>
                    <w:bidi w:val="0"/>
                    <w:spacing w:line="240" w:lineRule="auto"/>
                    <w:ind w:left="0" w:leftChars="0" w:right="0" w:firstLine="0" w:firstLineChars="0"/>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kern w:val="0"/>
                      <w:sz w:val="21"/>
                      <w:szCs w:val="21"/>
                      <w:lang w:val="en-US" w:eastAsia="zh-CN" w:bidi="ar-SA"/>
                    </w:rPr>
                    <w:t>10.项目用地不涉及永久基本农田、防风固沙林、农田保护林。</w:t>
                  </w:r>
                </w:p>
              </w:tc>
              <w:tc>
                <w:tcPr>
                  <w:tcW w:w="218" w:type="pct"/>
                  <w:gridSpan w:val="4"/>
                  <w:noWrap w:val="0"/>
                  <w:vAlign w:val="center"/>
                </w:tcPr>
                <w:p w14:paraId="09BEA667">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line="340" w:lineRule="exact"/>
                    <w:ind w:right="0" w:firstLine="0" w:firstLineChars="0"/>
                    <w:jc w:val="center"/>
                    <w:textAlignment w:val="auto"/>
                    <w:outlineLvl w:val="9"/>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符合</w:t>
                  </w:r>
                </w:p>
              </w:tc>
            </w:tr>
            <w:tr w14:paraId="6BCFA31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gridBefore w:val="1"/>
                <w:gridAfter w:val="2"/>
                <w:wBefore w:w="41" w:type="pct"/>
                <w:wAfter w:w="2" w:type="pct"/>
                <w:trHeight w:val="397" w:hRule="atLeast"/>
              </w:trPr>
              <w:tc>
                <w:tcPr>
                  <w:tcW w:w="216" w:type="pct"/>
                  <w:vMerge w:val="continue"/>
                  <w:noWrap w:val="0"/>
                  <w:vAlign w:val="center"/>
                </w:tcPr>
                <w:p w14:paraId="5BD8F2A3">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line="240" w:lineRule="auto"/>
                    <w:ind w:right="0" w:firstLine="0" w:firstLineChars="0"/>
                    <w:jc w:val="center"/>
                    <w:textAlignment w:val="auto"/>
                    <w:outlineLvl w:val="9"/>
                    <w:rPr>
                      <w:rFonts w:hint="default" w:ascii="Times New Roman" w:hAnsi="Times New Roman" w:eastAsia="宋体" w:cs="Times New Roman"/>
                      <w:color w:val="auto"/>
                      <w:sz w:val="21"/>
                      <w:szCs w:val="21"/>
                    </w:rPr>
                  </w:pPr>
                </w:p>
              </w:tc>
              <w:tc>
                <w:tcPr>
                  <w:tcW w:w="225" w:type="pct"/>
                  <w:gridSpan w:val="2"/>
                  <w:noWrap w:val="0"/>
                  <w:vAlign w:val="center"/>
                </w:tcPr>
                <w:p w14:paraId="0501B4C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污染物排放管控</w:t>
                  </w:r>
                </w:p>
              </w:tc>
              <w:tc>
                <w:tcPr>
                  <w:tcW w:w="3456" w:type="pct"/>
                  <w:gridSpan w:val="6"/>
                  <w:noWrap w:val="0"/>
                  <w:vAlign w:val="center"/>
                </w:tcPr>
                <w:p w14:paraId="5A9FC904">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left"/>
                    <w:textAlignment w:val="auto"/>
                    <w:outlineLvl w:val="9"/>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工业类新（改、扩）建项目新增主要污染物（水污染物化学需氧量、氨氮和大气污染物二氧化硫、氮氧化物）排放总量指标应符合区域环境质量和总量控制要求，立足于通过“以新带老”、削减存量，努力实现区域、企业自身总量平衡。总量指标来源、审核和监督管理按照“榕环保综〔2017〕90号”等相关文件执行。</w:t>
                  </w:r>
                </w:p>
                <w:p w14:paraId="3F8D620B">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left"/>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2.新、改、扩建涉VOCs排放项目，应从源头加强控制，使用低（无）VOCs含量的原辅材料，实施新建项目VOCs排放区域内1.2及以上倍量替代。</w:t>
                  </w:r>
                </w:p>
                <w:p w14:paraId="1CD59FED">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left"/>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highlight w:val="none"/>
                    </w:rPr>
                    <w:t>3.严格控制新建、改建、扩建钢铁、水泥、平板玻璃、有色金属冶炼、化工等工业项目。新</w:t>
                  </w:r>
                  <w:r>
                    <w:rPr>
                      <w:rFonts w:hint="default" w:ascii="Times New Roman" w:hAnsi="Times New Roman" w:eastAsia="宋体" w:cs="Times New Roman"/>
                      <w:color w:val="auto"/>
                      <w:sz w:val="21"/>
                      <w:szCs w:val="21"/>
                    </w:rPr>
                    <w:t>改扩建钢铁、火电项目应执行超低排放限值，有色项目应当执行大气污染物特别排放限值。重点控制区新建化工、石化应当执行大气污染物特别排放限值。</w:t>
                  </w:r>
                </w:p>
                <w:p w14:paraId="50F99FB8">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left"/>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4.氟化工、印染、电镀等行业企业实行水污染物特别排放限值。</w:t>
                  </w:r>
                </w:p>
                <w:p w14:paraId="52CAE02E">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left"/>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5.新、改、扩建重点行业</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建设项目要遵循重点重金属污染物排放“等量替代”原则，总量来源原则上应是同一重点行业内的削减量，当同一重点行业无法满足时可从其他重点行业调剂。</w:t>
                  </w:r>
                </w:p>
                <w:p w14:paraId="6C9FC79B">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left"/>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6.每小时35（含）—65蒸吨燃煤锅炉和位于县级及以上城市建成区内保留的燃煤、燃油、燃生物质锅炉，原则上2024年底前必须全面实现超低排放。</w:t>
                  </w:r>
                </w:p>
                <w:p w14:paraId="25A8EA9C">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left"/>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7.水泥行业新改扩建项目严格对照超低排放、能效标杆水平建设实施；现有项目超低排放改造应按文件（闽环规〔2023〕2号）的时限要求分步推进，2025年底前全面完成</w:t>
                  </w:r>
                  <w:r>
                    <w:rPr>
                      <w:rFonts w:hint="default" w:ascii="Times New Roman" w:hAnsi="Times New Roman" w:eastAsia="宋体" w:cs="Times New Roman"/>
                      <w:color w:val="auto"/>
                      <w:sz w:val="21"/>
                      <w:szCs w:val="21"/>
                      <w:vertAlign w:val="superscript"/>
                    </w:rPr>
                    <w:t>［3］［4］</w:t>
                  </w:r>
                  <w:r>
                    <w:rPr>
                      <w:rFonts w:hint="default" w:ascii="Times New Roman" w:hAnsi="Times New Roman" w:eastAsia="宋体" w:cs="Times New Roman"/>
                      <w:color w:val="auto"/>
                      <w:sz w:val="21"/>
                      <w:szCs w:val="21"/>
                    </w:rPr>
                    <w:t>。</w:t>
                  </w:r>
                </w:p>
                <w:p w14:paraId="5F18B6B3">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left"/>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化工园区新建项目实施“禁限控”化学物质管控措施，项目在开展环境影响评价时应严格落实相关要求，严格涉新污染物建设项目源头防控和准入管理。以印染、皮革、农药、医药、涂料等行业为重点，推进有毒有害化学物质替代。严格落实废药品、废农药以及抗生素生产过程中产生的废母液、废反应基和废培养基等废物的收集利用处置要求。</w:t>
                  </w:r>
                </w:p>
              </w:tc>
              <w:tc>
                <w:tcPr>
                  <w:tcW w:w="838" w:type="pct"/>
                  <w:gridSpan w:val="4"/>
                  <w:noWrap w:val="0"/>
                  <w:vAlign w:val="center"/>
                </w:tcPr>
                <w:p w14:paraId="68A44E0D">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line="240" w:lineRule="auto"/>
                    <w:ind w:right="0" w:firstLine="0" w:firstLineChars="0"/>
                    <w:jc w:val="left"/>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1.项目</w:t>
                  </w:r>
                  <w:r>
                    <w:rPr>
                      <w:rFonts w:hint="eastAsia" w:cs="Times New Roman"/>
                      <w:color w:val="auto"/>
                      <w:sz w:val="21"/>
                      <w:szCs w:val="21"/>
                      <w:lang w:val="en-US" w:eastAsia="zh-CN"/>
                    </w:rPr>
                    <w:t>水和大气不涉及新增排放总量指标。</w:t>
                  </w:r>
                </w:p>
                <w:p w14:paraId="6A5C014A">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line="240" w:lineRule="auto"/>
                    <w:ind w:right="0" w:firstLine="0" w:firstLineChars="0"/>
                    <w:jc w:val="left"/>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2.项目不涉及VOCs排放；</w:t>
                  </w:r>
                </w:p>
                <w:p w14:paraId="4E59AE41">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line="240" w:lineRule="auto"/>
                    <w:ind w:right="0" w:firstLine="0" w:firstLineChars="0"/>
                    <w:jc w:val="left"/>
                    <w:textAlignment w:val="auto"/>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3.项目主要从事混凝</w:t>
                  </w:r>
                  <w:r>
                    <w:rPr>
                      <w:rFonts w:hint="eastAsia" w:cs="Times New Roman"/>
                      <w:color w:val="auto"/>
                      <w:sz w:val="21"/>
                      <w:szCs w:val="21"/>
                      <w:lang w:val="en-US" w:eastAsia="zh-CN"/>
                    </w:rPr>
                    <w:t>预制件、预搅拌商品混凝土的</w:t>
                  </w:r>
                  <w:r>
                    <w:rPr>
                      <w:rFonts w:hint="eastAsia" w:ascii="Times New Roman" w:hAnsi="Times New Roman" w:eastAsia="宋体" w:cs="Times New Roman"/>
                      <w:color w:val="auto"/>
                      <w:sz w:val="21"/>
                      <w:szCs w:val="21"/>
                      <w:lang w:val="en-US" w:eastAsia="zh-CN"/>
                    </w:rPr>
                    <w:t>生产，所用水泥为外购，</w:t>
                  </w:r>
                  <w:r>
                    <w:rPr>
                      <w:rFonts w:hint="eastAsia" w:ascii="Times New Roman" w:hAnsi="Times New Roman" w:cs="Times New Roman"/>
                      <w:color w:val="auto"/>
                      <w:sz w:val="21"/>
                      <w:szCs w:val="21"/>
                      <w:lang w:val="en-US" w:eastAsia="zh-CN"/>
                    </w:rPr>
                    <w:t>不涉及水泥生产，</w:t>
                  </w:r>
                  <w:r>
                    <w:rPr>
                      <w:rFonts w:hint="eastAsia" w:ascii="Times New Roman" w:hAnsi="Times New Roman" w:eastAsia="宋体" w:cs="Times New Roman"/>
                      <w:color w:val="auto"/>
                      <w:sz w:val="21"/>
                      <w:szCs w:val="21"/>
                      <w:lang w:val="en-US" w:eastAsia="zh-CN"/>
                    </w:rPr>
                    <w:t>不属于</w:t>
                  </w:r>
                  <w:r>
                    <w:rPr>
                      <w:rFonts w:hint="eastAsia" w:ascii="Times New Roman" w:hAnsi="Times New Roman" w:cs="Times New Roman"/>
                      <w:color w:val="auto"/>
                      <w:sz w:val="21"/>
                      <w:szCs w:val="21"/>
                      <w:lang w:val="en-US" w:eastAsia="zh-CN"/>
                    </w:rPr>
                    <w:t>严格控制的</w:t>
                  </w:r>
                  <w:r>
                    <w:rPr>
                      <w:rFonts w:hint="eastAsia" w:ascii="Times New Roman" w:hAnsi="Times New Roman" w:eastAsia="宋体" w:cs="Times New Roman"/>
                      <w:color w:val="auto"/>
                      <w:sz w:val="21"/>
                      <w:szCs w:val="21"/>
                      <w:lang w:val="en-US" w:eastAsia="zh-CN"/>
                    </w:rPr>
                    <w:t>钢铁、水泥、平板玻璃、有色金属冶炼、化工等工业项目；</w:t>
                  </w:r>
                </w:p>
                <w:p w14:paraId="02750B0C">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line="240" w:lineRule="auto"/>
                    <w:ind w:right="0" w:firstLine="0" w:firstLineChars="0"/>
                    <w:jc w:val="left"/>
                    <w:textAlignment w:val="auto"/>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4.项目不属于氟化工、印染、电镀等行业企业；</w:t>
                  </w:r>
                </w:p>
                <w:p w14:paraId="261372F9">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line="240" w:lineRule="auto"/>
                    <w:ind w:right="0" w:firstLine="0" w:firstLineChars="0"/>
                    <w:jc w:val="left"/>
                    <w:textAlignment w:val="auto"/>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5.项目不属于重点行业，不涉及重点重金属污染物排放；</w:t>
                  </w:r>
                </w:p>
                <w:p w14:paraId="732B093F">
                  <w:pPr>
                    <w:keepNext w:val="0"/>
                    <w:keepLines w:val="0"/>
                    <w:pageBreakBefore w:val="0"/>
                    <w:widowControl/>
                    <w:kinsoku/>
                    <w:wordWrap/>
                    <w:overflowPunct/>
                    <w:topLinePunct w:val="0"/>
                    <w:autoSpaceDE/>
                    <w:autoSpaceDN/>
                    <w:bidi w:val="0"/>
                    <w:snapToGrid w:val="0"/>
                    <w:spacing w:before="0" w:after="0" w:line="240" w:lineRule="auto"/>
                    <w:ind w:right="0" w:firstLine="0" w:firstLineChars="0"/>
                    <w:jc w:val="both"/>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6.项目不涉及燃煤、燃油、燃生物质锅炉</w:t>
                  </w:r>
                  <w:r>
                    <w:rPr>
                      <w:rFonts w:hint="eastAsia" w:cs="Times New Roman"/>
                      <w:color w:val="auto"/>
                      <w:kern w:val="0"/>
                      <w:sz w:val="21"/>
                      <w:szCs w:val="21"/>
                      <w:lang w:val="en-US" w:eastAsia="zh-CN" w:bidi="ar-SA"/>
                    </w:rPr>
                    <w:t>的</w:t>
                  </w:r>
                  <w:r>
                    <w:rPr>
                      <w:rFonts w:hint="eastAsia" w:ascii="Times New Roman" w:hAnsi="Times New Roman" w:eastAsia="宋体" w:cs="Times New Roman"/>
                      <w:color w:val="auto"/>
                      <w:kern w:val="0"/>
                      <w:sz w:val="21"/>
                      <w:szCs w:val="21"/>
                      <w:lang w:val="en-US" w:eastAsia="zh-CN" w:bidi="ar-SA"/>
                    </w:rPr>
                    <w:t>使用；</w:t>
                  </w:r>
                </w:p>
                <w:p w14:paraId="1C750CC3">
                  <w:pPr>
                    <w:keepNext w:val="0"/>
                    <w:keepLines w:val="0"/>
                    <w:pageBreakBefore w:val="0"/>
                    <w:kinsoku/>
                    <w:wordWrap/>
                    <w:overflowPunct/>
                    <w:topLinePunct w:val="0"/>
                    <w:autoSpaceDE/>
                    <w:autoSpaceDN/>
                    <w:bidi w:val="0"/>
                    <w:spacing w:line="240" w:lineRule="auto"/>
                    <w:ind w:right="0" w:firstLine="0" w:firstLineChars="0"/>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7.项目主要从事混凝</w:t>
                  </w:r>
                  <w:r>
                    <w:rPr>
                      <w:rFonts w:hint="eastAsia" w:cs="Times New Roman"/>
                      <w:color w:val="auto"/>
                      <w:sz w:val="21"/>
                      <w:szCs w:val="21"/>
                      <w:lang w:val="en-US" w:eastAsia="zh-CN"/>
                    </w:rPr>
                    <w:t>预制件和商品搅拌混凝土</w:t>
                  </w:r>
                  <w:r>
                    <w:rPr>
                      <w:rFonts w:hint="eastAsia" w:ascii="Times New Roman" w:hAnsi="Times New Roman" w:eastAsia="宋体" w:cs="Times New Roman"/>
                      <w:color w:val="auto"/>
                      <w:sz w:val="21"/>
                      <w:szCs w:val="21"/>
                      <w:lang w:val="en-US" w:eastAsia="zh-CN"/>
                    </w:rPr>
                    <w:t>生产，所用水泥为外购，</w:t>
                  </w:r>
                  <w:r>
                    <w:rPr>
                      <w:rFonts w:hint="eastAsia" w:ascii="Times New Roman" w:hAnsi="Times New Roman" w:cs="Times New Roman"/>
                      <w:color w:val="auto"/>
                      <w:sz w:val="21"/>
                      <w:szCs w:val="21"/>
                      <w:lang w:val="en-US" w:eastAsia="zh-CN"/>
                    </w:rPr>
                    <w:t>不涉及水泥生产，不需执行超低排放要求的水泥行业</w:t>
                  </w:r>
                  <w:r>
                    <w:rPr>
                      <w:rFonts w:hint="eastAsia" w:ascii="Times New Roman" w:hAnsi="Times New Roman" w:eastAsia="宋体" w:cs="Times New Roman"/>
                      <w:color w:val="auto"/>
                      <w:sz w:val="21"/>
                      <w:szCs w:val="21"/>
                      <w:lang w:val="en-US" w:eastAsia="zh-CN"/>
                    </w:rPr>
                    <w:t>；</w:t>
                  </w:r>
                </w:p>
                <w:p w14:paraId="529CD240">
                  <w:pPr>
                    <w:keepNext w:val="0"/>
                    <w:keepLines w:val="0"/>
                    <w:pageBreakBefore w:val="0"/>
                    <w:widowControl/>
                    <w:kinsoku/>
                    <w:wordWrap/>
                    <w:overflowPunct/>
                    <w:topLinePunct w:val="0"/>
                    <w:autoSpaceDE/>
                    <w:autoSpaceDN/>
                    <w:bidi w:val="0"/>
                    <w:snapToGrid w:val="0"/>
                    <w:spacing w:before="0" w:after="0" w:line="240" w:lineRule="auto"/>
                    <w:ind w:right="0" w:firstLine="0" w:firstLineChars="0"/>
                    <w:jc w:val="both"/>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8.项目不属于化工项目，选址不位于化工园区，不属于印染、皮革、农药、医药、涂料等行业。</w:t>
                  </w:r>
                </w:p>
              </w:tc>
              <w:tc>
                <w:tcPr>
                  <w:tcW w:w="218" w:type="pct"/>
                  <w:gridSpan w:val="4"/>
                  <w:noWrap w:val="0"/>
                  <w:vAlign w:val="center"/>
                </w:tcPr>
                <w:p w14:paraId="0A8C107C">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line="340" w:lineRule="exact"/>
                    <w:ind w:right="0" w:firstLine="0" w:firstLineChars="0"/>
                    <w:jc w:val="center"/>
                    <w:textAlignment w:val="auto"/>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407F972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gridBefore w:val="1"/>
                <w:gridAfter w:val="2"/>
                <w:wBefore w:w="41" w:type="pct"/>
                <w:wAfter w:w="2" w:type="pct"/>
                <w:trHeight w:val="949" w:hRule="atLeast"/>
              </w:trPr>
              <w:tc>
                <w:tcPr>
                  <w:tcW w:w="216" w:type="pct"/>
                  <w:vMerge w:val="continue"/>
                  <w:noWrap w:val="0"/>
                  <w:vAlign w:val="center"/>
                </w:tcPr>
                <w:p w14:paraId="6A30DD98">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line="240" w:lineRule="auto"/>
                    <w:ind w:right="0" w:firstLine="0" w:firstLineChars="0"/>
                    <w:jc w:val="center"/>
                    <w:textAlignment w:val="auto"/>
                    <w:outlineLvl w:val="9"/>
                    <w:rPr>
                      <w:rFonts w:hint="default" w:ascii="Times New Roman" w:hAnsi="Times New Roman" w:eastAsia="宋体" w:cs="Times New Roman"/>
                      <w:color w:val="auto"/>
                      <w:sz w:val="21"/>
                      <w:szCs w:val="21"/>
                    </w:rPr>
                  </w:pPr>
                </w:p>
              </w:tc>
              <w:tc>
                <w:tcPr>
                  <w:tcW w:w="225" w:type="pct"/>
                  <w:gridSpan w:val="2"/>
                  <w:noWrap w:val="0"/>
                  <w:vAlign w:val="center"/>
                </w:tcPr>
                <w:p w14:paraId="4ABA07E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环境风险防控</w:t>
                  </w:r>
                </w:p>
              </w:tc>
              <w:tc>
                <w:tcPr>
                  <w:tcW w:w="3456" w:type="pct"/>
                  <w:gridSpan w:val="6"/>
                  <w:noWrap w:val="0"/>
                  <w:vAlign w:val="center"/>
                </w:tcPr>
                <w:p w14:paraId="2E864AD9">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center"/>
                    <w:textAlignment w:val="auto"/>
                    <w:outlineLvl w:val="9"/>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无</w:t>
                  </w:r>
                </w:p>
              </w:tc>
              <w:tc>
                <w:tcPr>
                  <w:tcW w:w="838" w:type="pct"/>
                  <w:gridSpan w:val="4"/>
                  <w:noWrap w:val="0"/>
                  <w:vAlign w:val="center"/>
                </w:tcPr>
                <w:p w14:paraId="58100AF0">
                  <w:pPr>
                    <w:keepNext w:val="0"/>
                    <w:keepLines w:val="0"/>
                    <w:pageBreakBefore w:val="0"/>
                    <w:widowControl/>
                    <w:kinsoku/>
                    <w:wordWrap/>
                    <w:overflowPunct/>
                    <w:topLinePunct w:val="0"/>
                    <w:autoSpaceDE/>
                    <w:autoSpaceDN/>
                    <w:bidi w:val="0"/>
                    <w:snapToGrid w:val="0"/>
                    <w:spacing w:before="0" w:after="0" w:line="240" w:lineRule="auto"/>
                    <w:ind w:right="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w:t>
                  </w:r>
                </w:p>
              </w:tc>
              <w:tc>
                <w:tcPr>
                  <w:tcW w:w="218" w:type="pct"/>
                  <w:gridSpan w:val="4"/>
                  <w:noWrap w:val="0"/>
                  <w:vAlign w:val="center"/>
                </w:tcPr>
                <w:p w14:paraId="5D588D19">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line="340" w:lineRule="exact"/>
                    <w:ind w:right="0" w:firstLine="0" w:firstLineChars="0"/>
                    <w:jc w:val="center"/>
                    <w:textAlignment w:val="auto"/>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r>
            <w:tr w14:paraId="63D8ADC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gridBefore w:val="1"/>
                <w:gridAfter w:val="2"/>
                <w:wBefore w:w="41" w:type="pct"/>
                <w:wAfter w:w="2" w:type="pct"/>
                <w:trHeight w:val="397" w:hRule="atLeast"/>
              </w:trPr>
              <w:tc>
                <w:tcPr>
                  <w:tcW w:w="216" w:type="pct"/>
                  <w:vMerge w:val="continue"/>
                  <w:noWrap w:val="0"/>
                  <w:vAlign w:val="center"/>
                </w:tcPr>
                <w:p w14:paraId="50B41DE2">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line="240" w:lineRule="auto"/>
                    <w:ind w:right="0" w:firstLine="0" w:firstLineChars="0"/>
                    <w:jc w:val="center"/>
                    <w:textAlignment w:val="auto"/>
                    <w:outlineLvl w:val="9"/>
                    <w:rPr>
                      <w:rFonts w:hint="default" w:ascii="Times New Roman" w:hAnsi="Times New Roman" w:eastAsia="宋体" w:cs="Times New Roman"/>
                      <w:color w:val="auto"/>
                      <w:sz w:val="21"/>
                      <w:szCs w:val="21"/>
                    </w:rPr>
                  </w:pPr>
                </w:p>
              </w:tc>
              <w:tc>
                <w:tcPr>
                  <w:tcW w:w="225" w:type="pct"/>
                  <w:gridSpan w:val="2"/>
                  <w:noWrap w:val="0"/>
                  <w:vAlign w:val="center"/>
                </w:tcPr>
                <w:p w14:paraId="148BBBA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0"/>
                      <w:sz w:val="21"/>
                      <w:szCs w:val="21"/>
                      <w:lang w:val="en-US" w:eastAsia="zh-CN"/>
                    </w:rPr>
                  </w:pPr>
                  <w:r>
                    <w:rPr>
                      <w:rFonts w:hint="eastAsia" w:ascii="Times New Roman" w:hAnsi="Times New Roman" w:eastAsia="宋体" w:cs="Times New Roman"/>
                      <w:color w:val="auto"/>
                      <w:kern w:val="0"/>
                      <w:sz w:val="21"/>
                      <w:szCs w:val="21"/>
                      <w:lang w:val="en-US" w:eastAsia="zh-CN"/>
                    </w:rPr>
                    <w:t>资源开发效率要求</w:t>
                  </w:r>
                </w:p>
              </w:tc>
              <w:tc>
                <w:tcPr>
                  <w:tcW w:w="3456" w:type="pct"/>
                  <w:gridSpan w:val="6"/>
                  <w:noWrap w:val="0"/>
                  <w:vAlign w:val="center"/>
                </w:tcPr>
                <w:p w14:paraId="7F971355">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left"/>
                    <w:textAlignment w:val="auto"/>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到2024年底，全市范围内每小时10蒸吨及以下燃煤锅炉全面淘汰；到2025年底，全市范围内每小时35蒸吨以下燃煤锅炉通过集中供热、清洁能源替代、深度治理等方式全面实现转型、升级、退出，县级及以上城市建成区在用锅炉（燃煤、燃油、燃生物质）全面改用电能等清洁能源或治理达到超低排放水平；禁止新建每小时35蒸吨以下燃煤锅炉，以及每小时10蒸吨及以下燃生物质和其他使用高污染燃料的锅炉。集中供热管网覆盖范围内禁止新建、扩建分散燃煤、燃油等供热锅炉。</w:t>
                  </w:r>
                </w:p>
                <w:p w14:paraId="3857F6E0">
                  <w:pPr>
                    <w:pStyle w:val="7"/>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right="0" w:rightChars="0"/>
                    <w:jc w:val="left"/>
                    <w:textAlignment w:val="auto"/>
                    <w:outlineLvl w:val="9"/>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2.按照“提气、转电、控煤”的发展思路，推动陶瓷行业进一步优化用能结构，实现能源消费清洁低碳化</w:t>
                  </w:r>
                </w:p>
              </w:tc>
              <w:tc>
                <w:tcPr>
                  <w:tcW w:w="838" w:type="pct"/>
                  <w:gridSpan w:val="4"/>
                  <w:noWrap w:val="0"/>
                  <w:vAlign w:val="center"/>
                </w:tcPr>
                <w:p w14:paraId="26CC32CF">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line="240" w:lineRule="auto"/>
                    <w:ind w:right="0" w:firstLine="0" w:firstLineChars="0"/>
                    <w:jc w:val="left"/>
                    <w:textAlignment w:val="auto"/>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1.项目</w:t>
                  </w:r>
                  <w:r>
                    <w:rPr>
                      <w:rFonts w:hint="eastAsia" w:ascii="Times New Roman" w:hAnsi="Times New Roman" w:cs="Times New Roman"/>
                      <w:color w:val="auto"/>
                      <w:sz w:val="21"/>
                      <w:szCs w:val="21"/>
                      <w:lang w:val="en-US" w:eastAsia="zh-CN"/>
                    </w:rPr>
                    <w:t>不位于集中供热管网覆盖区域，</w:t>
                  </w:r>
                  <w:r>
                    <w:rPr>
                      <w:rFonts w:hint="eastAsia" w:ascii="Times New Roman" w:hAnsi="Times New Roman" w:eastAsia="宋体" w:cs="Times New Roman"/>
                      <w:color w:val="auto"/>
                      <w:sz w:val="21"/>
                      <w:szCs w:val="21"/>
                      <w:lang w:val="en-US" w:eastAsia="zh-CN"/>
                    </w:rPr>
                    <w:t>不涉及燃煤、燃油、燃生物质等高污染燃料锅炉的使用；</w:t>
                  </w:r>
                </w:p>
                <w:p w14:paraId="37B75113">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line="240" w:lineRule="auto"/>
                    <w:ind w:right="0" w:firstLine="0" w:firstLineChars="0"/>
                    <w:jc w:val="left"/>
                    <w:textAlignment w:val="auto"/>
                    <w:outlineLvl w:val="9"/>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2.项目不属于陶瓷行业</w:t>
                  </w:r>
                </w:p>
              </w:tc>
              <w:tc>
                <w:tcPr>
                  <w:tcW w:w="218" w:type="pct"/>
                  <w:gridSpan w:val="4"/>
                  <w:noWrap w:val="0"/>
                  <w:vAlign w:val="center"/>
                </w:tcPr>
                <w:p w14:paraId="5B0CFE17">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line="340" w:lineRule="exact"/>
                    <w:ind w:right="0" w:firstLine="0" w:firstLineChars="0"/>
                    <w:jc w:val="center"/>
                    <w:textAlignment w:val="auto"/>
                    <w:outlineLvl w:val="9"/>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符合</w:t>
                  </w:r>
                </w:p>
              </w:tc>
            </w:tr>
            <w:tr w14:paraId="351B53E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gridBefore w:val="1"/>
                <w:wBefore w:w="41" w:type="pct"/>
                <w:trHeight w:val="397" w:hRule="atLeast"/>
              </w:trPr>
              <w:tc>
                <w:tcPr>
                  <w:tcW w:w="4958" w:type="pct"/>
                  <w:gridSpan w:val="19"/>
                  <w:noWrap w:val="0"/>
                  <w:vAlign w:val="center"/>
                </w:tcPr>
                <w:p w14:paraId="3939C642">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left"/>
                    <w:textAlignment w:val="auto"/>
                    <w:outlineLvl w:val="9"/>
                    <w:rPr>
                      <w:rFonts w:hint="default"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lang w:val="en-US" w:eastAsia="zh-CN"/>
                    </w:rPr>
                    <w:t>备注：</w:t>
                  </w:r>
                  <w:r>
                    <w:rPr>
                      <w:rFonts w:hint="default" w:ascii="Times New Roman" w:hAnsi="Times New Roman" w:eastAsia="宋体" w:cs="Times New Roman"/>
                      <w:b w:val="0"/>
                      <w:bCs w:val="0"/>
                      <w:color w:val="auto"/>
                      <w:sz w:val="21"/>
                      <w:szCs w:val="21"/>
                      <w:lang w:val="en-US" w:eastAsia="zh-CN"/>
                    </w:rPr>
                    <w:t xml:space="preserve">［1］重点重金属污染物：包括铅、汞、镉、铬、砷、铊和锑，对其中铅、汞、镉、铬和砷五种重点重金属污染物排放量实施总量控制。 </w:t>
                  </w:r>
                </w:p>
                <w:p w14:paraId="5886C697">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630" w:firstLineChars="300"/>
                    <w:jc w:val="left"/>
                    <w:textAlignment w:val="auto"/>
                    <w:outlineLvl w:val="9"/>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 xml:space="preserve">［2］重点行业：包括涉重有色金属矿采选业（铜、铅锌、镍钴、锡、锑和汞矿采选），涉重有色金属冶炼业（铜、铅锌、镍钴、锡、锑和汞冶炼），铅蓄电池制造业，电镀行业，化学原料及化学制品制造业（电石法（聚）氯乙烯制造、铬盐制造、以工业固体废物为原料的锌无机化合物工业），皮革鞣制加工业等6个行业。 </w:t>
                  </w:r>
                </w:p>
                <w:p w14:paraId="76AD02A6">
                  <w:pPr>
                    <w:pStyle w:val="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630" w:firstLineChars="300"/>
                    <w:jc w:val="left"/>
                    <w:textAlignment w:val="auto"/>
                    <w:outlineLvl w:val="9"/>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 xml:space="preserve">［3］水泥行业超低排放实施范围：包括水泥熟料生产企业和独立水泥粉磨站（含生产特种水泥、协同处置固废的水泥企业）。 </w:t>
                  </w:r>
                </w:p>
                <w:p w14:paraId="01B888CF">
                  <w:pPr>
                    <w:keepNext w:val="0"/>
                    <w:keepLines w:val="0"/>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line="240" w:lineRule="auto"/>
                    <w:ind w:right="0" w:firstLine="0" w:firstLineChars="0"/>
                    <w:jc w:val="left"/>
                    <w:textAlignment w:val="auto"/>
                    <w:outlineLvl w:val="9"/>
                    <w:rPr>
                      <w:rFonts w:hint="default"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 xml:space="preserve">      </w:t>
                  </w:r>
                  <w:r>
                    <w:rPr>
                      <w:rFonts w:hint="default" w:ascii="Times New Roman" w:hAnsi="Times New Roman" w:eastAsia="宋体" w:cs="Times New Roman"/>
                      <w:b w:val="0"/>
                      <w:bCs w:val="0"/>
                      <w:color w:val="auto"/>
                      <w:sz w:val="21"/>
                      <w:szCs w:val="21"/>
                      <w:lang w:val="en-US" w:eastAsia="zh-CN"/>
                    </w:rPr>
                    <w:t>［4］水泥企业超低排放：是指所有生产环节（破碎、粉磨、配料、熟料煅烧、烘干、协同处置等，以及原料、燃料和产品储存运输）的大气污染物有组织、无组织排放及运输过程达到超低排放要求。</w:t>
                  </w:r>
                </w:p>
                <w:p w14:paraId="287CCC34">
                  <w:pPr>
                    <w:spacing w:before="120" w:beforeLines="50"/>
                    <w:jc w:val="center"/>
                    <w:rPr>
                      <w:rFonts w:hint="eastAsia"/>
                      <w:color w:val="auto"/>
                      <w:lang w:val="en-US" w:eastAsia="zh-CN"/>
                    </w:rPr>
                  </w:pPr>
                  <w:r>
                    <w:rPr>
                      <w:rFonts w:hint="default" w:ascii="Times New Roman" w:hAnsi="Times New Roman" w:eastAsia="宋体" w:cs="Times New Roman"/>
                      <w:b/>
                      <w:bCs/>
                      <w:color w:val="auto"/>
                      <w:sz w:val="21"/>
                      <w:szCs w:val="21"/>
                      <w:lang w:eastAsia="zh-CN"/>
                    </w:rPr>
                    <w:t>表</w:t>
                  </w:r>
                  <w:r>
                    <w:rPr>
                      <w:rFonts w:hint="eastAsia" w:ascii="Times New Roman" w:hAnsi="Times New Roman" w:eastAsia="宋体" w:cs="Times New Roman"/>
                      <w:b/>
                      <w:bCs/>
                      <w:color w:val="auto"/>
                      <w:sz w:val="21"/>
                      <w:szCs w:val="21"/>
                      <w:lang w:val="en-US" w:eastAsia="zh-CN"/>
                    </w:rPr>
                    <w:t>1-</w:t>
                  </w:r>
                  <w:r>
                    <w:rPr>
                      <w:rFonts w:hint="eastAsia" w:cs="Times New Roman"/>
                      <w:b/>
                      <w:bCs/>
                      <w:color w:val="auto"/>
                      <w:sz w:val="21"/>
                      <w:szCs w:val="21"/>
                      <w:lang w:val="en-US" w:eastAsia="zh-CN"/>
                    </w:rPr>
                    <w:t xml:space="preserve">3 </w:t>
                  </w:r>
                  <w:r>
                    <w:rPr>
                      <w:rFonts w:hint="eastAsia" w:ascii="Times New Roman" w:hAnsi="Times New Roman" w:eastAsia="宋体" w:cs="Times New Roman"/>
                      <w:b/>
                      <w:bCs/>
                      <w:color w:val="auto"/>
                      <w:sz w:val="21"/>
                      <w:szCs w:val="21"/>
                      <w:lang w:val="en-US" w:eastAsia="zh-CN"/>
                    </w:rPr>
                    <w:t>与环境管控单元准入要求符合性分析</w:t>
                  </w:r>
                </w:p>
              </w:tc>
            </w:tr>
            <w:tr w14:paraId="02C759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3"/>
                <w:wAfter w:w="44" w:type="pct"/>
                <w:trHeight w:val="397" w:hRule="atLeast"/>
              </w:trPr>
              <w:tc>
                <w:tcPr>
                  <w:tcW w:w="419" w:type="pct"/>
                  <w:gridSpan w:val="3"/>
                  <w:tcBorders>
                    <w:top w:val="single" w:color="auto" w:sz="12" w:space="0"/>
                    <w:left w:val="nil"/>
                    <w:bottom w:val="single" w:color="auto" w:sz="4" w:space="0"/>
                    <w:right w:val="single" w:color="auto" w:sz="4" w:space="0"/>
                    <w:tl2br w:val="nil"/>
                    <w:tr2bl w:val="nil"/>
                  </w:tcBorders>
                  <w:noWrap w:val="0"/>
                  <w:vAlign w:val="center"/>
                </w:tcPr>
                <w:p w14:paraId="47DDC5C8">
                  <w:pPr>
                    <w:pStyle w:val="33"/>
                    <w:spacing w:beforeLines="0" w:afterLines="0" w:line="240" w:lineRule="auto"/>
                    <w:rPr>
                      <w:rFonts w:hint="default" w:ascii="宋体" w:eastAsia="宋体"/>
                      <w:color w:val="auto"/>
                      <w:sz w:val="21"/>
                      <w:szCs w:val="24"/>
                    </w:rPr>
                  </w:pPr>
                  <w:r>
                    <w:rPr>
                      <w:rFonts w:hint="default" w:ascii="宋体" w:eastAsia="宋体"/>
                      <w:color w:val="auto"/>
                      <w:sz w:val="21"/>
                      <w:szCs w:val="24"/>
                    </w:rPr>
                    <w:t>环境管控</w:t>
                  </w:r>
                </w:p>
                <w:p w14:paraId="36FCD1C4">
                  <w:pPr>
                    <w:pStyle w:val="33"/>
                    <w:spacing w:beforeLines="0" w:afterLines="0" w:line="240" w:lineRule="auto"/>
                    <w:rPr>
                      <w:rFonts w:hint="default" w:ascii="宋体" w:eastAsia="宋体"/>
                      <w:color w:val="auto"/>
                      <w:sz w:val="21"/>
                      <w:szCs w:val="24"/>
                    </w:rPr>
                  </w:pPr>
                  <w:r>
                    <w:rPr>
                      <w:rFonts w:hint="default" w:ascii="宋体" w:eastAsia="宋体"/>
                      <w:color w:val="auto"/>
                      <w:sz w:val="21"/>
                      <w:szCs w:val="24"/>
                    </w:rPr>
                    <w:t>单元编码</w:t>
                  </w:r>
                </w:p>
              </w:tc>
              <w:tc>
                <w:tcPr>
                  <w:tcW w:w="369" w:type="pct"/>
                  <w:gridSpan w:val="2"/>
                  <w:tcBorders>
                    <w:top w:val="single" w:color="auto" w:sz="12" w:space="0"/>
                    <w:left w:val="single" w:color="auto" w:sz="4" w:space="0"/>
                    <w:bottom w:val="single" w:color="auto" w:sz="4" w:space="0"/>
                    <w:right w:val="single" w:color="auto" w:sz="4" w:space="0"/>
                    <w:tl2br w:val="nil"/>
                    <w:tr2bl w:val="nil"/>
                  </w:tcBorders>
                  <w:noWrap w:val="0"/>
                  <w:vAlign w:val="center"/>
                </w:tcPr>
                <w:p w14:paraId="34C51657">
                  <w:pPr>
                    <w:pStyle w:val="33"/>
                    <w:spacing w:beforeLines="0" w:afterLines="0" w:line="240" w:lineRule="auto"/>
                    <w:rPr>
                      <w:rFonts w:hint="default" w:ascii="宋体" w:eastAsia="宋体"/>
                      <w:color w:val="auto"/>
                      <w:sz w:val="21"/>
                      <w:szCs w:val="24"/>
                    </w:rPr>
                  </w:pPr>
                  <w:r>
                    <w:rPr>
                      <w:rFonts w:hint="default" w:ascii="宋体" w:eastAsia="宋体"/>
                      <w:color w:val="auto"/>
                      <w:sz w:val="21"/>
                      <w:szCs w:val="24"/>
                    </w:rPr>
                    <w:t>环境管控单元名称</w:t>
                  </w:r>
                </w:p>
              </w:tc>
              <w:tc>
                <w:tcPr>
                  <w:tcW w:w="266" w:type="pct"/>
                  <w:tcBorders>
                    <w:top w:val="single" w:color="auto" w:sz="12" w:space="0"/>
                    <w:left w:val="single" w:color="auto" w:sz="4" w:space="0"/>
                    <w:bottom w:val="single" w:color="auto" w:sz="4" w:space="0"/>
                    <w:right w:val="single" w:color="auto" w:sz="4" w:space="0"/>
                    <w:tl2br w:val="nil"/>
                    <w:tr2bl w:val="nil"/>
                  </w:tcBorders>
                  <w:noWrap w:val="0"/>
                  <w:vAlign w:val="center"/>
                </w:tcPr>
                <w:p w14:paraId="33DFFFC3">
                  <w:pPr>
                    <w:pStyle w:val="33"/>
                    <w:spacing w:beforeLines="0" w:afterLines="0" w:line="240" w:lineRule="auto"/>
                    <w:rPr>
                      <w:rFonts w:hint="default" w:ascii="宋体" w:eastAsia="宋体"/>
                      <w:color w:val="auto"/>
                      <w:sz w:val="21"/>
                      <w:szCs w:val="24"/>
                    </w:rPr>
                  </w:pPr>
                  <w:r>
                    <w:rPr>
                      <w:rFonts w:hint="default" w:ascii="宋体" w:eastAsia="宋体"/>
                      <w:color w:val="auto"/>
                      <w:sz w:val="21"/>
                      <w:szCs w:val="24"/>
                    </w:rPr>
                    <w:t>管控单元分类</w:t>
                  </w:r>
                </w:p>
              </w:tc>
              <w:tc>
                <w:tcPr>
                  <w:tcW w:w="2176" w:type="pct"/>
                  <w:gridSpan w:val="3"/>
                  <w:tcBorders>
                    <w:top w:val="single" w:color="auto" w:sz="12" w:space="0"/>
                    <w:left w:val="single" w:color="auto" w:sz="4" w:space="0"/>
                    <w:bottom w:val="single" w:color="auto" w:sz="4" w:space="0"/>
                    <w:right w:val="single" w:color="auto" w:sz="4" w:space="0"/>
                    <w:tl2br w:val="nil"/>
                    <w:tr2bl w:val="nil"/>
                  </w:tcBorders>
                  <w:noWrap w:val="0"/>
                  <w:vAlign w:val="center"/>
                </w:tcPr>
                <w:p w14:paraId="70ED2E07">
                  <w:pPr>
                    <w:pStyle w:val="33"/>
                    <w:spacing w:beforeLines="0" w:afterLines="0" w:line="240" w:lineRule="auto"/>
                    <w:rPr>
                      <w:rFonts w:hint="default" w:ascii="宋体" w:eastAsia="宋体"/>
                      <w:color w:val="auto"/>
                      <w:sz w:val="21"/>
                      <w:szCs w:val="24"/>
                    </w:rPr>
                  </w:pPr>
                  <w:r>
                    <w:rPr>
                      <w:rFonts w:hint="default" w:ascii="宋体" w:eastAsia="宋体"/>
                      <w:color w:val="auto"/>
                      <w:sz w:val="21"/>
                      <w:szCs w:val="24"/>
                    </w:rPr>
                    <w:t>管控要求</w:t>
                  </w:r>
                </w:p>
              </w:tc>
              <w:tc>
                <w:tcPr>
                  <w:tcW w:w="1402" w:type="pct"/>
                  <w:gridSpan w:val="4"/>
                  <w:tcBorders>
                    <w:top w:val="single" w:color="auto" w:sz="12" w:space="0"/>
                    <w:left w:val="single" w:color="auto" w:sz="4" w:space="0"/>
                    <w:bottom w:val="single" w:color="auto" w:sz="4" w:space="0"/>
                    <w:right w:val="single" w:color="auto" w:sz="4" w:space="0"/>
                    <w:tl2br w:val="nil"/>
                    <w:tr2bl w:val="nil"/>
                  </w:tcBorders>
                  <w:noWrap w:val="0"/>
                  <w:vAlign w:val="center"/>
                </w:tcPr>
                <w:p w14:paraId="785E0F24">
                  <w:pPr>
                    <w:pStyle w:val="33"/>
                    <w:spacing w:beforeLines="0" w:afterLines="0" w:line="240" w:lineRule="auto"/>
                    <w:rPr>
                      <w:rFonts w:hint="default" w:ascii="宋体" w:eastAsia="宋体"/>
                      <w:color w:val="auto"/>
                      <w:sz w:val="21"/>
                      <w:szCs w:val="24"/>
                    </w:rPr>
                  </w:pPr>
                  <w:r>
                    <w:rPr>
                      <w:rFonts w:hint="default" w:ascii="宋体" w:eastAsia="宋体"/>
                      <w:color w:val="auto"/>
                      <w:sz w:val="21"/>
                      <w:szCs w:val="24"/>
                    </w:rPr>
                    <w:t>本项目</w:t>
                  </w:r>
                </w:p>
              </w:tc>
              <w:tc>
                <w:tcPr>
                  <w:tcW w:w="319" w:type="pct"/>
                  <w:gridSpan w:val="4"/>
                  <w:tcBorders>
                    <w:top w:val="single" w:color="auto" w:sz="12" w:space="0"/>
                    <w:left w:val="single" w:color="auto" w:sz="4" w:space="0"/>
                    <w:bottom w:val="single" w:color="auto" w:sz="4" w:space="0"/>
                    <w:right w:val="nil"/>
                    <w:tl2br w:val="nil"/>
                    <w:tr2bl w:val="nil"/>
                  </w:tcBorders>
                  <w:noWrap w:val="0"/>
                  <w:vAlign w:val="center"/>
                </w:tcPr>
                <w:p w14:paraId="4C7DEE4E">
                  <w:pPr>
                    <w:pStyle w:val="33"/>
                    <w:spacing w:beforeLines="0" w:afterLines="0" w:line="240" w:lineRule="auto"/>
                    <w:rPr>
                      <w:rFonts w:hint="default" w:ascii="宋体" w:eastAsia="宋体"/>
                      <w:color w:val="auto"/>
                      <w:sz w:val="21"/>
                      <w:szCs w:val="24"/>
                    </w:rPr>
                  </w:pPr>
                  <w:r>
                    <w:rPr>
                      <w:rFonts w:hint="default" w:ascii="宋体" w:eastAsia="宋体"/>
                      <w:color w:val="auto"/>
                      <w:sz w:val="21"/>
                      <w:szCs w:val="24"/>
                    </w:rPr>
                    <w:t>符合性</w:t>
                  </w:r>
                </w:p>
              </w:tc>
            </w:tr>
            <w:tr w14:paraId="222A9E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4"/>
                <w:wAfter w:w="45" w:type="pct"/>
                <w:trHeight w:val="95" w:hRule="atLeast"/>
              </w:trPr>
              <w:tc>
                <w:tcPr>
                  <w:tcW w:w="419" w:type="pct"/>
                  <w:gridSpan w:val="3"/>
                  <w:tcBorders>
                    <w:top w:val="single" w:color="auto" w:sz="4" w:space="0"/>
                    <w:left w:val="nil"/>
                    <w:bottom w:val="single" w:color="auto" w:sz="4" w:space="0"/>
                    <w:right w:val="single" w:color="auto" w:sz="4" w:space="0"/>
                    <w:tl2br w:val="nil"/>
                    <w:tr2bl w:val="nil"/>
                  </w:tcBorders>
                  <w:noWrap w:val="0"/>
                  <w:vAlign w:val="center"/>
                </w:tcPr>
                <w:p w14:paraId="5AB7EE19">
                  <w:pPr>
                    <w:pStyle w:val="28"/>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rPr>
                  </w:pPr>
                  <w:r>
                    <w:rPr>
                      <w:rFonts w:hint="default"/>
                      <w:color w:val="auto"/>
                    </w:rPr>
                    <w:t>ZH35018120008</w:t>
                  </w:r>
                </w:p>
              </w:tc>
              <w:tc>
                <w:tcPr>
                  <w:tcW w:w="369" w:type="pct"/>
                  <w:gridSpan w:val="2"/>
                  <w:tcBorders>
                    <w:top w:val="single" w:color="auto" w:sz="4" w:space="0"/>
                    <w:left w:val="single" w:color="auto" w:sz="4" w:space="0"/>
                    <w:bottom w:val="single" w:color="auto" w:sz="4" w:space="0"/>
                    <w:right w:val="single" w:color="auto" w:sz="4" w:space="0"/>
                    <w:tl2br w:val="nil"/>
                    <w:tr2bl w:val="nil"/>
                  </w:tcBorders>
                  <w:noWrap w:val="0"/>
                  <w:vAlign w:val="center"/>
                </w:tcPr>
                <w:p w14:paraId="5F5F1C43">
                  <w:pPr>
                    <w:pStyle w:val="2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福清市重点管控单元1</w:t>
                  </w:r>
                </w:p>
              </w:tc>
              <w:tc>
                <w:tcPr>
                  <w:tcW w:w="266" w:type="pct"/>
                  <w:vMerge w:val="restart"/>
                  <w:tcBorders>
                    <w:top w:val="single" w:color="auto" w:sz="4" w:space="0"/>
                    <w:left w:val="single" w:color="auto" w:sz="4" w:space="0"/>
                    <w:bottom w:val="single" w:color="auto" w:sz="4" w:space="0"/>
                    <w:right w:val="single" w:color="auto" w:sz="4" w:space="0"/>
                    <w:tl2br w:val="nil"/>
                    <w:tr2bl w:val="nil"/>
                  </w:tcBorders>
                  <w:noWrap w:val="0"/>
                  <w:vAlign w:val="center"/>
                </w:tcPr>
                <w:p w14:paraId="0C765ECA">
                  <w:pPr>
                    <w:pStyle w:val="2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重点管控单元</w:t>
                  </w:r>
                </w:p>
              </w:tc>
              <w:tc>
                <w:tcPr>
                  <w:tcW w:w="29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5C0ACB7">
                  <w:pPr>
                    <w:pStyle w:val="2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空间布局约束</w:t>
                  </w:r>
                </w:p>
              </w:tc>
              <w:tc>
                <w:tcPr>
                  <w:tcW w:w="188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6AD1FB8">
                  <w:pPr>
                    <w:pStyle w:val="28"/>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color w:val="auto"/>
                    </w:rPr>
                  </w:pPr>
                  <w:r>
                    <w:rPr>
                      <w:rFonts w:hint="eastAsia"/>
                      <w:color w:val="auto"/>
                      <w:lang w:val="en-US" w:eastAsia="zh-CN"/>
                    </w:rPr>
                    <w:t>1、</w:t>
                  </w:r>
                  <w:r>
                    <w:rPr>
                      <w:rFonts w:hint="default"/>
                      <w:color w:val="auto"/>
                    </w:rPr>
                    <w:t>严禁在城镇人口密集区新建危险化学品生产企业；现有不符合安全和卫生防护距离要求的危险化学品生产企业2025年底前完成就地改造达标、搬迁进入规范化工园区或关闭退出。城市建成区内现有有色金属、印染、原料药制造、化工等污染较重的企业应有序搬迁改造或依法关闭。</w:t>
                  </w:r>
                </w:p>
                <w:p w14:paraId="63751B42">
                  <w:pPr>
                    <w:pStyle w:val="28"/>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color w:val="auto"/>
                    </w:rPr>
                  </w:pPr>
                  <w:r>
                    <w:rPr>
                      <w:rFonts w:hint="eastAsia"/>
                      <w:color w:val="auto"/>
                      <w:lang w:val="en-US" w:eastAsia="zh-CN"/>
                    </w:rPr>
                    <w:t>2、</w:t>
                  </w:r>
                  <w:r>
                    <w:rPr>
                      <w:rFonts w:hint="default"/>
                      <w:color w:val="auto"/>
                    </w:rPr>
                    <w:t>严格控制包装印刷、工业涂装、制鞋等高VOCs排放的项目建设，相关新建项目必须进入工业园区。</w:t>
                  </w:r>
                </w:p>
                <w:p w14:paraId="4E02D5CD">
                  <w:pPr>
                    <w:pStyle w:val="28"/>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color w:val="auto"/>
                    </w:rPr>
                  </w:pPr>
                  <w:r>
                    <w:rPr>
                      <w:rFonts w:hint="default"/>
                      <w:color w:val="auto"/>
                    </w:rPr>
                    <w:t>3.禁止开发利用未经评估和无害化处理的列入建设用地污染地块名录及开发利用负面清单的土地。</w:t>
                  </w:r>
                </w:p>
              </w:tc>
              <w:tc>
                <w:tcPr>
                  <w:tcW w:w="1402" w:type="pct"/>
                  <w:gridSpan w:val="4"/>
                  <w:tcBorders>
                    <w:top w:val="single" w:color="auto" w:sz="4" w:space="0"/>
                    <w:left w:val="single" w:color="auto" w:sz="4" w:space="0"/>
                    <w:bottom w:val="single" w:color="auto" w:sz="4" w:space="0"/>
                    <w:right w:val="single" w:color="auto" w:sz="4" w:space="0"/>
                    <w:tl2br w:val="nil"/>
                    <w:tr2bl w:val="nil"/>
                  </w:tcBorders>
                  <w:noWrap w:val="0"/>
                  <w:vAlign w:val="center"/>
                </w:tcPr>
                <w:p w14:paraId="78831DAA">
                  <w:pPr>
                    <w:pStyle w:val="28"/>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color w:val="auto"/>
                    </w:rPr>
                  </w:pPr>
                  <w:r>
                    <w:rPr>
                      <w:rFonts w:hint="default"/>
                      <w:color w:val="auto"/>
                    </w:rPr>
                    <w:t>1.本项目不属于危险化学品生产企业，也不属于有色金属、印染、原料药制造、化工等污染较重的企业；</w:t>
                  </w:r>
                </w:p>
                <w:p w14:paraId="2A0B2B15">
                  <w:pPr>
                    <w:pStyle w:val="28"/>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color w:val="auto"/>
                    </w:rPr>
                  </w:pPr>
                  <w:r>
                    <w:rPr>
                      <w:rFonts w:hint="default"/>
                      <w:color w:val="auto"/>
                    </w:rPr>
                    <w:t>2.项目</w:t>
                  </w:r>
                  <w:r>
                    <w:rPr>
                      <w:rFonts w:hint="eastAsia"/>
                      <w:color w:val="auto"/>
                      <w:lang w:val="en-US" w:eastAsia="zh-CN"/>
                    </w:rPr>
                    <w:t>不属于</w:t>
                  </w:r>
                  <w:r>
                    <w:rPr>
                      <w:rFonts w:hint="default"/>
                      <w:color w:val="auto"/>
                    </w:rPr>
                    <w:t>包装印刷、工业涂装、制鞋等高VOCs排放的项目，不涉及VOCs排放；</w:t>
                  </w:r>
                </w:p>
                <w:p w14:paraId="55FAC852">
                  <w:pPr>
                    <w:pStyle w:val="28"/>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eastAsia="宋体"/>
                      <w:color w:val="auto"/>
                      <w:lang w:eastAsia="zh-CN"/>
                    </w:rPr>
                  </w:pPr>
                  <w:r>
                    <w:rPr>
                      <w:rFonts w:hint="default"/>
                      <w:color w:val="auto"/>
                    </w:rPr>
                    <w:t>3.本项目用地未被列入福建省建设用地污染地块名录及开发利用负面清单</w:t>
                  </w:r>
                  <w:r>
                    <w:rPr>
                      <w:rFonts w:hint="eastAsia"/>
                      <w:color w:val="auto"/>
                      <w:lang w:eastAsia="zh-CN"/>
                    </w:rPr>
                    <w:t>。</w:t>
                  </w:r>
                </w:p>
              </w:tc>
              <w:tc>
                <w:tcPr>
                  <w:tcW w:w="319" w:type="pct"/>
                  <w:gridSpan w:val="4"/>
                  <w:tcBorders>
                    <w:top w:val="single" w:color="auto" w:sz="4" w:space="0"/>
                    <w:left w:val="single" w:color="auto" w:sz="4" w:space="0"/>
                    <w:bottom w:val="single" w:color="auto" w:sz="4" w:space="0"/>
                    <w:right w:val="nil"/>
                    <w:tl2br w:val="nil"/>
                    <w:tr2bl w:val="nil"/>
                  </w:tcBorders>
                  <w:noWrap w:val="0"/>
                  <w:vAlign w:val="center"/>
                </w:tcPr>
                <w:p w14:paraId="1DCE6296">
                  <w:pPr>
                    <w:pStyle w:val="2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符合</w:t>
                  </w:r>
                </w:p>
              </w:tc>
            </w:tr>
            <w:tr w14:paraId="3803F1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4"/>
                <w:wAfter w:w="45" w:type="pct"/>
                <w:trHeight w:val="1388" w:hRule="atLeast"/>
              </w:trPr>
              <w:tc>
                <w:tcPr>
                  <w:tcW w:w="419" w:type="pct"/>
                  <w:gridSpan w:val="3"/>
                  <w:vMerge w:val="restart"/>
                  <w:tcBorders>
                    <w:top w:val="single" w:color="auto" w:sz="4" w:space="0"/>
                    <w:left w:val="nil"/>
                    <w:right w:val="single" w:color="auto" w:sz="4" w:space="0"/>
                    <w:tl2br w:val="nil"/>
                    <w:tr2bl w:val="nil"/>
                  </w:tcBorders>
                  <w:noWrap w:val="0"/>
                  <w:vAlign w:val="center"/>
                </w:tcPr>
                <w:p w14:paraId="2E64E338">
                  <w:pPr>
                    <w:pStyle w:val="28"/>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rPr>
                  </w:pPr>
                </w:p>
              </w:tc>
              <w:tc>
                <w:tcPr>
                  <w:tcW w:w="369" w:type="pct"/>
                  <w:gridSpan w:val="2"/>
                  <w:vMerge w:val="restart"/>
                  <w:tcBorders>
                    <w:top w:val="single" w:color="auto" w:sz="4" w:space="0"/>
                    <w:left w:val="single" w:color="auto" w:sz="4" w:space="0"/>
                    <w:right w:val="single" w:color="auto" w:sz="4" w:space="0"/>
                    <w:tl2br w:val="nil"/>
                    <w:tr2bl w:val="nil"/>
                  </w:tcBorders>
                  <w:noWrap w:val="0"/>
                  <w:vAlign w:val="center"/>
                </w:tcPr>
                <w:p w14:paraId="2164E9FA">
                  <w:pPr>
                    <w:pStyle w:val="2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266"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7A2C29C0">
                  <w:pPr>
                    <w:pStyle w:val="2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29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5C3D05D">
                  <w:pPr>
                    <w:pStyle w:val="2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污染物排放管控</w:t>
                  </w:r>
                </w:p>
              </w:tc>
              <w:tc>
                <w:tcPr>
                  <w:tcW w:w="188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7450B12">
                  <w:pPr>
                    <w:pStyle w:val="28"/>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rPr>
                  </w:pPr>
                  <w:r>
                    <w:rPr>
                      <w:rFonts w:hint="default"/>
                      <w:color w:val="auto"/>
                    </w:rPr>
                    <w:t>落实新增二氧化硫、氮氧化物和VOCs排放总量控制要求</w:t>
                  </w:r>
                </w:p>
              </w:tc>
              <w:tc>
                <w:tcPr>
                  <w:tcW w:w="1402" w:type="pct"/>
                  <w:gridSpan w:val="4"/>
                  <w:tcBorders>
                    <w:top w:val="single" w:color="auto" w:sz="4" w:space="0"/>
                    <w:left w:val="single" w:color="auto" w:sz="4" w:space="0"/>
                    <w:bottom w:val="single" w:color="auto" w:sz="4" w:space="0"/>
                    <w:right w:val="single" w:color="auto" w:sz="4" w:space="0"/>
                    <w:tl2br w:val="nil"/>
                    <w:tr2bl w:val="nil"/>
                  </w:tcBorders>
                  <w:noWrap w:val="0"/>
                  <w:vAlign w:val="center"/>
                </w:tcPr>
                <w:p w14:paraId="36F6C54F">
                  <w:pPr>
                    <w:pStyle w:val="28"/>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eastAsia="宋体"/>
                      <w:color w:val="auto"/>
                      <w:lang w:eastAsia="zh-CN"/>
                    </w:rPr>
                  </w:pPr>
                  <w:r>
                    <w:rPr>
                      <w:rFonts w:hint="default"/>
                      <w:color w:val="auto"/>
                    </w:rPr>
                    <w:t>项目不涉及二氧化硫、氮氧化物、VOCs排放</w:t>
                  </w:r>
                  <w:r>
                    <w:rPr>
                      <w:rFonts w:hint="eastAsia"/>
                      <w:color w:val="auto"/>
                      <w:lang w:eastAsia="zh-CN"/>
                    </w:rPr>
                    <w:t>。</w:t>
                  </w:r>
                </w:p>
              </w:tc>
              <w:tc>
                <w:tcPr>
                  <w:tcW w:w="319" w:type="pct"/>
                  <w:gridSpan w:val="4"/>
                  <w:tcBorders>
                    <w:top w:val="single" w:color="auto" w:sz="4" w:space="0"/>
                    <w:left w:val="single" w:color="auto" w:sz="4" w:space="0"/>
                    <w:bottom w:val="single" w:color="auto" w:sz="4" w:space="0"/>
                    <w:right w:val="nil"/>
                    <w:tl2br w:val="nil"/>
                    <w:tr2bl w:val="nil"/>
                  </w:tcBorders>
                  <w:noWrap w:val="0"/>
                  <w:vAlign w:val="center"/>
                </w:tcPr>
                <w:p w14:paraId="39D39D9C">
                  <w:pPr>
                    <w:pStyle w:val="2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符合</w:t>
                  </w:r>
                </w:p>
              </w:tc>
            </w:tr>
            <w:tr w14:paraId="5364DD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4"/>
                <w:wAfter w:w="45" w:type="pct"/>
                <w:trHeight w:val="2011" w:hRule="atLeast"/>
              </w:trPr>
              <w:tc>
                <w:tcPr>
                  <w:tcW w:w="419" w:type="pct"/>
                  <w:gridSpan w:val="3"/>
                  <w:vMerge w:val="continue"/>
                  <w:tcBorders>
                    <w:top w:val="single" w:color="auto" w:sz="4" w:space="0"/>
                    <w:left w:val="nil"/>
                    <w:bottom w:val="single" w:color="auto" w:sz="4" w:space="0"/>
                    <w:right w:val="single" w:color="auto" w:sz="4" w:space="0"/>
                    <w:tl2br w:val="nil"/>
                    <w:tr2bl w:val="nil"/>
                  </w:tcBorders>
                  <w:noWrap w:val="0"/>
                  <w:vAlign w:val="center"/>
                </w:tcPr>
                <w:p w14:paraId="50416343">
                  <w:pPr>
                    <w:pStyle w:val="2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369" w:type="pct"/>
                  <w:gridSpan w:val="2"/>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3162640F">
                  <w:pPr>
                    <w:pStyle w:val="2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266" w:type="pct"/>
                  <w:vMerge w:val="continue"/>
                  <w:tcBorders>
                    <w:top w:val="single" w:color="auto" w:sz="4" w:space="0"/>
                    <w:left w:val="single" w:color="auto" w:sz="4" w:space="0"/>
                    <w:bottom w:val="single" w:color="auto" w:sz="4" w:space="0"/>
                    <w:right w:val="single" w:color="auto" w:sz="4" w:space="0"/>
                    <w:tl2br w:val="nil"/>
                    <w:tr2bl w:val="nil"/>
                  </w:tcBorders>
                  <w:noWrap w:val="0"/>
                  <w:vAlign w:val="center"/>
                </w:tcPr>
                <w:p w14:paraId="687B61FD">
                  <w:pPr>
                    <w:pStyle w:val="2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29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7225DC4">
                  <w:pPr>
                    <w:pStyle w:val="2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环境风险</w:t>
                  </w:r>
                </w:p>
                <w:p w14:paraId="44AEA9DD">
                  <w:pPr>
                    <w:pStyle w:val="2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防控</w:t>
                  </w:r>
                </w:p>
              </w:tc>
              <w:tc>
                <w:tcPr>
                  <w:tcW w:w="1886"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6D49BD7">
                  <w:pPr>
                    <w:pStyle w:val="28"/>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rPr>
                  </w:pPr>
                  <w:r>
                    <w:rPr>
                      <w:rFonts w:hint="default"/>
                      <w:color w:val="auto"/>
                    </w:rPr>
                    <w:t>单元内现有化学原料和化学制品制造业、有色金属冶炼和压延加工业等具有潜在土壤污染环境风险的企业退役后，应开展土壤环境状况评估，经评估认为污染地块可能损害人体健康和环境，应当进行修复的，由造成污染的单位和个人负责被污染土壤的修复。</w:t>
                  </w:r>
                </w:p>
              </w:tc>
              <w:tc>
                <w:tcPr>
                  <w:tcW w:w="1402" w:type="pct"/>
                  <w:gridSpan w:val="4"/>
                  <w:tcBorders>
                    <w:top w:val="single" w:color="auto" w:sz="4" w:space="0"/>
                    <w:left w:val="single" w:color="auto" w:sz="4" w:space="0"/>
                    <w:bottom w:val="single" w:color="auto" w:sz="4" w:space="0"/>
                    <w:right w:val="single" w:color="auto" w:sz="4" w:space="0"/>
                    <w:tl2br w:val="nil"/>
                    <w:tr2bl w:val="nil"/>
                  </w:tcBorders>
                  <w:noWrap w:val="0"/>
                  <w:vAlign w:val="center"/>
                </w:tcPr>
                <w:p w14:paraId="3395FF48">
                  <w:pPr>
                    <w:pStyle w:val="28"/>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rPr>
                  </w:pPr>
                  <w:r>
                    <w:rPr>
                      <w:rFonts w:hint="default"/>
                      <w:color w:val="auto"/>
                    </w:rPr>
                    <w:t>项目为新建项目</w:t>
                  </w:r>
                  <w:r>
                    <w:rPr>
                      <w:rFonts w:hint="eastAsia"/>
                      <w:color w:val="auto"/>
                      <w:lang w:eastAsia="zh-CN"/>
                    </w:rPr>
                    <w:t>且</w:t>
                  </w:r>
                  <w:r>
                    <w:rPr>
                      <w:rFonts w:hint="default"/>
                      <w:color w:val="auto"/>
                    </w:rPr>
                    <w:t>不属于化学原料和化学制品制造业、有色金属冶炼和压延加工业等具有潜在土壤污染环境风险的企业。</w:t>
                  </w:r>
                </w:p>
              </w:tc>
              <w:tc>
                <w:tcPr>
                  <w:tcW w:w="319" w:type="pct"/>
                  <w:gridSpan w:val="4"/>
                  <w:tcBorders>
                    <w:top w:val="single" w:color="auto" w:sz="4" w:space="0"/>
                    <w:left w:val="single" w:color="auto" w:sz="4" w:space="0"/>
                    <w:bottom w:val="single" w:color="auto" w:sz="4" w:space="0"/>
                    <w:right w:val="nil"/>
                    <w:tl2br w:val="nil"/>
                    <w:tr2bl w:val="nil"/>
                  </w:tcBorders>
                  <w:noWrap w:val="0"/>
                  <w:vAlign w:val="center"/>
                </w:tcPr>
                <w:p w14:paraId="08F3EBD4">
                  <w:pPr>
                    <w:pStyle w:val="2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符合</w:t>
                  </w:r>
                </w:p>
              </w:tc>
            </w:tr>
            <w:tr w14:paraId="5D0D5B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4"/>
                <w:wAfter w:w="45" w:type="pct"/>
                <w:trHeight w:val="397" w:hRule="atLeast"/>
              </w:trPr>
              <w:tc>
                <w:tcPr>
                  <w:tcW w:w="419" w:type="pct"/>
                  <w:gridSpan w:val="3"/>
                  <w:vMerge w:val="continue"/>
                  <w:tcBorders>
                    <w:top w:val="single" w:color="auto" w:sz="4" w:space="0"/>
                    <w:left w:val="nil"/>
                    <w:bottom w:val="single" w:color="auto" w:sz="12" w:space="0"/>
                    <w:right w:val="single" w:color="auto" w:sz="4" w:space="0"/>
                    <w:tl2br w:val="nil"/>
                    <w:tr2bl w:val="nil"/>
                  </w:tcBorders>
                  <w:noWrap w:val="0"/>
                  <w:vAlign w:val="center"/>
                </w:tcPr>
                <w:p w14:paraId="615751E7">
                  <w:pPr>
                    <w:pStyle w:val="2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369" w:type="pct"/>
                  <w:gridSpan w:val="2"/>
                  <w:vMerge w:val="continue"/>
                  <w:tcBorders>
                    <w:top w:val="single" w:color="auto" w:sz="4" w:space="0"/>
                    <w:left w:val="single" w:color="auto" w:sz="4" w:space="0"/>
                    <w:bottom w:val="single" w:color="auto" w:sz="12" w:space="0"/>
                    <w:right w:val="single" w:color="auto" w:sz="4" w:space="0"/>
                    <w:tl2br w:val="nil"/>
                    <w:tr2bl w:val="nil"/>
                  </w:tcBorders>
                  <w:noWrap w:val="0"/>
                  <w:vAlign w:val="center"/>
                </w:tcPr>
                <w:p w14:paraId="358DFB88">
                  <w:pPr>
                    <w:pStyle w:val="2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266" w:type="pct"/>
                  <w:vMerge w:val="continue"/>
                  <w:tcBorders>
                    <w:top w:val="single" w:color="auto" w:sz="4" w:space="0"/>
                    <w:left w:val="single" w:color="auto" w:sz="4" w:space="0"/>
                    <w:bottom w:val="single" w:color="auto" w:sz="12" w:space="0"/>
                    <w:right w:val="single" w:color="auto" w:sz="4" w:space="0"/>
                    <w:tl2br w:val="nil"/>
                    <w:tr2bl w:val="nil"/>
                  </w:tcBorders>
                  <w:noWrap w:val="0"/>
                  <w:vAlign w:val="center"/>
                </w:tcPr>
                <w:p w14:paraId="30CBA88B">
                  <w:pPr>
                    <w:pStyle w:val="2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p>
              </w:tc>
              <w:tc>
                <w:tcPr>
                  <w:tcW w:w="290" w:type="pct"/>
                  <w:tcBorders>
                    <w:top w:val="single" w:color="auto" w:sz="4" w:space="0"/>
                    <w:left w:val="single" w:color="auto" w:sz="4" w:space="0"/>
                    <w:bottom w:val="single" w:color="auto" w:sz="12" w:space="0"/>
                    <w:right w:val="single" w:color="auto" w:sz="4" w:space="0"/>
                    <w:tl2br w:val="nil"/>
                    <w:tr2bl w:val="nil"/>
                  </w:tcBorders>
                  <w:noWrap w:val="0"/>
                  <w:vAlign w:val="center"/>
                </w:tcPr>
                <w:p w14:paraId="05B76034">
                  <w:pPr>
                    <w:pStyle w:val="28"/>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rPr>
                  </w:pPr>
                  <w:r>
                    <w:rPr>
                      <w:rFonts w:hint="default"/>
                      <w:color w:val="auto"/>
                    </w:rPr>
                    <w:t>资源开发效率要求</w:t>
                  </w:r>
                </w:p>
              </w:tc>
              <w:tc>
                <w:tcPr>
                  <w:tcW w:w="1886" w:type="pct"/>
                  <w:tcBorders>
                    <w:top w:val="single" w:color="auto" w:sz="4" w:space="0"/>
                    <w:left w:val="single" w:color="auto" w:sz="4" w:space="0"/>
                    <w:bottom w:val="single" w:color="auto" w:sz="12" w:space="0"/>
                    <w:right w:val="single" w:color="auto" w:sz="4" w:space="0"/>
                    <w:tl2br w:val="nil"/>
                    <w:tr2bl w:val="nil"/>
                  </w:tcBorders>
                  <w:noWrap w:val="0"/>
                  <w:vAlign w:val="center"/>
                </w:tcPr>
                <w:p w14:paraId="5AFA73A5">
                  <w:pPr>
                    <w:pStyle w:val="2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高污染燃料禁燃区内禁止燃用高污染燃料，禁止新建、扩建燃用高污染燃料的设施。已建的燃用高污染燃料设施，限期改用电、天然气、液化石油气等清洁能源。</w:t>
                  </w:r>
                </w:p>
              </w:tc>
              <w:tc>
                <w:tcPr>
                  <w:tcW w:w="1402" w:type="pct"/>
                  <w:gridSpan w:val="4"/>
                  <w:tcBorders>
                    <w:top w:val="single" w:color="auto" w:sz="4" w:space="0"/>
                    <w:left w:val="single" w:color="auto" w:sz="4" w:space="0"/>
                    <w:bottom w:val="single" w:color="auto" w:sz="12" w:space="0"/>
                    <w:right w:val="single" w:color="auto" w:sz="4" w:space="0"/>
                    <w:tl2br w:val="nil"/>
                    <w:tr2bl w:val="nil"/>
                  </w:tcBorders>
                  <w:noWrap w:val="0"/>
                  <w:vAlign w:val="center"/>
                </w:tcPr>
                <w:p w14:paraId="6D027599">
                  <w:pPr>
                    <w:pStyle w:val="28"/>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color w:val="auto"/>
                    </w:rPr>
                  </w:pPr>
                  <w:r>
                    <w:rPr>
                      <w:rFonts w:hint="default"/>
                      <w:color w:val="auto"/>
                    </w:rPr>
                    <w:t>项目建成后不使用燃用高污染燃料，主要能源形式为电力，为清洁能源。</w:t>
                  </w:r>
                </w:p>
              </w:tc>
              <w:tc>
                <w:tcPr>
                  <w:tcW w:w="319" w:type="pct"/>
                  <w:gridSpan w:val="4"/>
                  <w:tcBorders>
                    <w:top w:val="single" w:color="auto" w:sz="4" w:space="0"/>
                    <w:left w:val="single" w:color="auto" w:sz="4" w:space="0"/>
                    <w:bottom w:val="single" w:color="auto" w:sz="12" w:space="0"/>
                    <w:right w:val="nil"/>
                    <w:tl2br w:val="nil"/>
                    <w:tr2bl w:val="nil"/>
                  </w:tcBorders>
                  <w:noWrap w:val="0"/>
                  <w:vAlign w:val="center"/>
                </w:tcPr>
                <w:p w14:paraId="3EAA62B6">
                  <w:pPr>
                    <w:pStyle w:val="28"/>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lang w:val="en-US" w:eastAsia="zh-CN"/>
                    </w:rPr>
                  </w:pPr>
                  <w:r>
                    <w:rPr>
                      <w:rFonts w:hint="eastAsia"/>
                      <w:color w:val="auto"/>
                      <w:lang w:val="en-US" w:eastAsia="zh-CN"/>
                    </w:rPr>
                    <w:t>符合</w:t>
                  </w:r>
                </w:p>
              </w:tc>
            </w:tr>
          </w:tbl>
          <w:p w14:paraId="22F5D930">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eastAsia"/>
                <w:color w:val="auto"/>
                <w:sz w:val="24"/>
                <w:szCs w:val="24"/>
              </w:rPr>
            </w:pPr>
            <w:r>
              <w:rPr>
                <w:rFonts w:hint="default" w:ascii="Times New Roman" w:hAnsi="Times New Roman" w:eastAsia="宋体" w:cs="Times New Roman"/>
                <w:color w:val="auto"/>
                <w:kern w:val="2"/>
                <w:sz w:val="24"/>
                <w:szCs w:val="24"/>
                <w:lang w:val="en-US" w:eastAsia="zh-CN" w:bidi="ar-SA"/>
              </w:rPr>
              <w:t>综上所述，项目建设符合</w:t>
            </w:r>
            <w:r>
              <w:rPr>
                <w:rFonts w:hint="eastAsia"/>
                <w:color w:val="auto"/>
                <w:sz w:val="24"/>
                <w:szCs w:val="24"/>
              </w:rPr>
              <w:t>区域总体管控要求，符合环境管控单元准入要求，符合福州市生态环境分区管控要求。</w:t>
            </w:r>
          </w:p>
          <w:p w14:paraId="73F17F22">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20" w:firstLineChars="200"/>
              <w:textAlignment w:val="auto"/>
              <w:rPr>
                <w:rFonts w:hint="default" w:ascii="Times New Roman" w:hAnsi="Times New Roman" w:eastAsia="宋体" w:cs="Times New Roman"/>
                <w:color w:val="auto"/>
                <w:kern w:val="2"/>
                <w:sz w:val="21"/>
                <w:szCs w:val="24"/>
                <w:lang w:val="en-US" w:eastAsia="zh-CN" w:bidi="ar-SA"/>
              </w:rPr>
            </w:pPr>
          </w:p>
        </w:tc>
      </w:tr>
    </w:tbl>
    <w:p w14:paraId="6C17A081">
      <w:pPr>
        <w:jc w:val="both"/>
        <w:outlineLvl w:val="9"/>
        <w:rPr>
          <w:rFonts w:hint="default" w:ascii="Times New Roman" w:hAnsi="Times New Roman" w:eastAsia="宋体" w:cs="Times New Roman"/>
          <w:snapToGrid w:val="0"/>
          <w:color w:val="auto"/>
          <w:sz w:val="30"/>
          <w:szCs w:val="30"/>
        </w:rPr>
        <w:sectPr>
          <w:pgSz w:w="16838" w:h="11906" w:orient="landscape"/>
          <w:pgMar w:top="1531" w:right="1701" w:bottom="1531" w:left="1701" w:header="851" w:footer="1077" w:gutter="0"/>
          <w:pgBorders>
            <w:top w:val="none" w:sz="0" w:space="0"/>
            <w:left w:val="none" w:sz="0" w:space="0"/>
            <w:bottom w:val="none" w:sz="0" w:space="0"/>
            <w:right w:val="none" w:sz="0" w:space="0"/>
          </w:pgBorders>
          <w:pgNumType w:fmt="numberInDash"/>
          <w:cols w:space="720" w:num="1"/>
          <w:docGrid w:linePitch="312" w:charSpace="0"/>
        </w:sectPr>
      </w:pP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3"/>
        <w:gridCol w:w="8257"/>
      </w:tblGrid>
      <w:tr w14:paraId="1CC4A3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28" w:hRule="atLeast"/>
        </w:trPr>
        <w:tc>
          <w:tcPr>
            <w:tcW w:w="803" w:type="dxa"/>
            <w:noWrap w:val="0"/>
            <w:vAlign w:val="top"/>
          </w:tcPr>
          <w:p w14:paraId="26560B41">
            <w:pPr>
              <w:widowControl/>
              <w:spacing w:before="100" w:beforeAutospacing="1" w:after="100" w:afterAutospacing="1"/>
              <w:jc w:val="both"/>
              <w:outlineLvl w:val="9"/>
              <w:rPr>
                <w:rFonts w:hint="default" w:ascii="Times New Roman" w:hAnsi="Times New Roman" w:eastAsia="宋体" w:cs="Times New Roman"/>
                <w:snapToGrid w:val="0"/>
                <w:color w:val="auto"/>
                <w:kern w:val="0"/>
                <w:sz w:val="30"/>
                <w:szCs w:val="30"/>
                <w:vertAlign w:val="baseline"/>
                <w:lang w:val="en-US" w:eastAsia="zh-CN" w:bidi="ar-SA"/>
              </w:rPr>
            </w:pPr>
          </w:p>
        </w:tc>
        <w:tc>
          <w:tcPr>
            <w:tcW w:w="8257" w:type="dxa"/>
            <w:noWrap w:val="0"/>
            <w:vAlign w:val="top"/>
          </w:tcPr>
          <w:p w14:paraId="438EC863">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eastAsia="宋体" w:cs="Times New Roman"/>
                <w:b/>
                <w:bCs/>
                <w:color w:val="auto"/>
                <w:sz w:val="21"/>
                <w:szCs w:val="21"/>
                <w:lang w:val="en-US" w:eastAsia="zh-CN"/>
              </w:rPr>
            </w:pPr>
            <w:r>
              <w:rPr>
                <w:rFonts w:hint="eastAsia"/>
                <w:b/>
                <w:bCs/>
                <w:color w:val="auto"/>
                <w:lang w:val="en-US" w:eastAsia="zh-CN"/>
              </w:rPr>
              <w:t>6、与绿色预拌混凝土搅拌站建设符合性分析</w:t>
            </w:r>
          </w:p>
          <w:p w14:paraId="02486E65">
            <w:pPr>
              <w:pStyle w:val="15"/>
              <w:keepNext w:val="0"/>
              <w:keepLines w:val="0"/>
              <w:pageBreakBefore w:val="0"/>
              <w:widowControl w:val="0"/>
              <w:numPr>
                <w:ilvl w:val="0"/>
                <w:numId w:val="0"/>
              </w:numPr>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val="0"/>
              <w:spacing w:line="360" w:lineRule="auto"/>
              <w:ind w:firstLine="420" w:firstLineChars="200"/>
              <w:jc w:val="left"/>
              <w:textAlignment w:val="auto"/>
              <w:outlineLvl w:val="9"/>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1"/>
                <w:szCs w:val="21"/>
                <w:lang w:val="en-US" w:eastAsia="zh-CN" w:bidi="ar-SA"/>
              </w:rPr>
              <w:t>本项目涉及预拌混凝土工艺，建设有预拌混凝土搅拌</w:t>
            </w:r>
            <w:r>
              <w:rPr>
                <w:rFonts w:hint="eastAsia" w:cs="Times New Roman"/>
                <w:color w:val="auto"/>
                <w:kern w:val="2"/>
                <w:sz w:val="21"/>
                <w:szCs w:val="21"/>
                <w:lang w:val="en-US" w:eastAsia="zh-CN" w:bidi="ar-SA"/>
              </w:rPr>
              <w:t>楼</w:t>
            </w:r>
            <w:r>
              <w:rPr>
                <w:rFonts w:hint="eastAsia" w:ascii="Times New Roman" w:hAnsi="Times New Roman" w:eastAsia="宋体" w:cs="Times New Roman"/>
                <w:color w:val="auto"/>
                <w:kern w:val="2"/>
                <w:sz w:val="21"/>
                <w:szCs w:val="21"/>
                <w:lang w:val="en-US" w:eastAsia="zh-CN" w:bidi="ar-SA"/>
              </w:rPr>
              <w:t>。根据下表分析可知，本项目基本符合《预拌混凝土绿色生产及管理技术规程》（JGJ/T328-2014）、《福州市城乡建设局关于加强绿色预拌混凝土搅拌站建设的通知》（榕建筑</w:t>
            </w:r>
            <w:r>
              <w:rPr>
                <w:rFonts w:hint="eastAsia" w:cs="Times New Roman"/>
                <w:color w:val="auto"/>
                <w:kern w:val="2"/>
                <w:sz w:val="21"/>
                <w:szCs w:val="21"/>
                <w:lang w:val="en-US" w:eastAsia="zh-CN" w:bidi="ar-SA"/>
              </w:rPr>
              <w:t>〔2019〕151号</w:t>
            </w:r>
            <w:r>
              <w:rPr>
                <w:rFonts w:hint="eastAsia" w:ascii="Times New Roman" w:hAnsi="Times New Roman" w:eastAsia="宋体" w:cs="Times New Roman"/>
                <w:color w:val="auto"/>
                <w:kern w:val="2"/>
                <w:sz w:val="21"/>
                <w:szCs w:val="21"/>
                <w:lang w:val="en-US" w:eastAsia="zh-CN" w:bidi="ar-SA"/>
              </w:rPr>
              <w:t>）中相关生产环保要求，属绿色生产。</w:t>
            </w:r>
          </w:p>
          <w:p w14:paraId="7E2E715D">
            <w:pPr>
              <w:pStyle w:val="33"/>
              <w:bidi w:val="0"/>
              <w:rPr>
                <w:rFonts w:hint="eastAsia"/>
                <w:color w:val="auto"/>
              </w:rPr>
            </w:pPr>
            <w:r>
              <w:rPr>
                <w:rFonts w:hint="eastAsia"/>
                <w:color w:val="auto"/>
              </w:rPr>
              <w:t>表</w:t>
            </w:r>
            <w:r>
              <w:rPr>
                <w:rFonts w:hint="eastAsia"/>
                <w:color w:val="auto"/>
                <w:lang w:val="en-US" w:eastAsia="zh-CN"/>
              </w:rPr>
              <w:t xml:space="preserve">1-4 </w:t>
            </w:r>
            <w:r>
              <w:rPr>
                <w:rFonts w:hint="eastAsia"/>
                <w:color w:val="auto"/>
              </w:rPr>
              <w:t>与《预拌混凝土绿色生产及管理技术规程》（JGJ/T328-2014）要求符合性分析</w:t>
            </w:r>
          </w:p>
          <w:tbl>
            <w:tblPr>
              <w:tblStyle w:val="2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8"/>
              <w:gridCol w:w="729"/>
              <w:gridCol w:w="2763"/>
              <w:gridCol w:w="3236"/>
              <w:gridCol w:w="862"/>
            </w:tblGrid>
            <w:tr w14:paraId="6B6768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32" w:type="pct"/>
                  <w:gridSpan w:val="2"/>
                  <w:noWrap w:val="0"/>
                  <w:vAlign w:val="center"/>
                </w:tcPr>
                <w:p w14:paraId="34CD63DC">
                  <w:pPr>
                    <w:pStyle w:val="28"/>
                    <w:bidi w:val="0"/>
                    <w:rPr>
                      <w:b/>
                      <w:bCs/>
                      <w:color w:val="auto"/>
                    </w:rPr>
                  </w:pPr>
                  <w:r>
                    <w:rPr>
                      <w:rFonts w:hint="eastAsia"/>
                      <w:b/>
                      <w:bCs/>
                      <w:color w:val="auto"/>
                    </w:rPr>
                    <w:t>项目</w:t>
                  </w:r>
                </w:p>
              </w:tc>
              <w:tc>
                <w:tcPr>
                  <w:tcW w:w="1718" w:type="pct"/>
                  <w:noWrap w:val="0"/>
                  <w:vAlign w:val="center"/>
                </w:tcPr>
                <w:p w14:paraId="287F6D1D">
                  <w:pPr>
                    <w:pStyle w:val="28"/>
                    <w:bidi w:val="0"/>
                    <w:rPr>
                      <w:rFonts w:hint="eastAsia"/>
                      <w:b/>
                      <w:bCs/>
                      <w:color w:val="auto"/>
                      <w:lang w:eastAsia="zh-CN"/>
                    </w:rPr>
                  </w:pPr>
                  <w:r>
                    <w:rPr>
                      <w:b/>
                      <w:bCs/>
                      <w:color w:val="auto"/>
                    </w:rPr>
                    <w:t>预拌混凝土绿色生产及管理技术规程</w:t>
                  </w:r>
                  <w:r>
                    <w:rPr>
                      <w:rFonts w:hint="eastAsia"/>
                      <w:b/>
                      <w:bCs/>
                      <w:color w:val="auto"/>
                      <w:lang w:eastAsia="zh-CN"/>
                    </w:rPr>
                    <w:t>（摘录）</w:t>
                  </w:r>
                </w:p>
              </w:tc>
              <w:tc>
                <w:tcPr>
                  <w:tcW w:w="2012" w:type="pct"/>
                  <w:noWrap w:val="0"/>
                  <w:vAlign w:val="center"/>
                </w:tcPr>
                <w:p w14:paraId="3ABF255C">
                  <w:pPr>
                    <w:pStyle w:val="28"/>
                    <w:bidi w:val="0"/>
                    <w:rPr>
                      <w:b/>
                      <w:bCs/>
                      <w:color w:val="auto"/>
                    </w:rPr>
                  </w:pPr>
                  <w:r>
                    <w:rPr>
                      <w:rFonts w:hint="eastAsia"/>
                      <w:b/>
                      <w:bCs/>
                      <w:color w:val="auto"/>
                    </w:rPr>
                    <w:t>项目情况</w:t>
                  </w:r>
                </w:p>
              </w:tc>
              <w:tc>
                <w:tcPr>
                  <w:tcW w:w="536" w:type="pct"/>
                  <w:noWrap w:val="0"/>
                  <w:vAlign w:val="center"/>
                </w:tcPr>
                <w:p w14:paraId="52AD7C1E">
                  <w:pPr>
                    <w:pStyle w:val="28"/>
                    <w:bidi w:val="0"/>
                    <w:rPr>
                      <w:b/>
                      <w:bCs/>
                      <w:color w:val="auto"/>
                    </w:rPr>
                  </w:pPr>
                  <w:r>
                    <w:rPr>
                      <w:rFonts w:hint="eastAsia"/>
                      <w:b/>
                      <w:bCs/>
                      <w:color w:val="auto"/>
                    </w:rPr>
                    <w:t>符合性</w:t>
                  </w:r>
                </w:p>
              </w:tc>
            </w:tr>
            <w:tr w14:paraId="1B9511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32" w:type="pct"/>
                  <w:gridSpan w:val="2"/>
                  <w:vMerge w:val="restart"/>
                  <w:noWrap w:val="0"/>
                  <w:vAlign w:val="center"/>
                </w:tcPr>
                <w:p w14:paraId="49D0F553">
                  <w:pPr>
                    <w:pStyle w:val="28"/>
                    <w:bidi w:val="0"/>
                    <w:rPr>
                      <w:color w:val="auto"/>
                    </w:rPr>
                  </w:pPr>
                  <w:r>
                    <w:rPr>
                      <w:rFonts w:hint="eastAsia"/>
                      <w:color w:val="auto"/>
                    </w:rPr>
                    <w:t>厂区要求</w:t>
                  </w:r>
                </w:p>
              </w:tc>
              <w:tc>
                <w:tcPr>
                  <w:tcW w:w="1718" w:type="pct"/>
                  <w:noWrap w:val="0"/>
                  <w:vAlign w:val="center"/>
                </w:tcPr>
                <w:p w14:paraId="015D4FD0">
                  <w:pPr>
                    <w:pStyle w:val="28"/>
                    <w:bidi w:val="0"/>
                    <w:rPr>
                      <w:color w:val="auto"/>
                    </w:rPr>
                  </w:pPr>
                  <w:r>
                    <w:rPr>
                      <w:color w:val="auto"/>
                    </w:rPr>
                    <w:t>厂区内的生产区、办公区和生活区宜分区布置</w:t>
                  </w:r>
                </w:p>
              </w:tc>
              <w:tc>
                <w:tcPr>
                  <w:tcW w:w="2012" w:type="pct"/>
                  <w:noWrap w:val="0"/>
                  <w:vAlign w:val="center"/>
                </w:tcPr>
                <w:p w14:paraId="6BDFFC38">
                  <w:pPr>
                    <w:pStyle w:val="28"/>
                    <w:bidi w:val="0"/>
                    <w:rPr>
                      <w:rFonts w:hint="eastAsia"/>
                      <w:color w:val="auto"/>
                      <w:lang w:eastAsia="zh-CN"/>
                    </w:rPr>
                  </w:pPr>
                  <w:r>
                    <w:rPr>
                      <w:color w:val="auto"/>
                    </w:rPr>
                    <w:t>厂区内的生产区</w:t>
                  </w:r>
                  <w:r>
                    <w:rPr>
                      <w:rFonts w:hint="eastAsia"/>
                      <w:color w:val="auto"/>
                    </w:rPr>
                    <w:t>、</w:t>
                  </w:r>
                  <w:r>
                    <w:rPr>
                      <w:rFonts w:hint="eastAsia"/>
                      <w:color w:val="auto"/>
                      <w:lang w:eastAsia="zh-CN"/>
                    </w:rPr>
                    <w:t>办公</w:t>
                  </w:r>
                  <w:r>
                    <w:rPr>
                      <w:rFonts w:hint="eastAsia"/>
                      <w:color w:val="auto"/>
                    </w:rPr>
                    <w:t>生活区分区合理布置</w:t>
                  </w:r>
                  <w:r>
                    <w:rPr>
                      <w:rFonts w:hint="eastAsia"/>
                      <w:color w:val="auto"/>
                      <w:lang w:eastAsia="zh-CN"/>
                    </w:rPr>
                    <w:t>，降低生产区对办公生活区的影响</w:t>
                  </w:r>
                </w:p>
              </w:tc>
              <w:tc>
                <w:tcPr>
                  <w:tcW w:w="536" w:type="pct"/>
                  <w:noWrap w:val="0"/>
                  <w:vAlign w:val="center"/>
                </w:tcPr>
                <w:p w14:paraId="6F819C1A">
                  <w:pPr>
                    <w:pStyle w:val="28"/>
                    <w:bidi w:val="0"/>
                    <w:rPr>
                      <w:color w:val="auto"/>
                    </w:rPr>
                  </w:pPr>
                  <w:r>
                    <w:rPr>
                      <w:rFonts w:hint="eastAsia"/>
                      <w:color w:val="auto"/>
                    </w:rPr>
                    <w:t>符合</w:t>
                  </w:r>
                </w:p>
              </w:tc>
            </w:tr>
            <w:tr w14:paraId="06C3EB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5" w:hRule="atLeast"/>
              </w:trPr>
              <w:tc>
                <w:tcPr>
                  <w:tcW w:w="732" w:type="pct"/>
                  <w:gridSpan w:val="2"/>
                  <w:vMerge w:val="continue"/>
                  <w:noWrap w:val="0"/>
                  <w:vAlign w:val="center"/>
                </w:tcPr>
                <w:p w14:paraId="789EFFE0">
                  <w:pPr>
                    <w:pStyle w:val="28"/>
                    <w:bidi w:val="0"/>
                    <w:rPr>
                      <w:color w:val="auto"/>
                    </w:rPr>
                  </w:pPr>
                </w:p>
              </w:tc>
              <w:tc>
                <w:tcPr>
                  <w:tcW w:w="1718" w:type="pct"/>
                  <w:noWrap w:val="0"/>
                  <w:vAlign w:val="center"/>
                </w:tcPr>
                <w:p w14:paraId="5E82693B">
                  <w:pPr>
                    <w:pStyle w:val="28"/>
                    <w:bidi w:val="0"/>
                    <w:rPr>
                      <w:color w:val="auto"/>
                    </w:rPr>
                  </w:pPr>
                  <w:r>
                    <w:rPr>
                      <w:color w:val="auto"/>
                    </w:rPr>
                    <w:t>厂区内道路应硬化，功能应满足生产和运输要求；未硬化的空地应进行绿化或采取其他防止扬尘措施</w:t>
                  </w:r>
                  <w:r>
                    <w:rPr>
                      <w:rFonts w:hint="eastAsia"/>
                      <w:color w:val="auto"/>
                      <w:lang w:eastAsia="zh-CN"/>
                    </w:rPr>
                    <w:t>且</w:t>
                  </w:r>
                  <w:r>
                    <w:rPr>
                      <w:color w:val="auto"/>
                    </w:rPr>
                    <w:t>应保持卫生清洁</w:t>
                  </w:r>
                </w:p>
              </w:tc>
              <w:tc>
                <w:tcPr>
                  <w:tcW w:w="2012" w:type="pct"/>
                  <w:noWrap w:val="0"/>
                  <w:vAlign w:val="center"/>
                </w:tcPr>
                <w:p w14:paraId="7A506C2C">
                  <w:pPr>
                    <w:pStyle w:val="28"/>
                    <w:bidi w:val="0"/>
                    <w:rPr>
                      <w:rFonts w:hint="eastAsia"/>
                      <w:color w:val="auto"/>
                      <w:lang w:eastAsia="zh-CN"/>
                    </w:rPr>
                  </w:pPr>
                  <w:r>
                    <w:rPr>
                      <w:rFonts w:hint="eastAsia"/>
                      <w:color w:val="auto"/>
                    </w:rPr>
                    <w:t>厂区</w:t>
                  </w:r>
                  <w:r>
                    <w:rPr>
                      <w:rFonts w:hint="eastAsia"/>
                      <w:color w:val="auto"/>
                      <w:lang w:eastAsia="zh-CN"/>
                    </w:rPr>
                    <w:t>内道路</w:t>
                  </w:r>
                  <w:r>
                    <w:rPr>
                      <w:color w:val="auto"/>
                    </w:rPr>
                    <w:t>进行硬化处理，并保持卫生清洁</w:t>
                  </w:r>
                  <w:r>
                    <w:rPr>
                      <w:rFonts w:hint="eastAsia"/>
                      <w:color w:val="auto"/>
                    </w:rPr>
                    <w:t>，定期人工洒水抑尘和</w:t>
                  </w:r>
                  <w:r>
                    <w:rPr>
                      <w:rFonts w:hint="eastAsia"/>
                      <w:color w:val="auto"/>
                      <w:lang w:eastAsia="zh-CN"/>
                    </w:rPr>
                    <w:t>清扫</w:t>
                  </w:r>
                </w:p>
              </w:tc>
              <w:tc>
                <w:tcPr>
                  <w:tcW w:w="536" w:type="pct"/>
                  <w:noWrap w:val="0"/>
                  <w:vAlign w:val="center"/>
                </w:tcPr>
                <w:p w14:paraId="4B8022FB">
                  <w:pPr>
                    <w:pStyle w:val="28"/>
                    <w:bidi w:val="0"/>
                    <w:rPr>
                      <w:color w:val="auto"/>
                    </w:rPr>
                  </w:pPr>
                  <w:r>
                    <w:rPr>
                      <w:rFonts w:hint="eastAsia"/>
                      <w:color w:val="auto"/>
                    </w:rPr>
                    <w:t>符合</w:t>
                  </w:r>
                </w:p>
              </w:tc>
            </w:tr>
            <w:tr w14:paraId="31112E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32" w:type="pct"/>
                  <w:gridSpan w:val="2"/>
                  <w:vMerge w:val="continue"/>
                  <w:noWrap w:val="0"/>
                  <w:vAlign w:val="center"/>
                </w:tcPr>
                <w:p w14:paraId="11CA1641">
                  <w:pPr>
                    <w:pStyle w:val="28"/>
                    <w:bidi w:val="0"/>
                    <w:rPr>
                      <w:color w:val="auto"/>
                    </w:rPr>
                  </w:pPr>
                </w:p>
              </w:tc>
              <w:tc>
                <w:tcPr>
                  <w:tcW w:w="1718" w:type="pct"/>
                  <w:noWrap w:val="0"/>
                  <w:vAlign w:val="center"/>
                </w:tcPr>
                <w:p w14:paraId="54C4C8E2">
                  <w:pPr>
                    <w:pStyle w:val="28"/>
                    <w:bidi w:val="0"/>
                    <w:rPr>
                      <w:color w:val="auto"/>
                    </w:rPr>
                  </w:pPr>
                  <w:r>
                    <w:rPr>
                      <w:color w:val="auto"/>
                    </w:rPr>
                    <w:t>生产区内应设置生产废弃物存放处，生产类废弃物应分类存放、集中处理</w:t>
                  </w:r>
                </w:p>
              </w:tc>
              <w:tc>
                <w:tcPr>
                  <w:tcW w:w="2012" w:type="pct"/>
                  <w:noWrap w:val="0"/>
                  <w:vAlign w:val="center"/>
                </w:tcPr>
                <w:p w14:paraId="4C20763F">
                  <w:pPr>
                    <w:pStyle w:val="28"/>
                    <w:bidi w:val="0"/>
                    <w:rPr>
                      <w:rFonts w:hint="eastAsia"/>
                      <w:color w:val="auto"/>
                      <w:lang w:eastAsia="zh-CN"/>
                    </w:rPr>
                  </w:pPr>
                  <w:r>
                    <w:rPr>
                      <w:color w:val="auto"/>
                    </w:rPr>
                    <w:t>厂区设有一般固废暂存</w:t>
                  </w:r>
                  <w:r>
                    <w:rPr>
                      <w:rFonts w:hint="eastAsia"/>
                      <w:color w:val="auto"/>
                    </w:rPr>
                    <w:t>间、危险废物贮存间，将固体废物分类收集、</w:t>
                  </w:r>
                  <w:r>
                    <w:rPr>
                      <w:rFonts w:hint="eastAsia"/>
                      <w:color w:val="auto"/>
                      <w:lang w:eastAsia="zh-CN"/>
                    </w:rPr>
                    <w:t>集中妥善处理处置</w:t>
                  </w:r>
                </w:p>
              </w:tc>
              <w:tc>
                <w:tcPr>
                  <w:tcW w:w="536" w:type="pct"/>
                  <w:noWrap w:val="0"/>
                  <w:vAlign w:val="center"/>
                </w:tcPr>
                <w:p w14:paraId="0703E8FA">
                  <w:pPr>
                    <w:pStyle w:val="28"/>
                    <w:bidi w:val="0"/>
                    <w:rPr>
                      <w:color w:val="auto"/>
                    </w:rPr>
                  </w:pPr>
                  <w:r>
                    <w:rPr>
                      <w:rFonts w:hint="eastAsia"/>
                      <w:color w:val="auto"/>
                    </w:rPr>
                    <w:t>符合</w:t>
                  </w:r>
                </w:p>
              </w:tc>
            </w:tr>
            <w:tr w14:paraId="1A3AF6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32" w:type="pct"/>
                  <w:gridSpan w:val="2"/>
                  <w:vMerge w:val="continue"/>
                  <w:noWrap w:val="0"/>
                  <w:vAlign w:val="center"/>
                </w:tcPr>
                <w:p w14:paraId="5A2301E9">
                  <w:pPr>
                    <w:pStyle w:val="28"/>
                    <w:bidi w:val="0"/>
                    <w:rPr>
                      <w:color w:val="auto"/>
                    </w:rPr>
                  </w:pPr>
                </w:p>
              </w:tc>
              <w:tc>
                <w:tcPr>
                  <w:tcW w:w="1718" w:type="pct"/>
                  <w:noWrap w:val="0"/>
                  <w:vAlign w:val="center"/>
                </w:tcPr>
                <w:p w14:paraId="4B2D1BC1">
                  <w:pPr>
                    <w:pStyle w:val="28"/>
                    <w:bidi w:val="0"/>
                    <w:rPr>
                      <w:color w:val="auto"/>
                    </w:rPr>
                  </w:pPr>
                  <w:r>
                    <w:rPr>
                      <w:color w:val="auto"/>
                    </w:rPr>
                    <w:t>厂区内应配备生产废水处置系统，宜建立雨水收集系统并有效利用</w:t>
                  </w:r>
                </w:p>
              </w:tc>
              <w:tc>
                <w:tcPr>
                  <w:tcW w:w="2012" w:type="pct"/>
                  <w:noWrap w:val="0"/>
                  <w:vAlign w:val="center"/>
                </w:tcPr>
                <w:p w14:paraId="3D754457">
                  <w:pPr>
                    <w:pStyle w:val="28"/>
                    <w:bidi w:val="0"/>
                    <w:rPr>
                      <w:rFonts w:hint="eastAsia"/>
                      <w:color w:val="auto"/>
                      <w:lang w:eastAsia="zh-CN"/>
                    </w:rPr>
                  </w:pPr>
                  <w:r>
                    <w:rPr>
                      <w:rFonts w:hint="eastAsia"/>
                      <w:color w:val="auto"/>
                    </w:rPr>
                    <w:t>厂内配置生产废水处理系统，并修建</w:t>
                  </w:r>
                  <w:r>
                    <w:rPr>
                      <w:rFonts w:hint="eastAsia"/>
                      <w:color w:val="auto"/>
                      <w:lang w:eastAsia="zh-CN"/>
                    </w:rPr>
                    <w:t>导流沟槽</w:t>
                  </w:r>
                  <w:r>
                    <w:rPr>
                      <w:rFonts w:hint="eastAsia"/>
                      <w:color w:val="auto"/>
                    </w:rPr>
                    <w:t>和雨水收集池收集</w:t>
                  </w:r>
                  <w:r>
                    <w:rPr>
                      <w:rFonts w:hint="eastAsia"/>
                      <w:color w:val="auto"/>
                      <w:lang w:eastAsia="zh-CN"/>
                    </w:rPr>
                    <w:t>生产区初期</w:t>
                  </w:r>
                  <w:r>
                    <w:rPr>
                      <w:rFonts w:hint="eastAsia"/>
                      <w:color w:val="auto"/>
                    </w:rPr>
                    <w:t>雨水</w:t>
                  </w:r>
                  <w:r>
                    <w:rPr>
                      <w:rFonts w:hint="eastAsia"/>
                      <w:color w:val="auto"/>
                      <w:lang w:eastAsia="zh-CN"/>
                    </w:rPr>
                    <w:t>，经处理后的生产废水和初期雨水，全部回用，不外排</w:t>
                  </w:r>
                </w:p>
              </w:tc>
              <w:tc>
                <w:tcPr>
                  <w:tcW w:w="536" w:type="pct"/>
                  <w:noWrap w:val="0"/>
                  <w:vAlign w:val="center"/>
                </w:tcPr>
                <w:p w14:paraId="52035BC1">
                  <w:pPr>
                    <w:pStyle w:val="28"/>
                    <w:bidi w:val="0"/>
                    <w:rPr>
                      <w:color w:val="auto"/>
                    </w:rPr>
                  </w:pPr>
                  <w:r>
                    <w:rPr>
                      <w:rFonts w:hint="eastAsia"/>
                      <w:color w:val="auto"/>
                    </w:rPr>
                    <w:t>符合</w:t>
                  </w:r>
                </w:p>
              </w:tc>
            </w:tr>
            <w:tr w14:paraId="5D88F4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732" w:type="pct"/>
                  <w:gridSpan w:val="2"/>
                  <w:vMerge w:val="restart"/>
                  <w:noWrap w:val="0"/>
                  <w:vAlign w:val="center"/>
                </w:tcPr>
                <w:p w14:paraId="628A30E7">
                  <w:pPr>
                    <w:pStyle w:val="28"/>
                    <w:bidi w:val="0"/>
                    <w:rPr>
                      <w:color w:val="auto"/>
                    </w:rPr>
                  </w:pPr>
                  <w:r>
                    <w:rPr>
                      <w:rFonts w:hint="eastAsia"/>
                      <w:color w:val="auto"/>
                    </w:rPr>
                    <w:t>设备设施</w:t>
                  </w:r>
                </w:p>
              </w:tc>
              <w:tc>
                <w:tcPr>
                  <w:tcW w:w="1718" w:type="pct"/>
                  <w:noWrap w:val="0"/>
                  <w:vAlign w:val="center"/>
                </w:tcPr>
                <w:p w14:paraId="11734297">
                  <w:pPr>
                    <w:pStyle w:val="28"/>
                    <w:bidi w:val="0"/>
                    <w:rPr>
                      <w:color w:val="auto"/>
                    </w:rPr>
                  </w:pPr>
                  <w:r>
                    <w:rPr>
                      <w:rFonts w:hint="eastAsia"/>
                      <w:color w:val="auto"/>
                      <w:lang w:val="en-US" w:eastAsia="zh-CN"/>
                    </w:rPr>
                    <w:t>搅拌站（楼）</w:t>
                  </w:r>
                  <w:r>
                    <w:rPr>
                      <w:color w:val="auto"/>
                    </w:rPr>
                    <w:t>宜采用整体封闭方式</w:t>
                  </w:r>
                </w:p>
              </w:tc>
              <w:tc>
                <w:tcPr>
                  <w:tcW w:w="2012" w:type="pct"/>
                  <w:noWrap w:val="0"/>
                  <w:vAlign w:val="center"/>
                </w:tcPr>
                <w:p w14:paraId="7DF38E23">
                  <w:pPr>
                    <w:pStyle w:val="28"/>
                    <w:bidi w:val="0"/>
                    <w:rPr>
                      <w:color w:val="auto"/>
                    </w:rPr>
                  </w:pPr>
                  <w:r>
                    <w:rPr>
                      <w:color w:val="auto"/>
                    </w:rPr>
                    <w:t>项目搅拌</w:t>
                  </w:r>
                  <w:r>
                    <w:rPr>
                      <w:rFonts w:hint="eastAsia"/>
                      <w:color w:val="auto"/>
                      <w:lang w:val="en-US" w:eastAsia="zh-CN"/>
                    </w:rPr>
                    <w:t>楼为整体封闭式设置</w:t>
                  </w:r>
                </w:p>
              </w:tc>
              <w:tc>
                <w:tcPr>
                  <w:tcW w:w="536" w:type="pct"/>
                  <w:noWrap w:val="0"/>
                  <w:vAlign w:val="center"/>
                </w:tcPr>
                <w:p w14:paraId="5F9EC838">
                  <w:pPr>
                    <w:pStyle w:val="28"/>
                    <w:bidi w:val="0"/>
                    <w:rPr>
                      <w:color w:val="auto"/>
                    </w:rPr>
                  </w:pPr>
                  <w:r>
                    <w:rPr>
                      <w:rFonts w:hint="eastAsia"/>
                      <w:color w:val="auto"/>
                    </w:rPr>
                    <w:t>符合</w:t>
                  </w:r>
                </w:p>
              </w:tc>
            </w:tr>
            <w:tr w14:paraId="4CFD21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7" w:hRule="atLeast"/>
              </w:trPr>
              <w:tc>
                <w:tcPr>
                  <w:tcW w:w="732" w:type="pct"/>
                  <w:gridSpan w:val="2"/>
                  <w:vMerge w:val="continue"/>
                  <w:noWrap w:val="0"/>
                  <w:vAlign w:val="center"/>
                </w:tcPr>
                <w:p w14:paraId="37AC6A09">
                  <w:pPr>
                    <w:pStyle w:val="28"/>
                    <w:bidi w:val="0"/>
                    <w:rPr>
                      <w:color w:val="auto"/>
                    </w:rPr>
                  </w:pPr>
                </w:p>
              </w:tc>
              <w:tc>
                <w:tcPr>
                  <w:tcW w:w="1718" w:type="pct"/>
                  <w:noWrap w:val="0"/>
                  <w:vAlign w:val="center"/>
                </w:tcPr>
                <w:p w14:paraId="71803C62">
                  <w:pPr>
                    <w:pStyle w:val="28"/>
                    <w:bidi w:val="0"/>
                    <w:rPr>
                      <w:color w:val="auto"/>
                    </w:rPr>
                  </w:pPr>
                  <w:r>
                    <w:rPr>
                      <w:rFonts w:hint="eastAsia"/>
                      <w:color w:val="auto"/>
                      <w:lang w:val="en-US" w:eastAsia="zh-CN"/>
                    </w:rPr>
                    <w:t>搅拌站（楼）</w:t>
                  </w:r>
                  <w:r>
                    <w:rPr>
                      <w:color w:val="auto"/>
                    </w:rPr>
                    <w:t>应安装除尘装置，并应保持正常使用</w:t>
                  </w:r>
                </w:p>
              </w:tc>
              <w:tc>
                <w:tcPr>
                  <w:tcW w:w="2012" w:type="pct"/>
                  <w:noWrap w:val="0"/>
                  <w:vAlign w:val="center"/>
                </w:tcPr>
                <w:p w14:paraId="604F81C7">
                  <w:pPr>
                    <w:pStyle w:val="28"/>
                    <w:bidi w:val="0"/>
                    <w:rPr>
                      <w:color w:val="auto"/>
                    </w:rPr>
                  </w:pPr>
                  <w:r>
                    <w:rPr>
                      <w:color w:val="auto"/>
                    </w:rPr>
                    <w:t>项目</w:t>
                  </w:r>
                  <w:r>
                    <w:rPr>
                      <w:rFonts w:hint="eastAsia"/>
                      <w:color w:val="auto"/>
                      <w:lang w:eastAsia="zh-CN"/>
                    </w:rPr>
                    <w:t>搅拌</w:t>
                  </w:r>
                  <w:r>
                    <w:rPr>
                      <w:rFonts w:hint="eastAsia"/>
                      <w:color w:val="auto"/>
                      <w:lang w:val="en-US" w:eastAsia="zh-CN"/>
                    </w:rPr>
                    <w:t>楼</w:t>
                  </w:r>
                  <w:r>
                    <w:rPr>
                      <w:rFonts w:hint="eastAsia"/>
                      <w:color w:val="auto"/>
                      <w:lang w:eastAsia="zh-CN"/>
                    </w:rPr>
                    <w:t>整体封闭，搅拌机加水并密闭搅拌，配套喷淋装置除尘，</w:t>
                  </w:r>
                  <w:r>
                    <w:rPr>
                      <w:rFonts w:hint="eastAsia"/>
                      <w:color w:val="auto"/>
                    </w:rPr>
                    <w:t>并保持其正常运行</w:t>
                  </w:r>
                </w:p>
              </w:tc>
              <w:tc>
                <w:tcPr>
                  <w:tcW w:w="536" w:type="pct"/>
                  <w:noWrap w:val="0"/>
                  <w:vAlign w:val="center"/>
                </w:tcPr>
                <w:p w14:paraId="127299FF">
                  <w:pPr>
                    <w:pStyle w:val="28"/>
                    <w:bidi w:val="0"/>
                    <w:rPr>
                      <w:color w:val="auto"/>
                    </w:rPr>
                  </w:pPr>
                  <w:r>
                    <w:rPr>
                      <w:rFonts w:hint="eastAsia"/>
                      <w:color w:val="auto"/>
                    </w:rPr>
                    <w:t>符合</w:t>
                  </w:r>
                </w:p>
              </w:tc>
            </w:tr>
            <w:tr w14:paraId="786144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32" w:type="pct"/>
                  <w:gridSpan w:val="2"/>
                  <w:vMerge w:val="continue"/>
                  <w:noWrap w:val="0"/>
                  <w:vAlign w:val="center"/>
                </w:tcPr>
                <w:p w14:paraId="672A4BA6">
                  <w:pPr>
                    <w:pStyle w:val="28"/>
                    <w:bidi w:val="0"/>
                    <w:rPr>
                      <w:color w:val="auto"/>
                    </w:rPr>
                  </w:pPr>
                </w:p>
              </w:tc>
              <w:tc>
                <w:tcPr>
                  <w:tcW w:w="1718" w:type="pct"/>
                  <w:noWrap w:val="0"/>
                  <w:vAlign w:val="center"/>
                </w:tcPr>
                <w:p w14:paraId="7D551DF4">
                  <w:pPr>
                    <w:pStyle w:val="28"/>
                    <w:bidi w:val="0"/>
                    <w:rPr>
                      <w:rFonts w:hint="default"/>
                      <w:color w:val="auto"/>
                      <w:lang w:val="en-US" w:eastAsia="zh-CN"/>
                    </w:rPr>
                  </w:pPr>
                  <w:r>
                    <w:rPr>
                      <w:rFonts w:hint="eastAsia"/>
                      <w:color w:val="auto"/>
                      <w:lang w:val="en-US" w:eastAsia="zh-CN"/>
                    </w:rPr>
                    <w:t>搅拌站（楼）的搅拌层和称量层宜设置水冲洗装置，冲洗产生的废水宜通过专用管道进入生产废水处置系统</w:t>
                  </w:r>
                </w:p>
              </w:tc>
              <w:tc>
                <w:tcPr>
                  <w:tcW w:w="2012" w:type="pct"/>
                  <w:noWrap w:val="0"/>
                  <w:vAlign w:val="center"/>
                </w:tcPr>
                <w:p w14:paraId="69ABF3BD">
                  <w:pPr>
                    <w:pStyle w:val="28"/>
                    <w:bidi w:val="0"/>
                    <w:rPr>
                      <w:rFonts w:hint="eastAsia"/>
                      <w:color w:val="auto"/>
                      <w:lang w:eastAsia="zh-CN"/>
                    </w:rPr>
                  </w:pPr>
                  <w:r>
                    <w:rPr>
                      <w:rFonts w:hint="eastAsia"/>
                      <w:color w:val="auto"/>
                      <w:lang w:eastAsia="zh-CN"/>
                    </w:rPr>
                    <w:t>项目对搅拌</w:t>
                  </w:r>
                  <w:r>
                    <w:rPr>
                      <w:rFonts w:hint="eastAsia"/>
                      <w:color w:val="auto"/>
                      <w:lang w:val="en-US" w:eastAsia="zh-CN"/>
                    </w:rPr>
                    <w:t>楼各层</w:t>
                  </w:r>
                  <w:r>
                    <w:rPr>
                      <w:rFonts w:hint="eastAsia"/>
                      <w:color w:val="auto"/>
                      <w:lang w:eastAsia="zh-CN"/>
                    </w:rPr>
                    <w:t>设置水冲洗装置进行冲洗，产生的冲洗废水通过专用管道进入生产废水处理系统处理后，全部回用，不外排。</w:t>
                  </w:r>
                </w:p>
              </w:tc>
              <w:tc>
                <w:tcPr>
                  <w:tcW w:w="536" w:type="pct"/>
                  <w:noWrap w:val="0"/>
                  <w:vAlign w:val="center"/>
                </w:tcPr>
                <w:p w14:paraId="564EA8AA">
                  <w:pPr>
                    <w:pStyle w:val="28"/>
                    <w:bidi w:val="0"/>
                    <w:rPr>
                      <w:rFonts w:hint="eastAsia"/>
                      <w:color w:val="auto"/>
                      <w:lang w:eastAsia="zh-CN"/>
                    </w:rPr>
                  </w:pPr>
                  <w:r>
                    <w:rPr>
                      <w:rFonts w:hint="eastAsia"/>
                      <w:color w:val="auto"/>
                      <w:lang w:eastAsia="zh-CN"/>
                    </w:rPr>
                    <w:t>符合</w:t>
                  </w:r>
                </w:p>
              </w:tc>
            </w:tr>
            <w:tr w14:paraId="6DAC68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732" w:type="pct"/>
                  <w:gridSpan w:val="2"/>
                  <w:vMerge w:val="continue"/>
                  <w:noWrap w:val="0"/>
                  <w:vAlign w:val="center"/>
                </w:tcPr>
                <w:p w14:paraId="5E691EE9">
                  <w:pPr>
                    <w:pStyle w:val="28"/>
                    <w:bidi w:val="0"/>
                    <w:rPr>
                      <w:color w:val="auto"/>
                    </w:rPr>
                  </w:pPr>
                </w:p>
              </w:tc>
              <w:tc>
                <w:tcPr>
                  <w:tcW w:w="1718" w:type="pct"/>
                  <w:noWrap w:val="0"/>
                  <w:vAlign w:val="center"/>
                </w:tcPr>
                <w:p w14:paraId="4BCA72C0">
                  <w:pPr>
                    <w:pStyle w:val="28"/>
                    <w:bidi w:val="0"/>
                    <w:rPr>
                      <w:color w:val="auto"/>
                    </w:rPr>
                  </w:pPr>
                  <w:r>
                    <w:rPr>
                      <w:color w:val="auto"/>
                    </w:rPr>
                    <w:t>骨料堆场应硬化地面并确保排水通畅、粗细骨料应分隔堆放；骨料堆场宜建成封闭式堆场，宜安装喷淋抑尘装置</w:t>
                  </w:r>
                </w:p>
              </w:tc>
              <w:tc>
                <w:tcPr>
                  <w:tcW w:w="2012" w:type="pct"/>
                  <w:noWrap w:val="0"/>
                  <w:vAlign w:val="center"/>
                </w:tcPr>
                <w:p w14:paraId="3D75528A">
                  <w:pPr>
                    <w:pStyle w:val="28"/>
                    <w:bidi w:val="0"/>
                    <w:rPr>
                      <w:color w:val="auto"/>
                    </w:rPr>
                  </w:pPr>
                  <w:r>
                    <w:rPr>
                      <w:rFonts w:hint="eastAsia"/>
                      <w:color w:val="auto"/>
                      <w:lang w:val="en-US" w:eastAsia="zh-CN"/>
                    </w:rPr>
                    <w:t>项目骨料砂石设置在物料库储存，为封闭式堆场（仅保留物料进出口面敞开）</w:t>
                  </w:r>
                  <w:r>
                    <w:rPr>
                      <w:rFonts w:hint="eastAsia"/>
                      <w:color w:val="auto"/>
                    </w:rPr>
                    <w:t>，</w:t>
                  </w:r>
                  <w:r>
                    <w:rPr>
                      <w:color w:val="auto"/>
                    </w:rPr>
                    <w:t>地面硬化、排水通畅，</w:t>
                  </w:r>
                  <w:r>
                    <w:rPr>
                      <w:rFonts w:hint="eastAsia"/>
                      <w:color w:val="auto"/>
                      <w:lang w:eastAsia="zh-CN"/>
                    </w:rPr>
                    <w:t>各原料</w:t>
                  </w:r>
                  <w:r>
                    <w:rPr>
                      <w:color w:val="auto"/>
                    </w:rPr>
                    <w:t>分</w:t>
                  </w:r>
                  <w:r>
                    <w:rPr>
                      <w:rFonts w:hint="eastAsia"/>
                      <w:color w:val="auto"/>
                      <w:lang w:eastAsia="zh-CN"/>
                    </w:rPr>
                    <w:t>仓</w:t>
                  </w:r>
                  <w:r>
                    <w:rPr>
                      <w:color w:val="auto"/>
                    </w:rPr>
                    <w:t>堆放</w:t>
                  </w:r>
                  <w:r>
                    <w:rPr>
                      <w:rFonts w:hint="eastAsia"/>
                      <w:color w:val="auto"/>
                    </w:rPr>
                    <w:t>，并</w:t>
                  </w:r>
                  <w:r>
                    <w:rPr>
                      <w:color w:val="auto"/>
                    </w:rPr>
                    <w:t>安装</w:t>
                  </w:r>
                  <w:r>
                    <w:rPr>
                      <w:rFonts w:hint="eastAsia"/>
                      <w:color w:val="auto"/>
                      <w:lang w:val="en-US" w:eastAsia="zh-CN"/>
                    </w:rPr>
                    <w:t>喷淋装置抑尘。</w:t>
                  </w:r>
                </w:p>
              </w:tc>
              <w:tc>
                <w:tcPr>
                  <w:tcW w:w="536" w:type="pct"/>
                  <w:noWrap w:val="0"/>
                  <w:vAlign w:val="center"/>
                </w:tcPr>
                <w:p w14:paraId="49F6EF34">
                  <w:pPr>
                    <w:pStyle w:val="28"/>
                    <w:bidi w:val="0"/>
                    <w:rPr>
                      <w:color w:val="auto"/>
                    </w:rPr>
                  </w:pPr>
                  <w:r>
                    <w:rPr>
                      <w:rFonts w:hint="eastAsia"/>
                      <w:color w:val="auto"/>
                    </w:rPr>
                    <w:t>符合</w:t>
                  </w:r>
                </w:p>
              </w:tc>
            </w:tr>
            <w:tr w14:paraId="7D6CB4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70" w:hRule="atLeast"/>
              </w:trPr>
              <w:tc>
                <w:tcPr>
                  <w:tcW w:w="732" w:type="pct"/>
                  <w:gridSpan w:val="2"/>
                  <w:vMerge w:val="continue"/>
                  <w:noWrap w:val="0"/>
                  <w:vAlign w:val="center"/>
                </w:tcPr>
                <w:p w14:paraId="0655DCB4">
                  <w:pPr>
                    <w:pStyle w:val="28"/>
                    <w:bidi w:val="0"/>
                    <w:rPr>
                      <w:color w:val="auto"/>
                    </w:rPr>
                  </w:pPr>
                </w:p>
              </w:tc>
              <w:tc>
                <w:tcPr>
                  <w:tcW w:w="1718" w:type="pct"/>
                  <w:noWrap w:val="0"/>
                  <w:vAlign w:val="center"/>
                </w:tcPr>
                <w:p w14:paraId="53C90979">
                  <w:pPr>
                    <w:pStyle w:val="28"/>
                    <w:bidi w:val="0"/>
                    <w:rPr>
                      <w:color w:val="auto"/>
                    </w:rPr>
                  </w:pPr>
                  <w:r>
                    <w:rPr>
                      <w:color w:val="auto"/>
                    </w:rPr>
                    <w:t>预拌混凝土生产企业应配备运输车辆清洗装置，冲洗产生的废水应通过专用管道进入生产废水处置系统</w:t>
                  </w:r>
                </w:p>
              </w:tc>
              <w:tc>
                <w:tcPr>
                  <w:tcW w:w="2012" w:type="pct"/>
                  <w:noWrap w:val="0"/>
                  <w:vAlign w:val="center"/>
                </w:tcPr>
                <w:p w14:paraId="28A88C8D">
                  <w:pPr>
                    <w:pStyle w:val="28"/>
                    <w:bidi w:val="0"/>
                    <w:rPr>
                      <w:rFonts w:hint="eastAsia"/>
                      <w:color w:val="auto"/>
                      <w:lang w:val="en-US" w:eastAsia="zh-CN"/>
                    </w:rPr>
                  </w:pPr>
                  <w:r>
                    <w:rPr>
                      <w:color w:val="auto"/>
                    </w:rPr>
                    <w:t>厂区设有洗车台，</w:t>
                  </w:r>
                  <w:r>
                    <w:rPr>
                      <w:rFonts w:hint="eastAsia"/>
                      <w:color w:val="auto"/>
                      <w:lang w:eastAsia="zh-CN"/>
                    </w:rPr>
                    <w:t>洗车废水</w:t>
                  </w:r>
                  <w:r>
                    <w:rPr>
                      <w:rFonts w:hint="eastAsia"/>
                      <w:color w:val="auto"/>
                    </w:rPr>
                    <w:t>经收集后进入</w:t>
                  </w:r>
                  <w:r>
                    <w:rPr>
                      <w:rFonts w:hint="eastAsia"/>
                      <w:color w:val="auto"/>
                      <w:lang w:eastAsia="zh-CN"/>
                    </w:rPr>
                    <w:t>洗车废水沉淀池处理后回用于洗车，不外排。</w:t>
                  </w:r>
                </w:p>
              </w:tc>
              <w:tc>
                <w:tcPr>
                  <w:tcW w:w="536" w:type="pct"/>
                  <w:noWrap w:val="0"/>
                  <w:vAlign w:val="center"/>
                </w:tcPr>
                <w:p w14:paraId="238E9437">
                  <w:pPr>
                    <w:pStyle w:val="28"/>
                    <w:bidi w:val="0"/>
                    <w:rPr>
                      <w:color w:val="auto"/>
                    </w:rPr>
                  </w:pPr>
                  <w:r>
                    <w:rPr>
                      <w:rFonts w:hint="eastAsia"/>
                      <w:color w:val="auto"/>
                    </w:rPr>
                    <w:t>符合</w:t>
                  </w:r>
                </w:p>
              </w:tc>
            </w:tr>
            <w:tr w14:paraId="001764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79" w:type="pct"/>
                  <w:vMerge w:val="restart"/>
                  <w:noWrap w:val="0"/>
                  <w:vAlign w:val="center"/>
                </w:tcPr>
                <w:p w14:paraId="19D64B6E">
                  <w:pPr>
                    <w:pStyle w:val="28"/>
                    <w:bidi w:val="0"/>
                    <w:rPr>
                      <w:color w:val="auto"/>
                    </w:rPr>
                  </w:pPr>
                  <w:r>
                    <w:rPr>
                      <w:rFonts w:hint="eastAsia"/>
                      <w:color w:val="auto"/>
                    </w:rPr>
                    <w:t>控制要求</w:t>
                  </w:r>
                </w:p>
              </w:tc>
              <w:tc>
                <w:tcPr>
                  <w:tcW w:w="453" w:type="pct"/>
                  <w:noWrap w:val="0"/>
                  <w:vAlign w:val="center"/>
                </w:tcPr>
                <w:p w14:paraId="5D3AC70A">
                  <w:pPr>
                    <w:pStyle w:val="28"/>
                    <w:bidi w:val="0"/>
                    <w:rPr>
                      <w:rFonts w:hint="eastAsia"/>
                      <w:color w:val="auto"/>
                      <w:lang w:val="en-US" w:eastAsia="zh-CN"/>
                    </w:rPr>
                  </w:pPr>
                  <w:r>
                    <w:rPr>
                      <w:rFonts w:hint="eastAsia"/>
                      <w:color w:val="auto"/>
                      <w:lang w:val="en-US" w:eastAsia="zh-CN"/>
                    </w:rPr>
                    <w:t>原材料</w:t>
                  </w:r>
                </w:p>
              </w:tc>
              <w:tc>
                <w:tcPr>
                  <w:tcW w:w="1718" w:type="pct"/>
                  <w:noWrap w:val="0"/>
                  <w:vAlign w:val="center"/>
                </w:tcPr>
                <w:p w14:paraId="4E08A5AB">
                  <w:pPr>
                    <w:pStyle w:val="28"/>
                    <w:bidi w:val="0"/>
                    <w:rPr>
                      <w:color w:val="auto"/>
                    </w:rPr>
                  </w:pPr>
                  <w:r>
                    <w:rPr>
                      <w:color w:val="auto"/>
                    </w:rPr>
                    <w:t>原材料的运输、装卸和存放应采取降低噪声和粉尘的措施</w:t>
                  </w:r>
                </w:p>
              </w:tc>
              <w:tc>
                <w:tcPr>
                  <w:tcW w:w="2012" w:type="pct"/>
                  <w:noWrap w:val="0"/>
                  <w:vAlign w:val="center"/>
                </w:tcPr>
                <w:p w14:paraId="0C66ECA6">
                  <w:pPr>
                    <w:pStyle w:val="28"/>
                    <w:bidi w:val="0"/>
                    <w:rPr>
                      <w:color w:val="auto"/>
                    </w:rPr>
                  </w:pPr>
                  <w:r>
                    <w:rPr>
                      <w:color w:val="auto"/>
                    </w:rPr>
                    <w:t>厂区</w:t>
                  </w:r>
                  <w:r>
                    <w:rPr>
                      <w:rFonts w:hint="eastAsia"/>
                      <w:color w:val="auto"/>
                    </w:rPr>
                    <w:t>道路定期人工洒水抑尘和</w:t>
                  </w:r>
                  <w:r>
                    <w:rPr>
                      <w:rFonts w:hint="eastAsia"/>
                      <w:color w:val="auto"/>
                      <w:lang w:eastAsia="zh-CN"/>
                    </w:rPr>
                    <w:t>清扫</w:t>
                  </w:r>
                  <w:r>
                    <w:rPr>
                      <w:color w:val="auto"/>
                    </w:rPr>
                    <w:t>，</w:t>
                  </w:r>
                  <w:r>
                    <w:rPr>
                      <w:rFonts w:hint="eastAsia"/>
                      <w:color w:val="auto"/>
                    </w:rPr>
                    <w:t>设置洗车台</w:t>
                  </w:r>
                  <w:r>
                    <w:rPr>
                      <w:color w:val="auto"/>
                    </w:rPr>
                    <w:t>对</w:t>
                  </w:r>
                  <w:r>
                    <w:rPr>
                      <w:rFonts w:hint="eastAsia"/>
                      <w:color w:val="auto"/>
                    </w:rPr>
                    <w:t>运输车辆进行冲洗</w:t>
                  </w:r>
                  <w:r>
                    <w:rPr>
                      <w:color w:val="auto"/>
                    </w:rPr>
                    <w:t>；</w:t>
                  </w:r>
                  <w:r>
                    <w:rPr>
                      <w:rFonts w:hint="eastAsia"/>
                      <w:color w:val="auto"/>
                      <w:lang w:val="en-US" w:eastAsia="zh-CN"/>
                    </w:rPr>
                    <w:t>砂石物料库为封闭式（仅保留物料进出口敞开）并配套喷淋装置</w:t>
                  </w:r>
                  <w:r>
                    <w:rPr>
                      <w:color w:val="auto"/>
                    </w:rPr>
                    <w:t>；</w:t>
                  </w:r>
                  <w:r>
                    <w:rPr>
                      <w:rFonts w:hint="eastAsia"/>
                      <w:color w:val="auto"/>
                      <w:lang w:eastAsia="zh-CN"/>
                    </w:rPr>
                    <w:t>粉料仓</w:t>
                  </w:r>
                  <w:r>
                    <w:rPr>
                      <w:rFonts w:hint="eastAsia"/>
                      <w:color w:val="auto"/>
                      <w:lang w:val="en-US" w:eastAsia="zh-CN"/>
                    </w:rPr>
                    <w:t>顶部</w:t>
                  </w:r>
                  <w:r>
                    <w:rPr>
                      <w:color w:val="auto"/>
                    </w:rPr>
                    <w:t>各</w:t>
                  </w:r>
                  <w:r>
                    <w:rPr>
                      <w:rFonts w:hint="eastAsia"/>
                      <w:color w:val="auto"/>
                      <w:lang w:val="en-US" w:eastAsia="zh-CN"/>
                    </w:rPr>
                    <w:t>自带</w:t>
                  </w:r>
                  <w:r>
                    <w:rPr>
                      <w:color w:val="auto"/>
                    </w:rPr>
                    <w:t>1台</w:t>
                  </w:r>
                  <w:r>
                    <w:rPr>
                      <w:rFonts w:hint="eastAsia"/>
                      <w:color w:val="auto"/>
                    </w:rPr>
                    <w:t>袋式除尘器</w:t>
                  </w:r>
                  <w:r>
                    <w:rPr>
                      <w:rFonts w:hint="eastAsia"/>
                      <w:color w:val="auto"/>
                      <w:lang w:eastAsia="zh-CN"/>
                    </w:rPr>
                    <w:t>除尘</w:t>
                  </w:r>
                  <w:r>
                    <w:rPr>
                      <w:rFonts w:hint="eastAsia"/>
                      <w:color w:val="auto"/>
                    </w:rPr>
                    <w:t>；车辆在厂区运输时低速禁鸣，相关设备采取基础减振措施。</w:t>
                  </w:r>
                </w:p>
              </w:tc>
              <w:tc>
                <w:tcPr>
                  <w:tcW w:w="536" w:type="pct"/>
                  <w:noWrap w:val="0"/>
                  <w:vAlign w:val="center"/>
                </w:tcPr>
                <w:p w14:paraId="46D98B3B">
                  <w:pPr>
                    <w:pStyle w:val="28"/>
                    <w:bidi w:val="0"/>
                    <w:rPr>
                      <w:rFonts w:hint="eastAsia"/>
                      <w:color w:val="auto"/>
                    </w:rPr>
                  </w:pPr>
                  <w:r>
                    <w:rPr>
                      <w:rFonts w:hint="eastAsia"/>
                      <w:color w:val="auto"/>
                    </w:rPr>
                    <w:t>符合</w:t>
                  </w:r>
                </w:p>
              </w:tc>
            </w:tr>
            <w:tr w14:paraId="3AE09E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79" w:type="pct"/>
                  <w:vMerge w:val="continue"/>
                  <w:noWrap w:val="0"/>
                  <w:vAlign w:val="center"/>
                </w:tcPr>
                <w:p w14:paraId="49F78193">
                  <w:pPr>
                    <w:pStyle w:val="28"/>
                    <w:bidi w:val="0"/>
                    <w:rPr>
                      <w:color w:val="auto"/>
                    </w:rPr>
                  </w:pPr>
                </w:p>
              </w:tc>
              <w:tc>
                <w:tcPr>
                  <w:tcW w:w="453" w:type="pct"/>
                  <w:noWrap w:val="0"/>
                  <w:vAlign w:val="center"/>
                </w:tcPr>
                <w:p w14:paraId="56E7C796">
                  <w:pPr>
                    <w:pStyle w:val="28"/>
                    <w:bidi w:val="0"/>
                    <w:rPr>
                      <w:color w:val="auto"/>
                    </w:rPr>
                  </w:pPr>
                  <w:r>
                    <w:rPr>
                      <w:rFonts w:hint="eastAsia"/>
                      <w:color w:val="auto"/>
                    </w:rPr>
                    <w:t>生产废水和废浆</w:t>
                  </w:r>
                </w:p>
              </w:tc>
              <w:tc>
                <w:tcPr>
                  <w:tcW w:w="1718" w:type="pct"/>
                  <w:noWrap w:val="0"/>
                  <w:vAlign w:val="center"/>
                </w:tcPr>
                <w:p w14:paraId="35D2EAEB">
                  <w:pPr>
                    <w:pStyle w:val="28"/>
                    <w:bidi w:val="0"/>
                    <w:rPr>
                      <w:color w:val="auto"/>
                    </w:rPr>
                  </w:pPr>
                  <w:r>
                    <w:rPr>
                      <w:color w:val="auto"/>
                    </w:rPr>
                    <w:t>预拌混凝土绿色生产应配备完善的生产废水处置系统，排水沟系统应覆盖连通搅拌站装车层、骨料堆场、砂石分离机和车辆清洗场等区域，并于多级沉淀池连接</w:t>
                  </w:r>
                </w:p>
              </w:tc>
              <w:tc>
                <w:tcPr>
                  <w:tcW w:w="2012" w:type="pct"/>
                  <w:noWrap w:val="0"/>
                  <w:vAlign w:val="center"/>
                </w:tcPr>
                <w:p w14:paraId="55371BA6">
                  <w:pPr>
                    <w:pStyle w:val="28"/>
                    <w:bidi w:val="0"/>
                    <w:rPr>
                      <w:rFonts w:hint="eastAsia"/>
                      <w:color w:val="auto"/>
                      <w:lang w:eastAsia="zh-CN"/>
                    </w:rPr>
                  </w:pPr>
                  <w:r>
                    <w:rPr>
                      <w:rFonts w:hint="eastAsia"/>
                      <w:color w:val="auto"/>
                    </w:rPr>
                    <w:t>项目</w:t>
                  </w:r>
                  <w:r>
                    <w:rPr>
                      <w:color w:val="auto"/>
                    </w:rPr>
                    <w:t>厂区排水沟</w:t>
                  </w:r>
                  <w:r>
                    <w:rPr>
                      <w:rFonts w:hint="eastAsia"/>
                      <w:color w:val="auto"/>
                      <w:lang w:eastAsia="zh-CN"/>
                    </w:rPr>
                    <w:t>系统</w:t>
                  </w:r>
                  <w:r>
                    <w:rPr>
                      <w:rFonts w:hint="eastAsia"/>
                      <w:color w:val="auto"/>
                    </w:rPr>
                    <w:t>按要求</w:t>
                  </w:r>
                  <w:r>
                    <w:rPr>
                      <w:color w:val="auto"/>
                    </w:rPr>
                    <w:t>覆盖整个生产区域，</w:t>
                  </w:r>
                  <w:r>
                    <w:rPr>
                      <w:rFonts w:hint="eastAsia"/>
                      <w:color w:val="auto"/>
                    </w:rPr>
                    <w:t>包含搅拌</w:t>
                  </w:r>
                  <w:r>
                    <w:rPr>
                      <w:rFonts w:hint="eastAsia"/>
                      <w:color w:val="auto"/>
                      <w:lang w:val="en-US" w:eastAsia="zh-CN"/>
                    </w:rPr>
                    <w:t>楼</w:t>
                  </w:r>
                  <w:r>
                    <w:rPr>
                      <w:rFonts w:hint="eastAsia"/>
                      <w:color w:val="auto"/>
                    </w:rPr>
                    <w:t>装车层、</w:t>
                  </w:r>
                  <w:r>
                    <w:rPr>
                      <w:rFonts w:hint="eastAsia"/>
                      <w:color w:val="auto"/>
                      <w:lang w:val="en-US" w:eastAsia="zh-CN"/>
                    </w:rPr>
                    <w:t>砂石料堆场、砂石分离机</w:t>
                  </w:r>
                  <w:r>
                    <w:rPr>
                      <w:rFonts w:hint="eastAsia"/>
                      <w:color w:val="auto"/>
                    </w:rPr>
                    <w:t>和</w:t>
                  </w:r>
                  <w:r>
                    <w:rPr>
                      <w:rFonts w:hint="eastAsia"/>
                      <w:color w:val="auto"/>
                      <w:lang w:eastAsia="zh-CN"/>
                    </w:rPr>
                    <w:t>洗车台</w:t>
                  </w:r>
                  <w:r>
                    <w:rPr>
                      <w:rFonts w:hint="eastAsia"/>
                      <w:color w:val="auto"/>
                    </w:rPr>
                    <w:t>等区域</w:t>
                  </w:r>
                  <w:r>
                    <w:rPr>
                      <w:color w:val="auto"/>
                    </w:rPr>
                    <w:t>，</w:t>
                  </w:r>
                  <w:r>
                    <w:rPr>
                      <w:rFonts w:hint="eastAsia"/>
                      <w:color w:val="auto"/>
                      <w:lang w:eastAsia="zh-CN"/>
                    </w:rPr>
                    <w:t>并与相应</w:t>
                  </w:r>
                  <w:r>
                    <w:rPr>
                      <w:rFonts w:hint="eastAsia"/>
                      <w:color w:val="auto"/>
                      <w:lang w:val="en-US" w:eastAsia="zh-CN"/>
                    </w:rPr>
                    <w:t>废水处理系统</w:t>
                  </w:r>
                  <w:r>
                    <w:rPr>
                      <w:rFonts w:hint="eastAsia"/>
                      <w:color w:val="auto"/>
                    </w:rPr>
                    <w:t>相连</w:t>
                  </w:r>
                  <w:r>
                    <w:rPr>
                      <w:rFonts w:hint="eastAsia"/>
                      <w:color w:val="auto"/>
                      <w:lang w:eastAsia="zh-CN"/>
                    </w:rPr>
                    <w:t>。</w:t>
                  </w:r>
                </w:p>
              </w:tc>
              <w:tc>
                <w:tcPr>
                  <w:tcW w:w="536" w:type="pct"/>
                  <w:noWrap w:val="0"/>
                  <w:vAlign w:val="center"/>
                </w:tcPr>
                <w:p w14:paraId="372F3F30">
                  <w:pPr>
                    <w:pStyle w:val="28"/>
                    <w:bidi w:val="0"/>
                    <w:rPr>
                      <w:color w:val="auto"/>
                    </w:rPr>
                  </w:pPr>
                  <w:r>
                    <w:rPr>
                      <w:rFonts w:hint="eastAsia"/>
                      <w:color w:val="auto"/>
                    </w:rPr>
                    <w:t>符合</w:t>
                  </w:r>
                </w:p>
              </w:tc>
            </w:tr>
            <w:tr w14:paraId="0437D9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79" w:type="pct"/>
                  <w:vMerge w:val="continue"/>
                  <w:noWrap w:val="0"/>
                  <w:vAlign w:val="center"/>
                </w:tcPr>
                <w:p w14:paraId="0F688288">
                  <w:pPr>
                    <w:pStyle w:val="28"/>
                    <w:bidi w:val="0"/>
                    <w:rPr>
                      <w:color w:val="auto"/>
                    </w:rPr>
                  </w:pPr>
                </w:p>
              </w:tc>
              <w:tc>
                <w:tcPr>
                  <w:tcW w:w="453" w:type="pct"/>
                  <w:noWrap w:val="0"/>
                  <w:vAlign w:val="center"/>
                </w:tcPr>
                <w:p w14:paraId="417CCE0B">
                  <w:pPr>
                    <w:pStyle w:val="28"/>
                    <w:bidi w:val="0"/>
                    <w:rPr>
                      <w:rFonts w:hint="eastAsia"/>
                      <w:color w:val="auto"/>
                      <w:lang w:val="en-US" w:eastAsia="zh-CN"/>
                    </w:rPr>
                  </w:pPr>
                  <w:r>
                    <w:rPr>
                      <w:rFonts w:hint="eastAsia"/>
                      <w:color w:val="auto"/>
                      <w:lang w:val="en-US" w:eastAsia="zh-CN"/>
                    </w:rPr>
                    <w:t>噪声</w:t>
                  </w:r>
                </w:p>
              </w:tc>
              <w:tc>
                <w:tcPr>
                  <w:tcW w:w="1718" w:type="pct"/>
                  <w:noWrap w:val="0"/>
                  <w:vAlign w:val="center"/>
                </w:tcPr>
                <w:p w14:paraId="7D037D0C">
                  <w:pPr>
                    <w:pStyle w:val="28"/>
                    <w:bidi w:val="0"/>
                    <w:rPr>
                      <w:color w:val="auto"/>
                    </w:rPr>
                  </w:pPr>
                  <w:r>
                    <w:rPr>
                      <w:color w:val="auto"/>
                    </w:rPr>
                    <w:t>对产生噪声的主要设备设施应进行降噪处理</w:t>
                  </w:r>
                </w:p>
              </w:tc>
              <w:tc>
                <w:tcPr>
                  <w:tcW w:w="2012" w:type="pct"/>
                  <w:noWrap w:val="0"/>
                  <w:vAlign w:val="center"/>
                </w:tcPr>
                <w:p w14:paraId="7051586C">
                  <w:pPr>
                    <w:pStyle w:val="28"/>
                    <w:bidi w:val="0"/>
                    <w:rPr>
                      <w:rFonts w:hint="eastAsia" w:eastAsia="宋体"/>
                      <w:color w:val="auto"/>
                      <w:lang w:eastAsia="zh-CN"/>
                    </w:rPr>
                  </w:pPr>
                  <w:r>
                    <w:rPr>
                      <w:rFonts w:hint="eastAsia"/>
                      <w:color w:val="auto"/>
                      <w:lang w:eastAsia="zh-CN"/>
                    </w:rPr>
                    <w:t>项目将</w:t>
                  </w:r>
                  <w:r>
                    <w:rPr>
                      <w:color w:val="auto"/>
                    </w:rPr>
                    <w:t>主要生产设备放置于</w:t>
                  </w:r>
                  <w:r>
                    <w:rPr>
                      <w:rFonts w:hint="eastAsia"/>
                      <w:color w:val="auto"/>
                      <w:lang w:eastAsia="zh-CN"/>
                    </w:rPr>
                    <w:t>车间</w:t>
                  </w:r>
                  <w:r>
                    <w:rPr>
                      <w:color w:val="auto"/>
                    </w:rPr>
                    <w:t>内，对厂区高噪声设备采用隔声、消声、吸声、减振等有效措施，以有效降低车间噪声</w:t>
                  </w:r>
                  <w:r>
                    <w:rPr>
                      <w:rFonts w:hint="eastAsia"/>
                      <w:color w:val="auto"/>
                      <w:lang w:eastAsia="zh-CN"/>
                    </w:rPr>
                    <w:t>。</w:t>
                  </w:r>
                </w:p>
              </w:tc>
              <w:tc>
                <w:tcPr>
                  <w:tcW w:w="536" w:type="pct"/>
                  <w:noWrap w:val="0"/>
                  <w:vAlign w:val="center"/>
                </w:tcPr>
                <w:p w14:paraId="059F183D">
                  <w:pPr>
                    <w:pStyle w:val="28"/>
                    <w:bidi w:val="0"/>
                    <w:rPr>
                      <w:rFonts w:hint="eastAsia"/>
                      <w:color w:val="auto"/>
                    </w:rPr>
                  </w:pPr>
                  <w:r>
                    <w:rPr>
                      <w:rFonts w:hint="eastAsia"/>
                      <w:color w:val="auto"/>
                    </w:rPr>
                    <w:t>符合</w:t>
                  </w:r>
                </w:p>
              </w:tc>
            </w:tr>
            <w:tr w14:paraId="422C3B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79" w:type="pct"/>
                  <w:vMerge w:val="continue"/>
                  <w:noWrap w:val="0"/>
                  <w:vAlign w:val="center"/>
                </w:tcPr>
                <w:p w14:paraId="713A890F">
                  <w:pPr>
                    <w:pStyle w:val="28"/>
                    <w:bidi w:val="0"/>
                    <w:rPr>
                      <w:color w:val="auto"/>
                    </w:rPr>
                  </w:pPr>
                </w:p>
              </w:tc>
              <w:tc>
                <w:tcPr>
                  <w:tcW w:w="453" w:type="pct"/>
                  <w:vMerge w:val="restart"/>
                  <w:noWrap w:val="0"/>
                  <w:vAlign w:val="center"/>
                </w:tcPr>
                <w:p w14:paraId="2C8CC776">
                  <w:pPr>
                    <w:pStyle w:val="28"/>
                    <w:bidi w:val="0"/>
                    <w:rPr>
                      <w:rFonts w:hint="eastAsia"/>
                      <w:color w:val="auto"/>
                      <w:lang w:val="en-US" w:eastAsia="zh-CN"/>
                    </w:rPr>
                  </w:pPr>
                  <w:r>
                    <w:rPr>
                      <w:rFonts w:hint="eastAsia"/>
                      <w:color w:val="auto"/>
                      <w:lang w:val="en-US" w:eastAsia="zh-CN"/>
                    </w:rPr>
                    <w:t>粉尘</w:t>
                  </w:r>
                </w:p>
              </w:tc>
              <w:tc>
                <w:tcPr>
                  <w:tcW w:w="1718" w:type="pct"/>
                  <w:noWrap w:val="0"/>
                  <w:vAlign w:val="center"/>
                </w:tcPr>
                <w:p w14:paraId="68CF3A4E">
                  <w:pPr>
                    <w:pStyle w:val="28"/>
                    <w:bidi w:val="0"/>
                    <w:rPr>
                      <w:color w:val="auto"/>
                    </w:rPr>
                  </w:pPr>
                  <w:r>
                    <w:rPr>
                      <w:color w:val="auto"/>
                    </w:rPr>
                    <w:t>对产生粉尘排放的设备设施或场所进行封闭处理或安装除尘装置</w:t>
                  </w:r>
                </w:p>
              </w:tc>
              <w:tc>
                <w:tcPr>
                  <w:tcW w:w="2012" w:type="pct"/>
                  <w:noWrap w:val="0"/>
                  <w:vAlign w:val="center"/>
                </w:tcPr>
                <w:p w14:paraId="4938730B">
                  <w:pPr>
                    <w:pStyle w:val="28"/>
                    <w:bidi w:val="0"/>
                    <w:rPr>
                      <w:rFonts w:hint="eastAsia"/>
                      <w:color w:val="auto"/>
                      <w:lang w:eastAsia="zh-CN"/>
                    </w:rPr>
                  </w:pPr>
                  <w:r>
                    <w:rPr>
                      <w:rFonts w:hint="eastAsia"/>
                      <w:color w:val="auto"/>
                    </w:rPr>
                    <w:t>项目厂内物料输送采用密闭皮带和管道，</w:t>
                  </w:r>
                  <w:r>
                    <w:rPr>
                      <w:color w:val="auto"/>
                    </w:rPr>
                    <w:t>粉料仓</w:t>
                  </w:r>
                  <w:r>
                    <w:rPr>
                      <w:rFonts w:hint="eastAsia"/>
                      <w:color w:val="auto"/>
                    </w:rPr>
                    <w:t>密闭</w:t>
                  </w:r>
                  <w:r>
                    <w:rPr>
                      <w:rFonts w:hint="eastAsia"/>
                      <w:color w:val="auto"/>
                      <w:lang w:eastAsia="zh-CN"/>
                    </w:rPr>
                    <w:t>并</w:t>
                  </w:r>
                  <w:r>
                    <w:rPr>
                      <w:color w:val="auto"/>
                    </w:rPr>
                    <w:t>配置</w:t>
                  </w:r>
                  <w:r>
                    <w:rPr>
                      <w:rFonts w:hint="eastAsia"/>
                      <w:color w:val="auto"/>
                    </w:rPr>
                    <w:t>袋式除尘器进行除尘</w:t>
                  </w:r>
                  <w:r>
                    <w:rPr>
                      <w:color w:val="auto"/>
                    </w:rPr>
                    <w:t>；</w:t>
                  </w:r>
                  <w:r>
                    <w:rPr>
                      <w:rFonts w:hint="eastAsia"/>
                      <w:color w:val="auto"/>
                      <w:lang w:eastAsia="zh-CN"/>
                    </w:rPr>
                    <w:t>搅拌</w:t>
                  </w:r>
                  <w:r>
                    <w:rPr>
                      <w:rFonts w:hint="eastAsia"/>
                      <w:color w:val="auto"/>
                      <w:lang w:val="en-US" w:eastAsia="zh-CN"/>
                    </w:rPr>
                    <w:t>楼</w:t>
                  </w:r>
                  <w:r>
                    <w:rPr>
                      <w:rFonts w:hint="eastAsia"/>
                      <w:color w:val="auto"/>
                      <w:lang w:eastAsia="zh-CN"/>
                    </w:rPr>
                    <w:t>、</w:t>
                  </w:r>
                  <w:r>
                    <w:rPr>
                      <w:rFonts w:hint="eastAsia"/>
                      <w:color w:val="auto"/>
                      <w:lang w:val="en-US" w:eastAsia="zh-CN"/>
                    </w:rPr>
                    <w:t>砂石物料库</w:t>
                  </w:r>
                  <w:r>
                    <w:rPr>
                      <w:rFonts w:hint="eastAsia"/>
                      <w:color w:val="auto"/>
                      <w:lang w:eastAsia="zh-CN"/>
                    </w:rPr>
                    <w:t>封闭设置</w:t>
                  </w:r>
                  <w:r>
                    <w:rPr>
                      <w:rFonts w:hint="eastAsia"/>
                      <w:color w:val="auto"/>
                    </w:rPr>
                    <w:t>并</w:t>
                  </w:r>
                  <w:r>
                    <w:rPr>
                      <w:color w:val="auto"/>
                    </w:rPr>
                    <w:t>设有喷</w:t>
                  </w:r>
                  <w:r>
                    <w:rPr>
                      <w:rFonts w:hint="eastAsia"/>
                      <w:color w:val="auto"/>
                    </w:rPr>
                    <w:t>淋</w:t>
                  </w:r>
                  <w:r>
                    <w:rPr>
                      <w:color w:val="auto"/>
                    </w:rPr>
                    <w:t>降尘系统</w:t>
                  </w:r>
                  <w:r>
                    <w:rPr>
                      <w:rFonts w:hint="eastAsia"/>
                      <w:color w:val="auto"/>
                    </w:rPr>
                    <w:t>；</w:t>
                  </w:r>
                  <w:r>
                    <w:rPr>
                      <w:color w:val="auto"/>
                    </w:rPr>
                    <w:t>厂区</w:t>
                  </w:r>
                  <w:r>
                    <w:rPr>
                      <w:rFonts w:hint="eastAsia"/>
                      <w:color w:val="auto"/>
                    </w:rPr>
                    <w:t>道路定期人工洒水抑尘和</w:t>
                  </w:r>
                  <w:r>
                    <w:rPr>
                      <w:rFonts w:hint="eastAsia"/>
                      <w:color w:val="auto"/>
                      <w:lang w:eastAsia="zh-CN"/>
                    </w:rPr>
                    <w:t>清扫</w:t>
                  </w:r>
                  <w:r>
                    <w:rPr>
                      <w:color w:val="auto"/>
                    </w:rPr>
                    <w:t>，</w:t>
                  </w:r>
                  <w:r>
                    <w:rPr>
                      <w:rFonts w:hint="eastAsia"/>
                      <w:color w:val="auto"/>
                      <w:lang w:eastAsia="zh-CN"/>
                    </w:rPr>
                    <w:t>并</w:t>
                  </w:r>
                  <w:r>
                    <w:rPr>
                      <w:rFonts w:hint="eastAsia"/>
                      <w:color w:val="auto"/>
                    </w:rPr>
                    <w:t>设置洗车台</w:t>
                  </w:r>
                  <w:r>
                    <w:rPr>
                      <w:color w:val="auto"/>
                    </w:rPr>
                    <w:t>对</w:t>
                  </w:r>
                  <w:r>
                    <w:rPr>
                      <w:rFonts w:hint="eastAsia"/>
                      <w:color w:val="auto"/>
                    </w:rPr>
                    <w:t>运输车辆</w:t>
                  </w:r>
                  <w:r>
                    <w:rPr>
                      <w:rFonts w:hint="eastAsia"/>
                      <w:color w:val="auto"/>
                      <w:lang w:val="en-US" w:eastAsia="zh-CN"/>
                    </w:rPr>
                    <w:t>车</w:t>
                  </w:r>
                  <w:r>
                    <w:rPr>
                      <w:color w:val="auto"/>
                    </w:rPr>
                    <w:t>轮进行</w:t>
                  </w:r>
                  <w:r>
                    <w:rPr>
                      <w:rFonts w:hint="eastAsia"/>
                      <w:color w:val="auto"/>
                    </w:rPr>
                    <w:t>冲洗</w:t>
                  </w:r>
                  <w:r>
                    <w:rPr>
                      <w:rFonts w:hint="eastAsia"/>
                      <w:color w:val="auto"/>
                      <w:lang w:eastAsia="zh-CN"/>
                    </w:rPr>
                    <w:t>。</w:t>
                  </w:r>
                </w:p>
              </w:tc>
              <w:tc>
                <w:tcPr>
                  <w:tcW w:w="536" w:type="pct"/>
                  <w:noWrap w:val="0"/>
                  <w:vAlign w:val="center"/>
                </w:tcPr>
                <w:p w14:paraId="5C74CBE2">
                  <w:pPr>
                    <w:pStyle w:val="28"/>
                    <w:bidi w:val="0"/>
                    <w:rPr>
                      <w:color w:val="auto"/>
                    </w:rPr>
                  </w:pPr>
                  <w:r>
                    <w:rPr>
                      <w:rFonts w:hint="eastAsia"/>
                      <w:color w:val="auto"/>
                    </w:rPr>
                    <w:t>符合</w:t>
                  </w:r>
                </w:p>
              </w:tc>
            </w:tr>
            <w:tr w14:paraId="1D546C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79" w:type="pct"/>
                  <w:vMerge w:val="continue"/>
                  <w:noWrap w:val="0"/>
                  <w:vAlign w:val="center"/>
                </w:tcPr>
                <w:p w14:paraId="2C7B0F59">
                  <w:pPr>
                    <w:pStyle w:val="28"/>
                    <w:bidi w:val="0"/>
                    <w:rPr>
                      <w:color w:val="auto"/>
                    </w:rPr>
                  </w:pPr>
                </w:p>
              </w:tc>
              <w:tc>
                <w:tcPr>
                  <w:tcW w:w="453" w:type="pct"/>
                  <w:vMerge w:val="continue"/>
                  <w:noWrap w:val="0"/>
                  <w:vAlign w:val="center"/>
                </w:tcPr>
                <w:p w14:paraId="3F62D634">
                  <w:pPr>
                    <w:pStyle w:val="28"/>
                    <w:bidi w:val="0"/>
                    <w:rPr>
                      <w:color w:val="auto"/>
                    </w:rPr>
                  </w:pPr>
                </w:p>
              </w:tc>
              <w:tc>
                <w:tcPr>
                  <w:tcW w:w="1718" w:type="pct"/>
                  <w:noWrap w:val="0"/>
                  <w:vAlign w:val="center"/>
                </w:tcPr>
                <w:p w14:paraId="1A5BA2DD">
                  <w:pPr>
                    <w:pStyle w:val="28"/>
                    <w:bidi w:val="0"/>
                    <w:rPr>
                      <w:color w:val="auto"/>
                    </w:rPr>
                  </w:pPr>
                  <w:r>
                    <w:rPr>
                      <w:rFonts w:hint="eastAsia"/>
                      <w:color w:val="auto"/>
                    </w:rPr>
                    <w:t>利用喷淋装置进行预湿处理</w:t>
                  </w:r>
                </w:p>
              </w:tc>
              <w:tc>
                <w:tcPr>
                  <w:tcW w:w="2012" w:type="pct"/>
                  <w:noWrap w:val="0"/>
                  <w:vAlign w:val="center"/>
                </w:tcPr>
                <w:p w14:paraId="589AD65A">
                  <w:pPr>
                    <w:pStyle w:val="28"/>
                    <w:bidi w:val="0"/>
                    <w:rPr>
                      <w:color w:val="auto"/>
                    </w:rPr>
                  </w:pPr>
                  <w:r>
                    <w:rPr>
                      <w:color w:val="auto"/>
                    </w:rPr>
                    <w:t>项目</w:t>
                  </w:r>
                  <w:r>
                    <w:rPr>
                      <w:rFonts w:hint="eastAsia"/>
                      <w:color w:val="auto"/>
                      <w:lang w:val="en-US" w:eastAsia="zh-CN"/>
                    </w:rPr>
                    <w:t>砂石</w:t>
                  </w:r>
                  <w:r>
                    <w:rPr>
                      <w:color w:val="auto"/>
                    </w:rPr>
                    <w:t>在输送</w:t>
                  </w:r>
                  <w:r>
                    <w:rPr>
                      <w:rFonts w:hint="eastAsia"/>
                      <w:color w:val="auto"/>
                      <w:lang w:val="en-US" w:eastAsia="zh-CN"/>
                    </w:rPr>
                    <w:t>及</w:t>
                  </w:r>
                  <w:r>
                    <w:rPr>
                      <w:rFonts w:hint="eastAsia"/>
                      <w:color w:val="auto"/>
                      <w:lang w:eastAsia="zh-CN"/>
                    </w:rPr>
                    <w:t>堆存</w:t>
                  </w:r>
                  <w:r>
                    <w:rPr>
                      <w:rFonts w:hint="eastAsia"/>
                      <w:color w:val="auto"/>
                      <w:lang w:val="en-US" w:eastAsia="zh-CN"/>
                    </w:rPr>
                    <w:t>期间喷淋</w:t>
                  </w:r>
                  <w:r>
                    <w:rPr>
                      <w:color w:val="auto"/>
                    </w:rPr>
                    <w:t>预湿</w:t>
                  </w:r>
                  <w:r>
                    <w:rPr>
                      <w:rFonts w:hint="eastAsia"/>
                      <w:color w:val="auto"/>
                    </w:rPr>
                    <w:t>。</w:t>
                  </w:r>
                </w:p>
              </w:tc>
              <w:tc>
                <w:tcPr>
                  <w:tcW w:w="536" w:type="pct"/>
                  <w:noWrap w:val="0"/>
                  <w:vAlign w:val="center"/>
                </w:tcPr>
                <w:p w14:paraId="4065FB82">
                  <w:pPr>
                    <w:pStyle w:val="28"/>
                    <w:bidi w:val="0"/>
                    <w:rPr>
                      <w:rFonts w:hint="eastAsia"/>
                      <w:color w:val="auto"/>
                    </w:rPr>
                  </w:pPr>
                  <w:r>
                    <w:rPr>
                      <w:rFonts w:hint="eastAsia"/>
                      <w:color w:val="auto"/>
                    </w:rPr>
                    <w:t>符合</w:t>
                  </w:r>
                </w:p>
              </w:tc>
            </w:tr>
          </w:tbl>
          <w:p w14:paraId="750D69C1">
            <w:pPr>
              <w:pStyle w:val="33"/>
              <w:bidi w:val="0"/>
              <w:rPr>
                <w:rFonts w:hint="eastAsia"/>
                <w:color w:val="auto"/>
              </w:rPr>
            </w:pPr>
            <w:r>
              <w:rPr>
                <w:rFonts w:hint="eastAsia"/>
                <w:color w:val="auto"/>
              </w:rPr>
              <w:t>表</w:t>
            </w:r>
            <w:r>
              <w:rPr>
                <w:rFonts w:hint="eastAsia"/>
                <w:color w:val="auto"/>
                <w:lang w:val="en-US" w:eastAsia="zh-CN"/>
              </w:rPr>
              <w:t xml:space="preserve">1-5 </w:t>
            </w:r>
            <w:r>
              <w:rPr>
                <w:rFonts w:hint="eastAsia"/>
                <w:color w:val="auto"/>
              </w:rPr>
              <w:t>项目与《福州市城乡建设局关于加强绿色预拌混凝土搅拌站建设的通知》</w:t>
            </w:r>
          </w:p>
          <w:p w14:paraId="0CE60F32">
            <w:pPr>
              <w:pStyle w:val="33"/>
              <w:bidi w:val="0"/>
              <w:rPr>
                <w:rFonts w:hint="eastAsia"/>
                <w:color w:val="auto"/>
              </w:rPr>
            </w:pPr>
            <w:r>
              <w:rPr>
                <w:rFonts w:hint="eastAsia"/>
                <w:color w:val="auto"/>
              </w:rPr>
              <w:t>（榕建筑</w:t>
            </w:r>
            <w:r>
              <w:rPr>
                <w:rFonts w:hint="eastAsia"/>
                <w:color w:val="auto"/>
                <w:lang w:eastAsia="zh-CN"/>
              </w:rPr>
              <w:t>〔2019〕151号</w:t>
            </w:r>
            <w:r>
              <w:rPr>
                <w:rFonts w:hint="eastAsia"/>
                <w:color w:val="auto"/>
              </w:rPr>
              <w:t>）</w:t>
            </w:r>
            <w:r>
              <w:rPr>
                <w:rFonts w:hint="eastAsia"/>
                <w:color w:val="auto"/>
                <w:lang w:eastAsia="zh-CN"/>
              </w:rPr>
              <w:t>中生产环保</w:t>
            </w:r>
            <w:r>
              <w:rPr>
                <w:rFonts w:hint="eastAsia"/>
                <w:color w:val="auto"/>
              </w:rPr>
              <w:t>要求符合性分析</w:t>
            </w:r>
          </w:p>
          <w:tbl>
            <w:tblPr>
              <w:tblStyle w:val="2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3"/>
              <w:gridCol w:w="3178"/>
              <w:gridCol w:w="3245"/>
              <w:gridCol w:w="862"/>
            </w:tblGrid>
            <w:tr w14:paraId="520322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pct"/>
                  <w:noWrap w:val="0"/>
                  <w:vAlign w:val="center"/>
                </w:tcPr>
                <w:p w14:paraId="1E3923C2">
                  <w:pPr>
                    <w:pStyle w:val="28"/>
                    <w:bidi w:val="0"/>
                    <w:rPr>
                      <w:b/>
                      <w:bCs/>
                      <w:color w:val="auto"/>
                    </w:rPr>
                  </w:pPr>
                  <w:r>
                    <w:rPr>
                      <w:rFonts w:hint="eastAsia"/>
                      <w:b/>
                      <w:bCs/>
                      <w:color w:val="auto"/>
                    </w:rPr>
                    <w:t>项目</w:t>
                  </w:r>
                </w:p>
              </w:tc>
              <w:tc>
                <w:tcPr>
                  <w:tcW w:w="1976" w:type="pct"/>
                  <w:noWrap w:val="0"/>
                  <w:vAlign w:val="center"/>
                </w:tcPr>
                <w:p w14:paraId="6D0CC0BF">
                  <w:pPr>
                    <w:pStyle w:val="28"/>
                    <w:bidi w:val="0"/>
                    <w:rPr>
                      <w:rFonts w:hint="eastAsia"/>
                      <w:b/>
                      <w:bCs/>
                      <w:color w:val="auto"/>
                      <w:lang w:eastAsia="zh-CN"/>
                    </w:rPr>
                  </w:pPr>
                  <w:r>
                    <w:rPr>
                      <w:rFonts w:hint="eastAsia"/>
                      <w:b/>
                      <w:bCs/>
                      <w:color w:val="auto"/>
                    </w:rPr>
                    <w:t>榕建筑</w:t>
                  </w:r>
                  <w:r>
                    <w:rPr>
                      <w:rFonts w:hint="eastAsia"/>
                      <w:b/>
                      <w:bCs/>
                      <w:color w:val="auto"/>
                      <w:lang w:eastAsia="zh-CN"/>
                    </w:rPr>
                    <w:t>〔2019〕151号生产环保要求（摘录）</w:t>
                  </w:r>
                </w:p>
              </w:tc>
              <w:tc>
                <w:tcPr>
                  <w:tcW w:w="2018" w:type="pct"/>
                  <w:noWrap w:val="0"/>
                  <w:vAlign w:val="center"/>
                </w:tcPr>
                <w:p w14:paraId="5F30AD76">
                  <w:pPr>
                    <w:pStyle w:val="28"/>
                    <w:bidi w:val="0"/>
                    <w:rPr>
                      <w:b/>
                      <w:bCs/>
                      <w:color w:val="auto"/>
                    </w:rPr>
                  </w:pPr>
                  <w:r>
                    <w:rPr>
                      <w:rFonts w:hint="eastAsia"/>
                      <w:b/>
                      <w:bCs/>
                      <w:color w:val="auto"/>
                    </w:rPr>
                    <w:t>项目情况</w:t>
                  </w:r>
                </w:p>
              </w:tc>
              <w:tc>
                <w:tcPr>
                  <w:tcW w:w="536" w:type="pct"/>
                  <w:noWrap w:val="0"/>
                  <w:vAlign w:val="center"/>
                </w:tcPr>
                <w:p w14:paraId="0FCA8896">
                  <w:pPr>
                    <w:pStyle w:val="28"/>
                    <w:bidi w:val="0"/>
                    <w:rPr>
                      <w:b/>
                      <w:bCs/>
                      <w:color w:val="auto"/>
                    </w:rPr>
                  </w:pPr>
                  <w:r>
                    <w:rPr>
                      <w:rFonts w:hint="eastAsia"/>
                      <w:b/>
                      <w:bCs/>
                      <w:color w:val="auto"/>
                    </w:rPr>
                    <w:t>符合性</w:t>
                  </w:r>
                </w:p>
              </w:tc>
            </w:tr>
            <w:tr w14:paraId="42A6A0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pct"/>
                  <w:vMerge w:val="restart"/>
                  <w:noWrap w:val="0"/>
                  <w:vAlign w:val="center"/>
                </w:tcPr>
                <w:p w14:paraId="3335F33A">
                  <w:pPr>
                    <w:pStyle w:val="28"/>
                    <w:bidi w:val="0"/>
                    <w:rPr>
                      <w:rFonts w:hint="eastAsia"/>
                      <w:color w:val="auto"/>
                      <w:lang w:eastAsia="zh-CN"/>
                    </w:rPr>
                  </w:pPr>
                  <w:r>
                    <w:rPr>
                      <w:rFonts w:hint="eastAsia"/>
                      <w:color w:val="auto"/>
                      <w:lang w:eastAsia="zh-CN"/>
                    </w:rPr>
                    <w:t>噪声</w:t>
                  </w:r>
                </w:p>
                <w:p w14:paraId="4A15C68B">
                  <w:pPr>
                    <w:pStyle w:val="28"/>
                    <w:bidi w:val="0"/>
                    <w:rPr>
                      <w:rFonts w:hint="eastAsia"/>
                      <w:color w:val="auto"/>
                      <w:lang w:eastAsia="zh-CN"/>
                    </w:rPr>
                  </w:pPr>
                  <w:r>
                    <w:rPr>
                      <w:rFonts w:hint="eastAsia"/>
                      <w:color w:val="auto"/>
                      <w:lang w:eastAsia="zh-CN"/>
                    </w:rPr>
                    <w:t>防治</w:t>
                  </w:r>
                </w:p>
              </w:tc>
              <w:tc>
                <w:tcPr>
                  <w:tcW w:w="1976" w:type="pct"/>
                  <w:noWrap w:val="0"/>
                  <w:vAlign w:val="center"/>
                </w:tcPr>
                <w:p w14:paraId="43F09C38">
                  <w:pPr>
                    <w:pStyle w:val="28"/>
                    <w:bidi w:val="0"/>
                    <w:rPr>
                      <w:rFonts w:hint="default"/>
                      <w:color w:val="auto"/>
                      <w:lang w:val="en-US" w:eastAsia="zh-CN"/>
                    </w:rPr>
                  </w:pPr>
                  <w:r>
                    <w:rPr>
                      <w:rFonts w:hint="eastAsia"/>
                      <w:color w:val="auto"/>
                      <w:lang w:eastAsia="zh-CN"/>
                    </w:rPr>
                    <w:t>每日22点至次日7点，车辆进出场禁止鸣喇叭、厂区内禁止使用ERP叫号系统</w:t>
                  </w:r>
                </w:p>
              </w:tc>
              <w:tc>
                <w:tcPr>
                  <w:tcW w:w="2018" w:type="pct"/>
                  <w:noWrap w:val="0"/>
                  <w:vAlign w:val="center"/>
                </w:tcPr>
                <w:p w14:paraId="5F574BC4">
                  <w:pPr>
                    <w:pStyle w:val="28"/>
                    <w:bidi w:val="0"/>
                    <w:rPr>
                      <w:rFonts w:hint="eastAsia"/>
                      <w:color w:val="auto"/>
                      <w:lang w:eastAsia="zh-CN"/>
                    </w:rPr>
                  </w:pPr>
                  <w:r>
                    <w:rPr>
                      <w:rFonts w:hint="eastAsia"/>
                      <w:color w:val="auto"/>
                      <w:lang w:eastAsia="zh-CN"/>
                    </w:rPr>
                    <w:t>项目不涉及夜间生产，车辆不在每日22点至次日7点进出场运输</w:t>
                  </w:r>
                </w:p>
              </w:tc>
              <w:tc>
                <w:tcPr>
                  <w:tcW w:w="536" w:type="pct"/>
                  <w:noWrap w:val="0"/>
                  <w:vAlign w:val="center"/>
                </w:tcPr>
                <w:p w14:paraId="425C0FB8">
                  <w:pPr>
                    <w:pStyle w:val="28"/>
                    <w:bidi w:val="0"/>
                    <w:rPr>
                      <w:color w:val="auto"/>
                    </w:rPr>
                  </w:pPr>
                  <w:r>
                    <w:rPr>
                      <w:rFonts w:hint="eastAsia"/>
                      <w:color w:val="auto"/>
                    </w:rPr>
                    <w:t>符合</w:t>
                  </w:r>
                </w:p>
              </w:tc>
            </w:tr>
            <w:tr w14:paraId="20884E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468" w:type="pct"/>
                  <w:vMerge w:val="continue"/>
                  <w:noWrap w:val="0"/>
                  <w:vAlign w:val="center"/>
                </w:tcPr>
                <w:p w14:paraId="27981E3B">
                  <w:pPr>
                    <w:pStyle w:val="28"/>
                    <w:bidi w:val="0"/>
                    <w:rPr>
                      <w:color w:val="auto"/>
                    </w:rPr>
                  </w:pPr>
                </w:p>
              </w:tc>
              <w:tc>
                <w:tcPr>
                  <w:tcW w:w="1976" w:type="pct"/>
                  <w:noWrap w:val="0"/>
                  <w:vAlign w:val="center"/>
                </w:tcPr>
                <w:p w14:paraId="389524BA">
                  <w:pPr>
                    <w:pStyle w:val="28"/>
                    <w:bidi w:val="0"/>
                    <w:rPr>
                      <w:color w:val="auto"/>
                    </w:rPr>
                  </w:pPr>
                  <w:r>
                    <w:rPr>
                      <w:rFonts w:hint="eastAsia"/>
                      <w:color w:val="auto"/>
                    </w:rPr>
                    <w:t>禁止使用活塞式空气压缩机</w:t>
                  </w:r>
                  <w:r>
                    <w:rPr>
                      <w:rFonts w:hint="eastAsia"/>
                      <w:color w:val="auto"/>
                      <w:lang w:eastAsia="zh-CN"/>
                    </w:rPr>
                    <w:t>，</w:t>
                  </w:r>
                  <w:r>
                    <w:rPr>
                      <w:rFonts w:hint="eastAsia"/>
                      <w:color w:val="auto"/>
                    </w:rPr>
                    <w:t>推广低噪音螺杆式空气压缩机</w:t>
                  </w:r>
                </w:p>
              </w:tc>
              <w:tc>
                <w:tcPr>
                  <w:tcW w:w="2018" w:type="pct"/>
                  <w:noWrap w:val="0"/>
                  <w:vAlign w:val="center"/>
                </w:tcPr>
                <w:p w14:paraId="6D074285">
                  <w:pPr>
                    <w:pStyle w:val="28"/>
                    <w:bidi w:val="0"/>
                    <w:rPr>
                      <w:rFonts w:hint="eastAsia"/>
                      <w:color w:val="auto"/>
                      <w:lang w:eastAsia="zh-CN"/>
                    </w:rPr>
                  </w:pPr>
                  <w:r>
                    <w:rPr>
                      <w:rFonts w:hint="eastAsia"/>
                      <w:color w:val="auto"/>
                      <w:lang w:eastAsia="zh-CN"/>
                    </w:rPr>
                    <w:t>项目使用低噪声空气压缩机。</w:t>
                  </w:r>
                </w:p>
              </w:tc>
              <w:tc>
                <w:tcPr>
                  <w:tcW w:w="536" w:type="pct"/>
                  <w:noWrap w:val="0"/>
                  <w:vAlign w:val="center"/>
                </w:tcPr>
                <w:p w14:paraId="03EF5EBF">
                  <w:pPr>
                    <w:pStyle w:val="28"/>
                    <w:bidi w:val="0"/>
                    <w:rPr>
                      <w:color w:val="auto"/>
                    </w:rPr>
                  </w:pPr>
                  <w:r>
                    <w:rPr>
                      <w:rFonts w:hint="eastAsia"/>
                      <w:color w:val="auto"/>
                    </w:rPr>
                    <w:t>符合</w:t>
                  </w:r>
                </w:p>
              </w:tc>
            </w:tr>
            <w:tr w14:paraId="3C686D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468" w:type="pct"/>
                  <w:vMerge w:val="restart"/>
                  <w:noWrap w:val="0"/>
                  <w:vAlign w:val="center"/>
                </w:tcPr>
                <w:p w14:paraId="6647FE05">
                  <w:pPr>
                    <w:pStyle w:val="28"/>
                    <w:bidi w:val="0"/>
                    <w:rPr>
                      <w:rFonts w:hint="eastAsia"/>
                      <w:color w:val="auto"/>
                      <w:lang w:eastAsia="zh-CN"/>
                    </w:rPr>
                  </w:pPr>
                  <w:r>
                    <w:rPr>
                      <w:rFonts w:hint="eastAsia"/>
                      <w:color w:val="auto"/>
                      <w:lang w:eastAsia="zh-CN"/>
                    </w:rPr>
                    <w:t>扬尘</w:t>
                  </w:r>
                </w:p>
                <w:p w14:paraId="527BF71C">
                  <w:pPr>
                    <w:pStyle w:val="28"/>
                    <w:bidi w:val="0"/>
                    <w:rPr>
                      <w:rFonts w:hint="eastAsia"/>
                      <w:color w:val="auto"/>
                      <w:lang w:eastAsia="zh-CN"/>
                    </w:rPr>
                  </w:pPr>
                  <w:r>
                    <w:rPr>
                      <w:rFonts w:hint="eastAsia"/>
                      <w:color w:val="auto"/>
                      <w:lang w:eastAsia="zh-CN"/>
                    </w:rPr>
                    <w:t>防治</w:t>
                  </w:r>
                </w:p>
              </w:tc>
              <w:tc>
                <w:tcPr>
                  <w:tcW w:w="1976" w:type="pct"/>
                  <w:noWrap w:val="0"/>
                  <w:vAlign w:val="center"/>
                </w:tcPr>
                <w:p w14:paraId="68847FD1">
                  <w:pPr>
                    <w:pStyle w:val="28"/>
                    <w:bidi w:val="0"/>
                    <w:rPr>
                      <w:color w:val="auto"/>
                    </w:rPr>
                  </w:pPr>
                  <w:r>
                    <w:rPr>
                      <w:rFonts w:hint="eastAsia"/>
                      <w:color w:val="auto"/>
                    </w:rPr>
                    <w:t>我市所有预拌混凝土搅拌站的主楼、骨料仓和传送装置均应采用钢结构封闭。</w:t>
                  </w:r>
                </w:p>
              </w:tc>
              <w:tc>
                <w:tcPr>
                  <w:tcW w:w="2018" w:type="pct"/>
                  <w:noWrap w:val="0"/>
                  <w:vAlign w:val="center"/>
                </w:tcPr>
                <w:p w14:paraId="19B46DAB">
                  <w:pPr>
                    <w:pStyle w:val="28"/>
                    <w:bidi w:val="0"/>
                    <w:rPr>
                      <w:rFonts w:hint="default"/>
                      <w:color w:val="auto"/>
                      <w:lang w:val="en-US" w:eastAsia="zh-CN"/>
                    </w:rPr>
                  </w:pPr>
                  <w:r>
                    <w:rPr>
                      <w:rFonts w:hint="eastAsia"/>
                      <w:color w:val="auto"/>
                      <w:lang w:eastAsia="zh-CN"/>
                    </w:rPr>
                    <w:t>项目搅拌楼、</w:t>
                  </w:r>
                  <w:r>
                    <w:rPr>
                      <w:rFonts w:hint="eastAsia"/>
                      <w:color w:val="auto"/>
                      <w:lang w:val="en-US" w:eastAsia="zh-CN"/>
                    </w:rPr>
                    <w:t>物料库</w:t>
                  </w:r>
                  <w:r>
                    <w:rPr>
                      <w:rFonts w:hint="eastAsia"/>
                      <w:color w:val="auto"/>
                      <w:lang w:eastAsia="zh-CN"/>
                    </w:rPr>
                    <w:t>、</w:t>
                  </w:r>
                  <w:r>
                    <w:rPr>
                      <w:rFonts w:hint="eastAsia"/>
                      <w:color w:val="auto"/>
                      <w:lang w:val="en-US" w:eastAsia="zh-CN"/>
                    </w:rPr>
                    <w:t>砼结构件浇筑车间</w:t>
                  </w:r>
                  <w:r>
                    <w:rPr>
                      <w:rFonts w:hint="eastAsia"/>
                      <w:color w:val="auto"/>
                      <w:lang w:eastAsia="zh-CN"/>
                    </w:rPr>
                    <w:t>采取钢结构封闭设置，</w:t>
                  </w:r>
                  <w:r>
                    <w:rPr>
                      <w:rFonts w:hint="eastAsia"/>
                      <w:color w:val="auto"/>
                      <w:lang w:val="en-US" w:eastAsia="zh-CN"/>
                    </w:rPr>
                    <w:t>物料输送</w:t>
                  </w:r>
                  <w:r>
                    <w:rPr>
                      <w:rFonts w:hint="eastAsia"/>
                      <w:color w:val="auto"/>
                      <w:lang w:eastAsia="zh-CN"/>
                    </w:rPr>
                    <w:t>装置</w:t>
                  </w:r>
                  <w:r>
                    <w:rPr>
                      <w:rFonts w:hint="eastAsia"/>
                      <w:color w:val="auto"/>
                      <w:lang w:val="en-US" w:eastAsia="zh-CN"/>
                    </w:rPr>
                    <w:t>采用钢结构封闭</w:t>
                  </w:r>
                </w:p>
              </w:tc>
              <w:tc>
                <w:tcPr>
                  <w:tcW w:w="536" w:type="pct"/>
                  <w:noWrap w:val="0"/>
                  <w:vAlign w:val="center"/>
                </w:tcPr>
                <w:p w14:paraId="30C6B0A1">
                  <w:pPr>
                    <w:pStyle w:val="28"/>
                    <w:bidi w:val="0"/>
                    <w:rPr>
                      <w:color w:val="auto"/>
                    </w:rPr>
                  </w:pPr>
                  <w:r>
                    <w:rPr>
                      <w:rFonts w:hint="eastAsia"/>
                      <w:color w:val="auto"/>
                    </w:rPr>
                    <w:t>符合</w:t>
                  </w:r>
                </w:p>
              </w:tc>
            </w:tr>
            <w:tr w14:paraId="228FD1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pct"/>
                  <w:vMerge w:val="continue"/>
                  <w:noWrap w:val="0"/>
                  <w:vAlign w:val="center"/>
                </w:tcPr>
                <w:p w14:paraId="66EACB17">
                  <w:pPr>
                    <w:pStyle w:val="28"/>
                    <w:bidi w:val="0"/>
                    <w:rPr>
                      <w:color w:val="auto"/>
                    </w:rPr>
                  </w:pPr>
                </w:p>
              </w:tc>
              <w:tc>
                <w:tcPr>
                  <w:tcW w:w="1976" w:type="pct"/>
                  <w:noWrap w:val="0"/>
                  <w:vAlign w:val="center"/>
                </w:tcPr>
                <w:p w14:paraId="1F0AD225">
                  <w:pPr>
                    <w:pStyle w:val="28"/>
                    <w:bidi w:val="0"/>
                    <w:rPr>
                      <w:color w:val="auto"/>
                    </w:rPr>
                  </w:pPr>
                  <w:r>
                    <w:rPr>
                      <w:rFonts w:hint="eastAsia"/>
                      <w:color w:val="auto"/>
                    </w:rPr>
                    <w:t>搅拌站主楼、原料罐应设置降尘除尘装置</w:t>
                  </w:r>
                  <w:r>
                    <w:rPr>
                      <w:rFonts w:hint="eastAsia"/>
                      <w:color w:val="auto"/>
                      <w:lang w:eastAsia="zh-CN"/>
                    </w:rPr>
                    <w:t>，</w:t>
                  </w:r>
                  <w:r>
                    <w:rPr>
                      <w:rFonts w:hint="eastAsia"/>
                      <w:color w:val="auto"/>
                    </w:rPr>
                    <w:t>骨料仓、厂区围墙应安装有喷淋、喷雾设备</w:t>
                  </w:r>
                  <w:r>
                    <w:rPr>
                      <w:rFonts w:hint="eastAsia"/>
                      <w:color w:val="auto"/>
                      <w:lang w:eastAsia="zh-CN"/>
                    </w:rPr>
                    <w:t>，</w:t>
                  </w:r>
                  <w:r>
                    <w:rPr>
                      <w:rFonts w:hint="eastAsia"/>
                      <w:color w:val="auto"/>
                    </w:rPr>
                    <w:t>以有效降低粉尘污染</w:t>
                  </w:r>
                </w:p>
              </w:tc>
              <w:tc>
                <w:tcPr>
                  <w:tcW w:w="2018" w:type="pct"/>
                  <w:noWrap w:val="0"/>
                  <w:vAlign w:val="center"/>
                </w:tcPr>
                <w:p w14:paraId="39E9CB63">
                  <w:pPr>
                    <w:pStyle w:val="28"/>
                    <w:bidi w:val="0"/>
                    <w:rPr>
                      <w:rFonts w:hint="eastAsia"/>
                      <w:color w:val="auto"/>
                      <w:lang w:eastAsia="zh-CN"/>
                    </w:rPr>
                  </w:pPr>
                  <w:r>
                    <w:rPr>
                      <w:rFonts w:hint="eastAsia"/>
                      <w:color w:val="auto"/>
                      <w:lang w:eastAsia="zh-CN"/>
                    </w:rPr>
                    <w:t>项目搅拌楼、</w:t>
                  </w:r>
                  <w:r>
                    <w:rPr>
                      <w:rFonts w:hint="eastAsia"/>
                      <w:color w:val="auto"/>
                      <w:lang w:val="en-US" w:eastAsia="zh-CN"/>
                    </w:rPr>
                    <w:t>物料库、砼结构件浇筑车间</w:t>
                  </w:r>
                  <w:r>
                    <w:rPr>
                      <w:rFonts w:hint="eastAsia"/>
                      <w:color w:val="auto"/>
                      <w:lang w:eastAsia="zh-CN"/>
                    </w:rPr>
                    <w:t>设置喷淋降尘装置，水泥及矿粉仓配套</w:t>
                  </w:r>
                  <w:r>
                    <w:rPr>
                      <w:rFonts w:hint="eastAsia"/>
                      <w:color w:val="auto"/>
                    </w:rPr>
                    <w:t>袋式除尘器</w:t>
                  </w:r>
                  <w:r>
                    <w:rPr>
                      <w:rFonts w:hint="eastAsia"/>
                      <w:color w:val="auto"/>
                      <w:lang w:eastAsia="zh-CN"/>
                    </w:rPr>
                    <w:t>，厂区靠近生产及原料堆场侧的</w:t>
                  </w:r>
                  <w:r>
                    <w:rPr>
                      <w:rFonts w:hint="eastAsia"/>
                      <w:color w:val="auto"/>
                      <w:lang w:val="en-US" w:eastAsia="zh-CN"/>
                    </w:rPr>
                    <w:t>北</w:t>
                  </w:r>
                  <w:r>
                    <w:rPr>
                      <w:rFonts w:hint="eastAsia"/>
                      <w:color w:val="auto"/>
                      <w:lang w:eastAsia="zh-CN"/>
                    </w:rPr>
                    <w:t>侧及东</w:t>
                  </w:r>
                  <w:r>
                    <w:rPr>
                      <w:rFonts w:hint="eastAsia"/>
                      <w:color w:val="auto"/>
                      <w:lang w:val="en-US" w:eastAsia="zh-CN"/>
                    </w:rPr>
                    <w:t>北</w:t>
                  </w:r>
                  <w:r>
                    <w:rPr>
                      <w:rFonts w:hint="eastAsia"/>
                      <w:color w:val="auto"/>
                      <w:lang w:eastAsia="zh-CN"/>
                    </w:rPr>
                    <w:t>侧围墙安装喷淋设备，降低粉尘污染</w:t>
                  </w:r>
                </w:p>
              </w:tc>
              <w:tc>
                <w:tcPr>
                  <w:tcW w:w="536" w:type="pct"/>
                  <w:noWrap w:val="0"/>
                  <w:vAlign w:val="center"/>
                </w:tcPr>
                <w:p w14:paraId="76344FCE">
                  <w:pPr>
                    <w:pStyle w:val="28"/>
                    <w:bidi w:val="0"/>
                    <w:rPr>
                      <w:color w:val="auto"/>
                    </w:rPr>
                  </w:pPr>
                  <w:r>
                    <w:rPr>
                      <w:rFonts w:hint="eastAsia"/>
                      <w:color w:val="auto"/>
                    </w:rPr>
                    <w:t>符合</w:t>
                  </w:r>
                </w:p>
              </w:tc>
            </w:tr>
            <w:tr w14:paraId="5A1F45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68" w:type="pct"/>
                  <w:vMerge w:val="continue"/>
                  <w:noWrap w:val="0"/>
                  <w:vAlign w:val="center"/>
                </w:tcPr>
                <w:p w14:paraId="67F2BAA0">
                  <w:pPr>
                    <w:pStyle w:val="28"/>
                    <w:bidi w:val="0"/>
                    <w:rPr>
                      <w:color w:val="auto"/>
                    </w:rPr>
                  </w:pPr>
                </w:p>
              </w:tc>
              <w:tc>
                <w:tcPr>
                  <w:tcW w:w="1976" w:type="pct"/>
                  <w:noWrap w:val="0"/>
                  <w:vAlign w:val="center"/>
                </w:tcPr>
                <w:p w14:paraId="3ED60BC8">
                  <w:pPr>
                    <w:pStyle w:val="28"/>
                    <w:bidi w:val="0"/>
                    <w:rPr>
                      <w:rFonts w:hint="eastAsia"/>
                      <w:color w:val="auto"/>
                    </w:rPr>
                  </w:pPr>
                  <w:r>
                    <w:rPr>
                      <w:rFonts w:hint="eastAsia"/>
                      <w:color w:val="auto"/>
                    </w:rPr>
                    <w:t>预拌混凝土搅拌站应配套洗车台</w:t>
                  </w:r>
                  <w:r>
                    <w:rPr>
                      <w:rFonts w:hint="eastAsia"/>
                      <w:color w:val="auto"/>
                      <w:lang w:eastAsia="zh-CN"/>
                    </w:rPr>
                    <w:t>，</w:t>
                  </w:r>
                  <w:r>
                    <w:rPr>
                      <w:rFonts w:hint="eastAsia"/>
                      <w:color w:val="auto"/>
                    </w:rPr>
                    <w:t>用于冲洗运输车</w:t>
                  </w:r>
                  <w:r>
                    <w:rPr>
                      <w:rFonts w:hint="eastAsia"/>
                      <w:color w:val="auto"/>
                      <w:lang w:eastAsia="zh-CN"/>
                    </w:rPr>
                    <w:t>，</w:t>
                  </w:r>
                  <w:r>
                    <w:rPr>
                      <w:rFonts w:hint="eastAsia"/>
                      <w:color w:val="auto"/>
                    </w:rPr>
                    <w:t>做到净车出厂</w:t>
                  </w:r>
                  <w:r>
                    <w:rPr>
                      <w:rFonts w:hint="eastAsia"/>
                      <w:color w:val="auto"/>
                      <w:lang w:eastAsia="zh-CN"/>
                    </w:rPr>
                    <w:t>，</w:t>
                  </w:r>
                  <w:r>
                    <w:rPr>
                      <w:rFonts w:hint="eastAsia"/>
                      <w:color w:val="auto"/>
                    </w:rPr>
                    <w:t>严禁运输车驶离生产厂区时车轮带泥上路。</w:t>
                  </w:r>
                </w:p>
              </w:tc>
              <w:tc>
                <w:tcPr>
                  <w:tcW w:w="2018" w:type="pct"/>
                  <w:noWrap w:val="0"/>
                  <w:vAlign w:val="center"/>
                </w:tcPr>
                <w:p w14:paraId="5374F709">
                  <w:pPr>
                    <w:pStyle w:val="28"/>
                    <w:bidi w:val="0"/>
                    <w:rPr>
                      <w:rFonts w:hint="eastAsia"/>
                      <w:color w:val="auto"/>
                      <w:lang w:eastAsia="zh-CN"/>
                    </w:rPr>
                  </w:pPr>
                  <w:r>
                    <w:rPr>
                      <w:rFonts w:hint="eastAsia"/>
                      <w:color w:val="auto"/>
                      <w:lang w:eastAsia="zh-CN"/>
                    </w:rPr>
                    <w:t>项目配套洗车台，用于冲洗运输车，做到净车出厂</w:t>
                  </w:r>
                </w:p>
              </w:tc>
              <w:tc>
                <w:tcPr>
                  <w:tcW w:w="536" w:type="pct"/>
                  <w:noWrap w:val="0"/>
                  <w:vAlign w:val="center"/>
                </w:tcPr>
                <w:p w14:paraId="1E23A4A7">
                  <w:pPr>
                    <w:pStyle w:val="28"/>
                    <w:bidi w:val="0"/>
                    <w:rPr>
                      <w:rFonts w:hint="eastAsia"/>
                      <w:color w:val="auto"/>
                      <w:lang w:eastAsia="zh-CN"/>
                    </w:rPr>
                  </w:pPr>
                  <w:r>
                    <w:rPr>
                      <w:rFonts w:hint="eastAsia"/>
                      <w:color w:val="auto"/>
                      <w:lang w:eastAsia="zh-CN"/>
                    </w:rPr>
                    <w:t>符合</w:t>
                  </w:r>
                </w:p>
              </w:tc>
            </w:tr>
            <w:tr w14:paraId="6ACEAD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468" w:type="pct"/>
                  <w:noWrap w:val="0"/>
                  <w:vAlign w:val="center"/>
                </w:tcPr>
                <w:p w14:paraId="4E26179A">
                  <w:pPr>
                    <w:pStyle w:val="28"/>
                    <w:bidi w:val="0"/>
                    <w:rPr>
                      <w:rFonts w:hint="eastAsia"/>
                      <w:color w:val="auto"/>
                      <w:lang w:eastAsia="zh-CN"/>
                    </w:rPr>
                  </w:pPr>
                  <w:r>
                    <w:rPr>
                      <w:rFonts w:hint="eastAsia"/>
                      <w:color w:val="auto"/>
                      <w:lang w:eastAsia="zh-CN"/>
                    </w:rPr>
                    <w:t>废水</w:t>
                  </w:r>
                </w:p>
                <w:p w14:paraId="1C86C279">
                  <w:pPr>
                    <w:pStyle w:val="28"/>
                    <w:bidi w:val="0"/>
                    <w:rPr>
                      <w:rFonts w:hint="eastAsia"/>
                      <w:color w:val="auto"/>
                      <w:lang w:eastAsia="zh-CN"/>
                    </w:rPr>
                  </w:pPr>
                  <w:r>
                    <w:rPr>
                      <w:rFonts w:hint="eastAsia"/>
                      <w:color w:val="auto"/>
                      <w:lang w:eastAsia="zh-CN"/>
                    </w:rPr>
                    <w:t>排放</w:t>
                  </w:r>
                </w:p>
              </w:tc>
              <w:tc>
                <w:tcPr>
                  <w:tcW w:w="1976" w:type="pct"/>
                  <w:noWrap w:val="0"/>
                  <w:vAlign w:val="center"/>
                </w:tcPr>
                <w:p w14:paraId="59E9455E">
                  <w:pPr>
                    <w:pStyle w:val="28"/>
                    <w:bidi w:val="0"/>
                    <w:rPr>
                      <w:rFonts w:hint="eastAsia"/>
                      <w:color w:val="auto"/>
                      <w:lang w:eastAsia="zh-CN"/>
                    </w:rPr>
                  </w:pPr>
                  <w:r>
                    <w:rPr>
                      <w:rFonts w:hint="eastAsia"/>
                      <w:color w:val="auto"/>
                      <w:lang w:eastAsia="zh-CN"/>
                    </w:rPr>
                    <w:t>厂区内的生产用水应设有循环使用系统，确保污水不外排，定期收集沉淀的泥浆废料，循环利用</w:t>
                  </w:r>
                </w:p>
              </w:tc>
              <w:tc>
                <w:tcPr>
                  <w:tcW w:w="2018" w:type="pct"/>
                  <w:noWrap w:val="0"/>
                  <w:vAlign w:val="center"/>
                </w:tcPr>
                <w:p w14:paraId="02793822">
                  <w:pPr>
                    <w:pStyle w:val="28"/>
                    <w:bidi w:val="0"/>
                    <w:rPr>
                      <w:rFonts w:hint="eastAsia"/>
                      <w:color w:val="auto"/>
                      <w:lang w:eastAsia="zh-CN"/>
                    </w:rPr>
                  </w:pPr>
                  <w:r>
                    <w:rPr>
                      <w:rFonts w:hint="eastAsia"/>
                      <w:color w:val="auto"/>
                      <w:lang w:eastAsia="zh-CN"/>
                    </w:rPr>
                    <w:t>项目设置生产废水处理系统，对生产废水收集处理后全部回用，不外排。沉淀泥渣回用于生产。</w:t>
                  </w:r>
                </w:p>
              </w:tc>
              <w:tc>
                <w:tcPr>
                  <w:tcW w:w="536" w:type="pct"/>
                  <w:noWrap w:val="0"/>
                  <w:vAlign w:val="center"/>
                </w:tcPr>
                <w:p w14:paraId="22599AB7">
                  <w:pPr>
                    <w:pStyle w:val="28"/>
                    <w:bidi w:val="0"/>
                    <w:rPr>
                      <w:color w:val="auto"/>
                    </w:rPr>
                  </w:pPr>
                  <w:r>
                    <w:rPr>
                      <w:rFonts w:hint="eastAsia"/>
                      <w:color w:val="auto"/>
                    </w:rPr>
                    <w:t>符合</w:t>
                  </w:r>
                </w:p>
              </w:tc>
            </w:tr>
          </w:tbl>
          <w:p w14:paraId="187BA3BB">
            <w:pPr>
              <w:bidi w:val="0"/>
              <w:rPr>
                <w:rFonts w:hint="eastAsia"/>
                <w:b/>
                <w:bCs/>
                <w:lang w:val="en-US" w:eastAsia="zh-CN"/>
              </w:rPr>
            </w:pPr>
            <w:r>
              <w:rPr>
                <w:rFonts w:hint="eastAsia"/>
                <w:b/>
                <w:bCs/>
                <w:lang w:val="en-US" w:eastAsia="zh-CN"/>
              </w:rPr>
              <w:t>7、与《福建省机制砂行业企业规范》（闽工信联法规【2021】92号）符合性分析</w:t>
            </w:r>
          </w:p>
          <w:p w14:paraId="7E161E3F">
            <w:pPr>
              <w:pStyle w:val="33"/>
              <w:bidi w:val="0"/>
              <w:rPr>
                <w:rFonts w:hint="eastAsia"/>
                <w:lang w:val="en-US" w:eastAsia="zh-CN"/>
              </w:rPr>
            </w:pPr>
            <w:r>
              <w:rPr>
                <w:rFonts w:hint="eastAsia"/>
                <w:lang w:val="en-US" w:eastAsia="zh-CN"/>
              </w:rPr>
              <w:t>表1-6 与《福建省机制砂行业企业规范》（闽工信联法规【2021】92号）符合性分析表</w:t>
            </w:r>
          </w:p>
          <w:tbl>
            <w:tblPr>
              <w:tblStyle w:val="21"/>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10"/>
              <w:gridCol w:w="3369"/>
              <w:gridCol w:w="2890"/>
              <w:gridCol w:w="862"/>
            </w:tblGrid>
            <w:tr w14:paraId="046374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910" w:type="dxa"/>
                  <w:tcBorders>
                    <w:tl2br w:val="nil"/>
                    <w:tr2bl w:val="nil"/>
                  </w:tcBorders>
                  <w:vAlign w:val="center"/>
                </w:tcPr>
                <w:p w14:paraId="226ECB5F">
                  <w:pPr>
                    <w:pStyle w:val="28"/>
                    <w:jc w:val="center"/>
                    <w:rPr>
                      <w:rFonts w:hint="default"/>
                      <w:vertAlign w:val="baseline"/>
                      <w:lang w:val="en-US" w:eastAsia="zh-CN"/>
                    </w:rPr>
                  </w:pPr>
                  <w:r>
                    <w:rPr>
                      <w:rFonts w:hint="eastAsia"/>
                      <w:vertAlign w:val="baseline"/>
                      <w:lang w:val="en-US" w:eastAsia="zh-CN"/>
                    </w:rPr>
                    <w:t>“规范”要求</w:t>
                  </w:r>
                </w:p>
              </w:tc>
              <w:tc>
                <w:tcPr>
                  <w:tcW w:w="3369" w:type="dxa"/>
                  <w:tcBorders>
                    <w:tl2br w:val="nil"/>
                    <w:tr2bl w:val="nil"/>
                  </w:tcBorders>
                  <w:vAlign w:val="center"/>
                </w:tcPr>
                <w:p w14:paraId="23EBE14C">
                  <w:pPr>
                    <w:pStyle w:val="28"/>
                    <w:jc w:val="center"/>
                    <w:rPr>
                      <w:rFonts w:hint="default"/>
                      <w:vertAlign w:val="baseline"/>
                      <w:lang w:val="en-US" w:eastAsia="zh-CN"/>
                    </w:rPr>
                  </w:pPr>
                  <w:r>
                    <w:rPr>
                      <w:rFonts w:hint="eastAsia"/>
                      <w:vertAlign w:val="baseline"/>
                      <w:lang w:val="en-US" w:eastAsia="zh-CN"/>
                    </w:rPr>
                    <w:t>细则</w:t>
                  </w:r>
                </w:p>
              </w:tc>
              <w:tc>
                <w:tcPr>
                  <w:tcW w:w="2890" w:type="dxa"/>
                  <w:tcBorders>
                    <w:tl2br w:val="nil"/>
                    <w:tr2bl w:val="nil"/>
                  </w:tcBorders>
                  <w:vAlign w:val="center"/>
                </w:tcPr>
                <w:p w14:paraId="76DBCBD5">
                  <w:pPr>
                    <w:pStyle w:val="28"/>
                    <w:jc w:val="center"/>
                    <w:rPr>
                      <w:rFonts w:hint="default"/>
                      <w:vertAlign w:val="baseline"/>
                      <w:lang w:val="en-US" w:eastAsia="zh-CN"/>
                    </w:rPr>
                  </w:pPr>
                  <w:r>
                    <w:rPr>
                      <w:rFonts w:hint="eastAsia"/>
                      <w:vertAlign w:val="baseline"/>
                      <w:lang w:val="en-US" w:eastAsia="zh-CN"/>
                    </w:rPr>
                    <w:t>本项目</w:t>
                  </w:r>
                </w:p>
              </w:tc>
              <w:tc>
                <w:tcPr>
                  <w:tcW w:w="862" w:type="dxa"/>
                  <w:tcBorders>
                    <w:tl2br w:val="nil"/>
                    <w:tr2bl w:val="nil"/>
                  </w:tcBorders>
                  <w:vAlign w:val="center"/>
                </w:tcPr>
                <w:p w14:paraId="080895D8">
                  <w:pPr>
                    <w:pStyle w:val="28"/>
                    <w:jc w:val="center"/>
                    <w:rPr>
                      <w:rFonts w:hint="default"/>
                      <w:vertAlign w:val="baseline"/>
                      <w:lang w:val="en-US" w:eastAsia="zh-CN"/>
                    </w:rPr>
                  </w:pPr>
                  <w:r>
                    <w:rPr>
                      <w:rFonts w:hint="eastAsia"/>
                      <w:vertAlign w:val="baseline"/>
                      <w:lang w:val="en-US" w:eastAsia="zh-CN"/>
                    </w:rPr>
                    <w:t>符合性</w:t>
                  </w:r>
                </w:p>
              </w:tc>
            </w:tr>
            <w:tr w14:paraId="34A6D7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0" w:type="dxa"/>
                  <w:vMerge w:val="restart"/>
                  <w:tcBorders>
                    <w:tl2br w:val="nil"/>
                    <w:tr2bl w:val="nil"/>
                  </w:tcBorders>
                  <w:vAlign w:val="center"/>
                </w:tcPr>
                <w:p w14:paraId="082A63F1">
                  <w:pPr>
                    <w:pStyle w:val="28"/>
                    <w:bidi w:val="0"/>
                    <w:jc w:val="center"/>
                    <w:rPr>
                      <w:rFonts w:hint="default"/>
                      <w:lang w:val="en-US" w:eastAsia="zh-CN"/>
                    </w:rPr>
                  </w:pPr>
                  <w:r>
                    <w:rPr>
                      <w:rFonts w:hint="default"/>
                      <w:lang w:val="en-US" w:eastAsia="zh-CN"/>
                    </w:rPr>
                    <w:t>生态环境保护</w:t>
                  </w:r>
                </w:p>
              </w:tc>
              <w:tc>
                <w:tcPr>
                  <w:tcW w:w="3369" w:type="dxa"/>
                  <w:tcBorders>
                    <w:tl2br w:val="nil"/>
                    <w:tr2bl w:val="nil"/>
                  </w:tcBorders>
                  <w:vAlign w:val="center"/>
                </w:tcPr>
                <w:p w14:paraId="3F8FACF9">
                  <w:pPr>
                    <w:pStyle w:val="28"/>
                    <w:bidi w:val="0"/>
                    <w:jc w:val="center"/>
                    <w:rPr>
                      <w:rFonts w:hint="default"/>
                      <w:lang w:val="en-US" w:eastAsia="zh-CN"/>
                    </w:rPr>
                  </w:pPr>
                  <w:r>
                    <w:rPr>
                      <w:rFonts w:hint="default"/>
                      <w:lang w:val="en-US" w:eastAsia="zh-CN"/>
                    </w:rPr>
                    <w:t>（十六）机制砂项目的建设应当依法办理环评审批手续，项目实施应当采取严格的环境保护措施，制定相关环境保护管理体系文件和环境突发事件应急预案等。</w:t>
                  </w:r>
                </w:p>
              </w:tc>
              <w:tc>
                <w:tcPr>
                  <w:tcW w:w="2890" w:type="dxa"/>
                  <w:tcBorders>
                    <w:tl2br w:val="nil"/>
                    <w:tr2bl w:val="nil"/>
                  </w:tcBorders>
                  <w:vAlign w:val="center"/>
                </w:tcPr>
                <w:p w14:paraId="29DFE5A7">
                  <w:pPr>
                    <w:pStyle w:val="28"/>
                    <w:bidi w:val="0"/>
                    <w:jc w:val="center"/>
                    <w:rPr>
                      <w:rFonts w:hint="default"/>
                      <w:lang w:val="en-US" w:eastAsia="zh-CN"/>
                    </w:rPr>
                  </w:pPr>
                  <w:r>
                    <w:rPr>
                      <w:rFonts w:hint="eastAsia"/>
                      <w:lang w:val="en-US" w:eastAsia="zh-CN"/>
                    </w:rPr>
                    <w:t>本项目为新建项目，正依照相关规定办理环评手续，同时对后续的生产过程拟制定相应的环境保护管理体系文件和环境突发事件应急预案</w:t>
                  </w:r>
                </w:p>
              </w:tc>
              <w:tc>
                <w:tcPr>
                  <w:tcW w:w="862" w:type="dxa"/>
                  <w:tcBorders>
                    <w:tl2br w:val="nil"/>
                    <w:tr2bl w:val="nil"/>
                  </w:tcBorders>
                  <w:vAlign w:val="center"/>
                </w:tcPr>
                <w:p w14:paraId="6413129B">
                  <w:pPr>
                    <w:pStyle w:val="28"/>
                    <w:bidi w:val="0"/>
                    <w:jc w:val="center"/>
                    <w:rPr>
                      <w:rFonts w:hint="default"/>
                      <w:lang w:val="en-US" w:eastAsia="zh-CN"/>
                    </w:rPr>
                  </w:pPr>
                  <w:r>
                    <w:rPr>
                      <w:rFonts w:hint="eastAsia"/>
                      <w:lang w:val="en-US" w:eastAsia="zh-CN"/>
                    </w:rPr>
                    <w:t>符合</w:t>
                  </w:r>
                </w:p>
              </w:tc>
            </w:tr>
            <w:tr w14:paraId="0DD3B7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0" w:type="dxa"/>
                  <w:vMerge w:val="continue"/>
                  <w:tcBorders>
                    <w:tl2br w:val="nil"/>
                    <w:tr2bl w:val="nil"/>
                  </w:tcBorders>
                  <w:vAlign w:val="center"/>
                </w:tcPr>
                <w:p w14:paraId="7DF05A7B">
                  <w:pPr>
                    <w:pStyle w:val="28"/>
                    <w:bidi w:val="0"/>
                    <w:jc w:val="center"/>
                    <w:rPr>
                      <w:rFonts w:hint="default"/>
                      <w:lang w:val="en-US" w:eastAsia="zh-CN"/>
                    </w:rPr>
                  </w:pPr>
                </w:p>
              </w:tc>
              <w:tc>
                <w:tcPr>
                  <w:tcW w:w="3369" w:type="dxa"/>
                  <w:tcBorders>
                    <w:tl2br w:val="nil"/>
                    <w:tr2bl w:val="nil"/>
                  </w:tcBorders>
                  <w:vAlign w:val="center"/>
                </w:tcPr>
                <w:p w14:paraId="40F5D336">
                  <w:pPr>
                    <w:pStyle w:val="28"/>
                    <w:bidi w:val="0"/>
                    <w:jc w:val="center"/>
                    <w:rPr>
                      <w:rFonts w:hint="default"/>
                      <w:lang w:val="en-US" w:eastAsia="zh-CN"/>
                    </w:rPr>
                  </w:pPr>
                  <w:r>
                    <w:rPr>
                      <w:rFonts w:hint="default"/>
                      <w:lang w:val="en-US" w:eastAsia="zh-CN"/>
                    </w:rPr>
                    <w:t>（十七）机制砂企业湿法生产线应配置水处理循环系统，循环用水。生产厂区污水排放符合《污水综合排放标准》（GB8978）要求。</w:t>
                  </w:r>
                </w:p>
              </w:tc>
              <w:tc>
                <w:tcPr>
                  <w:tcW w:w="2890" w:type="dxa"/>
                  <w:tcBorders>
                    <w:tl2br w:val="nil"/>
                    <w:tr2bl w:val="nil"/>
                  </w:tcBorders>
                  <w:vAlign w:val="center"/>
                </w:tcPr>
                <w:p w14:paraId="6B0872F3">
                  <w:pPr>
                    <w:pStyle w:val="28"/>
                    <w:bidi w:val="0"/>
                    <w:jc w:val="center"/>
                    <w:rPr>
                      <w:rFonts w:hint="default"/>
                      <w:lang w:val="en-US" w:eastAsia="zh-CN"/>
                    </w:rPr>
                  </w:pPr>
                  <w:r>
                    <w:rPr>
                      <w:rFonts w:hint="eastAsia"/>
                      <w:lang w:val="en-US" w:eastAsia="zh-CN"/>
                    </w:rPr>
                    <w:t>本项目采用湿法制砂，已规划配套生产废水循环系统，不进行外排。企业生产过程中不产生生产废水。</w:t>
                  </w:r>
                </w:p>
              </w:tc>
              <w:tc>
                <w:tcPr>
                  <w:tcW w:w="862" w:type="dxa"/>
                  <w:tcBorders>
                    <w:tl2br w:val="nil"/>
                    <w:tr2bl w:val="nil"/>
                  </w:tcBorders>
                  <w:vAlign w:val="center"/>
                </w:tcPr>
                <w:p w14:paraId="556E1802">
                  <w:pPr>
                    <w:pStyle w:val="28"/>
                    <w:bidi w:val="0"/>
                    <w:jc w:val="center"/>
                    <w:rPr>
                      <w:rFonts w:hint="default"/>
                      <w:lang w:val="en-US" w:eastAsia="zh-CN"/>
                    </w:rPr>
                  </w:pPr>
                  <w:r>
                    <w:rPr>
                      <w:rFonts w:hint="eastAsia"/>
                      <w:lang w:val="en-US" w:eastAsia="zh-CN"/>
                    </w:rPr>
                    <w:t>符合</w:t>
                  </w:r>
                </w:p>
              </w:tc>
            </w:tr>
            <w:tr w14:paraId="72AB3A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0" w:type="dxa"/>
                  <w:vMerge w:val="continue"/>
                  <w:tcBorders>
                    <w:tl2br w:val="nil"/>
                    <w:tr2bl w:val="nil"/>
                  </w:tcBorders>
                  <w:vAlign w:val="center"/>
                </w:tcPr>
                <w:p w14:paraId="1609E51F">
                  <w:pPr>
                    <w:pStyle w:val="28"/>
                    <w:bidi w:val="0"/>
                    <w:jc w:val="center"/>
                    <w:rPr>
                      <w:rFonts w:hint="default"/>
                      <w:lang w:val="en-US" w:eastAsia="zh-CN"/>
                    </w:rPr>
                  </w:pPr>
                </w:p>
              </w:tc>
              <w:tc>
                <w:tcPr>
                  <w:tcW w:w="3369" w:type="dxa"/>
                  <w:tcBorders>
                    <w:tl2br w:val="nil"/>
                    <w:tr2bl w:val="nil"/>
                  </w:tcBorders>
                  <w:vAlign w:val="center"/>
                </w:tcPr>
                <w:p w14:paraId="47CB6A20">
                  <w:pPr>
                    <w:pStyle w:val="28"/>
                    <w:bidi w:val="0"/>
                    <w:jc w:val="center"/>
                    <w:rPr>
                      <w:rFonts w:hint="default"/>
                      <w:lang w:val="en-US" w:eastAsia="zh-CN"/>
                    </w:rPr>
                  </w:pPr>
                  <w:r>
                    <w:rPr>
                      <w:rFonts w:hint="default"/>
                      <w:lang w:val="en-US" w:eastAsia="zh-CN"/>
                    </w:rPr>
                    <w:t>（十八）机制砂企业生产线应配有收尘系统，粉尘污染防治应符合下列规定：</w:t>
                  </w:r>
                </w:p>
                <w:p w14:paraId="25D0B0E9">
                  <w:pPr>
                    <w:pStyle w:val="28"/>
                    <w:bidi w:val="0"/>
                    <w:jc w:val="center"/>
                    <w:rPr>
                      <w:rFonts w:hint="default"/>
                      <w:lang w:val="en-US" w:eastAsia="zh-CN"/>
                    </w:rPr>
                  </w:pPr>
                  <w:r>
                    <w:rPr>
                      <w:rFonts w:hint="default"/>
                      <w:lang w:val="en-US" w:eastAsia="zh-CN"/>
                    </w:rPr>
                    <w:t>1.机制砂工厂应对破碎、筛分及输送等生产环节采取封闭措施；破碎和筛分等工序、原料堆场、成品库（仓）等区域实现厂房全封闭，不得露天作业。</w:t>
                  </w:r>
                </w:p>
                <w:p w14:paraId="744FB819">
                  <w:pPr>
                    <w:pStyle w:val="28"/>
                    <w:bidi w:val="0"/>
                    <w:jc w:val="center"/>
                    <w:rPr>
                      <w:rFonts w:hint="default"/>
                      <w:lang w:val="en-US" w:eastAsia="zh-CN"/>
                    </w:rPr>
                  </w:pPr>
                  <w:r>
                    <w:rPr>
                      <w:rFonts w:hint="default"/>
                      <w:lang w:val="en-US" w:eastAsia="zh-CN"/>
                    </w:rPr>
                    <w:t>2.机制砂工厂原料、产品应当封闭堆放或采取有效覆盖措施，应对破碎、筛分及输送转运站等扬尘点设置除尘、抑尘、收尘装置，粉尘排放浓度应符合《大气污染物综合排放标准》（GB16297）的有关规定，并满足厂区所在地区的环保要求。3.对无组织排放的扬尘场所，应采取喷雾、洒水、封闭等防尘措施。</w:t>
                  </w:r>
                </w:p>
              </w:tc>
              <w:tc>
                <w:tcPr>
                  <w:tcW w:w="2890" w:type="dxa"/>
                  <w:tcBorders>
                    <w:tl2br w:val="nil"/>
                    <w:tr2bl w:val="nil"/>
                  </w:tcBorders>
                  <w:vAlign w:val="center"/>
                </w:tcPr>
                <w:p w14:paraId="04944F9C">
                  <w:pPr>
                    <w:pStyle w:val="28"/>
                    <w:bidi w:val="0"/>
                    <w:jc w:val="center"/>
                    <w:rPr>
                      <w:rFonts w:hint="eastAsia"/>
                      <w:lang w:val="en-US" w:eastAsia="zh-CN"/>
                    </w:rPr>
                  </w:pPr>
                  <w:r>
                    <w:rPr>
                      <w:rFonts w:hint="eastAsia"/>
                      <w:lang w:val="en-US" w:eastAsia="zh-CN"/>
                    </w:rPr>
                    <w:t>1.本项目机制砂产线对应破碎、筛分采用封闭式机械，输送环节采用传送带上方加装垂帘密闭，同时与机制砂相关的全部产线均放置于密闭厂房内，内部采用喷淋降尘，防止粉尘外逸。</w:t>
                  </w:r>
                </w:p>
                <w:p w14:paraId="6D6AA4ED">
                  <w:pPr>
                    <w:pStyle w:val="28"/>
                    <w:bidi w:val="0"/>
                    <w:jc w:val="center"/>
                    <w:rPr>
                      <w:rFonts w:hint="eastAsia"/>
                      <w:lang w:val="en-US" w:eastAsia="zh-CN"/>
                    </w:rPr>
                  </w:pPr>
                  <w:r>
                    <w:rPr>
                      <w:rFonts w:hint="eastAsia"/>
                      <w:lang w:val="en-US" w:eastAsia="zh-CN"/>
                    </w:rPr>
                    <w:t>2.本项目机制砂产线原料与产品均堆置于密闭式厂房内，并设置喷淋装置进行抑尘，经计算，粉尘排放浓度可以符合有关要求。</w:t>
                  </w:r>
                </w:p>
                <w:p w14:paraId="7548C896">
                  <w:pPr>
                    <w:pStyle w:val="28"/>
                    <w:bidi w:val="0"/>
                    <w:jc w:val="center"/>
                    <w:rPr>
                      <w:rFonts w:hint="default"/>
                      <w:lang w:val="en-US" w:eastAsia="zh-CN"/>
                    </w:rPr>
                  </w:pPr>
                  <w:r>
                    <w:rPr>
                      <w:rFonts w:hint="eastAsia"/>
                      <w:lang w:val="en-US" w:eastAsia="zh-CN"/>
                    </w:rPr>
                    <w:t>3.本项目拟</w:t>
                  </w:r>
                  <w:r>
                    <w:rPr>
                      <w:rFonts w:hint="default"/>
                      <w:lang w:val="en-US" w:eastAsia="zh-CN"/>
                    </w:rPr>
                    <w:t>对无组织排放的扬尘场所，采取喷雾、洒水、封闭等防尘措施。</w:t>
                  </w:r>
                </w:p>
              </w:tc>
              <w:tc>
                <w:tcPr>
                  <w:tcW w:w="862" w:type="dxa"/>
                  <w:tcBorders>
                    <w:tl2br w:val="nil"/>
                    <w:tr2bl w:val="nil"/>
                  </w:tcBorders>
                  <w:vAlign w:val="center"/>
                </w:tcPr>
                <w:p w14:paraId="4D261D4C">
                  <w:pPr>
                    <w:pStyle w:val="28"/>
                    <w:bidi w:val="0"/>
                    <w:jc w:val="center"/>
                    <w:rPr>
                      <w:rFonts w:hint="default"/>
                      <w:lang w:val="en-US" w:eastAsia="zh-CN"/>
                    </w:rPr>
                  </w:pPr>
                  <w:r>
                    <w:rPr>
                      <w:rFonts w:hint="eastAsia"/>
                      <w:lang w:val="en-US" w:eastAsia="zh-CN"/>
                    </w:rPr>
                    <w:t>符合</w:t>
                  </w:r>
                </w:p>
              </w:tc>
            </w:tr>
            <w:tr w14:paraId="185FB5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0" w:type="dxa"/>
                  <w:vMerge w:val="continue"/>
                  <w:tcBorders>
                    <w:tl2br w:val="nil"/>
                    <w:tr2bl w:val="nil"/>
                  </w:tcBorders>
                  <w:vAlign w:val="center"/>
                </w:tcPr>
                <w:p w14:paraId="20B99787">
                  <w:pPr>
                    <w:pStyle w:val="28"/>
                    <w:bidi w:val="0"/>
                    <w:jc w:val="center"/>
                    <w:rPr>
                      <w:rFonts w:hint="default"/>
                      <w:lang w:val="en-US" w:eastAsia="zh-CN"/>
                    </w:rPr>
                  </w:pPr>
                </w:p>
              </w:tc>
              <w:tc>
                <w:tcPr>
                  <w:tcW w:w="3369" w:type="dxa"/>
                  <w:tcBorders>
                    <w:tl2br w:val="nil"/>
                    <w:tr2bl w:val="nil"/>
                  </w:tcBorders>
                  <w:vAlign w:val="center"/>
                </w:tcPr>
                <w:p w14:paraId="1942A331">
                  <w:pPr>
                    <w:pStyle w:val="28"/>
                    <w:bidi w:val="0"/>
                    <w:jc w:val="center"/>
                    <w:rPr>
                      <w:rFonts w:hint="default"/>
                      <w:lang w:val="en-US" w:eastAsia="zh-CN"/>
                    </w:rPr>
                  </w:pPr>
                  <w:r>
                    <w:rPr>
                      <w:rFonts w:hint="default"/>
                      <w:lang w:val="en-US" w:eastAsia="zh-CN"/>
                    </w:rPr>
                    <w:t>（十九）机制砂生产线须配置隔声、消声、减振、隔振等降噪措施，工厂噪音应符合《工业企业厂界环境噪声排放标准》（GB12348）。</w:t>
                  </w:r>
                </w:p>
              </w:tc>
              <w:tc>
                <w:tcPr>
                  <w:tcW w:w="2890" w:type="dxa"/>
                  <w:tcBorders>
                    <w:tl2br w:val="nil"/>
                    <w:tr2bl w:val="nil"/>
                  </w:tcBorders>
                  <w:vAlign w:val="center"/>
                </w:tcPr>
                <w:p w14:paraId="517365F8">
                  <w:pPr>
                    <w:pStyle w:val="28"/>
                    <w:bidi w:val="0"/>
                    <w:jc w:val="center"/>
                    <w:rPr>
                      <w:rFonts w:hint="default"/>
                      <w:lang w:val="en-US" w:eastAsia="zh-CN"/>
                    </w:rPr>
                  </w:pPr>
                  <w:r>
                    <w:rPr>
                      <w:rFonts w:hint="eastAsia"/>
                      <w:lang w:val="en-US" w:eastAsia="zh-CN"/>
                    </w:rPr>
                    <w:t>本项目机制砂产线的设备均配置有减震降噪的措施，密闭厂房也可减少噪声的向外传播。经计算，厂界噪声可符合</w:t>
                  </w:r>
                  <w:r>
                    <w:rPr>
                      <w:rFonts w:hint="default"/>
                      <w:lang w:val="en-US" w:eastAsia="zh-CN"/>
                    </w:rPr>
                    <w:t>《工业企业厂界环境噪声排放标准》（GB12348）</w:t>
                  </w:r>
                  <w:r>
                    <w:rPr>
                      <w:rFonts w:hint="eastAsia"/>
                      <w:lang w:val="en-US" w:eastAsia="zh-CN"/>
                    </w:rPr>
                    <w:t>相关规定</w:t>
                  </w:r>
                </w:p>
              </w:tc>
              <w:tc>
                <w:tcPr>
                  <w:tcW w:w="862" w:type="dxa"/>
                  <w:tcBorders>
                    <w:tl2br w:val="nil"/>
                    <w:tr2bl w:val="nil"/>
                  </w:tcBorders>
                  <w:vAlign w:val="center"/>
                </w:tcPr>
                <w:p w14:paraId="6A83A949">
                  <w:pPr>
                    <w:pStyle w:val="28"/>
                    <w:bidi w:val="0"/>
                    <w:jc w:val="center"/>
                    <w:rPr>
                      <w:rFonts w:hint="default"/>
                      <w:lang w:val="en-US" w:eastAsia="zh-CN"/>
                    </w:rPr>
                  </w:pPr>
                  <w:r>
                    <w:rPr>
                      <w:rFonts w:hint="eastAsia"/>
                      <w:lang w:val="en-US" w:eastAsia="zh-CN"/>
                    </w:rPr>
                    <w:t>符合</w:t>
                  </w:r>
                </w:p>
              </w:tc>
            </w:tr>
            <w:tr w14:paraId="0AE229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0" w:type="dxa"/>
                  <w:vMerge w:val="continue"/>
                  <w:tcBorders>
                    <w:tl2br w:val="nil"/>
                    <w:tr2bl w:val="nil"/>
                  </w:tcBorders>
                  <w:vAlign w:val="center"/>
                </w:tcPr>
                <w:p w14:paraId="04697638">
                  <w:pPr>
                    <w:pStyle w:val="28"/>
                    <w:bidi w:val="0"/>
                    <w:jc w:val="center"/>
                    <w:rPr>
                      <w:rFonts w:hint="default"/>
                      <w:lang w:val="en-US" w:eastAsia="zh-CN"/>
                    </w:rPr>
                  </w:pPr>
                </w:p>
              </w:tc>
              <w:tc>
                <w:tcPr>
                  <w:tcW w:w="3369" w:type="dxa"/>
                  <w:tcBorders>
                    <w:tl2br w:val="nil"/>
                    <w:tr2bl w:val="nil"/>
                  </w:tcBorders>
                  <w:vAlign w:val="center"/>
                </w:tcPr>
                <w:p w14:paraId="6A4EFE3E">
                  <w:pPr>
                    <w:pStyle w:val="28"/>
                    <w:bidi w:val="0"/>
                    <w:jc w:val="center"/>
                    <w:rPr>
                      <w:rFonts w:hint="default"/>
                      <w:lang w:val="en-US" w:eastAsia="zh-CN"/>
                    </w:rPr>
                  </w:pPr>
                  <w:r>
                    <w:rPr>
                      <w:rFonts w:hint="default"/>
                      <w:lang w:val="en-US" w:eastAsia="zh-CN"/>
                    </w:rPr>
                    <w:t>（二十）机制砂生产产生的未综合利用的固废应按有关规范集中处置；产生的废油、废油桶等危险废物必须交由具备相应资质的单位进行处理。</w:t>
                  </w:r>
                </w:p>
              </w:tc>
              <w:tc>
                <w:tcPr>
                  <w:tcW w:w="2890" w:type="dxa"/>
                  <w:tcBorders>
                    <w:tl2br w:val="nil"/>
                    <w:tr2bl w:val="nil"/>
                  </w:tcBorders>
                  <w:vAlign w:val="center"/>
                </w:tcPr>
                <w:p w14:paraId="155A4571">
                  <w:pPr>
                    <w:pStyle w:val="28"/>
                    <w:bidi w:val="0"/>
                    <w:jc w:val="center"/>
                    <w:rPr>
                      <w:rFonts w:hint="default"/>
                      <w:lang w:val="en-US" w:eastAsia="zh-CN"/>
                    </w:rPr>
                  </w:pPr>
                  <w:r>
                    <w:rPr>
                      <w:rFonts w:hint="eastAsia"/>
                      <w:lang w:val="en-US" w:eastAsia="zh-CN"/>
                    </w:rPr>
                    <w:t>本项目拟对未综合利用的固体废物进行临时存放，后续委托具有专门资质的企业进行处理</w:t>
                  </w:r>
                </w:p>
              </w:tc>
              <w:tc>
                <w:tcPr>
                  <w:tcW w:w="862" w:type="dxa"/>
                  <w:tcBorders>
                    <w:tl2br w:val="nil"/>
                    <w:tr2bl w:val="nil"/>
                  </w:tcBorders>
                  <w:vAlign w:val="center"/>
                </w:tcPr>
                <w:p w14:paraId="1E1621B1">
                  <w:pPr>
                    <w:pStyle w:val="28"/>
                    <w:bidi w:val="0"/>
                    <w:jc w:val="center"/>
                    <w:rPr>
                      <w:rFonts w:hint="default"/>
                      <w:lang w:val="en-US" w:eastAsia="zh-CN"/>
                    </w:rPr>
                  </w:pPr>
                  <w:r>
                    <w:rPr>
                      <w:rFonts w:hint="eastAsia"/>
                      <w:lang w:val="en-US" w:eastAsia="zh-CN"/>
                    </w:rPr>
                    <w:t>符合</w:t>
                  </w:r>
                </w:p>
              </w:tc>
            </w:tr>
            <w:tr w14:paraId="4CBF45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0" w:type="dxa"/>
                  <w:vMerge w:val="continue"/>
                  <w:tcBorders>
                    <w:tl2br w:val="nil"/>
                    <w:tr2bl w:val="nil"/>
                  </w:tcBorders>
                  <w:vAlign w:val="center"/>
                </w:tcPr>
                <w:p w14:paraId="196A46AB">
                  <w:pPr>
                    <w:pStyle w:val="28"/>
                    <w:bidi w:val="0"/>
                    <w:jc w:val="center"/>
                    <w:rPr>
                      <w:rFonts w:hint="default"/>
                      <w:lang w:val="en-US" w:eastAsia="zh-CN"/>
                    </w:rPr>
                  </w:pPr>
                </w:p>
              </w:tc>
              <w:tc>
                <w:tcPr>
                  <w:tcW w:w="3369" w:type="dxa"/>
                  <w:tcBorders>
                    <w:tl2br w:val="nil"/>
                    <w:tr2bl w:val="nil"/>
                  </w:tcBorders>
                  <w:vAlign w:val="center"/>
                </w:tcPr>
                <w:p w14:paraId="69295CB2">
                  <w:pPr>
                    <w:pStyle w:val="28"/>
                    <w:bidi w:val="0"/>
                    <w:jc w:val="center"/>
                    <w:rPr>
                      <w:rFonts w:hint="default"/>
                      <w:lang w:val="en-US" w:eastAsia="zh-CN"/>
                    </w:rPr>
                  </w:pPr>
                  <w:r>
                    <w:rPr>
                      <w:rFonts w:hint="default"/>
                      <w:lang w:val="en-US" w:eastAsia="zh-CN"/>
                    </w:rPr>
                    <w:t>（二十一）机制砂企业两年内未发生重大或者特别重大环境污染事件和生态破坏事件。</w:t>
                  </w:r>
                </w:p>
              </w:tc>
              <w:tc>
                <w:tcPr>
                  <w:tcW w:w="2890" w:type="dxa"/>
                  <w:tcBorders>
                    <w:tl2br w:val="nil"/>
                    <w:tr2bl w:val="nil"/>
                  </w:tcBorders>
                  <w:vAlign w:val="center"/>
                </w:tcPr>
                <w:p w14:paraId="646EF1A1">
                  <w:pPr>
                    <w:pStyle w:val="28"/>
                    <w:bidi w:val="0"/>
                    <w:jc w:val="center"/>
                    <w:rPr>
                      <w:rFonts w:hint="default"/>
                      <w:lang w:val="en-US" w:eastAsia="zh-CN"/>
                    </w:rPr>
                  </w:pPr>
                  <w:r>
                    <w:rPr>
                      <w:rFonts w:hint="eastAsia"/>
                      <w:lang w:val="en-US" w:eastAsia="zh-CN"/>
                    </w:rPr>
                    <w:t>本项目改扩建前未有</w:t>
                  </w:r>
                  <w:r>
                    <w:rPr>
                      <w:rFonts w:hint="default"/>
                      <w:lang w:val="en-US" w:eastAsia="zh-CN"/>
                    </w:rPr>
                    <w:t>重大或者特别重大环境污染事件和生态破坏事件</w:t>
                  </w:r>
                  <w:r>
                    <w:rPr>
                      <w:rFonts w:hint="eastAsia"/>
                      <w:lang w:val="en-US" w:eastAsia="zh-CN"/>
                    </w:rPr>
                    <w:t>发生</w:t>
                  </w:r>
                </w:p>
              </w:tc>
              <w:tc>
                <w:tcPr>
                  <w:tcW w:w="862" w:type="dxa"/>
                  <w:tcBorders>
                    <w:tl2br w:val="nil"/>
                    <w:tr2bl w:val="nil"/>
                  </w:tcBorders>
                  <w:vAlign w:val="center"/>
                </w:tcPr>
                <w:p w14:paraId="7A4ACD7A">
                  <w:pPr>
                    <w:pStyle w:val="28"/>
                    <w:bidi w:val="0"/>
                    <w:jc w:val="center"/>
                    <w:rPr>
                      <w:rFonts w:hint="default"/>
                      <w:lang w:val="en-US" w:eastAsia="zh-CN"/>
                    </w:rPr>
                  </w:pPr>
                  <w:r>
                    <w:rPr>
                      <w:rFonts w:hint="eastAsia"/>
                      <w:lang w:val="en-US" w:eastAsia="zh-CN"/>
                    </w:rPr>
                    <w:t>符合</w:t>
                  </w:r>
                </w:p>
              </w:tc>
            </w:tr>
          </w:tbl>
          <w:p w14:paraId="4022438F">
            <w:pPr>
              <w:pStyle w:val="28"/>
              <w:rPr>
                <w:rFonts w:hint="default"/>
                <w:lang w:val="en-US" w:eastAsia="zh-CN"/>
              </w:rPr>
            </w:pPr>
          </w:p>
          <w:p w14:paraId="02C68102">
            <w:pPr>
              <w:bidi w:val="0"/>
              <w:rPr>
                <w:rFonts w:hint="default"/>
                <w:b/>
                <w:bCs/>
                <w:color w:val="auto"/>
                <w:lang w:val="en-US" w:eastAsia="zh-CN"/>
              </w:rPr>
            </w:pPr>
            <w:r>
              <w:rPr>
                <w:rFonts w:hint="eastAsia"/>
                <w:b/>
                <w:bCs/>
                <w:color w:val="auto"/>
                <w:lang w:val="en-US" w:eastAsia="zh-CN"/>
              </w:rPr>
              <w:t>8、与《环境空气细颗粒物污染综合防治技术政策》（生态环境部公告2013年第59号）符合性分析</w:t>
            </w:r>
          </w:p>
          <w:p w14:paraId="5E1FAE3C">
            <w:pPr>
              <w:pStyle w:val="33"/>
              <w:bidi w:val="0"/>
              <w:rPr>
                <w:rFonts w:hint="default"/>
                <w:color w:val="auto"/>
                <w:lang w:val="en-US"/>
              </w:rPr>
            </w:pPr>
            <w:r>
              <w:rPr>
                <w:rFonts w:hint="eastAsia"/>
                <w:color w:val="auto"/>
              </w:rPr>
              <w:t>表</w:t>
            </w:r>
            <w:r>
              <w:rPr>
                <w:rFonts w:hint="eastAsia"/>
                <w:color w:val="auto"/>
                <w:lang w:val="en-US" w:eastAsia="zh-CN"/>
              </w:rPr>
              <w:t>1-7 与《环境空气细颗粒物污染综合防治技术政策》符合性分析表</w:t>
            </w:r>
          </w:p>
          <w:tbl>
            <w:tblPr>
              <w:tblStyle w:val="20"/>
              <w:tblW w:w="4995"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25"/>
              <w:gridCol w:w="2860"/>
              <w:gridCol w:w="948"/>
            </w:tblGrid>
            <w:tr w14:paraId="2F25B7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29" w:type="pct"/>
                  <w:tcBorders>
                    <w:tl2br w:val="nil"/>
                    <w:tr2bl w:val="nil"/>
                  </w:tcBorders>
                  <w:noWrap w:val="0"/>
                  <w:vAlign w:val="center"/>
                </w:tcPr>
                <w:p w14:paraId="6E5602C9">
                  <w:pPr>
                    <w:pStyle w:val="28"/>
                    <w:bidi w:val="0"/>
                    <w:rPr>
                      <w:rFonts w:hint="default"/>
                      <w:b/>
                      <w:bCs/>
                      <w:color w:val="auto"/>
                      <w:lang w:val="en-US" w:eastAsia="zh-CN"/>
                    </w:rPr>
                  </w:pPr>
                  <w:r>
                    <w:rPr>
                      <w:rFonts w:hint="default"/>
                      <w:b/>
                      <w:bCs/>
                      <w:color w:val="auto"/>
                      <w:lang w:val="en-US" w:eastAsia="zh-CN"/>
                    </w:rPr>
                    <w:t>“</w:t>
                  </w:r>
                  <w:r>
                    <w:rPr>
                      <w:rFonts w:hint="eastAsia"/>
                      <w:b/>
                      <w:bCs/>
                      <w:color w:val="auto"/>
                      <w:lang w:val="en-US" w:eastAsia="zh-CN"/>
                    </w:rPr>
                    <w:t>防治技术政策</w:t>
                  </w:r>
                  <w:r>
                    <w:rPr>
                      <w:rFonts w:hint="default"/>
                      <w:b/>
                      <w:bCs/>
                      <w:color w:val="auto"/>
                      <w:lang w:val="en-US" w:eastAsia="zh-CN"/>
                    </w:rPr>
                    <w:t>”要求</w:t>
                  </w:r>
                </w:p>
              </w:tc>
              <w:tc>
                <w:tcPr>
                  <w:tcW w:w="1780" w:type="pct"/>
                  <w:tcBorders>
                    <w:tl2br w:val="nil"/>
                    <w:tr2bl w:val="nil"/>
                  </w:tcBorders>
                  <w:noWrap w:val="0"/>
                  <w:vAlign w:val="center"/>
                </w:tcPr>
                <w:p w14:paraId="322D95EA">
                  <w:pPr>
                    <w:pStyle w:val="28"/>
                    <w:bidi w:val="0"/>
                    <w:rPr>
                      <w:rFonts w:hint="default"/>
                      <w:b/>
                      <w:bCs/>
                      <w:color w:val="auto"/>
                      <w:lang w:val="en-US" w:eastAsia="zh-CN"/>
                    </w:rPr>
                  </w:pPr>
                  <w:r>
                    <w:rPr>
                      <w:rFonts w:hint="default"/>
                      <w:b/>
                      <w:bCs/>
                      <w:color w:val="auto"/>
                      <w:lang w:val="en-US" w:eastAsia="zh-CN"/>
                    </w:rPr>
                    <w:t>本项目</w:t>
                  </w:r>
                </w:p>
              </w:tc>
              <w:tc>
                <w:tcPr>
                  <w:tcW w:w="590" w:type="pct"/>
                  <w:tcBorders>
                    <w:tl2br w:val="nil"/>
                    <w:tr2bl w:val="nil"/>
                  </w:tcBorders>
                  <w:noWrap w:val="0"/>
                  <w:vAlign w:val="center"/>
                </w:tcPr>
                <w:p w14:paraId="5F08C67E">
                  <w:pPr>
                    <w:pStyle w:val="28"/>
                    <w:bidi w:val="0"/>
                    <w:rPr>
                      <w:rFonts w:hint="default"/>
                      <w:b/>
                      <w:bCs/>
                      <w:color w:val="auto"/>
                      <w:lang w:val="en-US" w:eastAsia="zh-CN"/>
                    </w:rPr>
                  </w:pPr>
                  <w:r>
                    <w:rPr>
                      <w:rFonts w:hint="default"/>
                      <w:b/>
                      <w:bCs/>
                      <w:color w:val="auto"/>
                      <w:lang w:val="en-US" w:eastAsia="zh-CN"/>
                    </w:rPr>
                    <w:t>符合性</w:t>
                  </w:r>
                </w:p>
              </w:tc>
            </w:tr>
            <w:tr w14:paraId="4051B6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8" w:hRule="atLeast"/>
              </w:trPr>
              <w:tc>
                <w:tcPr>
                  <w:tcW w:w="2629" w:type="pct"/>
                  <w:tcBorders>
                    <w:tl2br w:val="nil"/>
                    <w:tr2bl w:val="nil"/>
                  </w:tcBorders>
                  <w:noWrap w:val="0"/>
                  <w:vAlign w:val="center"/>
                </w:tcPr>
                <w:p w14:paraId="718C06B1">
                  <w:pPr>
                    <w:pStyle w:val="28"/>
                    <w:bidi w:val="0"/>
                    <w:rPr>
                      <w:rFonts w:hint="default" w:ascii="Times New Roman" w:hAnsi="Times New Roman" w:eastAsia="宋体" w:cs="Times New Roman"/>
                      <w:color w:val="auto"/>
                      <w:szCs w:val="21"/>
                      <w:lang w:val="en-US" w:eastAsia="zh-CN"/>
                    </w:rPr>
                  </w:pPr>
                  <w:r>
                    <w:rPr>
                      <w:rFonts w:hint="eastAsia"/>
                      <w:color w:val="auto"/>
                      <w:lang w:val="en-US" w:eastAsia="zh-CN"/>
                    </w:rPr>
                    <w:t>应加强对各类污染源的监管，确保污染治理设施稳定运行，切实落实企业环保责任。鼓励采用低能耗、低污染的生产工艺，提高各个行业的清洁生产水平，降低污染物产生量。</w:t>
                  </w:r>
                </w:p>
              </w:tc>
              <w:tc>
                <w:tcPr>
                  <w:tcW w:w="1780" w:type="pct"/>
                  <w:tcBorders>
                    <w:tl2br w:val="nil"/>
                    <w:tr2bl w:val="nil"/>
                  </w:tcBorders>
                  <w:noWrap w:val="0"/>
                  <w:vAlign w:val="center"/>
                </w:tcPr>
                <w:p w14:paraId="7B65A1BF">
                  <w:pPr>
                    <w:pStyle w:val="28"/>
                    <w:bidi w:val="0"/>
                    <w:rPr>
                      <w:rFonts w:hint="default"/>
                      <w:color w:val="auto"/>
                      <w:lang w:val="en-US" w:eastAsia="zh-CN"/>
                    </w:rPr>
                  </w:pPr>
                  <w:r>
                    <w:rPr>
                      <w:rFonts w:hint="eastAsia"/>
                      <w:color w:val="auto"/>
                      <w:lang w:val="en-US" w:eastAsia="zh-CN"/>
                    </w:rPr>
                    <w:t>项目将严格要求，采用低能耗低污染生产工艺，对环保设施进行维护管理，确保污染治理设施稳定运行。</w:t>
                  </w:r>
                </w:p>
              </w:tc>
              <w:tc>
                <w:tcPr>
                  <w:tcW w:w="590" w:type="pct"/>
                  <w:tcBorders>
                    <w:tl2br w:val="nil"/>
                    <w:tr2bl w:val="nil"/>
                  </w:tcBorders>
                  <w:noWrap w:val="0"/>
                  <w:vAlign w:val="center"/>
                </w:tcPr>
                <w:p w14:paraId="4DB7AD95">
                  <w:pPr>
                    <w:pStyle w:val="28"/>
                    <w:bidi w:val="0"/>
                    <w:rPr>
                      <w:rFonts w:hint="default"/>
                      <w:color w:val="auto"/>
                      <w:lang w:val="en-US" w:eastAsia="zh-CN"/>
                    </w:rPr>
                  </w:pPr>
                  <w:r>
                    <w:rPr>
                      <w:rFonts w:hint="default"/>
                      <w:color w:val="auto"/>
                      <w:lang w:val="en-US" w:eastAsia="zh-CN"/>
                    </w:rPr>
                    <w:t>符合</w:t>
                  </w:r>
                </w:p>
              </w:tc>
            </w:tr>
            <w:tr w14:paraId="679A5C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3" w:hRule="atLeast"/>
              </w:trPr>
              <w:tc>
                <w:tcPr>
                  <w:tcW w:w="2629" w:type="pct"/>
                  <w:tcBorders>
                    <w:tl2br w:val="nil"/>
                    <w:tr2bl w:val="nil"/>
                  </w:tcBorders>
                  <w:noWrap w:val="0"/>
                  <w:vAlign w:val="center"/>
                </w:tcPr>
                <w:p w14:paraId="74190E30">
                  <w:pPr>
                    <w:pStyle w:val="28"/>
                    <w:bidi w:val="0"/>
                    <w:rPr>
                      <w:rFonts w:hint="default"/>
                      <w:color w:val="auto"/>
                      <w:lang w:val="en-US" w:eastAsia="zh-CN"/>
                    </w:rPr>
                  </w:pPr>
                  <w:r>
                    <w:rPr>
                      <w:rFonts w:hint="eastAsia"/>
                      <w:color w:val="auto"/>
                      <w:lang w:val="en-US" w:eastAsia="zh-CN"/>
                    </w:rPr>
                    <w:t>对于排放细颗粒物的工业污染源，应按照生产工艺、排放方式和烟（废）气组成的特点，选取适用的污染防治技术。工业污染源有组织排放的颗粒物，宜采取袋除尘、电除尘、电袋除尘等高效除尘技术，鼓励火电机组和大型燃煤锅炉采用湿式电除尘等新技术。</w:t>
                  </w:r>
                </w:p>
              </w:tc>
              <w:tc>
                <w:tcPr>
                  <w:tcW w:w="1780" w:type="pct"/>
                  <w:tcBorders>
                    <w:tl2br w:val="nil"/>
                    <w:tr2bl w:val="nil"/>
                  </w:tcBorders>
                  <w:noWrap w:val="0"/>
                  <w:vAlign w:val="center"/>
                </w:tcPr>
                <w:p w14:paraId="76FD40E1">
                  <w:pPr>
                    <w:pStyle w:val="28"/>
                    <w:bidi w:val="0"/>
                    <w:rPr>
                      <w:rFonts w:hint="default"/>
                      <w:color w:val="auto"/>
                      <w:lang w:val="en-US" w:eastAsia="zh-CN"/>
                    </w:rPr>
                  </w:pPr>
                  <w:r>
                    <w:rPr>
                      <w:rFonts w:hint="eastAsia"/>
                      <w:color w:val="auto"/>
                      <w:lang w:val="en-US" w:eastAsia="zh-CN"/>
                    </w:rPr>
                    <w:t>项目搅拌楼、物料库</w:t>
                  </w:r>
                  <w:r>
                    <w:rPr>
                      <w:rFonts w:hint="eastAsia"/>
                      <w:color w:val="auto"/>
                      <w:lang w:eastAsia="zh-CN"/>
                    </w:rPr>
                    <w:t>等设置喷淋抑尘，粉料</w:t>
                  </w:r>
                  <w:r>
                    <w:rPr>
                      <w:rFonts w:hint="eastAsia"/>
                      <w:color w:val="auto"/>
                      <w:lang w:val="en-US" w:eastAsia="zh-CN"/>
                    </w:rPr>
                    <w:t>仓呼吸尘采用设备自带袋式除尘器处理；项目不涉及火电机组和燃煤锅炉的使用。</w:t>
                  </w:r>
                </w:p>
              </w:tc>
              <w:tc>
                <w:tcPr>
                  <w:tcW w:w="590" w:type="pct"/>
                  <w:tcBorders>
                    <w:tl2br w:val="nil"/>
                    <w:tr2bl w:val="nil"/>
                  </w:tcBorders>
                  <w:noWrap w:val="0"/>
                  <w:vAlign w:val="center"/>
                </w:tcPr>
                <w:p w14:paraId="135ECF61">
                  <w:pPr>
                    <w:pStyle w:val="28"/>
                    <w:bidi w:val="0"/>
                    <w:rPr>
                      <w:rFonts w:hint="default"/>
                      <w:color w:val="auto"/>
                      <w:lang w:val="en-US" w:eastAsia="zh-CN"/>
                    </w:rPr>
                  </w:pPr>
                  <w:r>
                    <w:rPr>
                      <w:rFonts w:hint="default"/>
                      <w:color w:val="auto"/>
                      <w:lang w:val="en-US" w:eastAsia="zh-CN"/>
                    </w:rPr>
                    <w:t>符合</w:t>
                  </w:r>
                </w:p>
              </w:tc>
            </w:tr>
            <w:tr w14:paraId="4DA38D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29" w:type="pct"/>
                  <w:tcBorders>
                    <w:tl2br w:val="nil"/>
                    <w:tr2bl w:val="nil"/>
                  </w:tcBorders>
                  <w:noWrap w:val="0"/>
                  <w:vAlign w:val="center"/>
                </w:tcPr>
                <w:p w14:paraId="24163C9D">
                  <w:pPr>
                    <w:pStyle w:val="28"/>
                    <w:bidi w:val="0"/>
                    <w:rPr>
                      <w:rFonts w:hint="eastAsia"/>
                      <w:color w:val="auto"/>
                      <w:lang w:val="en-US" w:eastAsia="zh-CN"/>
                    </w:rPr>
                  </w:pPr>
                  <w:r>
                    <w:rPr>
                      <w:rFonts w:hint="eastAsia"/>
                      <w:color w:val="auto"/>
                      <w:lang w:val="en-US" w:eastAsia="zh-CN"/>
                    </w:rPr>
                    <w:t>产生大气颗粒物及其前体物污染物的生产活动应尽量采用密闭装置，避免无组织排放；无法完全密闭的，应安装集气装置收集逸散的污染物，经净化后排放。</w:t>
                  </w:r>
                </w:p>
              </w:tc>
              <w:tc>
                <w:tcPr>
                  <w:tcW w:w="1780" w:type="pct"/>
                  <w:tcBorders>
                    <w:tl2br w:val="nil"/>
                    <w:tr2bl w:val="nil"/>
                  </w:tcBorders>
                  <w:noWrap w:val="0"/>
                  <w:vAlign w:val="center"/>
                </w:tcPr>
                <w:p w14:paraId="38293DAE">
                  <w:pPr>
                    <w:pStyle w:val="28"/>
                    <w:bidi w:val="0"/>
                    <w:rPr>
                      <w:rFonts w:hint="default"/>
                      <w:color w:val="auto"/>
                      <w:lang w:val="en-US" w:eastAsia="zh-CN"/>
                    </w:rPr>
                  </w:pPr>
                  <w:r>
                    <w:rPr>
                      <w:rFonts w:hint="eastAsia"/>
                      <w:color w:val="auto"/>
                      <w:lang w:val="en-US" w:eastAsia="zh-CN"/>
                    </w:rPr>
                    <w:t>项目搅拌楼、物料库、砼结构件浇筑车间</w:t>
                  </w:r>
                  <w:r>
                    <w:rPr>
                      <w:rFonts w:hint="eastAsia"/>
                      <w:color w:val="auto"/>
                      <w:lang w:eastAsia="zh-CN"/>
                    </w:rPr>
                    <w:t>、输送带</w:t>
                  </w:r>
                  <w:r>
                    <w:rPr>
                      <w:rFonts w:hint="eastAsia"/>
                      <w:color w:val="auto"/>
                      <w:lang w:val="en-US" w:eastAsia="zh-CN"/>
                    </w:rPr>
                    <w:t>为封闭设置</w:t>
                  </w:r>
                  <w:r>
                    <w:rPr>
                      <w:rFonts w:hint="eastAsia"/>
                      <w:color w:val="auto"/>
                      <w:lang w:eastAsia="zh-CN"/>
                    </w:rPr>
                    <w:t>，</w:t>
                  </w:r>
                  <w:r>
                    <w:rPr>
                      <w:rFonts w:hint="eastAsia"/>
                      <w:color w:val="auto"/>
                      <w:lang w:val="en-US" w:eastAsia="zh-CN"/>
                    </w:rPr>
                    <w:t>配套喷淋除尘设施，粉料仓配套顶置</w:t>
                  </w:r>
                  <w:r>
                    <w:rPr>
                      <w:rFonts w:hint="eastAsia"/>
                      <w:color w:val="auto"/>
                    </w:rPr>
                    <w:t>袋式除尘器</w:t>
                  </w:r>
                  <w:r>
                    <w:rPr>
                      <w:rFonts w:hint="eastAsia"/>
                      <w:color w:val="auto"/>
                      <w:lang w:eastAsia="zh-CN"/>
                    </w:rPr>
                    <w:t>处理</w:t>
                  </w:r>
                  <w:r>
                    <w:rPr>
                      <w:rFonts w:hint="eastAsia"/>
                      <w:color w:val="auto"/>
                      <w:lang w:val="en-US" w:eastAsia="zh-CN"/>
                    </w:rPr>
                    <w:t>。</w:t>
                  </w:r>
                </w:p>
              </w:tc>
              <w:tc>
                <w:tcPr>
                  <w:tcW w:w="590" w:type="pct"/>
                  <w:tcBorders>
                    <w:tl2br w:val="nil"/>
                    <w:tr2bl w:val="nil"/>
                  </w:tcBorders>
                  <w:noWrap w:val="0"/>
                  <w:vAlign w:val="center"/>
                </w:tcPr>
                <w:p w14:paraId="205FE458">
                  <w:pPr>
                    <w:pStyle w:val="28"/>
                    <w:bidi w:val="0"/>
                    <w:rPr>
                      <w:rFonts w:hint="default"/>
                      <w:color w:val="auto"/>
                      <w:lang w:val="en-US" w:eastAsia="zh-CN"/>
                    </w:rPr>
                  </w:pPr>
                  <w:r>
                    <w:rPr>
                      <w:rFonts w:hint="default"/>
                      <w:color w:val="auto"/>
                      <w:lang w:val="en-US" w:eastAsia="zh-CN"/>
                    </w:rPr>
                    <w:t>符合</w:t>
                  </w:r>
                </w:p>
              </w:tc>
            </w:tr>
          </w:tbl>
          <w:p w14:paraId="21CD6DFA">
            <w:pPr>
              <w:keepNext w:val="0"/>
              <w:keepLines w:val="0"/>
              <w:pageBreakBefore w:val="0"/>
              <w:widowControl w:val="0"/>
              <w:numPr>
                <w:ilvl w:val="0"/>
                <w:numId w:val="5"/>
              </w:numPr>
              <w:kinsoku/>
              <w:wordWrap/>
              <w:overflowPunct/>
              <w:topLinePunct w:val="0"/>
              <w:autoSpaceDE/>
              <w:autoSpaceDN/>
              <w:bidi w:val="0"/>
              <w:adjustRightInd/>
              <w:snapToGrid/>
              <w:spacing w:before="157" w:beforeLines="50" w:line="360" w:lineRule="auto"/>
              <w:ind w:firstLine="482" w:firstLineChars="200"/>
              <w:textAlignment w:val="auto"/>
              <w:rPr>
                <w:rFonts w:hint="eastAsia" w:cs="Times New Roman"/>
                <w:b/>
                <w:bCs/>
                <w:color w:val="auto"/>
                <w:lang w:val="en-US" w:eastAsia="zh-CN"/>
              </w:rPr>
            </w:pPr>
            <w:r>
              <w:rPr>
                <w:rFonts w:hint="eastAsia" w:cs="Times New Roman"/>
                <w:b/>
                <w:bCs/>
                <w:color w:val="auto"/>
                <w:lang w:val="en-US" w:eastAsia="zh-CN"/>
              </w:rPr>
              <w:t>与福清市建筑垃圾规划布点及其他相关管理要求的符合性分析</w:t>
            </w:r>
          </w:p>
          <w:p w14:paraId="402A332B">
            <w:pPr>
              <w:pStyle w:val="28"/>
              <w:rPr>
                <w:rFonts w:hint="eastAsia" w:ascii="Times New Roman" w:hAnsi="Times New Roman" w:eastAsia="宋体" w:cs="Times New Roman"/>
                <w:b/>
                <w:color w:val="auto"/>
                <w:kern w:val="2"/>
                <w:sz w:val="21"/>
                <w:szCs w:val="24"/>
                <w:lang w:val="en-US" w:eastAsia="zh-CN" w:bidi="ar-SA"/>
              </w:rPr>
            </w:pPr>
            <w:r>
              <w:rPr>
                <w:rFonts w:hint="eastAsia" w:ascii="Times New Roman" w:hAnsi="Times New Roman" w:eastAsia="宋体" w:cs="Times New Roman"/>
                <w:b/>
                <w:color w:val="auto"/>
                <w:kern w:val="2"/>
                <w:sz w:val="21"/>
                <w:szCs w:val="24"/>
                <w:lang w:val="en-US" w:eastAsia="zh-CN" w:bidi="ar-SA"/>
              </w:rPr>
              <w:t>表1-</w:t>
            </w:r>
            <w:r>
              <w:rPr>
                <w:rFonts w:hint="eastAsia" w:cs="Times New Roman"/>
                <w:b/>
                <w:color w:val="auto"/>
                <w:kern w:val="2"/>
                <w:sz w:val="21"/>
                <w:szCs w:val="24"/>
                <w:lang w:val="en-US" w:eastAsia="zh-CN" w:bidi="ar-SA"/>
              </w:rPr>
              <w:t>8</w:t>
            </w:r>
            <w:r>
              <w:rPr>
                <w:rFonts w:hint="eastAsia" w:ascii="Times New Roman" w:hAnsi="Times New Roman" w:eastAsia="宋体" w:cs="Times New Roman"/>
                <w:b/>
                <w:color w:val="auto"/>
                <w:kern w:val="2"/>
                <w:sz w:val="21"/>
                <w:szCs w:val="24"/>
                <w:lang w:val="en-US" w:eastAsia="zh-CN" w:bidi="ar-SA"/>
              </w:rPr>
              <w:t xml:space="preserve"> 与《建筑垃圾资源化利用行业规范条件》(暂行)的符合性分析表</w:t>
            </w:r>
          </w:p>
          <w:tbl>
            <w:tblPr>
              <w:tblStyle w:val="2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2"/>
              <w:gridCol w:w="3688"/>
              <w:gridCol w:w="3177"/>
              <w:gridCol w:w="621"/>
            </w:tblGrid>
            <w:tr w14:paraId="2F31A2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43" w:type="pct"/>
                  <w:tcBorders>
                    <w:tl2br w:val="nil"/>
                    <w:tr2bl w:val="nil"/>
                  </w:tcBorders>
                  <w:noWrap w:val="0"/>
                  <w:vAlign w:val="center"/>
                </w:tcPr>
                <w:p w14:paraId="5506F0DA">
                  <w:pPr>
                    <w:pStyle w:val="28"/>
                    <w:bidi w:val="0"/>
                    <w:rPr>
                      <w:rFonts w:hint="default"/>
                      <w:b/>
                      <w:bCs/>
                      <w:color w:val="auto"/>
                      <w:lang w:val="en-US" w:eastAsia="zh-CN"/>
                    </w:rPr>
                  </w:pPr>
                  <w:r>
                    <w:rPr>
                      <w:rFonts w:hint="default"/>
                      <w:b/>
                      <w:bCs/>
                      <w:color w:val="auto"/>
                      <w:lang w:val="en-US" w:eastAsia="zh-CN"/>
                    </w:rPr>
                    <w:t>“</w:t>
                  </w:r>
                  <w:r>
                    <w:rPr>
                      <w:rFonts w:hint="eastAsia"/>
                      <w:b/>
                      <w:bCs/>
                      <w:color w:val="auto"/>
                      <w:lang w:val="en-US" w:eastAsia="zh-CN"/>
                    </w:rPr>
                    <w:t>规范</w:t>
                  </w:r>
                  <w:r>
                    <w:rPr>
                      <w:rFonts w:hint="default"/>
                      <w:b/>
                      <w:bCs/>
                      <w:color w:val="auto"/>
                      <w:lang w:val="en-US" w:eastAsia="zh-CN"/>
                    </w:rPr>
                    <w:t>”要求</w:t>
                  </w:r>
                </w:p>
              </w:tc>
              <w:tc>
                <w:tcPr>
                  <w:tcW w:w="2294" w:type="pct"/>
                  <w:tcBorders>
                    <w:tl2br w:val="nil"/>
                    <w:tr2bl w:val="nil"/>
                  </w:tcBorders>
                  <w:noWrap w:val="0"/>
                  <w:vAlign w:val="center"/>
                </w:tcPr>
                <w:p w14:paraId="07626EC3">
                  <w:pPr>
                    <w:pStyle w:val="28"/>
                    <w:bidi w:val="0"/>
                    <w:rPr>
                      <w:rFonts w:hint="default"/>
                      <w:b/>
                      <w:bCs/>
                      <w:color w:val="auto"/>
                      <w:lang w:val="en-US" w:eastAsia="zh-CN"/>
                    </w:rPr>
                  </w:pPr>
                  <w:r>
                    <w:rPr>
                      <w:rFonts w:hint="eastAsia"/>
                      <w:b/>
                      <w:bCs/>
                      <w:color w:val="auto"/>
                      <w:lang w:val="en-US" w:eastAsia="zh-CN"/>
                    </w:rPr>
                    <w:t>细则</w:t>
                  </w:r>
                </w:p>
              </w:tc>
              <w:tc>
                <w:tcPr>
                  <w:tcW w:w="1976" w:type="pct"/>
                  <w:tcBorders>
                    <w:tl2br w:val="nil"/>
                    <w:tr2bl w:val="nil"/>
                  </w:tcBorders>
                  <w:noWrap w:val="0"/>
                  <w:vAlign w:val="center"/>
                </w:tcPr>
                <w:p w14:paraId="1FAA40A5">
                  <w:pPr>
                    <w:pStyle w:val="28"/>
                    <w:bidi w:val="0"/>
                    <w:rPr>
                      <w:rFonts w:hint="default"/>
                      <w:b/>
                      <w:bCs/>
                      <w:color w:val="auto"/>
                      <w:lang w:val="en-US" w:eastAsia="zh-CN"/>
                    </w:rPr>
                  </w:pPr>
                  <w:r>
                    <w:rPr>
                      <w:rFonts w:hint="default"/>
                      <w:b/>
                      <w:bCs/>
                      <w:color w:val="auto"/>
                      <w:lang w:val="en-US" w:eastAsia="zh-CN"/>
                    </w:rPr>
                    <w:t>本项目</w:t>
                  </w:r>
                </w:p>
              </w:tc>
              <w:tc>
                <w:tcPr>
                  <w:tcW w:w="386" w:type="pct"/>
                  <w:tcBorders>
                    <w:tl2br w:val="nil"/>
                    <w:tr2bl w:val="nil"/>
                  </w:tcBorders>
                  <w:noWrap w:val="0"/>
                  <w:vAlign w:val="center"/>
                </w:tcPr>
                <w:p w14:paraId="420C220D">
                  <w:pPr>
                    <w:pStyle w:val="28"/>
                    <w:bidi w:val="0"/>
                    <w:rPr>
                      <w:rFonts w:hint="default"/>
                      <w:b/>
                      <w:bCs/>
                      <w:color w:val="auto"/>
                      <w:lang w:val="en-US" w:eastAsia="zh-CN"/>
                    </w:rPr>
                  </w:pPr>
                  <w:r>
                    <w:rPr>
                      <w:rFonts w:hint="default"/>
                      <w:b/>
                      <w:bCs/>
                      <w:color w:val="auto"/>
                      <w:lang w:val="en-US" w:eastAsia="zh-CN"/>
                    </w:rPr>
                    <w:t>符合性</w:t>
                  </w:r>
                </w:p>
              </w:tc>
            </w:tr>
            <w:tr w14:paraId="7E83E3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343" w:type="pct"/>
                  <w:tcBorders>
                    <w:tl2br w:val="nil"/>
                    <w:tr2bl w:val="nil"/>
                  </w:tcBorders>
                  <w:noWrap w:val="0"/>
                  <w:vAlign w:val="center"/>
                </w:tcPr>
                <w:p w14:paraId="5FBF4D41">
                  <w:pPr>
                    <w:pStyle w:val="28"/>
                    <w:bidi w:val="0"/>
                    <w:rPr>
                      <w:rFonts w:hint="eastAsia" w:cs="Times New Roman"/>
                      <w:color w:val="auto"/>
                      <w:szCs w:val="21"/>
                      <w:lang w:val="en-US" w:eastAsia="zh-CN"/>
                    </w:rPr>
                  </w:pPr>
                  <w:r>
                    <w:rPr>
                      <w:rFonts w:hint="eastAsia" w:cs="Times New Roman"/>
                      <w:color w:val="auto"/>
                      <w:szCs w:val="21"/>
                      <w:lang w:val="en-US" w:eastAsia="zh-CN"/>
                    </w:rPr>
                    <w:t>一、生产企业的设立和布局</w:t>
                  </w:r>
                </w:p>
              </w:tc>
              <w:tc>
                <w:tcPr>
                  <w:tcW w:w="2294" w:type="pct"/>
                  <w:tcBorders>
                    <w:tl2br w:val="nil"/>
                    <w:tr2bl w:val="nil"/>
                  </w:tcBorders>
                  <w:noWrap w:val="0"/>
                  <w:vAlign w:val="center"/>
                </w:tcPr>
                <w:p w14:paraId="025D5E20">
                  <w:pPr>
                    <w:pStyle w:val="28"/>
                    <w:bidi w:val="0"/>
                    <w:jc w:val="left"/>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①</w:t>
                  </w:r>
                  <w:r>
                    <w:rPr>
                      <w:rFonts w:hint="default" w:ascii="Times New Roman" w:hAnsi="Times New Roman" w:eastAsia="宋体" w:cs="Times New Roman"/>
                      <w:color w:val="auto"/>
                      <w:szCs w:val="21"/>
                      <w:lang w:val="en-US" w:eastAsia="zh-CN"/>
                    </w:rPr>
                    <w:t>各地建筑垃圾资源化利用企业的设立和布局应根据区域内建筑垃圾存量及增量预测情况、运输半径、应用条件等，统筹协调确定。建筑垃圾资源化利用要与城市总体规划、土地利用总体规划和循环经济规划及旧城改造、大型工业园区改造、城市新区建设等大型建设项目相结合。</w:t>
                  </w:r>
                </w:p>
                <w:p w14:paraId="75808791">
                  <w:pPr>
                    <w:pStyle w:val="28"/>
                    <w:bidi w:val="0"/>
                    <w:jc w:val="left"/>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②</w:t>
                  </w:r>
                  <w:r>
                    <w:rPr>
                      <w:rFonts w:hint="default" w:ascii="Times New Roman" w:hAnsi="Times New Roman" w:eastAsia="宋体" w:cs="Times New Roman"/>
                      <w:color w:val="auto"/>
                      <w:szCs w:val="21"/>
                      <w:lang w:val="en-US" w:eastAsia="zh-CN"/>
                    </w:rPr>
                    <w:t>建筑垃圾资源化利用企业选址必须符合国家法律法规、行业发展规划和产业政策，统筹资源、能源、环境、物流和市场等因素合理选址，有条件的地区要优先考虑利用现有垃圾消纳场。建筑垃圾资源化利用企业的固定生产场地宜接近建筑垃圾源头集中地，交通方便，可通行重载建筑垃圾运输车。在条件允许时，在拆迁现场进行现场作业。</w:t>
                  </w:r>
                </w:p>
                <w:p w14:paraId="45206921">
                  <w:pPr>
                    <w:pStyle w:val="28"/>
                    <w:bidi w:val="0"/>
                    <w:jc w:val="left"/>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③</w:t>
                  </w:r>
                  <w:r>
                    <w:rPr>
                      <w:rFonts w:hint="default" w:ascii="Times New Roman" w:hAnsi="Times New Roman" w:eastAsia="宋体" w:cs="Times New Roman"/>
                      <w:color w:val="auto"/>
                      <w:szCs w:val="21"/>
                      <w:lang w:val="en-US" w:eastAsia="zh-CN"/>
                    </w:rPr>
                    <w:t>鼓励建筑垃圾资源化利用企业进行拆迁、运输、处置和产品应用等产业链相关环节的整合，以资源化利用为主线，提高产业集中度，加速工业化发展。</w:t>
                  </w:r>
                </w:p>
              </w:tc>
              <w:tc>
                <w:tcPr>
                  <w:tcW w:w="1976" w:type="pct"/>
                  <w:tcBorders>
                    <w:tl2br w:val="nil"/>
                    <w:tr2bl w:val="nil"/>
                  </w:tcBorders>
                  <w:noWrap w:val="0"/>
                  <w:vAlign w:val="center"/>
                </w:tcPr>
                <w:p w14:paraId="63D64B0C">
                  <w:pPr>
                    <w:pStyle w:val="28"/>
                    <w:bidi w:val="0"/>
                    <w:rPr>
                      <w:rFonts w:hint="default"/>
                      <w:color w:val="auto"/>
                      <w:lang w:val="en-US" w:eastAsia="zh-CN"/>
                    </w:rPr>
                  </w:pPr>
                  <w:r>
                    <w:rPr>
                      <w:rFonts w:hint="eastAsia"/>
                      <w:color w:val="auto"/>
                      <w:lang w:val="en-US" w:eastAsia="zh-CN"/>
                    </w:rPr>
                    <w:t>①本项目建筑垃圾回收利用的原料来源于项目周边区域的工程渣土、拆除建筑垃圾（不含装修垃圾或二装垃圾），周边区域建设项目存量大，运输半径合理，石方料的质地符合项目预拌商品混凝土的材料使用。</w:t>
                  </w:r>
                </w:p>
                <w:p w14:paraId="44D2B9C7">
                  <w:pPr>
                    <w:pStyle w:val="28"/>
                    <w:bidi w:val="0"/>
                    <w:rPr>
                      <w:rFonts w:hint="default"/>
                      <w:color w:val="auto"/>
                      <w:lang w:val="en-US" w:eastAsia="zh-CN"/>
                    </w:rPr>
                  </w:pPr>
                  <w:r>
                    <w:rPr>
                      <w:rFonts w:hint="eastAsia"/>
                      <w:color w:val="auto"/>
                      <w:lang w:val="en-US" w:eastAsia="zh-CN"/>
                    </w:rPr>
                    <w:t>②本项目建筑垃圾回收利用选址位于福清市海口镇，周边配套能源、交通、市政设施完善且根据福清市城市管理局的主管部门意见，目前福清市尚未明确建筑垃圾（除“装修垃圾或二装垃圾”）集中专项布点规划。后续市政府有相关明确要求的，以市政府统一规划为准。（意见详见报告附件十）</w:t>
                  </w:r>
                </w:p>
                <w:p w14:paraId="1F9366D3">
                  <w:pPr>
                    <w:pStyle w:val="28"/>
                    <w:bidi w:val="0"/>
                    <w:rPr>
                      <w:rFonts w:hint="default"/>
                      <w:color w:val="auto"/>
                      <w:lang w:val="en-US" w:eastAsia="zh-CN"/>
                    </w:rPr>
                  </w:pPr>
                  <w:r>
                    <w:rPr>
                      <w:rFonts w:hint="eastAsia"/>
                      <w:color w:val="auto"/>
                      <w:lang w:val="en-US" w:eastAsia="zh-CN"/>
                    </w:rPr>
                    <w:t>③本项目整合建筑垃圾的运输、处置及后续的产品利用生产线。提高了产业集中度，为工业化生产。</w:t>
                  </w:r>
                </w:p>
              </w:tc>
              <w:tc>
                <w:tcPr>
                  <w:tcW w:w="386" w:type="pct"/>
                  <w:tcBorders>
                    <w:tl2br w:val="nil"/>
                    <w:tr2bl w:val="nil"/>
                  </w:tcBorders>
                  <w:noWrap w:val="0"/>
                  <w:vAlign w:val="center"/>
                </w:tcPr>
                <w:p w14:paraId="7578D8E8">
                  <w:pPr>
                    <w:pStyle w:val="28"/>
                    <w:bidi w:val="0"/>
                    <w:rPr>
                      <w:rFonts w:hint="default"/>
                      <w:color w:val="auto"/>
                      <w:lang w:val="en-US" w:eastAsia="zh-CN"/>
                    </w:rPr>
                  </w:pPr>
                  <w:r>
                    <w:rPr>
                      <w:rFonts w:hint="default"/>
                      <w:color w:val="auto"/>
                      <w:lang w:val="en-US" w:eastAsia="zh-CN"/>
                    </w:rPr>
                    <w:t>符合</w:t>
                  </w:r>
                </w:p>
              </w:tc>
            </w:tr>
            <w:tr w14:paraId="36BCEF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8" w:hRule="atLeast"/>
              </w:trPr>
              <w:tc>
                <w:tcPr>
                  <w:tcW w:w="343" w:type="pct"/>
                  <w:tcBorders>
                    <w:tl2br w:val="nil"/>
                    <w:tr2bl w:val="nil"/>
                  </w:tcBorders>
                  <w:noWrap w:val="0"/>
                  <w:vAlign w:val="center"/>
                </w:tcPr>
                <w:p w14:paraId="5B723B64">
                  <w:pPr>
                    <w:pStyle w:val="28"/>
                    <w:bidi w:val="0"/>
                    <w:rPr>
                      <w:rFonts w:hint="eastAsia" w:cs="Times New Roman"/>
                      <w:color w:val="auto"/>
                      <w:szCs w:val="21"/>
                      <w:lang w:val="en-US" w:eastAsia="zh-CN"/>
                    </w:rPr>
                  </w:pPr>
                  <w:r>
                    <w:rPr>
                      <w:rFonts w:hint="eastAsia" w:cs="Times New Roman"/>
                      <w:color w:val="auto"/>
                      <w:szCs w:val="21"/>
                      <w:lang w:val="en-US" w:eastAsia="zh-CN"/>
                    </w:rPr>
                    <w:t>二、生产规模和管理</w:t>
                  </w:r>
                </w:p>
              </w:tc>
              <w:tc>
                <w:tcPr>
                  <w:tcW w:w="2294" w:type="pct"/>
                  <w:tcBorders>
                    <w:tl2br w:val="nil"/>
                    <w:tr2bl w:val="nil"/>
                  </w:tcBorders>
                  <w:noWrap w:val="0"/>
                  <w:vAlign w:val="center"/>
                </w:tcPr>
                <w:p w14:paraId="0A95B7D1">
                  <w:pPr>
                    <w:pStyle w:val="28"/>
                    <w:bidi w:val="0"/>
                    <w:rPr>
                      <w:rFonts w:hint="eastAsia" w:cs="Times New Roman"/>
                      <w:color w:val="auto"/>
                      <w:szCs w:val="21"/>
                      <w:lang w:val="en-US" w:eastAsia="zh-CN"/>
                    </w:rPr>
                  </w:pPr>
                  <w:r>
                    <w:rPr>
                      <w:rFonts w:hint="eastAsia" w:cs="Times New Roman"/>
                      <w:color w:val="auto"/>
                      <w:szCs w:val="21"/>
                      <w:lang w:val="en-US" w:eastAsia="zh-CN"/>
                    </w:rPr>
                    <w:t>①根据当地建筑垃圾条件及资源化利用方式等因素，综合确定建筑垃圾资源化利用项目的年处置能力，鼓励规模化发展。大型建筑垃圾资源化项目年处置生产能力不低于100万吨，中型不低于 50 万吨，小型不低于25 万吨。</w:t>
                  </w:r>
                </w:p>
                <w:p w14:paraId="250D8F73">
                  <w:pPr>
                    <w:pStyle w:val="28"/>
                    <w:bidi w:val="0"/>
                    <w:rPr>
                      <w:rFonts w:hint="eastAsia" w:cs="Times New Roman"/>
                      <w:color w:val="auto"/>
                      <w:szCs w:val="21"/>
                      <w:lang w:val="en-US" w:eastAsia="zh-CN"/>
                    </w:rPr>
                  </w:pPr>
                  <w:r>
                    <w:rPr>
                      <w:rFonts w:hint="eastAsia" w:cs="Times New Roman"/>
                      <w:color w:val="auto"/>
                      <w:szCs w:val="21"/>
                      <w:lang w:val="en-US" w:eastAsia="zh-CN"/>
                    </w:rPr>
                    <w:t>②各地应依据国家和地方的相关法律法规和产业政策，落实完善建筑垃圾资源化利用相关制度、标准和规范等。选择适宜生产主体，鼓励探索运行成熟、具有地区特色的经营模式。</w:t>
                  </w:r>
                </w:p>
              </w:tc>
              <w:tc>
                <w:tcPr>
                  <w:tcW w:w="1976" w:type="pct"/>
                  <w:tcBorders>
                    <w:tl2br w:val="nil"/>
                    <w:tr2bl w:val="nil"/>
                  </w:tcBorders>
                  <w:noWrap w:val="0"/>
                  <w:vAlign w:val="center"/>
                </w:tcPr>
                <w:p w14:paraId="7F92147C">
                  <w:pPr>
                    <w:pStyle w:val="28"/>
                    <w:bidi w:val="0"/>
                    <w:rPr>
                      <w:rFonts w:hint="default"/>
                      <w:color w:val="auto"/>
                      <w:lang w:val="en-US" w:eastAsia="zh-CN"/>
                    </w:rPr>
                  </w:pPr>
                  <w:r>
                    <w:rPr>
                      <w:rFonts w:hint="eastAsia"/>
                      <w:color w:val="auto"/>
                      <w:lang w:val="en-US" w:eastAsia="zh-CN"/>
                    </w:rPr>
                    <w:t>①本项目根据其他产线的原料利用情况进行建筑垃圾回收利用的生产，年回收利用建筑垃圾60万立方，合年处理重量152万吨，不低于规定的100万吨。</w:t>
                  </w:r>
                </w:p>
                <w:p w14:paraId="15DFF1D9">
                  <w:pPr>
                    <w:pStyle w:val="28"/>
                    <w:bidi w:val="0"/>
                    <w:rPr>
                      <w:rFonts w:hint="default"/>
                      <w:color w:val="auto"/>
                      <w:lang w:val="en-US" w:eastAsia="zh-CN"/>
                    </w:rPr>
                  </w:pPr>
                  <w:r>
                    <w:rPr>
                      <w:rFonts w:hint="eastAsia"/>
                      <w:color w:val="auto"/>
                      <w:lang w:val="en-US" w:eastAsia="zh-CN"/>
                    </w:rPr>
                    <w:t>②</w:t>
                  </w:r>
                  <w:r>
                    <w:rPr>
                      <w:rFonts w:hint="eastAsia" w:cs="Times New Roman"/>
                      <w:color w:val="auto"/>
                      <w:szCs w:val="21"/>
                      <w:lang w:val="en-US" w:eastAsia="zh-CN"/>
                    </w:rPr>
                    <w:t>本项目积极响应国家和地方的相关法律法规和产业政策，落实完善建筑垃圾资源化利用相关制度、标准和规范等。选择适宜生产主体，积极探索运行成熟、具有地区特色的经营模式。</w:t>
                  </w:r>
                </w:p>
              </w:tc>
              <w:tc>
                <w:tcPr>
                  <w:tcW w:w="386" w:type="pct"/>
                  <w:tcBorders>
                    <w:tl2br w:val="nil"/>
                    <w:tr2bl w:val="nil"/>
                  </w:tcBorders>
                  <w:noWrap w:val="0"/>
                  <w:vAlign w:val="center"/>
                </w:tcPr>
                <w:p w14:paraId="562F5539">
                  <w:pPr>
                    <w:pStyle w:val="28"/>
                    <w:bidi w:val="0"/>
                    <w:rPr>
                      <w:rFonts w:hint="default"/>
                      <w:color w:val="auto"/>
                      <w:lang w:val="en-US" w:eastAsia="zh-CN"/>
                    </w:rPr>
                  </w:pPr>
                  <w:r>
                    <w:rPr>
                      <w:rFonts w:hint="eastAsia"/>
                      <w:color w:val="auto"/>
                      <w:lang w:val="en-US" w:eastAsia="zh-CN"/>
                    </w:rPr>
                    <w:t>符合</w:t>
                  </w:r>
                </w:p>
              </w:tc>
            </w:tr>
            <w:tr w14:paraId="6B6BA6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8" w:hRule="atLeast"/>
              </w:trPr>
              <w:tc>
                <w:tcPr>
                  <w:tcW w:w="343" w:type="pct"/>
                  <w:tcBorders>
                    <w:tl2br w:val="nil"/>
                    <w:tr2bl w:val="nil"/>
                  </w:tcBorders>
                  <w:noWrap w:val="0"/>
                  <w:vAlign w:val="center"/>
                </w:tcPr>
                <w:p w14:paraId="6857CC15">
                  <w:pPr>
                    <w:pStyle w:val="28"/>
                    <w:bidi w:val="0"/>
                    <w:rPr>
                      <w:rFonts w:hint="eastAsia" w:cs="Times New Roman"/>
                      <w:color w:val="auto"/>
                      <w:szCs w:val="21"/>
                      <w:lang w:val="en-US" w:eastAsia="zh-CN"/>
                    </w:rPr>
                  </w:pPr>
                  <w:r>
                    <w:rPr>
                      <w:rFonts w:hint="eastAsia" w:cs="Times New Roman"/>
                      <w:color w:val="auto"/>
                      <w:szCs w:val="21"/>
                      <w:lang w:val="en-US" w:eastAsia="zh-CN"/>
                    </w:rPr>
                    <w:t>三、资源综合利用及能源消耗</w:t>
                  </w:r>
                </w:p>
              </w:tc>
              <w:tc>
                <w:tcPr>
                  <w:tcW w:w="2294" w:type="pct"/>
                  <w:tcBorders>
                    <w:tl2br w:val="nil"/>
                    <w:tr2bl w:val="nil"/>
                  </w:tcBorders>
                  <w:noWrap w:val="0"/>
                  <w:vAlign w:val="center"/>
                </w:tcPr>
                <w:p w14:paraId="607E36DE">
                  <w:pPr>
                    <w:pStyle w:val="28"/>
                    <w:bidi w:val="0"/>
                    <w:rPr>
                      <w:rFonts w:hint="eastAsia" w:cs="Times New Roman"/>
                      <w:color w:val="auto"/>
                      <w:szCs w:val="21"/>
                      <w:lang w:val="en-US" w:eastAsia="zh-CN"/>
                    </w:rPr>
                  </w:pPr>
                  <w:r>
                    <w:rPr>
                      <w:rFonts w:hint="eastAsia" w:cs="Times New Roman"/>
                      <w:color w:val="auto"/>
                      <w:szCs w:val="21"/>
                      <w:lang w:val="en-US" w:eastAsia="zh-CN"/>
                    </w:rPr>
                    <w:t>①建筑垃圾资源化利用企业应全面接收当地产生的符合相关规范要求的建筑垃圾（有毒有害垃圾除外）。鼓励企业根据进场建筑垃圾的特点，选择合适的工艺装备，在全面资源化利用处理的前提下，生产混凝土和砂浆用骨料等再生产品。</w:t>
                  </w:r>
                </w:p>
                <w:p w14:paraId="4E94C8F3">
                  <w:pPr>
                    <w:pStyle w:val="28"/>
                    <w:bidi w:val="0"/>
                    <w:rPr>
                      <w:rFonts w:hint="eastAsia" w:cs="Times New Roman"/>
                      <w:color w:val="auto"/>
                      <w:szCs w:val="21"/>
                      <w:lang w:val="en-US" w:eastAsia="zh-CN"/>
                    </w:rPr>
                  </w:pPr>
                  <w:r>
                    <w:rPr>
                      <w:rFonts w:hint="eastAsia" w:cs="Times New Roman"/>
                      <w:color w:val="auto"/>
                      <w:szCs w:val="21"/>
                      <w:lang w:val="en-US" w:eastAsia="zh-CN"/>
                    </w:rPr>
                    <w:t>②建筑垃圾资源化利用企业单位产品综合能耗应符合能耗限额限定值的规定。</w:t>
                  </w:r>
                </w:p>
              </w:tc>
              <w:tc>
                <w:tcPr>
                  <w:tcW w:w="1976" w:type="pct"/>
                  <w:tcBorders>
                    <w:tl2br w:val="nil"/>
                    <w:tr2bl w:val="nil"/>
                  </w:tcBorders>
                  <w:noWrap w:val="0"/>
                  <w:vAlign w:val="center"/>
                </w:tcPr>
                <w:p w14:paraId="7E90452D">
                  <w:pPr>
                    <w:pStyle w:val="28"/>
                    <w:bidi w:val="0"/>
                    <w:rPr>
                      <w:rFonts w:hint="eastAsia" w:cs="Times New Roman"/>
                      <w:color w:val="auto"/>
                      <w:szCs w:val="21"/>
                      <w:lang w:val="en-US" w:eastAsia="zh-CN"/>
                    </w:rPr>
                  </w:pPr>
                  <w:r>
                    <w:rPr>
                      <w:rFonts w:hint="eastAsia"/>
                      <w:color w:val="auto"/>
                      <w:lang w:val="en-US" w:eastAsia="zh-CN"/>
                    </w:rPr>
                    <w:t>①本项目</w:t>
                  </w:r>
                  <w:r>
                    <w:rPr>
                      <w:rFonts w:hint="eastAsia" w:cs="Times New Roman"/>
                      <w:color w:val="auto"/>
                      <w:szCs w:val="21"/>
                      <w:lang w:val="en-US" w:eastAsia="zh-CN"/>
                    </w:rPr>
                    <w:t>全面接收当地产生的符合相关规范要求的建筑垃圾（有毒有害垃圾及建筑装修垃圾除外），选择合适的工艺装备，在全面资源化利用处理的前提下，生产混凝土和砂浆用骨料等再生产品。</w:t>
                  </w:r>
                </w:p>
                <w:p w14:paraId="37A6F179">
                  <w:pPr>
                    <w:pStyle w:val="28"/>
                    <w:bidi w:val="0"/>
                    <w:rPr>
                      <w:rFonts w:hint="default" w:cs="Times New Roman"/>
                      <w:color w:val="auto"/>
                      <w:szCs w:val="21"/>
                      <w:lang w:val="en-US" w:eastAsia="zh-CN"/>
                    </w:rPr>
                  </w:pPr>
                  <w:r>
                    <w:rPr>
                      <w:rFonts w:hint="eastAsia" w:cs="Times New Roman"/>
                      <w:color w:val="auto"/>
                      <w:szCs w:val="21"/>
                      <w:lang w:val="en-US" w:eastAsia="zh-CN"/>
                    </w:rPr>
                    <w:t>②本项目单位产品综合能耗符合能耗限额限定值的规定。</w:t>
                  </w:r>
                </w:p>
              </w:tc>
              <w:tc>
                <w:tcPr>
                  <w:tcW w:w="386" w:type="pct"/>
                  <w:tcBorders>
                    <w:tl2br w:val="nil"/>
                    <w:tr2bl w:val="nil"/>
                  </w:tcBorders>
                  <w:noWrap w:val="0"/>
                  <w:vAlign w:val="center"/>
                </w:tcPr>
                <w:p w14:paraId="2CF1C069">
                  <w:pPr>
                    <w:pStyle w:val="28"/>
                    <w:bidi w:val="0"/>
                    <w:rPr>
                      <w:rFonts w:hint="eastAsia"/>
                      <w:color w:val="auto"/>
                      <w:lang w:val="en-US" w:eastAsia="zh-CN"/>
                    </w:rPr>
                  </w:pPr>
                  <w:r>
                    <w:rPr>
                      <w:rFonts w:hint="eastAsia" w:cs="Times New Roman"/>
                      <w:color w:val="auto"/>
                      <w:szCs w:val="21"/>
                      <w:lang w:val="en-US" w:eastAsia="zh-CN"/>
                    </w:rPr>
                    <w:t>符合</w:t>
                  </w:r>
                </w:p>
              </w:tc>
            </w:tr>
            <w:tr w14:paraId="7AB48D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8" w:hRule="atLeast"/>
              </w:trPr>
              <w:tc>
                <w:tcPr>
                  <w:tcW w:w="343" w:type="pct"/>
                  <w:tcBorders>
                    <w:tl2br w:val="nil"/>
                    <w:tr2bl w:val="nil"/>
                  </w:tcBorders>
                  <w:noWrap w:val="0"/>
                  <w:vAlign w:val="center"/>
                </w:tcPr>
                <w:p w14:paraId="15378234">
                  <w:pPr>
                    <w:pStyle w:val="28"/>
                    <w:bidi w:val="0"/>
                    <w:rPr>
                      <w:rFonts w:hint="eastAsia" w:cs="Times New Roman"/>
                      <w:color w:val="auto"/>
                      <w:szCs w:val="21"/>
                      <w:lang w:val="en-US" w:eastAsia="zh-CN"/>
                    </w:rPr>
                  </w:pPr>
                  <w:r>
                    <w:rPr>
                      <w:rFonts w:hint="eastAsia" w:cs="Times New Roman"/>
                      <w:color w:val="auto"/>
                      <w:szCs w:val="21"/>
                      <w:lang w:val="en-US" w:eastAsia="zh-CN"/>
                    </w:rPr>
                    <w:t>四、工艺与装备</w:t>
                  </w:r>
                </w:p>
              </w:tc>
              <w:tc>
                <w:tcPr>
                  <w:tcW w:w="2294" w:type="pct"/>
                  <w:tcBorders>
                    <w:tl2br w:val="nil"/>
                    <w:tr2bl w:val="nil"/>
                  </w:tcBorders>
                  <w:noWrap w:val="0"/>
                  <w:vAlign w:val="center"/>
                </w:tcPr>
                <w:p w14:paraId="3E1C67C6">
                  <w:pPr>
                    <w:pStyle w:val="28"/>
                    <w:bidi w:val="0"/>
                    <w:rPr>
                      <w:rFonts w:hint="eastAsia" w:cs="Times New Roman"/>
                      <w:color w:val="auto"/>
                      <w:szCs w:val="21"/>
                      <w:lang w:val="en-US" w:eastAsia="zh-CN"/>
                    </w:rPr>
                  </w:pPr>
                  <w:r>
                    <w:rPr>
                      <w:rFonts w:hint="eastAsia" w:cs="Times New Roman"/>
                      <w:color w:val="auto"/>
                      <w:szCs w:val="21"/>
                      <w:lang w:val="en-US" w:eastAsia="zh-CN"/>
                    </w:rPr>
                    <w:t>项目应采用节能、环保、高效的资源化技术装备及安全、稳定的保障系统。</w:t>
                  </w:r>
                </w:p>
                <w:p w14:paraId="7AB4FB41">
                  <w:pPr>
                    <w:pStyle w:val="28"/>
                    <w:bidi w:val="0"/>
                    <w:rPr>
                      <w:rFonts w:hint="eastAsia" w:cs="Times New Roman"/>
                      <w:color w:val="auto"/>
                      <w:szCs w:val="21"/>
                      <w:lang w:val="en-US" w:eastAsia="zh-CN"/>
                    </w:rPr>
                  </w:pPr>
                  <w:r>
                    <w:rPr>
                      <w:rFonts w:hint="eastAsia" w:cs="Times New Roman"/>
                      <w:color w:val="auto"/>
                      <w:szCs w:val="21"/>
                      <w:lang w:val="en-US" w:eastAsia="zh-CN"/>
                    </w:rPr>
                    <w:t>①根据当地建筑垃圾特点、分布及生产条件，确定采用固定式或移动式生产方式。结合进厂建筑垃圾原料情况和再生产品类型，选用适宜的破碎、分选、筛分等工艺及设备。</w:t>
                  </w:r>
                </w:p>
                <w:p w14:paraId="7388D9DD">
                  <w:pPr>
                    <w:pStyle w:val="28"/>
                    <w:bidi w:val="0"/>
                    <w:rPr>
                      <w:rFonts w:hint="eastAsia" w:cs="Times New Roman"/>
                      <w:color w:val="auto"/>
                      <w:szCs w:val="21"/>
                      <w:lang w:val="en-US" w:eastAsia="zh-CN"/>
                    </w:rPr>
                  </w:pPr>
                  <w:r>
                    <w:rPr>
                      <w:rFonts w:hint="eastAsia" w:cs="Times New Roman"/>
                      <w:color w:val="auto"/>
                      <w:szCs w:val="21"/>
                      <w:lang w:val="en-US" w:eastAsia="zh-CN"/>
                    </w:rPr>
                    <w:t>②根据不同生产条件，采用适用的除尘、降噪和废水处理工艺及设备。固定式生产方式宜建设封闭生产厂房或封闭式生产单元。</w:t>
                  </w:r>
                </w:p>
                <w:p w14:paraId="4BB4589E">
                  <w:pPr>
                    <w:pStyle w:val="28"/>
                    <w:bidi w:val="0"/>
                    <w:rPr>
                      <w:rFonts w:hint="eastAsia" w:cs="Times New Roman"/>
                      <w:color w:val="auto"/>
                      <w:szCs w:val="21"/>
                      <w:lang w:val="en-US" w:eastAsia="zh-CN"/>
                    </w:rPr>
                  </w:pPr>
                  <w:r>
                    <w:rPr>
                      <w:rFonts w:hint="eastAsia" w:cs="Times New Roman"/>
                      <w:color w:val="auto"/>
                      <w:szCs w:val="21"/>
                      <w:lang w:val="en-US" w:eastAsia="zh-CN"/>
                    </w:rPr>
                    <w:t>③宜配备环境监测、视频监控、工艺运行在线监控系统。</w:t>
                  </w:r>
                </w:p>
              </w:tc>
              <w:tc>
                <w:tcPr>
                  <w:tcW w:w="1976" w:type="pct"/>
                  <w:tcBorders>
                    <w:tl2br w:val="nil"/>
                    <w:tr2bl w:val="nil"/>
                  </w:tcBorders>
                  <w:noWrap w:val="0"/>
                  <w:vAlign w:val="center"/>
                </w:tcPr>
                <w:p w14:paraId="0E62CB5E">
                  <w:pPr>
                    <w:pStyle w:val="28"/>
                    <w:bidi w:val="0"/>
                    <w:rPr>
                      <w:rFonts w:hint="default"/>
                      <w:color w:val="auto"/>
                      <w:lang w:val="en-US" w:eastAsia="zh-CN"/>
                    </w:rPr>
                  </w:pPr>
                  <w:r>
                    <w:rPr>
                      <w:rFonts w:hint="eastAsia"/>
                      <w:color w:val="auto"/>
                      <w:lang w:val="en-US" w:eastAsia="zh-CN"/>
                    </w:rPr>
                    <w:t>①本项目根据当地建筑垃圾的来源及特点，选用</w:t>
                  </w:r>
                  <w:r>
                    <w:rPr>
                      <w:rFonts w:hint="eastAsia" w:cs="Times New Roman"/>
                      <w:color w:val="auto"/>
                      <w:szCs w:val="21"/>
                      <w:lang w:val="en-US" w:eastAsia="zh-CN"/>
                    </w:rPr>
                    <w:t>适宜的破碎、分选、筛分等工艺及设备。</w:t>
                  </w:r>
                </w:p>
                <w:p w14:paraId="24B8A628">
                  <w:pPr>
                    <w:pStyle w:val="28"/>
                    <w:bidi w:val="0"/>
                    <w:rPr>
                      <w:rFonts w:hint="default"/>
                      <w:color w:val="auto"/>
                      <w:lang w:val="en-US" w:eastAsia="zh-CN"/>
                    </w:rPr>
                  </w:pPr>
                  <w:r>
                    <w:rPr>
                      <w:rFonts w:hint="eastAsia"/>
                      <w:color w:val="auto"/>
                      <w:lang w:val="en-US" w:eastAsia="zh-CN"/>
                    </w:rPr>
                    <w:t>②本项目建筑垃圾回收利用产线采用封闭厂房，厂房内部设置相应除尘、降噪和废水处理工艺及设备。</w:t>
                  </w:r>
                </w:p>
                <w:p w14:paraId="293BC9FB">
                  <w:pPr>
                    <w:pStyle w:val="28"/>
                    <w:bidi w:val="0"/>
                    <w:rPr>
                      <w:rFonts w:hint="default"/>
                      <w:color w:val="auto"/>
                      <w:lang w:val="en-US" w:eastAsia="zh-CN"/>
                    </w:rPr>
                  </w:pPr>
                  <w:r>
                    <w:rPr>
                      <w:rFonts w:hint="eastAsia"/>
                      <w:color w:val="auto"/>
                      <w:lang w:val="en-US" w:eastAsia="zh-CN"/>
                    </w:rPr>
                    <w:t>③本项目拟在建筑垃圾回收利用生产线车间内设置视频监控系统，定期对环境进行监测。</w:t>
                  </w:r>
                </w:p>
              </w:tc>
              <w:tc>
                <w:tcPr>
                  <w:tcW w:w="386" w:type="pct"/>
                  <w:tcBorders>
                    <w:tl2br w:val="nil"/>
                    <w:tr2bl w:val="nil"/>
                  </w:tcBorders>
                  <w:noWrap w:val="0"/>
                  <w:vAlign w:val="center"/>
                </w:tcPr>
                <w:p w14:paraId="07F11352">
                  <w:pPr>
                    <w:pStyle w:val="28"/>
                    <w:bidi w:val="0"/>
                    <w:rPr>
                      <w:rFonts w:hint="eastAsia"/>
                      <w:color w:val="auto"/>
                      <w:lang w:val="en-US" w:eastAsia="zh-CN"/>
                    </w:rPr>
                  </w:pPr>
                  <w:r>
                    <w:rPr>
                      <w:rFonts w:hint="eastAsia" w:cs="Times New Roman"/>
                      <w:color w:val="auto"/>
                      <w:szCs w:val="21"/>
                      <w:lang w:val="en-US" w:eastAsia="zh-CN"/>
                    </w:rPr>
                    <w:t>符合</w:t>
                  </w:r>
                </w:p>
              </w:tc>
            </w:tr>
            <w:tr w14:paraId="46B15C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8" w:hRule="atLeast"/>
              </w:trPr>
              <w:tc>
                <w:tcPr>
                  <w:tcW w:w="343" w:type="pct"/>
                  <w:tcBorders>
                    <w:tl2br w:val="nil"/>
                    <w:tr2bl w:val="nil"/>
                  </w:tcBorders>
                  <w:noWrap w:val="0"/>
                  <w:vAlign w:val="center"/>
                </w:tcPr>
                <w:p w14:paraId="6D3C9F4D">
                  <w:pPr>
                    <w:pStyle w:val="28"/>
                    <w:bidi w:val="0"/>
                    <w:rPr>
                      <w:rFonts w:hint="eastAsia" w:cs="Times New Roman"/>
                      <w:color w:val="auto"/>
                      <w:szCs w:val="21"/>
                      <w:lang w:val="en-US" w:eastAsia="zh-CN"/>
                    </w:rPr>
                  </w:pPr>
                  <w:r>
                    <w:rPr>
                      <w:rFonts w:hint="eastAsia" w:cs="Times New Roman"/>
                      <w:color w:val="auto"/>
                      <w:szCs w:val="21"/>
                      <w:lang w:val="en-US" w:eastAsia="zh-CN"/>
                    </w:rPr>
                    <w:t>五、环境保护</w:t>
                  </w:r>
                </w:p>
              </w:tc>
              <w:tc>
                <w:tcPr>
                  <w:tcW w:w="2294" w:type="pct"/>
                  <w:tcBorders>
                    <w:tl2br w:val="nil"/>
                    <w:tr2bl w:val="nil"/>
                  </w:tcBorders>
                  <w:noWrap w:val="0"/>
                  <w:vAlign w:val="center"/>
                </w:tcPr>
                <w:p w14:paraId="6E35D254">
                  <w:pPr>
                    <w:pStyle w:val="28"/>
                    <w:bidi w:val="0"/>
                    <w:rPr>
                      <w:rFonts w:hint="eastAsia" w:cs="Times New Roman"/>
                      <w:color w:val="auto"/>
                      <w:szCs w:val="21"/>
                      <w:lang w:val="en-US" w:eastAsia="zh-CN"/>
                    </w:rPr>
                  </w:pPr>
                  <w:r>
                    <w:rPr>
                      <w:rFonts w:hint="eastAsia" w:cs="Times New Roman"/>
                      <w:color w:val="auto"/>
                      <w:szCs w:val="21"/>
                      <w:lang w:val="en-US" w:eastAsia="zh-CN"/>
                    </w:rPr>
                    <w:t>①要严格执行《中华人民共和国环境影响评价法》，依法向环境保护行政主管部门报批建筑垃圾资源化利用项目环境影响评价文件，建设与项目相配套的环境保护设施，并依法申请项目竣工环境保护验收。</w:t>
                  </w:r>
                </w:p>
                <w:p w14:paraId="2941133F">
                  <w:pPr>
                    <w:pStyle w:val="28"/>
                    <w:bidi w:val="0"/>
                    <w:rPr>
                      <w:rFonts w:hint="eastAsia" w:cs="Times New Roman"/>
                      <w:color w:val="auto"/>
                      <w:szCs w:val="21"/>
                      <w:lang w:val="en-US" w:eastAsia="zh-CN"/>
                    </w:rPr>
                  </w:pPr>
                  <w:r>
                    <w:rPr>
                      <w:rFonts w:hint="eastAsia" w:cs="Times New Roman"/>
                      <w:color w:val="auto"/>
                      <w:szCs w:val="21"/>
                      <w:lang w:val="en-US" w:eastAsia="zh-CN"/>
                    </w:rPr>
                    <w:t>②建筑垃圾资源化利用企业根据生产需要应设置粉尘回收和储存设备，厂区环境空气质量应达到《环境空气质量标准》GB3095 要求且符合企业所在地的相关地方标准和环境影响评价要求。</w:t>
                  </w:r>
                </w:p>
                <w:p w14:paraId="5C9A16EE">
                  <w:pPr>
                    <w:pStyle w:val="28"/>
                    <w:bidi w:val="0"/>
                    <w:rPr>
                      <w:rFonts w:hint="eastAsia" w:cs="Times New Roman"/>
                      <w:color w:val="auto"/>
                      <w:szCs w:val="21"/>
                      <w:lang w:val="en-US" w:eastAsia="zh-CN"/>
                    </w:rPr>
                  </w:pPr>
                  <w:r>
                    <w:rPr>
                      <w:rFonts w:hint="eastAsia" w:cs="Times New Roman"/>
                      <w:color w:val="auto"/>
                      <w:szCs w:val="21"/>
                      <w:lang w:val="en-US" w:eastAsia="zh-CN"/>
                    </w:rPr>
                    <w:t>③建筑垃圾资源化利用企业应根据生产工艺的需求，建设生产废水处理系统，实现生产废水循环利用和零排放。④建筑垃圾资源化利用企业应对噪声污染采取防治措施，达到《工业企业厂界环境噪声排放标准》GB12348的要求且符合企业所在地的相关地方标准和环境影响评价要求。</w:t>
                  </w:r>
                </w:p>
              </w:tc>
              <w:tc>
                <w:tcPr>
                  <w:tcW w:w="1976" w:type="pct"/>
                  <w:tcBorders>
                    <w:tl2br w:val="nil"/>
                    <w:tr2bl w:val="nil"/>
                  </w:tcBorders>
                  <w:noWrap w:val="0"/>
                  <w:vAlign w:val="center"/>
                </w:tcPr>
                <w:p w14:paraId="41678FB9">
                  <w:pPr>
                    <w:pStyle w:val="28"/>
                    <w:bidi w:val="0"/>
                    <w:rPr>
                      <w:rFonts w:hint="eastAsia"/>
                      <w:color w:val="auto"/>
                      <w:lang w:val="en-US" w:eastAsia="zh-CN"/>
                    </w:rPr>
                  </w:pPr>
                  <w:r>
                    <w:rPr>
                      <w:rFonts w:hint="eastAsia"/>
                      <w:color w:val="auto"/>
                      <w:lang w:val="en-US" w:eastAsia="zh-CN"/>
                    </w:rPr>
                    <w:t>①本项目将</w:t>
                  </w:r>
                  <w:r>
                    <w:rPr>
                      <w:rFonts w:hint="eastAsia" w:cs="Times New Roman"/>
                      <w:color w:val="auto"/>
                      <w:szCs w:val="21"/>
                      <w:lang w:val="en-US" w:eastAsia="zh-CN"/>
                    </w:rPr>
                    <w:t>严格执行《中华人民共和国环境影响评价法》，依法向环境保护行政主管部门报批建筑垃圾资源化利用项目环境影响评价文件，建设与项目相配套的环境保护设施，并依法申请项目竣工环境保护验收。</w:t>
                  </w:r>
                </w:p>
                <w:p w14:paraId="2481ECB9">
                  <w:pPr>
                    <w:pStyle w:val="28"/>
                    <w:bidi w:val="0"/>
                    <w:rPr>
                      <w:rFonts w:hint="default"/>
                      <w:color w:val="auto"/>
                      <w:lang w:val="en-US" w:eastAsia="zh-CN"/>
                    </w:rPr>
                  </w:pPr>
                  <w:r>
                    <w:rPr>
                      <w:rFonts w:hint="eastAsia"/>
                      <w:color w:val="auto"/>
                      <w:lang w:val="en-US" w:eastAsia="zh-CN"/>
                    </w:rPr>
                    <w:t>②本项目建筑垃圾回收利用生产车间设置相应的集尘设备，并通过车间内管线将含粉尘废气通过袋式除尘器处理后，经15m高排气筒排放，车间内的无组织粉尘通过车间内喷淋降尘措施进行处理，确保</w:t>
                  </w:r>
                  <w:r>
                    <w:rPr>
                      <w:rFonts w:hint="eastAsia" w:cs="Times New Roman"/>
                      <w:color w:val="auto"/>
                      <w:szCs w:val="21"/>
                      <w:lang w:val="en-US" w:eastAsia="zh-CN"/>
                    </w:rPr>
                    <w:t>达到《环境空气质量标准》GB3095的要求且符合企业所在地的相关地方标准和环境影响评价要求。</w:t>
                  </w:r>
                </w:p>
                <w:p w14:paraId="09040DE4">
                  <w:pPr>
                    <w:pStyle w:val="28"/>
                    <w:bidi w:val="0"/>
                    <w:rPr>
                      <w:rFonts w:hint="eastAsia"/>
                      <w:color w:val="auto"/>
                      <w:lang w:val="en-US" w:eastAsia="zh-CN"/>
                    </w:rPr>
                  </w:pPr>
                  <w:r>
                    <w:rPr>
                      <w:rFonts w:hint="eastAsia"/>
                      <w:color w:val="auto"/>
                      <w:lang w:val="en-US" w:eastAsia="zh-CN"/>
                    </w:rPr>
                    <w:t>③</w:t>
                  </w:r>
                  <w:r>
                    <w:rPr>
                      <w:rFonts w:hint="eastAsia" w:cs="Times New Roman"/>
                      <w:color w:val="auto"/>
                      <w:szCs w:val="21"/>
                      <w:lang w:val="en-US" w:eastAsia="zh-CN"/>
                    </w:rPr>
                    <w:t>建筑垃圾回收利用生产线的洗砂废水通过一套加药絮凝+沉淀+压滤等设备，处理后的清水进行回用，不外排，定期补充新鲜水。</w:t>
                  </w:r>
                </w:p>
                <w:p w14:paraId="2BBEF55E">
                  <w:pPr>
                    <w:pStyle w:val="28"/>
                    <w:bidi w:val="0"/>
                    <w:rPr>
                      <w:rFonts w:hint="default"/>
                      <w:color w:val="auto"/>
                      <w:lang w:val="en-US" w:eastAsia="zh-CN"/>
                    </w:rPr>
                  </w:pPr>
                  <w:r>
                    <w:rPr>
                      <w:rFonts w:hint="eastAsia"/>
                      <w:color w:val="auto"/>
                      <w:lang w:val="en-US" w:eastAsia="zh-CN"/>
                    </w:rPr>
                    <w:t>④本项目采取高噪声设备加装减震垫及厂区四周绿化的方式治理噪声，确保达到</w:t>
                  </w:r>
                  <w:r>
                    <w:rPr>
                      <w:rFonts w:hint="eastAsia" w:cs="Times New Roman"/>
                      <w:color w:val="auto"/>
                      <w:szCs w:val="21"/>
                      <w:lang w:val="en-US" w:eastAsia="zh-CN"/>
                    </w:rPr>
                    <w:t>《工业企业厂界环境噪声排放标准》GB12348的要求且符合企业所在地的相关地方标准和环境影响评价要求。</w:t>
                  </w:r>
                </w:p>
              </w:tc>
              <w:tc>
                <w:tcPr>
                  <w:tcW w:w="386" w:type="pct"/>
                  <w:tcBorders>
                    <w:tl2br w:val="nil"/>
                    <w:tr2bl w:val="nil"/>
                  </w:tcBorders>
                  <w:noWrap w:val="0"/>
                  <w:vAlign w:val="center"/>
                </w:tcPr>
                <w:p w14:paraId="7F2DFCA7">
                  <w:pPr>
                    <w:pStyle w:val="28"/>
                    <w:bidi w:val="0"/>
                    <w:rPr>
                      <w:rFonts w:hint="default"/>
                      <w:color w:val="auto"/>
                      <w:lang w:val="en-US" w:eastAsia="zh-CN"/>
                    </w:rPr>
                  </w:pPr>
                  <w:r>
                    <w:rPr>
                      <w:rFonts w:hint="eastAsia"/>
                      <w:color w:val="auto"/>
                      <w:lang w:val="en-US" w:eastAsia="zh-CN"/>
                    </w:rPr>
                    <w:t>符合</w:t>
                  </w:r>
                </w:p>
              </w:tc>
            </w:tr>
          </w:tbl>
          <w:p w14:paraId="09C97DF6">
            <w:pPr>
              <w:pStyle w:val="28"/>
              <w:rPr>
                <w:rFonts w:hint="eastAsia" w:ascii="Times New Roman" w:hAnsi="Times New Roman" w:eastAsia="宋体" w:cs="Times New Roman"/>
                <w:b/>
                <w:color w:val="auto"/>
                <w:kern w:val="2"/>
                <w:sz w:val="21"/>
                <w:szCs w:val="24"/>
                <w:lang w:val="en-US" w:eastAsia="zh-CN" w:bidi="ar-SA"/>
              </w:rPr>
            </w:pPr>
            <w:r>
              <w:rPr>
                <w:rFonts w:hint="eastAsia" w:ascii="Times New Roman" w:hAnsi="Times New Roman" w:eastAsia="宋体" w:cs="Times New Roman"/>
                <w:b/>
                <w:color w:val="auto"/>
                <w:kern w:val="2"/>
                <w:sz w:val="21"/>
                <w:szCs w:val="24"/>
                <w:lang w:val="en-US" w:eastAsia="zh-CN" w:bidi="ar-SA"/>
              </w:rPr>
              <w:t>表1-</w:t>
            </w:r>
            <w:r>
              <w:rPr>
                <w:rFonts w:hint="eastAsia" w:cs="Times New Roman"/>
                <w:b/>
                <w:color w:val="auto"/>
                <w:kern w:val="2"/>
                <w:sz w:val="21"/>
                <w:szCs w:val="24"/>
                <w:lang w:val="en-US" w:eastAsia="zh-CN" w:bidi="ar-SA"/>
              </w:rPr>
              <w:t>9</w:t>
            </w:r>
            <w:r>
              <w:rPr>
                <w:rFonts w:hint="eastAsia" w:ascii="Times New Roman" w:hAnsi="Times New Roman" w:eastAsia="宋体" w:cs="Times New Roman"/>
                <w:b/>
                <w:color w:val="auto"/>
                <w:kern w:val="2"/>
                <w:sz w:val="21"/>
                <w:szCs w:val="24"/>
                <w:lang w:val="en-US" w:eastAsia="zh-CN" w:bidi="ar-SA"/>
              </w:rPr>
              <w:t xml:space="preserve"> 与《</w:t>
            </w:r>
            <w:r>
              <w:rPr>
                <w:rFonts w:hint="default" w:ascii="Times New Roman" w:hAnsi="Times New Roman" w:eastAsia="宋体" w:cs="Times New Roman"/>
                <w:b/>
                <w:color w:val="auto"/>
                <w:kern w:val="2"/>
                <w:sz w:val="21"/>
                <w:szCs w:val="24"/>
                <w:lang w:val="en-US" w:eastAsia="zh-CN" w:bidi="ar-SA"/>
              </w:rPr>
              <w:t>福州市建筑垃圾处置管理办法</w:t>
            </w:r>
            <w:r>
              <w:rPr>
                <w:rFonts w:hint="eastAsia" w:ascii="Times New Roman" w:hAnsi="Times New Roman" w:eastAsia="宋体" w:cs="Times New Roman"/>
                <w:b/>
                <w:color w:val="auto"/>
                <w:kern w:val="2"/>
                <w:sz w:val="21"/>
                <w:szCs w:val="24"/>
                <w:lang w:val="en-US" w:eastAsia="zh-CN" w:bidi="ar-SA"/>
              </w:rPr>
              <w:t>》的符合性分析表</w:t>
            </w:r>
          </w:p>
          <w:tbl>
            <w:tblPr>
              <w:tblStyle w:val="20"/>
              <w:tblW w:w="4995"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25"/>
              <w:gridCol w:w="2860"/>
              <w:gridCol w:w="948"/>
            </w:tblGrid>
            <w:tr w14:paraId="4934F7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29" w:type="pct"/>
                  <w:tcBorders>
                    <w:tl2br w:val="nil"/>
                    <w:tr2bl w:val="nil"/>
                  </w:tcBorders>
                  <w:noWrap w:val="0"/>
                  <w:vAlign w:val="center"/>
                </w:tcPr>
                <w:p w14:paraId="53B3931B">
                  <w:pPr>
                    <w:pStyle w:val="28"/>
                    <w:bidi w:val="0"/>
                    <w:rPr>
                      <w:rFonts w:hint="default"/>
                      <w:b/>
                      <w:bCs/>
                      <w:color w:val="auto"/>
                      <w:lang w:val="en-US" w:eastAsia="zh-CN"/>
                    </w:rPr>
                  </w:pPr>
                  <w:r>
                    <w:rPr>
                      <w:rFonts w:hint="default"/>
                      <w:b/>
                      <w:bCs/>
                      <w:color w:val="auto"/>
                      <w:lang w:val="en-US" w:eastAsia="zh-CN"/>
                    </w:rPr>
                    <w:t>“</w:t>
                  </w:r>
                  <w:r>
                    <w:rPr>
                      <w:rFonts w:hint="default" w:ascii="Times New Roman" w:hAnsi="Times New Roman" w:eastAsia="宋体" w:cs="Times New Roman"/>
                      <w:b/>
                      <w:color w:val="auto"/>
                      <w:kern w:val="2"/>
                      <w:sz w:val="21"/>
                      <w:szCs w:val="24"/>
                      <w:lang w:val="en-US" w:eastAsia="zh-CN" w:bidi="ar-SA"/>
                    </w:rPr>
                    <w:t>管理办法</w:t>
                  </w:r>
                  <w:r>
                    <w:rPr>
                      <w:rFonts w:hint="default"/>
                      <w:b/>
                      <w:bCs/>
                      <w:color w:val="auto"/>
                      <w:lang w:val="en-US" w:eastAsia="zh-CN"/>
                    </w:rPr>
                    <w:t>”要求</w:t>
                  </w:r>
                </w:p>
              </w:tc>
              <w:tc>
                <w:tcPr>
                  <w:tcW w:w="1780" w:type="pct"/>
                  <w:tcBorders>
                    <w:tl2br w:val="nil"/>
                    <w:tr2bl w:val="nil"/>
                  </w:tcBorders>
                  <w:noWrap w:val="0"/>
                  <w:vAlign w:val="center"/>
                </w:tcPr>
                <w:p w14:paraId="6E01DFC1">
                  <w:pPr>
                    <w:pStyle w:val="28"/>
                    <w:bidi w:val="0"/>
                    <w:rPr>
                      <w:rFonts w:hint="default"/>
                      <w:b/>
                      <w:bCs/>
                      <w:color w:val="auto"/>
                      <w:lang w:val="en-US" w:eastAsia="zh-CN"/>
                    </w:rPr>
                  </w:pPr>
                  <w:r>
                    <w:rPr>
                      <w:rFonts w:hint="default"/>
                      <w:b/>
                      <w:bCs/>
                      <w:color w:val="auto"/>
                      <w:lang w:val="en-US" w:eastAsia="zh-CN"/>
                    </w:rPr>
                    <w:t>本项目</w:t>
                  </w:r>
                </w:p>
              </w:tc>
              <w:tc>
                <w:tcPr>
                  <w:tcW w:w="590" w:type="pct"/>
                  <w:tcBorders>
                    <w:tl2br w:val="nil"/>
                    <w:tr2bl w:val="nil"/>
                  </w:tcBorders>
                  <w:noWrap w:val="0"/>
                  <w:vAlign w:val="center"/>
                </w:tcPr>
                <w:p w14:paraId="33CE1997">
                  <w:pPr>
                    <w:pStyle w:val="28"/>
                    <w:bidi w:val="0"/>
                    <w:rPr>
                      <w:rFonts w:hint="default"/>
                      <w:b/>
                      <w:bCs/>
                      <w:color w:val="auto"/>
                      <w:lang w:val="en-US" w:eastAsia="zh-CN"/>
                    </w:rPr>
                  </w:pPr>
                  <w:r>
                    <w:rPr>
                      <w:rFonts w:hint="default"/>
                      <w:b/>
                      <w:bCs/>
                      <w:color w:val="auto"/>
                      <w:lang w:val="en-US" w:eastAsia="zh-CN"/>
                    </w:rPr>
                    <w:t>符合性</w:t>
                  </w:r>
                </w:p>
              </w:tc>
            </w:tr>
            <w:tr w14:paraId="11C419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8" w:hRule="atLeast"/>
              </w:trPr>
              <w:tc>
                <w:tcPr>
                  <w:tcW w:w="2629" w:type="pct"/>
                  <w:tcBorders>
                    <w:tl2br w:val="nil"/>
                    <w:tr2bl w:val="nil"/>
                  </w:tcBorders>
                  <w:noWrap w:val="0"/>
                  <w:vAlign w:val="center"/>
                </w:tcPr>
                <w:p w14:paraId="5076ED7E">
                  <w:pPr>
                    <w:pStyle w:val="28"/>
                    <w:bidi w:val="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①单位或个人处置建筑垃圾的，应当委托具有建筑垃圾准运资格的企业运输。个人和未取得建筑垃圾准运资格的企业不得从事建筑垃圾运输活动。</w:t>
                  </w:r>
                </w:p>
                <w:p w14:paraId="3C926CED">
                  <w:pPr>
                    <w:pStyle w:val="28"/>
                    <w:bidi w:val="0"/>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②</w:t>
                  </w:r>
                  <w:r>
                    <w:rPr>
                      <w:rFonts w:hint="default" w:ascii="Times New Roman" w:hAnsi="Times New Roman" w:eastAsia="宋体" w:cs="Times New Roman"/>
                      <w:color w:val="auto"/>
                      <w:szCs w:val="21"/>
                      <w:lang w:val="en-US" w:eastAsia="zh-CN"/>
                    </w:rPr>
                    <w:t>建设施工场地应当设置规范的净车出场设施，运输建筑垃圾的车辆离开施工场地前应当冲洗车辆，净车出场。</w:t>
                  </w:r>
                </w:p>
                <w:p w14:paraId="0D14394E">
                  <w:pPr>
                    <w:pStyle w:val="28"/>
                    <w:bidi w:val="0"/>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③运输车辆应当适量装载，随车携带建筑垃圾运输单，并按指定的时间、路线行驶，运输途中不得泄漏、遗撒。</w:t>
                  </w:r>
                </w:p>
              </w:tc>
              <w:tc>
                <w:tcPr>
                  <w:tcW w:w="1780" w:type="pct"/>
                  <w:tcBorders>
                    <w:tl2br w:val="nil"/>
                    <w:tr2bl w:val="nil"/>
                  </w:tcBorders>
                  <w:noWrap w:val="0"/>
                  <w:vAlign w:val="center"/>
                </w:tcPr>
                <w:p w14:paraId="4BC2BB91">
                  <w:pPr>
                    <w:pStyle w:val="28"/>
                    <w:bidi w:val="0"/>
                    <w:rPr>
                      <w:rFonts w:hint="eastAsia"/>
                      <w:color w:val="auto"/>
                      <w:lang w:val="en-US" w:eastAsia="zh-CN"/>
                    </w:rPr>
                  </w:pPr>
                  <w:r>
                    <w:rPr>
                      <w:rFonts w:hint="eastAsia"/>
                      <w:color w:val="auto"/>
                      <w:lang w:val="en-US" w:eastAsia="zh-CN"/>
                    </w:rPr>
                    <w:t>①本项目原料和成品运输委托具有建筑垃圾准运资格的企业运输。</w:t>
                  </w:r>
                </w:p>
                <w:p w14:paraId="1E32F02B">
                  <w:pPr>
                    <w:pStyle w:val="28"/>
                    <w:bidi w:val="0"/>
                    <w:rPr>
                      <w:rFonts w:hint="eastAsia"/>
                      <w:color w:val="auto"/>
                      <w:lang w:val="en-US" w:eastAsia="zh-CN"/>
                    </w:rPr>
                  </w:pPr>
                  <w:r>
                    <w:rPr>
                      <w:rFonts w:hint="eastAsia"/>
                      <w:color w:val="auto"/>
                      <w:lang w:val="en-US" w:eastAsia="zh-CN"/>
                    </w:rPr>
                    <w:t>②本项目设置洗车台，运输车辆进出场地应进行冲洗，保持轮胎清洁。</w:t>
                  </w:r>
                </w:p>
                <w:p w14:paraId="30FC711D">
                  <w:pPr>
                    <w:pStyle w:val="28"/>
                    <w:bidi w:val="0"/>
                    <w:rPr>
                      <w:rFonts w:hint="default"/>
                      <w:color w:val="auto"/>
                      <w:lang w:val="en-US" w:eastAsia="zh-CN"/>
                    </w:rPr>
                  </w:pPr>
                  <w:r>
                    <w:rPr>
                      <w:rFonts w:hint="eastAsia"/>
                      <w:color w:val="auto"/>
                      <w:lang w:val="en-US" w:eastAsia="zh-CN"/>
                    </w:rPr>
                    <w:t>③本项目运输车辆均按照建筑垃圾运输管理要求进行运输，车辆信息、运输路线、装载内容物信息等均需向当地城市管理部门进行申报后方可上路，并随车</w:t>
                  </w:r>
                  <w:r>
                    <w:rPr>
                      <w:rFonts w:hint="eastAsia" w:cs="Times New Roman"/>
                      <w:color w:val="auto"/>
                      <w:szCs w:val="21"/>
                      <w:lang w:val="en-US" w:eastAsia="zh-CN"/>
                    </w:rPr>
                    <w:t>携带建筑垃圾运输单，并按指定的时间、路线行驶，运输途中不得泄漏、遗撒。</w:t>
                  </w:r>
                </w:p>
              </w:tc>
              <w:tc>
                <w:tcPr>
                  <w:tcW w:w="590" w:type="pct"/>
                  <w:tcBorders>
                    <w:tl2br w:val="nil"/>
                    <w:tr2bl w:val="nil"/>
                  </w:tcBorders>
                  <w:noWrap w:val="0"/>
                  <w:vAlign w:val="center"/>
                </w:tcPr>
                <w:p w14:paraId="12787AA6">
                  <w:pPr>
                    <w:pStyle w:val="28"/>
                    <w:bidi w:val="0"/>
                    <w:rPr>
                      <w:rFonts w:hint="default"/>
                      <w:color w:val="auto"/>
                      <w:lang w:val="en-US" w:eastAsia="zh-CN"/>
                    </w:rPr>
                  </w:pPr>
                  <w:r>
                    <w:rPr>
                      <w:rFonts w:hint="default"/>
                      <w:color w:val="auto"/>
                      <w:lang w:val="en-US" w:eastAsia="zh-CN"/>
                    </w:rPr>
                    <w:t>符合</w:t>
                  </w:r>
                </w:p>
              </w:tc>
            </w:tr>
          </w:tbl>
          <w:p w14:paraId="651CD324">
            <w:pPr>
              <w:keepNext w:val="0"/>
              <w:keepLines w:val="0"/>
              <w:pageBreakBefore w:val="0"/>
              <w:widowControl w:val="0"/>
              <w:numPr>
                <w:ilvl w:val="0"/>
                <w:numId w:val="0"/>
              </w:numPr>
              <w:kinsoku/>
              <w:wordWrap/>
              <w:overflowPunct/>
              <w:topLinePunct w:val="0"/>
              <w:autoSpaceDE/>
              <w:autoSpaceDN/>
              <w:bidi w:val="0"/>
              <w:adjustRightInd/>
              <w:snapToGrid/>
              <w:spacing w:before="157" w:beforeLines="50" w:line="360" w:lineRule="auto"/>
              <w:ind w:firstLine="482" w:firstLineChars="200"/>
              <w:textAlignment w:val="auto"/>
              <w:rPr>
                <w:rFonts w:hint="eastAsia" w:cs="Times New Roman"/>
                <w:b/>
                <w:bCs/>
                <w:color w:val="auto"/>
                <w:lang w:val="en-US" w:eastAsia="zh-CN"/>
              </w:rPr>
            </w:pPr>
            <w:r>
              <w:rPr>
                <w:rFonts w:hint="eastAsia" w:cs="Times New Roman"/>
                <w:b/>
                <w:bCs/>
                <w:color w:val="auto"/>
                <w:lang w:val="en-US" w:eastAsia="zh-CN"/>
              </w:rPr>
              <w:t>10、与《公路安全保护条例》（中华人民共和国国务院令第593号）符合性分析</w:t>
            </w:r>
          </w:p>
          <w:p w14:paraId="3DF4B739">
            <w:pPr>
              <w:bidi w:val="0"/>
              <w:rPr>
                <w:rFonts w:hint="default"/>
                <w:color w:val="auto"/>
                <w:lang w:val="en-US" w:eastAsia="zh-CN"/>
              </w:rPr>
            </w:pPr>
            <w:r>
              <w:rPr>
                <w:rFonts w:hint="eastAsia"/>
                <w:color w:val="auto"/>
                <w:lang w:val="en-US" w:eastAsia="zh-CN"/>
              </w:rPr>
              <w:t>本项目位于福清市海口镇南厝村，项目西北侧有福厦高速（闽高速编号：S11）经过，高速道路东北-西南走向。根据《公路安全保护条例》（中华人民共和国国务院令第593号）规定，高速公路的公路建筑控制区的范围从公路用地外缘起向外的距离标准不少于30米。本项目用地红线距离高速道路的最近距离为52米，因此符合《公路安全保护条例》的相关规定</w:t>
            </w:r>
            <w:r>
              <w:rPr>
                <w:rFonts w:hint="eastAsia" w:ascii="宋体" w:hAnsi="宋体" w:eastAsia="宋体" w:cs="宋体"/>
                <w:i w:val="0"/>
                <w:iCs w:val="0"/>
                <w:caps w:val="0"/>
                <w:color w:val="auto"/>
                <w:spacing w:val="0"/>
                <w:sz w:val="24"/>
                <w:szCs w:val="24"/>
                <w:shd w:val="clear" w:fill="FFFFFF"/>
              </w:rPr>
              <w:t>。</w:t>
            </w:r>
          </w:p>
          <w:p w14:paraId="005D420A">
            <w:pPr>
              <w:pStyle w:val="30"/>
              <w:rPr>
                <w:rFonts w:hint="default" w:eastAsia="宋体"/>
                <w:color w:val="auto"/>
                <w:lang w:val="en-US" w:eastAsia="zh-CN"/>
              </w:rPr>
            </w:pPr>
          </w:p>
        </w:tc>
      </w:tr>
    </w:tbl>
    <w:p w14:paraId="32FE1D3D">
      <w:pPr>
        <w:jc w:val="both"/>
        <w:outlineLvl w:val="9"/>
        <w:rPr>
          <w:rFonts w:hint="default" w:ascii="Times New Roman" w:hAnsi="Times New Roman" w:eastAsia="宋体" w:cs="Times New Roman"/>
          <w:snapToGrid w:val="0"/>
          <w:color w:val="auto"/>
          <w:sz w:val="30"/>
          <w:szCs w:val="30"/>
        </w:rPr>
        <w:sectPr>
          <w:pgSz w:w="11906" w:h="16838"/>
          <w:pgMar w:top="1417" w:right="1417" w:bottom="1417" w:left="1417" w:header="851" w:footer="1077" w:gutter="0"/>
          <w:pgBorders>
            <w:top w:val="none" w:sz="0" w:space="0"/>
            <w:left w:val="none" w:sz="0" w:space="0"/>
            <w:bottom w:val="none" w:sz="0" w:space="0"/>
            <w:right w:val="none" w:sz="0" w:space="0"/>
          </w:pgBorders>
          <w:pgNumType w:fmt="numberInDash"/>
          <w:cols w:space="720" w:num="1"/>
          <w:docGrid w:linePitch="312" w:charSpace="0"/>
        </w:sectPr>
      </w:pPr>
    </w:p>
    <w:p w14:paraId="3C0AE06D">
      <w:pPr>
        <w:pStyle w:val="2"/>
        <w:bidi w:val="0"/>
        <w:jc w:val="center"/>
        <w:rPr>
          <w:rFonts w:hint="default"/>
          <w:color w:val="auto"/>
        </w:rPr>
      </w:pPr>
      <w:bookmarkStart w:id="8" w:name="_Toc26280"/>
      <w:bookmarkStart w:id="9" w:name="_Toc28523"/>
      <w:r>
        <w:rPr>
          <w:rFonts w:hint="default"/>
          <w:color w:val="auto"/>
        </w:rPr>
        <w:t>二、建设项目工程分析</w:t>
      </w:r>
      <w:bookmarkEnd w:id="8"/>
      <w:bookmarkEnd w:id="9"/>
    </w:p>
    <w:tbl>
      <w:tblPr>
        <w:tblStyle w:val="2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80"/>
        <w:gridCol w:w="8129"/>
      </w:tblGrid>
      <w:tr w14:paraId="26A2B4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0" w:type="dxa"/>
            <w:noWrap w:val="0"/>
            <w:vAlign w:val="center"/>
          </w:tcPr>
          <w:p w14:paraId="5D5A998F">
            <w:pPr>
              <w:bidi w:val="0"/>
              <w:ind w:left="0" w:leftChars="0" w:firstLine="0" w:firstLineChars="0"/>
              <w:rPr>
                <w:rFonts w:hint="default" w:ascii="Times New Roman" w:hAnsi="Times New Roman" w:eastAsia="宋体" w:cs="Times New Roman"/>
                <w:color w:val="auto"/>
                <w:szCs w:val="21"/>
              </w:rPr>
            </w:pPr>
            <w:r>
              <w:rPr>
                <w:rFonts w:hint="default" w:ascii="Times New Roman" w:hAnsi="Times New Roman" w:eastAsia="宋体"/>
                <w:color w:val="auto"/>
              </w:rPr>
              <w:t>建设内容</w:t>
            </w:r>
          </w:p>
        </w:tc>
        <w:tc>
          <w:tcPr>
            <w:tcW w:w="8129" w:type="dxa"/>
            <w:noWrap w:val="0"/>
            <w:vAlign w:val="top"/>
          </w:tcPr>
          <w:p w14:paraId="7D1A7DC0">
            <w:pPr>
              <w:pStyle w:val="3"/>
              <w:bidi w:val="0"/>
              <w:rPr>
                <w:rFonts w:hint="default"/>
                <w:color w:val="auto"/>
                <w:lang w:val="en-US" w:eastAsia="zh-CN"/>
              </w:rPr>
            </w:pPr>
            <w:r>
              <w:rPr>
                <w:rFonts w:hint="default"/>
                <w:color w:val="auto"/>
                <w:lang w:val="en-US" w:eastAsia="zh-CN"/>
              </w:rPr>
              <w:t>2.1 项目由来</w:t>
            </w:r>
          </w:p>
          <w:p w14:paraId="7F4429B8">
            <w:pPr>
              <w:bidi w:val="0"/>
              <w:rPr>
                <w:rFonts w:hint="default"/>
                <w:color w:val="auto"/>
                <w:lang w:val="en-US" w:eastAsia="zh-CN"/>
              </w:rPr>
            </w:pPr>
            <w:r>
              <w:rPr>
                <w:rFonts w:hint="eastAsia"/>
                <w:color w:val="auto"/>
                <w:lang w:val="en-US" w:eastAsia="zh-CN"/>
              </w:rPr>
              <w:t>福建融瀚建材有限公司（以下简称“建设单位”）成立于2015年5月13日，经营范围包括：制造、销售预应力高强混凝土管桩、预应力钢筒混凝土管、预应力钢筋混凝土管、水泥制品、水泥预制构件。商品混凝土生产、销售。建材、五金批发、零售；普通货物道路运输等。</w:t>
            </w:r>
            <w:r>
              <w:rPr>
                <w:rFonts w:hint="default"/>
                <w:color w:val="auto"/>
                <w:highlight w:val="none"/>
                <w:lang w:val="en-US" w:eastAsia="zh-CN"/>
              </w:rPr>
              <w:t>(营业执照和法定代表人身份证详见附件</w:t>
            </w:r>
            <w:r>
              <w:rPr>
                <w:rFonts w:hint="eastAsia"/>
                <w:color w:val="auto"/>
                <w:highlight w:val="none"/>
                <w:lang w:val="en-US" w:eastAsia="zh-CN"/>
              </w:rPr>
              <w:t>六</w:t>
            </w:r>
            <w:r>
              <w:rPr>
                <w:rFonts w:hint="default"/>
                <w:color w:val="auto"/>
                <w:highlight w:val="none"/>
                <w:lang w:val="en-US" w:eastAsia="zh-CN"/>
              </w:rPr>
              <w:t>)。</w:t>
            </w:r>
          </w:p>
          <w:p w14:paraId="481945FC">
            <w:pPr>
              <w:bidi w:val="0"/>
              <w:rPr>
                <w:rFonts w:hint="default"/>
                <w:color w:val="auto"/>
                <w:lang w:val="en-US" w:eastAsia="zh-CN"/>
              </w:rPr>
            </w:pPr>
            <w:r>
              <w:rPr>
                <w:rFonts w:hint="eastAsia"/>
                <w:color w:val="auto"/>
                <w:lang w:val="en-US" w:eastAsia="zh-CN"/>
              </w:rPr>
              <w:t>福建融瀚建材有限公司原址</w:t>
            </w:r>
            <w:r>
              <w:rPr>
                <w:rFonts w:hint="default"/>
                <w:color w:val="auto"/>
                <w:lang w:val="en-US" w:eastAsia="zh-CN"/>
              </w:rPr>
              <w:t>位于福建省福州市福清市海口镇东阁村真大线21公里处，</w:t>
            </w:r>
            <w:r>
              <w:rPr>
                <w:rFonts w:hint="eastAsia"/>
                <w:color w:val="auto"/>
                <w:lang w:val="en-US" w:eastAsia="zh-CN"/>
              </w:rPr>
              <w:t>为</w:t>
            </w:r>
            <w:r>
              <w:rPr>
                <w:rFonts w:hint="default"/>
                <w:color w:val="auto"/>
                <w:lang w:val="en-US" w:eastAsia="zh-CN"/>
              </w:rPr>
              <w:t>租赁福清市日盛饲料有限公司土地，从事商品混凝土生产，</w:t>
            </w:r>
            <w:r>
              <w:rPr>
                <w:rFonts w:hint="eastAsia"/>
                <w:color w:val="auto"/>
                <w:lang w:val="en-US" w:eastAsia="zh-CN"/>
              </w:rPr>
              <w:t>该址</w:t>
            </w:r>
            <w:r>
              <w:rPr>
                <w:rFonts w:hint="default"/>
                <w:color w:val="auto"/>
                <w:lang w:val="en-US" w:eastAsia="zh-CN"/>
              </w:rPr>
              <w:t>占地面积5565平方米，建筑面积4000平方米</w:t>
            </w:r>
            <w:r>
              <w:rPr>
                <w:rFonts w:hint="eastAsia"/>
                <w:color w:val="auto"/>
                <w:lang w:val="en-US" w:eastAsia="zh-CN"/>
              </w:rPr>
              <w:t>，</w:t>
            </w:r>
            <w:r>
              <w:rPr>
                <w:rFonts w:hint="default"/>
                <w:color w:val="auto"/>
                <w:lang w:val="en-US" w:eastAsia="zh-CN"/>
              </w:rPr>
              <w:t>年产预拌商品混凝土80万吨。</w:t>
            </w:r>
            <w:r>
              <w:rPr>
                <w:rFonts w:hint="eastAsia"/>
                <w:color w:val="auto"/>
                <w:lang w:val="en-US" w:eastAsia="zh-CN"/>
              </w:rPr>
              <w:t>迁建前工程企业员工58人，均不住厂，厂内不设食堂、公厕等辅助设施，年工作天数350天，单班制，每班8小时。</w:t>
            </w:r>
          </w:p>
          <w:p w14:paraId="237131F2">
            <w:pPr>
              <w:bidi w:val="0"/>
              <w:rPr>
                <w:rFonts w:hint="eastAsia"/>
                <w:color w:val="auto"/>
                <w:lang w:val="en-US" w:eastAsia="zh-CN"/>
              </w:rPr>
            </w:pPr>
            <w:r>
              <w:rPr>
                <w:rFonts w:hint="eastAsia"/>
                <w:color w:val="auto"/>
                <w:lang w:val="en-US" w:eastAsia="zh-CN"/>
              </w:rPr>
              <w:t>近年来，随着企业的发展壮大，现有用地已不能满足企业生产经营需求，因此，建设单位于2024年10月8日通过土地出让的形式购买位于福建省福州市福清市海口镇南厝村</w:t>
            </w:r>
            <w:r>
              <w:rPr>
                <w:rFonts w:hint="eastAsia"/>
                <w:color w:val="auto"/>
                <w:sz w:val="24"/>
                <w:lang w:eastAsia="zh-CN"/>
              </w:rPr>
              <w:t>962号</w:t>
            </w:r>
            <w:r>
              <w:rPr>
                <w:rFonts w:hint="eastAsia"/>
                <w:color w:val="auto"/>
                <w:sz w:val="24"/>
                <w:lang w:val="en-US" w:eastAsia="zh-CN"/>
              </w:rPr>
              <w:t>福建平达新材料科技</w:t>
            </w:r>
            <w:r>
              <w:rPr>
                <w:rFonts w:hint="eastAsia"/>
                <w:color w:val="auto"/>
                <w:sz w:val="24"/>
                <w:lang w:eastAsia="zh-CN"/>
              </w:rPr>
              <w:t>有限公司</w:t>
            </w:r>
            <w:r>
              <w:rPr>
                <w:rFonts w:hint="eastAsia"/>
                <w:color w:val="auto"/>
                <w:sz w:val="24"/>
                <w:lang w:val="en-US" w:eastAsia="zh-CN"/>
              </w:rPr>
              <w:t>西南侧</w:t>
            </w:r>
            <w:r>
              <w:rPr>
                <w:rFonts w:hint="eastAsia"/>
                <w:color w:val="auto"/>
                <w:lang w:val="en-US" w:eastAsia="zh-CN"/>
              </w:rPr>
              <w:t>工业场地36469m</w:t>
            </w:r>
            <w:r>
              <w:rPr>
                <w:rFonts w:hint="eastAsia"/>
                <w:color w:val="auto"/>
                <w:vertAlign w:val="superscript"/>
                <w:lang w:val="en-US" w:eastAsia="zh-CN"/>
              </w:rPr>
              <w:t>2</w:t>
            </w:r>
            <w:r>
              <w:rPr>
                <w:rFonts w:hint="eastAsia"/>
                <w:color w:val="auto"/>
                <w:lang w:val="en-US" w:eastAsia="zh-CN"/>
              </w:rPr>
              <w:t>，合约54.70亩，拟投资24600万元建设“福建融瀚建材有限公司年加工预拌商品混凝土80万立方米、砼结构件20万立方米、年回收加工建筑垃圾60万立方米项目”（国有建设用地使用权出让合同见附件三），该项目于2024年10月24日取得福州市福清市发展和改革局备案（闽发改备[2024]A060389号，</w:t>
            </w:r>
            <w:r>
              <w:rPr>
                <w:rFonts w:hint="eastAsia"/>
                <w:color w:val="auto"/>
                <w:highlight w:val="none"/>
                <w:lang w:val="en-US" w:eastAsia="zh-CN"/>
              </w:rPr>
              <w:t>详见附件二</w:t>
            </w:r>
            <w:r>
              <w:rPr>
                <w:rFonts w:hint="eastAsia"/>
                <w:color w:val="auto"/>
                <w:lang w:val="en-US" w:eastAsia="zh-CN"/>
              </w:rPr>
              <w:t>）</w:t>
            </w:r>
            <w:r>
              <w:rPr>
                <w:rFonts w:hint="eastAsia"/>
                <w:b w:val="0"/>
                <w:bCs w:val="0"/>
                <w:color w:val="auto"/>
                <w:sz w:val="24"/>
                <w:szCs w:val="24"/>
                <w:u w:val="none"/>
                <w:lang w:val="en-US" w:eastAsia="zh-CN"/>
              </w:rPr>
              <w:t>，于2024年10月28日取得</w:t>
            </w:r>
            <w:r>
              <w:rPr>
                <w:rFonts w:hint="eastAsia" w:cs="Times New Roman"/>
                <w:color w:val="auto"/>
                <w:spacing w:val="0"/>
                <w:sz w:val="24"/>
                <w:szCs w:val="24"/>
                <w:highlight w:val="none"/>
                <w:lang w:val="en-US" w:eastAsia="zh-CN"/>
              </w:rPr>
              <w:t>建设用地规划许可证</w:t>
            </w:r>
            <w:r>
              <w:rPr>
                <w:rFonts w:hint="eastAsia" w:cs="Times New Roman"/>
                <w:color w:val="auto"/>
                <w:spacing w:val="0"/>
                <w:sz w:val="24"/>
                <w:szCs w:val="24"/>
                <w:highlight w:val="none"/>
                <w:lang w:eastAsia="zh-CN"/>
              </w:rPr>
              <w:t>（</w:t>
            </w:r>
            <w:r>
              <w:rPr>
                <w:rFonts w:hint="eastAsia" w:cs="Times New Roman"/>
                <w:color w:val="auto"/>
                <w:spacing w:val="0"/>
                <w:sz w:val="24"/>
                <w:szCs w:val="24"/>
                <w:highlight w:val="none"/>
                <w:lang w:val="en-US" w:eastAsia="zh-CN"/>
              </w:rPr>
              <w:t>地字第350181202400119号，详见附件四</w:t>
            </w:r>
            <w:r>
              <w:rPr>
                <w:rFonts w:hint="eastAsia" w:cs="Times New Roman"/>
                <w:color w:val="auto"/>
                <w:spacing w:val="0"/>
                <w:sz w:val="24"/>
                <w:szCs w:val="24"/>
                <w:highlight w:val="none"/>
                <w:lang w:eastAsia="zh-CN"/>
              </w:rPr>
              <w:t>），</w:t>
            </w:r>
            <w:r>
              <w:rPr>
                <w:rFonts w:hint="eastAsia"/>
                <w:color w:val="auto"/>
                <w:u w:val="none"/>
                <w:lang w:val="en-US" w:eastAsia="zh-CN"/>
              </w:rPr>
              <w:t>于</w:t>
            </w:r>
            <w:r>
              <w:rPr>
                <w:rFonts w:hint="eastAsia"/>
                <w:color w:val="auto"/>
                <w:u w:val="none"/>
              </w:rPr>
              <w:t>202</w:t>
            </w:r>
            <w:r>
              <w:rPr>
                <w:rFonts w:hint="eastAsia"/>
                <w:color w:val="auto"/>
                <w:u w:val="none"/>
                <w:lang w:val="en-US" w:eastAsia="zh-CN"/>
              </w:rPr>
              <w:t>4</w:t>
            </w:r>
            <w:r>
              <w:rPr>
                <w:rFonts w:hint="eastAsia"/>
                <w:color w:val="auto"/>
                <w:u w:val="none"/>
              </w:rPr>
              <w:t>年</w:t>
            </w:r>
            <w:r>
              <w:rPr>
                <w:rFonts w:hint="eastAsia"/>
                <w:color w:val="auto"/>
                <w:u w:val="none"/>
                <w:lang w:val="en-US" w:eastAsia="zh-CN"/>
              </w:rPr>
              <w:t>12</w:t>
            </w:r>
            <w:r>
              <w:rPr>
                <w:rFonts w:hint="eastAsia"/>
                <w:color w:val="auto"/>
                <w:u w:val="none"/>
              </w:rPr>
              <w:t>月</w:t>
            </w:r>
            <w:r>
              <w:rPr>
                <w:rFonts w:hint="eastAsia"/>
                <w:color w:val="auto"/>
                <w:u w:val="none"/>
                <w:lang w:val="en-US" w:eastAsia="zh-CN"/>
              </w:rPr>
              <w:t>19</w:t>
            </w:r>
            <w:r>
              <w:rPr>
                <w:rFonts w:hint="eastAsia"/>
                <w:color w:val="auto"/>
                <w:u w:val="none"/>
              </w:rPr>
              <w:t>日取得</w:t>
            </w:r>
            <w:r>
              <w:rPr>
                <w:rFonts w:hint="eastAsia"/>
                <w:b w:val="0"/>
                <w:bCs w:val="0"/>
                <w:color w:val="auto"/>
                <w:sz w:val="24"/>
                <w:szCs w:val="24"/>
                <w:u w:val="none"/>
                <w:lang w:val="en-US" w:eastAsia="zh-CN"/>
              </w:rPr>
              <w:t>建设工程规划许可证（建字第350181202400398号，</w:t>
            </w:r>
            <w:r>
              <w:rPr>
                <w:rFonts w:hint="eastAsia" w:cs="Times New Roman"/>
                <w:b w:val="0"/>
                <w:bCs w:val="0"/>
                <w:color w:val="auto"/>
                <w:sz w:val="24"/>
                <w:szCs w:val="24"/>
                <w:u w:val="none"/>
                <w:lang w:val="en-US" w:eastAsia="zh-CN"/>
              </w:rPr>
              <w:t>见附件五</w:t>
            </w:r>
            <w:r>
              <w:rPr>
                <w:rFonts w:hint="eastAsia"/>
                <w:b w:val="0"/>
                <w:bCs w:val="0"/>
                <w:color w:val="auto"/>
                <w:sz w:val="24"/>
                <w:szCs w:val="24"/>
                <w:u w:val="none"/>
                <w:lang w:val="en-US" w:eastAsia="zh-CN"/>
              </w:rPr>
              <w:t>）</w:t>
            </w:r>
            <w:r>
              <w:rPr>
                <w:rFonts w:hint="eastAsia"/>
                <w:color w:val="auto"/>
                <w:highlight w:val="none"/>
                <w:lang w:val="en-US" w:eastAsia="zh-CN"/>
              </w:rPr>
              <w:t>。</w:t>
            </w:r>
          </w:p>
          <w:p w14:paraId="48D7299E">
            <w:pPr>
              <w:bidi w:val="0"/>
              <w:rPr>
                <w:rFonts w:hint="eastAsia"/>
                <w:color w:val="auto"/>
                <w:lang w:val="en-US" w:eastAsia="zh-CN"/>
              </w:rPr>
            </w:pPr>
            <w:r>
              <w:rPr>
                <w:rFonts w:hint="eastAsia"/>
                <w:color w:val="auto"/>
                <w:lang w:val="en-US" w:eastAsia="zh-CN"/>
              </w:rPr>
              <w:t>迁建项目原备案设计规模年加工预拌商品混凝土80万立方米、砼结构件20万立方米、年回收加工建筑垃圾60万立方米。鉴于投资资金等问题，企业拟分二期建设，其中一期建设年加工预拌商品混凝土80万立方米、砼结构件20万立方米内容，二期建设年回收加工建筑垃圾60万立方米内容。</w:t>
            </w:r>
          </w:p>
          <w:p w14:paraId="6F3B3CAC">
            <w:pPr>
              <w:bidi w:val="0"/>
              <w:rPr>
                <w:rFonts w:hint="default"/>
                <w:color w:val="auto"/>
                <w:sz w:val="24"/>
                <w:szCs w:val="24"/>
                <w:lang w:val="en-US" w:eastAsia="zh-CN"/>
              </w:rPr>
            </w:pPr>
            <w:r>
              <w:rPr>
                <w:rFonts w:hint="eastAsia"/>
                <w:color w:val="auto"/>
                <w:lang w:val="en-US" w:eastAsia="zh-CN"/>
              </w:rPr>
              <w:t>一期建设项目已于2025年4月委托</w:t>
            </w:r>
            <w:r>
              <w:rPr>
                <w:rFonts w:hint="eastAsia"/>
                <w:color w:val="auto"/>
                <w:sz w:val="24"/>
                <w:szCs w:val="24"/>
                <w:lang w:val="en-US" w:eastAsia="zh-CN"/>
              </w:rPr>
              <w:t>技术单位编制《福建融瀚建材有限公司年加工预拌商品混凝土80万立方米、砼结构件20万立方米、年回收加工建筑垃圾60万立方米</w:t>
            </w:r>
            <w:r>
              <w:rPr>
                <w:rFonts w:hint="eastAsia"/>
                <w:color w:val="auto"/>
                <w:sz w:val="24"/>
                <w:szCs w:val="24"/>
                <w:lang w:eastAsia="zh-CN"/>
              </w:rPr>
              <w:t>项目</w:t>
            </w:r>
            <w:r>
              <w:rPr>
                <w:rFonts w:hint="eastAsia"/>
                <w:color w:val="auto"/>
                <w:sz w:val="24"/>
                <w:szCs w:val="24"/>
                <w:lang w:val="en-US" w:eastAsia="zh-CN"/>
              </w:rPr>
              <w:t>环境影响报告表》（以下简称“原环评”），2025年</w:t>
            </w:r>
            <w:r>
              <w:rPr>
                <w:rFonts w:hint="eastAsia"/>
                <w:color w:val="auto"/>
                <w:lang w:val="en-US" w:eastAsia="zh-CN"/>
              </w:rPr>
              <w:t>9月4日原环评取得了福州市生态环境局的批复（《关于《福建融瀚建材有限公司年加工预拌商品混凝土80万立方米、砼结构件20万立方米、年回收加工建筑垃圾60万立方米项目环境影响报告表》批复意见》（榕融环评[2025]71号，批复内容详见附件九））。</w:t>
            </w:r>
            <w:r>
              <w:rPr>
                <w:rFonts w:hint="eastAsia"/>
                <w:color w:val="auto"/>
                <w:sz w:val="24"/>
                <w:szCs w:val="24"/>
                <w:lang w:val="en-US" w:eastAsia="zh-CN"/>
              </w:rPr>
              <w:t>原环评及批复项目的建设内容及规模为：年加工</w:t>
            </w:r>
            <w:r>
              <w:rPr>
                <w:rFonts w:hint="eastAsia"/>
                <w:color w:val="auto"/>
                <w:lang w:val="en-US" w:eastAsia="zh-CN"/>
              </w:rPr>
              <w:t>预拌商品混凝土80万立方米、砼结构件20万立方米。</w:t>
            </w:r>
          </w:p>
          <w:p w14:paraId="6217FA9E">
            <w:pPr>
              <w:bidi w:val="0"/>
              <w:rPr>
                <w:rFonts w:hint="eastAsia"/>
                <w:color w:val="auto"/>
                <w:lang w:val="en-US" w:eastAsia="zh-CN"/>
              </w:rPr>
            </w:pPr>
            <w:r>
              <w:rPr>
                <w:rFonts w:hint="eastAsia"/>
                <w:color w:val="auto"/>
                <w:lang w:val="en-US" w:eastAsia="zh-CN"/>
              </w:rPr>
              <w:t>一期项目目前正在建设中，为适应市场变化，提高企业生产竞争力，企业开始着手二期项目建设，预计将与一期项目同时投产，由于增加二期年回收加工建筑垃圾60万立方米建设内容，需要重新报批环评文件。</w:t>
            </w:r>
          </w:p>
          <w:p w14:paraId="6310D444">
            <w:pPr>
              <w:bidi w:val="0"/>
              <w:rPr>
                <w:rFonts w:hint="default"/>
                <w:color w:val="auto"/>
                <w:lang w:val="en-US" w:eastAsia="zh-CN"/>
              </w:rPr>
            </w:pPr>
            <w:r>
              <w:rPr>
                <w:rFonts w:hint="eastAsia"/>
                <w:color w:val="auto"/>
                <w:lang w:val="en-US" w:eastAsia="zh-CN"/>
              </w:rPr>
              <w:t>本次新增年回收加工建筑垃圾60万立方米生产线，其所生产机制砂与石料全部用于本项目年加工预拌商品混凝土80万立方米、砼结构件20万立方米生产线，因此本次评价按照全厂内容进行评价，</w:t>
            </w:r>
            <w:r>
              <w:rPr>
                <w:rFonts w:hint="eastAsia"/>
                <w:color w:val="auto"/>
                <w:sz w:val="24"/>
                <w:szCs w:val="24"/>
                <w:lang w:val="en-US" w:eastAsia="zh-CN"/>
              </w:rPr>
              <w:t>建设内容及规模为：年加工</w:t>
            </w:r>
            <w:r>
              <w:rPr>
                <w:rFonts w:hint="eastAsia"/>
                <w:color w:val="auto"/>
                <w:lang w:val="en-US" w:eastAsia="zh-CN"/>
              </w:rPr>
              <w:t>预拌商品混凝土80万立方米、砼结构件20万立方米、年回收加工建筑垃圾60万立方米，依照变动后的全厂内容进行编制。</w:t>
            </w:r>
          </w:p>
          <w:p w14:paraId="65DBC5CD">
            <w:pPr>
              <w:bidi w:val="0"/>
              <w:rPr>
                <w:rFonts w:hint="default"/>
                <w:lang w:val="en-US" w:eastAsia="zh-CN"/>
              </w:rPr>
            </w:pPr>
            <w:r>
              <w:rPr>
                <w:rFonts w:hint="default"/>
                <w:lang w:val="en-US" w:eastAsia="zh-CN"/>
              </w:rPr>
              <w:t>本项目较</w:t>
            </w:r>
            <w:r>
              <w:rPr>
                <w:rFonts w:hint="eastAsia"/>
                <w:lang w:val="en-US" w:eastAsia="zh-CN"/>
              </w:rPr>
              <w:t>一期已批复</w:t>
            </w:r>
            <w:r>
              <w:rPr>
                <w:rFonts w:hint="default"/>
                <w:lang w:val="en-US" w:eastAsia="zh-CN"/>
              </w:rPr>
              <w:t>环评变化情况见表2</w:t>
            </w:r>
            <w:r>
              <w:rPr>
                <w:rFonts w:hint="eastAsia"/>
                <w:lang w:val="en-US" w:eastAsia="zh-CN"/>
              </w:rPr>
              <w:t>.1</w:t>
            </w:r>
            <w:r>
              <w:rPr>
                <w:rFonts w:hint="default"/>
                <w:lang w:val="en-US" w:eastAsia="zh-CN"/>
              </w:rPr>
              <w:t>-1。</w:t>
            </w:r>
          </w:p>
          <w:p w14:paraId="275C32D1">
            <w:pPr>
              <w:pStyle w:val="33"/>
              <w:bidi w:val="0"/>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表2.1-1 本项目较</w:t>
            </w:r>
            <w:r>
              <w:rPr>
                <w:rFonts w:hint="eastAsia" w:cs="Times New Roman"/>
                <w:color w:val="auto"/>
                <w:sz w:val="24"/>
                <w:szCs w:val="24"/>
                <w:lang w:val="en-US" w:eastAsia="zh-CN"/>
              </w:rPr>
              <w:t>一期</w:t>
            </w:r>
            <w:r>
              <w:rPr>
                <w:rFonts w:hint="eastAsia" w:ascii="Times New Roman" w:hAnsi="Times New Roman" w:eastAsia="宋体" w:cs="Times New Roman"/>
                <w:color w:val="auto"/>
                <w:sz w:val="24"/>
                <w:szCs w:val="24"/>
                <w:lang w:val="en-US" w:eastAsia="zh-CN"/>
              </w:rPr>
              <w:t>环评及批复主要变动情况分析</w:t>
            </w:r>
          </w:p>
          <w:p w14:paraId="323C0140">
            <w:pPr>
              <w:keepNext w:val="0"/>
              <w:keepLines w:val="0"/>
              <w:pageBreakBefore w:val="0"/>
              <w:widowControl w:val="0"/>
              <w:kinsoku/>
              <w:wordWrap/>
              <w:overflowPunct/>
              <w:topLinePunct w:val="0"/>
              <w:autoSpaceDE/>
              <w:autoSpaceDN/>
              <w:bidi w:val="0"/>
              <w:adjustRightInd/>
              <w:snapToGrid w:val="0"/>
              <w:spacing w:before="157" w:beforeLines="50" w:line="360" w:lineRule="auto"/>
              <w:ind w:firstLine="480" w:firstLineChars="200"/>
              <w:textAlignment w:val="auto"/>
              <w:rPr>
                <w:rFonts w:hint="eastAsia" w:hAnsiTheme="minorEastAsia" w:eastAsiaTheme="minorEastAsia"/>
                <w:color w:val="auto"/>
                <w:sz w:val="24"/>
                <w:szCs w:val="24"/>
              </w:rPr>
            </w:pPr>
            <w:r>
              <w:rPr>
                <w:rFonts w:hint="eastAsia" w:hAnsiTheme="minorEastAsia" w:eastAsiaTheme="minorEastAsia"/>
                <w:color w:val="auto"/>
                <w:sz w:val="24"/>
                <w:szCs w:val="24"/>
              </w:rPr>
              <w:t>对照《关于印发污染影响类建设项目重大变动清单（试行）》（环办环评函〔2020〕688号），本次变动属于重大变动（具体分析详见表</w:t>
            </w:r>
            <w:r>
              <w:rPr>
                <w:rFonts w:hint="eastAsia" w:hAnsiTheme="minorEastAsia" w:eastAsiaTheme="minorEastAsia"/>
                <w:color w:val="auto"/>
                <w:sz w:val="24"/>
                <w:szCs w:val="24"/>
                <w:lang w:val="en-US" w:eastAsia="zh-CN"/>
              </w:rPr>
              <w:t>2.1-2</w:t>
            </w:r>
            <w:r>
              <w:rPr>
                <w:rFonts w:hint="eastAsia" w:hAnsiTheme="minorEastAsia" w:eastAsiaTheme="minorEastAsia"/>
                <w:color w:val="auto"/>
                <w:sz w:val="24"/>
                <w:szCs w:val="24"/>
              </w:rPr>
              <w:t>）</w:t>
            </w:r>
            <w:r>
              <w:rPr>
                <w:rFonts w:hint="eastAsia" w:hAnsiTheme="minorEastAsia" w:eastAsiaTheme="minorEastAsia"/>
                <w:color w:val="auto"/>
                <w:sz w:val="24"/>
                <w:szCs w:val="24"/>
                <w:lang w:eastAsia="zh-CN"/>
              </w:rPr>
              <w:t>，</w:t>
            </w:r>
            <w:r>
              <w:rPr>
                <w:rFonts w:hint="eastAsia" w:hAnsiTheme="minorEastAsia" w:eastAsiaTheme="minorEastAsia"/>
                <w:color w:val="auto"/>
                <w:sz w:val="24"/>
                <w:szCs w:val="24"/>
                <w:lang w:val="en-US" w:eastAsia="zh-CN"/>
              </w:rPr>
              <w:t>需重新报批环境影响评价文件</w:t>
            </w:r>
            <w:r>
              <w:rPr>
                <w:rFonts w:hint="eastAsia" w:hAnsiTheme="minorEastAsia" w:eastAsiaTheme="minorEastAsia"/>
                <w:color w:val="auto"/>
                <w:sz w:val="24"/>
                <w:szCs w:val="24"/>
              </w:rPr>
              <w:t>。</w:t>
            </w:r>
          </w:p>
          <w:p w14:paraId="4661A18A">
            <w:pPr>
              <w:keepNext w:val="0"/>
              <w:keepLines w:val="0"/>
              <w:pageBreakBefore w:val="0"/>
              <w:widowControl w:val="0"/>
              <w:kinsoku/>
              <w:wordWrap/>
              <w:overflowPunct/>
              <w:topLinePunct w:val="0"/>
              <w:autoSpaceDE/>
              <w:autoSpaceDN/>
              <w:bidi w:val="0"/>
              <w:adjustRightInd/>
              <w:snapToGrid w:val="0"/>
              <w:spacing w:before="157" w:beforeLines="50" w:line="360" w:lineRule="auto"/>
              <w:ind w:left="0" w:leftChars="0" w:firstLine="0" w:firstLineChars="0"/>
              <w:jc w:val="center"/>
              <w:textAlignment w:val="auto"/>
              <w:rPr>
                <w:rFonts w:hint="eastAsia" w:ascii="Times New Roman" w:hAnsi="Times New Roman" w:eastAsia="宋体" w:cs="Times New Roman"/>
                <w:b/>
                <w:color w:val="auto"/>
                <w:kern w:val="2"/>
                <w:sz w:val="24"/>
                <w:szCs w:val="24"/>
                <w:lang w:val="en-US" w:eastAsia="zh-CN" w:bidi="ar-SA"/>
              </w:rPr>
            </w:pPr>
            <w:r>
              <w:rPr>
                <w:rFonts w:hint="eastAsia" w:ascii="Times New Roman" w:hAnsi="Times New Roman" w:eastAsia="宋体" w:cs="Times New Roman"/>
                <w:b/>
                <w:color w:val="auto"/>
                <w:kern w:val="2"/>
                <w:sz w:val="24"/>
                <w:szCs w:val="24"/>
                <w:lang w:val="en-US" w:eastAsia="zh-CN" w:bidi="ar-SA"/>
              </w:rPr>
              <w:t>表2.1-2  污染影响类建设项目重大变动清单（试行）</w:t>
            </w:r>
          </w:p>
          <w:p w14:paraId="332DF0C1">
            <w:pPr>
              <w:keepNext w:val="0"/>
              <w:keepLines w:val="0"/>
              <w:pageBreakBefore w:val="0"/>
              <w:widowControl w:val="0"/>
              <w:kinsoku/>
              <w:wordWrap/>
              <w:overflowPunct/>
              <w:topLinePunct w:val="0"/>
              <w:autoSpaceDE/>
              <w:autoSpaceDN/>
              <w:bidi w:val="0"/>
              <w:adjustRightInd/>
              <w:snapToGrid/>
              <w:spacing w:before="157" w:beforeLines="50"/>
              <w:textAlignment w:val="auto"/>
              <w:rPr>
                <w:rFonts w:hint="eastAsia"/>
                <w:color w:val="auto"/>
                <w:lang w:val="en-US" w:eastAsia="zh-CN"/>
              </w:rPr>
            </w:pPr>
            <w:r>
              <w:rPr>
                <w:rFonts w:hint="eastAsia"/>
                <w:color w:val="auto"/>
                <w:lang w:val="en-US" w:eastAsia="zh-CN"/>
              </w:rPr>
              <w:t>根据《中华人民共和国环境保护法》(2015年)、《中华人民共和国环境影响评价法》(2018年修正)、《建设项目环境保护管理条例》(2017年)、《建设项目环境影响评价分类管理名录》(2021年版)规定，本项目</w:t>
            </w:r>
            <w:r>
              <w:rPr>
                <w:rFonts w:hint="eastAsia"/>
                <w:lang w:val="en-US" w:eastAsia="zh-CN"/>
              </w:rPr>
              <w:t>为</w:t>
            </w:r>
            <w:r>
              <w:rPr>
                <w:rFonts w:hint="eastAsia"/>
                <w:color w:val="auto"/>
                <w:sz w:val="24"/>
                <w:szCs w:val="24"/>
                <w:lang w:val="en-US" w:eastAsia="zh-CN"/>
              </w:rPr>
              <w:t>年加工</w:t>
            </w:r>
            <w:r>
              <w:rPr>
                <w:rFonts w:hint="eastAsia"/>
                <w:color w:val="auto"/>
                <w:lang w:val="en-US" w:eastAsia="zh-CN"/>
              </w:rPr>
              <w:t>预拌商品混凝土80万立方米生产线、砼结构件20万立方米生产线、年回收加工建筑垃圾60万立方米生产线，需编制环境影响报告表，详见表2.1-3。</w:t>
            </w:r>
          </w:p>
          <w:p w14:paraId="14AB23F3">
            <w:pPr>
              <w:rPr>
                <w:rFonts w:hint="default"/>
                <w:color w:val="auto"/>
                <w:sz w:val="24"/>
                <w:szCs w:val="24"/>
              </w:rPr>
            </w:pPr>
            <w:r>
              <w:rPr>
                <w:rFonts w:hint="eastAsia"/>
                <w:color w:val="auto"/>
                <w:lang w:val="en-US" w:eastAsia="zh-CN"/>
              </w:rPr>
              <w:t>为此，建设单位委托我司编制该项目的环境影响报告表(委托书详见附件一)。本环评单位接受委托后，立即派技术人员踏勘现场和收集有关资料，按照《建设项目环境影响报告表编制技术指南(污染影响类)》(试行)及相关技术规范要求，编制了本环境影响报告表。</w:t>
            </w:r>
          </w:p>
          <w:p w14:paraId="655DB5FE">
            <w:pPr>
              <w:pStyle w:val="33"/>
              <w:bidi w:val="0"/>
              <w:rPr>
                <w:rFonts w:hint="default"/>
                <w:color w:val="auto"/>
                <w:sz w:val="24"/>
                <w:szCs w:val="24"/>
              </w:rPr>
            </w:pPr>
            <w:r>
              <w:rPr>
                <w:rFonts w:hint="default"/>
                <w:color w:val="auto"/>
                <w:sz w:val="24"/>
                <w:szCs w:val="24"/>
              </w:rPr>
              <w:t>表2</w:t>
            </w:r>
            <w:r>
              <w:rPr>
                <w:rFonts w:hint="eastAsia"/>
                <w:color w:val="auto"/>
                <w:sz w:val="24"/>
                <w:szCs w:val="24"/>
                <w:lang w:val="en-US" w:eastAsia="zh-CN"/>
              </w:rPr>
              <w:t>.1-3</w:t>
            </w:r>
            <w:r>
              <w:rPr>
                <w:rFonts w:hint="default"/>
                <w:color w:val="auto"/>
                <w:sz w:val="24"/>
                <w:szCs w:val="24"/>
              </w:rPr>
              <w:t xml:space="preserve">  建设</w:t>
            </w:r>
            <w:r>
              <w:rPr>
                <w:rFonts w:hint="default"/>
                <w:color w:val="auto"/>
                <w:sz w:val="24"/>
                <w:szCs w:val="24"/>
                <w:lang w:eastAsia="zh-CN"/>
              </w:rPr>
              <w:t>项目</w:t>
            </w:r>
            <w:r>
              <w:rPr>
                <w:rFonts w:hint="default"/>
                <w:color w:val="auto"/>
                <w:sz w:val="24"/>
                <w:szCs w:val="24"/>
              </w:rPr>
              <w:t>环境影响评价分类管理名录(摘录)</w:t>
            </w:r>
          </w:p>
          <w:tbl>
            <w:tblPr>
              <w:tblStyle w:val="20"/>
              <w:tblW w:w="486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0"/>
              <w:gridCol w:w="1850"/>
              <w:gridCol w:w="2018"/>
              <w:gridCol w:w="2332"/>
              <w:gridCol w:w="848"/>
            </w:tblGrid>
            <w:tr w14:paraId="095BFF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3" w:type="pct"/>
                  <w:gridSpan w:val="2"/>
                  <w:tcBorders>
                    <w:tl2br w:val="single" w:color="auto" w:sz="4" w:space="0"/>
                    <w:tr2bl w:val="nil"/>
                  </w:tcBorders>
                  <w:shd w:val="clear" w:color="auto" w:fill="auto"/>
                  <w:noWrap w:val="0"/>
                  <w:vAlign w:val="top"/>
                </w:tcPr>
                <w:p w14:paraId="4C2FCA1D">
                  <w:pPr>
                    <w:pStyle w:val="28"/>
                    <w:bidi w:val="0"/>
                    <w:jc w:val="right"/>
                    <w:rPr>
                      <w:rFonts w:hint="default"/>
                      <w:color w:val="auto"/>
                    </w:rPr>
                  </w:pPr>
                  <w:r>
                    <w:rPr>
                      <w:rFonts w:hint="default"/>
                      <w:color w:val="auto"/>
                    </w:rPr>
                    <w:t>环评类别</w:t>
                  </w:r>
                </w:p>
                <w:p w14:paraId="5453E096">
                  <w:pPr>
                    <w:pStyle w:val="28"/>
                    <w:bidi w:val="0"/>
                    <w:jc w:val="left"/>
                    <w:rPr>
                      <w:rFonts w:hint="default"/>
                      <w:color w:val="auto"/>
                    </w:rPr>
                  </w:pPr>
                  <w:r>
                    <w:rPr>
                      <w:rFonts w:hint="default"/>
                      <w:color w:val="auto"/>
                    </w:rPr>
                    <w:t>项目类别</w:t>
                  </w:r>
                </w:p>
              </w:tc>
              <w:tc>
                <w:tcPr>
                  <w:tcW w:w="1310" w:type="pct"/>
                  <w:tcBorders>
                    <w:tl2br w:val="nil"/>
                    <w:tr2bl w:val="nil"/>
                  </w:tcBorders>
                  <w:shd w:val="clear" w:color="auto" w:fill="auto"/>
                  <w:noWrap w:val="0"/>
                  <w:vAlign w:val="center"/>
                </w:tcPr>
                <w:p w14:paraId="347E5CD8">
                  <w:pPr>
                    <w:pStyle w:val="28"/>
                    <w:bidi w:val="0"/>
                    <w:rPr>
                      <w:rFonts w:hint="default"/>
                      <w:color w:val="auto"/>
                    </w:rPr>
                  </w:pPr>
                  <w:r>
                    <w:rPr>
                      <w:rFonts w:hint="default"/>
                      <w:color w:val="auto"/>
                    </w:rPr>
                    <w:t>报告书</w:t>
                  </w:r>
                </w:p>
              </w:tc>
              <w:tc>
                <w:tcPr>
                  <w:tcW w:w="1514" w:type="pct"/>
                  <w:tcBorders>
                    <w:tl2br w:val="nil"/>
                    <w:tr2bl w:val="nil"/>
                  </w:tcBorders>
                  <w:shd w:val="clear" w:color="auto" w:fill="BEBEBE"/>
                  <w:noWrap w:val="0"/>
                  <w:vAlign w:val="center"/>
                </w:tcPr>
                <w:p w14:paraId="30436B7F">
                  <w:pPr>
                    <w:pStyle w:val="28"/>
                    <w:bidi w:val="0"/>
                    <w:rPr>
                      <w:rFonts w:hint="default"/>
                      <w:color w:val="auto"/>
                    </w:rPr>
                  </w:pPr>
                  <w:r>
                    <w:rPr>
                      <w:rFonts w:hint="default"/>
                      <w:color w:val="auto"/>
                    </w:rPr>
                    <w:t>报告表</w:t>
                  </w:r>
                </w:p>
              </w:tc>
              <w:tc>
                <w:tcPr>
                  <w:tcW w:w="550" w:type="pct"/>
                  <w:tcBorders>
                    <w:tl2br w:val="nil"/>
                    <w:tr2bl w:val="nil"/>
                  </w:tcBorders>
                  <w:noWrap w:val="0"/>
                  <w:vAlign w:val="center"/>
                </w:tcPr>
                <w:p w14:paraId="2EA323BE">
                  <w:pPr>
                    <w:pStyle w:val="28"/>
                    <w:bidi w:val="0"/>
                    <w:rPr>
                      <w:rFonts w:hint="default"/>
                      <w:color w:val="auto"/>
                    </w:rPr>
                  </w:pPr>
                  <w:r>
                    <w:rPr>
                      <w:rFonts w:hint="default"/>
                      <w:color w:val="auto"/>
                    </w:rPr>
                    <w:t>登记表</w:t>
                  </w:r>
                </w:p>
              </w:tc>
            </w:tr>
            <w:tr w14:paraId="5F2B46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tcBorders>
                    <w:tl2br w:val="nil"/>
                    <w:tr2bl w:val="nil"/>
                  </w:tcBorders>
                  <w:noWrap w:val="0"/>
                  <w:vAlign w:val="center"/>
                </w:tcPr>
                <w:p w14:paraId="7E5F816D">
                  <w:pPr>
                    <w:pStyle w:val="28"/>
                    <w:bidi w:val="0"/>
                    <w:jc w:val="both"/>
                    <w:rPr>
                      <w:rFonts w:hint="default"/>
                      <w:color w:val="auto"/>
                      <w:lang w:val="en-US" w:eastAsia="zh-CN"/>
                    </w:rPr>
                  </w:pPr>
                  <w:r>
                    <w:rPr>
                      <w:rFonts w:hint="eastAsia"/>
                      <w:color w:val="auto"/>
                      <w:lang w:eastAsia="zh-CN"/>
                    </w:rPr>
                    <w:t>二十七、非金属矿物制品业</w:t>
                  </w:r>
                </w:p>
              </w:tc>
            </w:tr>
            <w:tr w14:paraId="5AD600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2" w:type="pct"/>
                  <w:tcBorders>
                    <w:tl2br w:val="nil"/>
                    <w:tr2bl w:val="nil"/>
                  </w:tcBorders>
                  <w:shd w:val="clear" w:color="auto" w:fill="auto"/>
                  <w:noWrap w:val="0"/>
                  <w:vAlign w:val="center"/>
                </w:tcPr>
                <w:p w14:paraId="1DD055A8">
                  <w:pPr>
                    <w:pStyle w:val="28"/>
                    <w:bidi w:val="0"/>
                    <w:jc w:val="center"/>
                    <w:rPr>
                      <w:rFonts w:hint="default"/>
                      <w:color w:val="auto"/>
                      <w:lang w:val="en-US"/>
                    </w:rPr>
                  </w:pPr>
                  <w:r>
                    <w:rPr>
                      <w:rFonts w:hint="eastAsia"/>
                      <w:color w:val="auto"/>
                      <w:lang w:val="en-US" w:eastAsia="zh-CN"/>
                    </w:rPr>
                    <w:t>55</w:t>
                  </w:r>
                </w:p>
              </w:tc>
              <w:tc>
                <w:tcPr>
                  <w:tcW w:w="1201" w:type="pct"/>
                  <w:tcBorders>
                    <w:tl2br w:val="nil"/>
                    <w:tr2bl w:val="nil"/>
                  </w:tcBorders>
                  <w:shd w:val="clear" w:color="auto" w:fill="auto"/>
                  <w:noWrap w:val="0"/>
                  <w:vAlign w:val="center"/>
                </w:tcPr>
                <w:p w14:paraId="6B4F2493">
                  <w:pPr>
                    <w:pStyle w:val="28"/>
                    <w:bidi w:val="0"/>
                    <w:jc w:val="center"/>
                    <w:rPr>
                      <w:rFonts w:hint="default"/>
                      <w:color w:val="auto"/>
                      <w:lang w:val="en-US" w:eastAsia="zh-CN"/>
                    </w:rPr>
                  </w:pPr>
                  <w:r>
                    <w:rPr>
                      <w:rFonts w:hint="eastAsia"/>
                      <w:color w:val="auto"/>
                      <w:lang w:val="en-US" w:eastAsia="zh-CN"/>
                    </w:rPr>
                    <w:t>石膏、水泥制品及类似制品制造302</w:t>
                  </w:r>
                </w:p>
              </w:tc>
              <w:tc>
                <w:tcPr>
                  <w:tcW w:w="1310" w:type="pct"/>
                  <w:tcBorders>
                    <w:tl2br w:val="nil"/>
                    <w:tr2bl w:val="nil"/>
                  </w:tcBorders>
                  <w:shd w:val="clear" w:color="auto" w:fill="auto"/>
                  <w:noWrap w:val="0"/>
                  <w:vAlign w:val="center"/>
                </w:tcPr>
                <w:p w14:paraId="4C48FCD0">
                  <w:pPr>
                    <w:pStyle w:val="28"/>
                    <w:bidi w:val="0"/>
                    <w:jc w:val="center"/>
                    <w:rPr>
                      <w:rFonts w:hint="eastAsia"/>
                      <w:color w:val="auto"/>
                      <w:lang w:eastAsia="zh-CN"/>
                    </w:rPr>
                  </w:pPr>
                  <w:r>
                    <w:rPr>
                      <w:rFonts w:hint="eastAsia"/>
                      <w:color w:val="auto"/>
                      <w:lang w:val="en-US" w:eastAsia="zh-CN"/>
                    </w:rPr>
                    <w:t>/</w:t>
                  </w:r>
                </w:p>
              </w:tc>
              <w:tc>
                <w:tcPr>
                  <w:tcW w:w="1514" w:type="pct"/>
                  <w:tcBorders>
                    <w:tl2br w:val="nil"/>
                    <w:tr2bl w:val="nil"/>
                  </w:tcBorders>
                  <w:shd w:val="clear" w:color="auto" w:fill="BEBEBE"/>
                  <w:noWrap w:val="0"/>
                  <w:vAlign w:val="center"/>
                </w:tcPr>
                <w:p w14:paraId="6424AF36">
                  <w:pPr>
                    <w:pStyle w:val="28"/>
                    <w:bidi w:val="0"/>
                    <w:jc w:val="center"/>
                    <w:rPr>
                      <w:rFonts w:hint="eastAsia"/>
                      <w:color w:val="auto"/>
                      <w:lang w:eastAsia="zh-CN"/>
                    </w:rPr>
                  </w:pPr>
                  <w:r>
                    <w:rPr>
                      <w:rFonts w:hint="eastAsia"/>
                      <w:color w:val="auto"/>
                      <w:lang w:eastAsia="zh-CN"/>
                    </w:rPr>
                    <w:t>商品混凝土；砼结构构件制造；水泥制品制造</w:t>
                  </w:r>
                </w:p>
              </w:tc>
              <w:tc>
                <w:tcPr>
                  <w:tcW w:w="550" w:type="pct"/>
                  <w:tcBorders>
                    <w:tl2br w:val="nil"/>
                    <w:tr2bl w:val="nil"/>
                  </w:tcBorders>
                  <w:noWrap w:val="0"/>
                  <w:vAlign w:val="center"/>
                </w:tcPr>
                <w:p w14:paraId="2FA90CFC">
                  <w:pPr>
                    <w:pStyle w:val="28"/>
                    <w:bidi w:val="0"/>
                    <w:jc w:val="center"/>
                    <w:rPr>
                      <w:rFonts w:hint="eastAsia"/>
                      <w:color w:val="auto"/>
                      <w:lang w:eastAsia="zh-CN"/>
                    </w:rPr>
                  </w:pPr>
                  <w:r>
                    <w:rPr>
                      <w:rFonts w:hint="eastAsia"/>
                      <w:color w:val="auto"/>
                      <w:lang w:val="en-US" w:eastAsia="zh-CN"/>
                    </w:rPr>
                    <w:t>/</w:t>
                  </w:r>
                </w:p>
              </w:tc>
            </w:tr>
            <w:tr w14:paraId="57F587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tcBorders>
                    <w:tl2br w:val="nil"/>
                    <w:tr2bl w:val="nil"/>
                  </w:tcBorders>
                  <w:shd w:val="clear" w:color="auto" w:fill="auto"/>
                  <w:noWrap w:val="0"/>
                  <w:vAlign w:val="center"/>
                </w:tcPr>
                <w:p w14:paraId="53697C26">
                  <w:pPr>
                    <w:pStyle w:val="28"/>
                    <w:bidi w:val="0"/>
                    <w:jc w:val="both"/>
                    <w:rPr>
                      <w:rFonts w:hint="eastAsia"/>
                      <w:color w:val="auto"/>
                      <w:lang w:val="en-US" w:eastAsia="zh-CN"/>
                    </w:rPr>
                  </w:pPr>
                  <w:r>
                    <w:rPr>
                      <w:rFonts w:hint="eastAsia" w:ascii="Times New Roman" w:hAnsi="Times New Roman" w:eastAsia="宋体" w:cs="Times New Roman"/>
                      <w:color w:val="auto"/>
                      <w:lang w:val="en-US" w:eastAsia="zh-CN"/>
                    </w:rPr>
                    <w:t>四十七、生态保护和环境治理业</w:t>
                  </w:r>
                </w:p>
              </w:tc>
            </w:tr>
            <w:tr w14:paraId="57ED3A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0" w:hRule="atLeast"/>
                <w:jc w:val="center"/>
              </w:trPr>
              <w:tc>
                <w:tcPr>
                  <w:tcW w:w="650" w:type="dxa"/>
                  <w:tcBorders>
                    <w:tl2br w:val="nil"/>
                    <w:tr2bl w:val="nil"/>
                  </w:tcBorders>
                  <w:shd w:val="clear" w:color="auto" w:fill="auto"/>
                  <w:noWrap w:val="0"/>
                  <w:vAlign w:val="center"/>
                </w:tcPr>
                <w:p w14:paraId="6BF39A4B">
                  <w:pPr>
                    <w:pStyle w:val="28"/>
                    <w:bidi w:val="0"/>
                    <w:ind w:left="0" w:leftChars="0" w:firstLine="0" w:firstLineChars="0"/>
                    <w:jc w:val="center"/>
                    <w:rPr>
                      <w:rFonts w:hint="eastAsia"/>
                      <w:color w:val="auto"/>
                      <w:lang w:val="en-US" w:eastAsia="zh-CN"/>
                    </w:rPr>
                  </w:pPr>
                  <w:r>
                    <w:rPr>
                      <w:rFonts w:hint="eastAsia"/>
                      <w:lang w:val="en-US" w:eastAsia="zh-CN"/>
                    </w:rPr>
                    <w:t>103</w:t>
                  </w:r>
                </w:p>
              </w:tc>
              <w:tc>
                <w:tcPr>
                  <w:tcW w:w="1850" w:type="dxa"/>
                  <w:tcBorders>
                    <w:tl2br w:val="nil"/>
                    <w:tr2bl w:val="nil"/>
                  </w:tcBorders>
                  <w:shd w:val="clear" w:color="auto" w:fill="auto"/>
                  <w:noWrap w:val="0"/>
                  <w:vAlign w:val="center"/>
                </w:tcPr>
                <w:p w14:paraId="28B35478">
                  <w:pPr>
                    <w:pStyle w:val="28"/>
                    <w:bidi w:val="0"/>
                    <w:ind w:left="0" w:leftChars="0" w:firstLine="0" w:firstLineChars="0"/>
                    <w:jc w:val="center"/>
                    <w:rPr>
                      <w:rFonts w:hint="eastAsia"/>
                      <w:color w:val="auto"/>
                      <w:lang w:val="en-US" w:eastAsia="zh-CN"/>
                    </w:rPr>
                  </w:pPr>
                  <w:r>
                    <w:rPr>
                      <w:rFonts w:hint="eastAsia"/>
                      <w:lang w:val="en-US" w:eastAsia="zh-CN"/>
                    </w:rPr>
                    <w:t>一般工业固体废物（含污水处理污泥）、建筑施工废弃物处置及综合利用</w:t>
                  </w:r>
                </w:p>
              </w:tc>
              <w:tc>
                <w:tcPr>
                  <w:tcW w:w="2018" w:type="dxa"/>
                  <w:tcBorders>
                    <w:tl2br w:val="nil"/>
                    <w:tr2bl w:val="nil"/>
                  </w:tcBorders>
                  <w:shd w:val="clear" w:color="auto" w:fill="auto"/>
                  <w:noWrap w:val="0"/>
                  <w:vAlign w:val="center"/>
                </w:tcPr>
                <w:p w14:paraId="6CD7E3A0">
                  <w:pPr>
                    <w:pStyle w:val="28"/>
                    <w:bidi w:val="0"/>
                    <w:ind w:left="0" w:leftChars="0" w:firstLine="0" w:firstLineChars="0"/>
                    <w:jc w:val="center"/>
                    <w:rPr>
                      <w:rFonts w:hint="eastAsia"/>
                      <w:color w:val="auto"/>
                      <w:lang w:val="en-US" w:eastAsia="zh-CN"/>
                    </w:rPr>
                  </w:pPr>
                  <w:r>
                    <w:rPr>
                      <w:rFonts w:hint="eastAsia"/>
                      <w:lang w:val="en-US" w:eastAsia="zh-CN"/>
                    </w:rPr>
                    <w:t>一般工业固体废物（含污水处理污泥）采取填埋、焚烧（水泥窑协同处置的改造项目除外）方式的</w:t>
                  </w:r>
                </w:p>
              </w:tc>
              <w:tc>
                <w:tcPr>
                  <w:tcW w:w="2332" w:type="dxa"/>
                  <w:tcBorders>
                    <w:tl2br w:val="nil"/>
                    <w:tr2bl w:val="nil"/>
                  </w:tcBorders>
                  <w:shd w:val="clear" w:color="auto" w:fill="BEBEBE"/>
                  <w:noWrap w:val="0"/>
                  <w:vAlign w:val="center"/>
                </w:tcPr>
                <w:p w14:paraId="2C027D01">
                  <w:pPr>
                    <w:pStyle w:val="28"/>
                    <w:bidi w:val="0"/>
                    <w:ind w:left="0" w:leftChars="0" w:firstLine="0" w:firstLineChars="0"/>
                    <w:jc w:val="center"/>
                    <w:rPr>
                      <w:rFonts w:hint="eastAsia"/>
                      <w:color w:val="auto"/>
                      <w:lang w:eastAsia="zh-CN"/>
                    </w:rPr>
                  </w:pPr>
                  <w:r>
                    <w:rPr>
                      <w:rFonts w:hint="eastAsia"/>
                      <w:lang w:val="en-US" w:eastAsia="zh-CN"/>
                    </w:rPr>
                    <w:t>其他</w:t>
                  </w:r>
                </w:p>
              </w:tc>
              <w:tc>
                <w:tcPr>
                  <w:tcW w:w="848" w:type="dxa"/>
                  <w:tcBorders>
                    <w:tl2br w:val="nil"/>
                    <w:tr2bl w:val="nil"/>
                  </w:tcBorders>
                  <w:noWrap w:val="0"/>
                  <w:vAlign w:val="center"/>
                </w:tcPr>
                <w:p w14:paraId="45484FD1">
                  <w:pPr>
                    <w:pStyle w:val="28"/>
                    <w:bidi w:val="0"/>
                    <w:ind w:left="0" w:leftChars="0" w:firstLine="0" w:firstLineChars="0"/>
                    <w:jc w:val="center"/>
                    <w:rPr>
                      <w:rFonts w:hint="eastAsia"/>
                      <w:color w:val="auto"/>
                      <w:lang w:val="en-US" w:eastAsia="zh-CN"/>
                    </w:rPr>
                  </w:pPr>
                  <w:r>
                    <w:rPr>
                      <w:rFonts w:hint="eastAsia"/>
                      <w:lang w:val="en-US" w:eastAsia="zh-CN"/>
                    </w:rPr>
                    <w:t>/</w:t>
                  </w:r>
                </w:p>
              </w:tc>
            </w:tr>
          </w:tbl>
          <w:p w14:paraId="6A2AB05F">
            <w:pPr>
              <w:pStyle w:val="3"/>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2.2工程概况</w:t>
            </w:r>
          </w:p>
          <w:p w14:paraId="63F1E05A">
            <w:pPr>
              <w:pStyle w:val="4"/>
              <w:bidi w:val="0"/>
              <w:rPr>
                <w:rFonts w:hint="default"/>
                <w:color w:val="auto"/>
              </w:rPr>
            </w:pPr>
            <w:bookmarkStart w:id="10" w:name="_Toc7532"/>
            <w:bookmarkStart w:id="11" w:name="_Toc7446"/>
            <w:r>
              <w:rPr>
                <w:rFonts w:hint="default"/>
                <w:color w:val="auto"/>
                <w:lang w:val="en-US" w:eastAsia="zh-CN"/>
              </w:rPr>
              <w:t>2</w:t>
            </w:r>
            <w:r>
              <w:rPr>
                <w:rFonts w:hint="default"/>
                <w:color w:val="auto"/>
              </w:rPr>
              <w:t>.</w:t>
            </w:r>
            <w:r>
              <w:rPr>
                <w:rFonts w:hint="default"/>
                <w:color w:val="auto"/>
                <w:lang w:val="en-US" w:eastAsia="zh-CN"/>
              </w:rPr>
              <w:t>2</w:t>
            </w:r>
            <w:r>
              <w:rPr>
                <w:rFonts w:hint="default"/>
                <w:color w:val="auto"/>
              </w:rPr>
              <w:t>.</w:t>
            </w:r>
            <w:r>
              <w:rPr>
                <w:rFonts w:hint="eastAsia"/>
                <w:color w:val="auto"/>
                <w:lang w:val="en-US" w:eastAsia="zh-CN"/>
              </w:rPr>
              <w:t>1</w:t>
            </w:r>
            <w:r>
              <w:rPr>
                <w:rFonts w:hint="default"/>
                <w:color w:val="auto"/>
              </w:rPr>
              <w:t xml:space="preserve"> </w:t>
            </w:r>
            <w:r>
              <w:rPr>
                <w:rFonts w:hint="eastAsia"/>
                <w:color w:val="auto"/>
                <w:lang w:val="en-US" w:eastAsia="zh-CN"/>
              </w:rPr>
              <w:t>项目</w:t>
            </w:r>
            <w:r>
              <w:rPr>
                <w:rFonts w:hint="default"/>
                <w:color w:val="auto"/>
              </w:rPr>
              <w:t>基本概况</w:t>
            </w:r>
            <w:bookmarkEnd w:id="10"/>
            <w:bookmarkEnd w:id="11"/>
          </w:p>
          <w:p w14:paraId="795866F5">
            <w:pPr>
              <w:bidi w:val="0"/>
              <w:rPr>
                <w:rFonts w:hint="eastAsia"/>
                <w:color w:val="auto"/>
                <w:lang w:eastAsia="zh-CN"/>
              </w:rPr>
            </w:pPr>
            <w:r>
              <w:rPr>
                <w:rFonts w:hint="eastAsia"/>
                <w:color w:val="auto"/>
                <w:lang w:eastAsia="zh-CN"/>
              </w:rPr>
              <w:t>（</w:t>
            </w:r>
            <w:r>
              <w:rPr>
                <w:rFonts w:hint="eastAsia"/>
                <w:color w:val="auto"/>
                <w:lang w:val="en-US" w:eastAsia="zh-CN"/>
              </w:rPr>
              <w:t>1</w:t>
            </w:r>
            <w:r>
              <w:rPr>
                <w:rFonts w:hint="eastAsia"/>
                <w:color w:val="auto"/>
                <w:lang w:eastAsia="zh-CN"/>
              </w:rPr>
              <w:t>）</w:t>
            </w:r>
            <w:r>
              <w:rPr>
                <w:rFonts w:hint="default"/>
                <w:color w:val="auto"/>
              </w:rPr>
              <w:t>项目名称：福建融瀚建材有限公司年加工预拌商品混凝土80万立方米、砼结构件20万立方米、年回收加工建筑垃圾60万立方米</w:t>
            </w:r>
          </w:p>
          <w:p w14:paraId="2BBB4652">
            <w:pPr>
              <w:bidi w:val="0"/>
              <w:rPr>
                <w:rFonts w:hint="eastAsia"/>
                <w:color w:val="auto"/>
                <w:lang w:eastAsia="zh-CN"/>
              </w:rPr>
            </w:pPr>
            <w:r>
              <w:rPr>
                <w:rFonts w:hint="eastAsia"/>
                <w:color w:val="auto"/>
                <w:lang w:eastAsia="zh-CN"/>
              </w:rPr>
              <w:t>（</w:t>
            </w:r>
            <w:r>
              <w:rPr>
                <w:rFonts w:hint="eastAsia"/>
                <w:color w:val="auto"/>
                <w:lang w:val="en-US" w:eastAsia="zh-CN"/>
              </w:rPr>
              <w:t>2</w:t>
            </w:r>
            <w:r>
              <w:rPr>
                <w:rFonts w:hint="eastAsia"/>
                <w:color w:val="auto"/>
                <w:lang w:eastAsia="zh-CN"/>
              </w:rPr>
              <w:t>）</w:t>
            </w:r>
            <w:r>
              <w:rPr>
                <w:rFonts w:hint="default"/>
                <w:color w:val="auto"/>
              </w:rPr>
              <w:t>建设单位：福建融瀚建材有限公司</w:t>
            </w:r>
          </w:p>
          <w:p w14:paraId="56D21FAC">
            <w:pPr>
              <w:bidi w:val="0"/>
              <w:rPr>
                <w:rFonts w:hint="eastAsia"/>
                <w:color w:val="auto"/>
                <w:lang w:eastAsia="zh-CN"/>
              </w:rPr>
            </w:pPr>
            <w:r>
              <w:rPr>
                <w:rFonts w:hint="eastAsia"/>
                <w:color w:val="auto"/>
                <w:lang w:eastAsia="zh-CN"/>
              </w:rPr>
              <w:t>（</w:t>
            </w:r>
            <w:r>
              <w:rPr>
                <w:rFonts w:hint="eastAsia"/>
                <w:color w:val="auto"/>
                <w:lang w:val="en-US" w:eastAsia="zh-CN"/>
              </w:rPr>
              <w:t>3</w:t>
            </w:r>
            <w:r>
              <w:rPr>
                <w:rFonts w:hint="eastAsia"/>
                <w:color w:val="auto"/>
                <w:lang w:eastAsia="zh-CN"/>
              </w:rPr>
              <w:t>）</w:t>
            </w:r>
            <w:r>
              <w:rPr>
                <w:rFonts w:hint="default"/>
                <w:color w:val="auto"/>
              </w:rPr>
              <w:t>建设地点：福建省福州市福清市海口镇南厝村</w:t>
            </w:r>
          </w:p>
          <w:p w14:paraId="19715BAB">
            <w:pPr>
              <w:bidi w:val="0"/>
              <w:rPr>
                <w:rFonts w:hint="default"/>
                <w:color w:val="auto"/>
              </w:rPr>
            </w:pPr>
            <w:r>
              <w:rPr>
                <w:rFonts w:hint="eastAsia"/>
                <w:color w:val="auto"/>
                <w:lang w:eastAsia="zh-CN"/>
              </w:rPr>
              <w:t>（</w:t>
            </w:r>
            <w:r>
              <w:rPr>
                <w:rFonts w:hint="eastAsia"/>
                <w:color w:val="auto"/>
                <w:lang w:val="en-US" w:eastAsia="zh-CN"/>
              </w:rPr>
              <w:t>4</w:t>
            </w:r>
            <w:r>
              <w:rPr>
                <w:rFonts w:hint="eastAsia"/>
                <w:color w:val="auto"/>
                <w:lang w:eastAsia="zh-CN"/>
              </w:rPr>
              <w:t>）</w:t>
            </w:r>
            <w:r>
              <w:rPr>
                <w:rFonts w:hint="default"/>
                <w:color w:val="auto"/>
              </w:rPr>
              <w:t>企业性质：内资企业</w:t>
            </w:r>
          </w:p>
          <w:p w14:paraId="27829D1D">
            <w:pPr>
              <w:bidi w:val="0"/>
              <w:rPr>
                <w:rFonts w:hint="eastAsia"/>
                <w:color w:val="auto"/>
                <w:lang w:val="en-US" w:eastAsia="zh-CN"/>
              </w:rPr>
            </w:pPr>
            <w:r>
              <w:rPr>
                <w:rFonts w:hint="eastAsia"/>
                <w:color w:val="auto"/>
                <w:lang w:eastAsia="zh-CN"/>
              </w:rPr>
              <w:t>（</w:t>
            </w:r>
            <w:r>
              <w:rPr>
                <w:rFonts w:hint="eastAsia"/>
                <w:color w:val="auto"/>
                <w:lang w:val="en-US" w:eastAsia="zh-CN"/>
              </w:rPr>
              <w:t>5</w:t>
            </w:r>
            <w:r>
              <w:rPr>
                <w:rFonts w:hint="eastAsia"/>
                <w:color w:val="auto"/>
                <w:lang w:eastAsia="zh-CN"/>
              </w:rPr>
              <w:t>）</w:t>
            </w:r>
            <w:r>
              <w:rPr>
                <w:rFonts w:hint="eastAsia"/>
                <w:color w:val="auto"/>
                <w:lang w:val="en-US" w:eastAsia="zh-CN"/>
              </w:rPr>
              <w:t>项目</w:t>
            </w:r>
            <w:r>
              <w:rPr>
                <w:rFonts w:hint="default"/>
                <w:color w:val="auto"/>
              </w:rPr>
              <w:t>总投资：</w:t>
            </w:r>
            <w:r>
              <w:rPr>
                <w:rFonts w:hint="eastAsia"/>
                <w:color w:val="auto"/>
                <w:lang w:val="en-US" w:eastAsia="zh-CN"/>
              </w:rPr>
              <w:t>24600万元</w:t>
            </w:r>
          </w:p>
          <w:p w14:paraId="1F1126D5">
            <w:pPr>
              <w:bidi w:val="0"/>
              <w:rPr>
                <w:rFonts w:hint="eastAsia"/>
                <w:color w:val="auto"/>
                <w:lang w:val="en-US" w:eastAsia="zh-CN"/>
              </w:rPr>
            </w:pPr>
            <w:r>
              <w:rPr>
                <w:rFonts w:hint="eastAsia"/>
                <w:color w:val="auto"/>
                <w:lang w:eastAsia="zh-CN"/>
              </w:rPr>
              <w:t>（</w:t>
            </w:r>
            <w:r>
              <w:rPr>
                <w:rFonts w:hint="eastAsia"/>
                <w:color w:val="auto"/>
                <w:lang w:val="en-US" w:eastAsia="zh-CN"/>
              </w:rPr>
              <w:t>6</w:t>
            </w:r>
            <w:r>
              <w:rPr>
                <w:rFonts w:hint="eastAsia"/>
                <w:color w:val="auto"/>
                <w:lang w:eastAsia="zh-CN"/>
              </w:rPr>
              <w:t>）</w:t>
            </w:r>
            <w:r>
              <w:rPr>
                <w:rFonts w:hint="default"/>
                <w:color w:val="auto"/>
              </w:rPr>
              <w:t>建设规模：</w:t>
            </w:r>
            <w:r>
              <w:rPr>
                <w:rFonts w:hint="eastAsia"/>
                <w:color w:val="auto"/>
                <w:lang w:val="en-US" w:eastAsia="zh-CN"/>
              </w:rPr>
              <w:t>项目占地面积36469平方米，约54.7亩。</w:t>
            </w:r>
          </w:p>
          <w:p w14:paraId="2B76BA19">
            <w:pPr>
              <w:bidi w:val="0"/>
              <w:rPr>
                <w:rFonts w:hint="eastAsia" w:eastAsia="宋体"/>
                <w:color w:val="auto"/>
                <w:lang w:val="en-US" w:eastAsia="zh-CN"/>
              </w:rPr>
            </w:pPr>
            <w:r>
              <w:rPr>
                <w:rFonts w:hint="eastAsia"/>
                <w:color w:val="auto"/>
                <w:lang w:val="en-US" w:eastAsia="zh-CN"/>
              </w:rPr>
              <w:t>（7）</w:t>
            </w:r>
            <w:r>
              <w:rPr>
                <w:rFonts w:hint="default"/>
                <w:color w:val="auto"/>
                <w:lang w:val="en-US" w:eastAsia="zh-CN"/>
              </w:rPr>
              <w:t>生产规模：</w:t>
            </w:r>
            <w:r>
              <w:rPr>
                <w:rFonts w:hint="default"/>
                <w:color w:val="auto"/>
              </w:rPr>
              <w:t>年加工预拌商品混凝土80万立方米、砼结构件20万立方米</w:t>
            </w:r>
            <w:r>
              <w:rPr>
                <w:rFonts w:hint="eastAsia"/>
                <w:color w:val="auto"/>
                <w:lang w:eastAsia="zh-CN"/>
              </w:rPr>
              <w:t>、</w:t>
            </w:r>
            <w:r>
              <w:rPr>
                <w:rFonts w:hint="default"/>
                <w:color w:val="auto"/>
              </w:rPr>
              <w:t>年回收加工建筑垃圾60万立方米</w:t>
            </w:r>
          </w:p>
          <w:p w14:paraId="64B9B208">
            <w:pPr>
              <w:bidi w:val="0"/>
              <w:rPr>
                <w:rFonts w:hint="default"/>
                <w:color w:val="auto"/>
                <w:lang w:val="en-US" w:eastAsia="zh-CN"/>
              </w:rPr>
            </w:pPr>
            <w:r>
              <w:rPr>
                <w:rFonts w:hint="eastAsia"/>
                <w:color w:val="auto"/>
                <w:lang w:eastAsia="zh-CN"/>
              </w:rPr>
              <w:t>（</w:t>
            </w:r>
            <w:r>
              <w:rPr>
                <w:rFonts w:hint="eastAsia"/>
                <w:color w:val="auto"/>
                <w:lang w:val="en-US" w:eastAsia="zh-CN"/>
              </w:rPr>
              <w:t>8</w:t>
            </w:r>
            <w:r>
              <w:rPr>
                <w:rFonts w:hint="eastAsia"/>
                <w:color w:val="auto"/>
                <w:lang w:eastAsia="zh-CN"/>
              </w:rPr>
              <w:t>）</w:t>
            </w:r>
            <w:r>
              <w:rPr>
                <w:rFonts w:hint="default"/>
                <w:color w:val="auto"/>
              </w:rPr>
              <w:t>职工人数：职工人数</w:t>
            </w:r>
            <w:r>
              <w:rPr>
                <w:rFonts w:hint="eastAsia"/>
                <w:color w:val="auto"/>
                <w:lang w:val="en-US" w:eastAsia="zh-CN"/>
              </w:rPr>
              <w:t>40人，住厂员工30人，不住厂员工10人，厂内不设置食堂。</w:t>
            </w:r>
          </w:p>
          <w:p w14:paraId="33FCC641">
            <w:pPr>
              <w:bidi w:val="0"/>
              <w:rPr>
                <w:rFonts w:hint="default"/>
                <w:color w:val="auto"/>
                <w:lang w:val="en-US" w:eastAsia="zh-CN"/>
              </w:rPr>
            </w:pPr>
            <w:r>
              <w:rPr>
                <w:rFonts w:hint="eastAsia"/>
                <w:color w:val="auto"/>
                <w:lang w:eastAsia="zh-CN"/>
              </w:rPr>
              <w:t>（</w:t>
            </w:r>
            <w:r>
              <w:rPr>
                <w:rFonts w:hint="eastAsia"/>
                <w:color w:val="auto"/>
                <w:lang w:val="en-US" w:eastAsia="zh-CN"/>
              </w:rPr>
              <w:t>9</w:t>
            </w:r>
            <w:r>
              <w:rPr>
                <w:rFonts w:hint="eastAsia"/>
                <w:color w:val="auto"/>
                <w:lang w:eastAsia="zh-CN"/>
              </w:rPr>
              <w:t>）</w:t>
            </w:r>
            <w:r>
              <w:rPr>
                <w:rFonts w:hint="default"/>
                <w:color w:val="auto"/>
              </w:rPr>
              <w:t>工作制度：年工作日</w:t>
            </w:r>
            <w:r>
              <w:rPr>
                <w:rFonts w:hint="eastAsia"/>
                <w:color w:val="auto"/>
                <w:lang w:val="en-US" w:eastAsia="zh-CN"/>
              </w:rPr>
              <w:t>330</w:t>
            </w:r>
            <w:r>
              <w:rPr>
                <w:rFonts w:hint="default"/>
                <w:color w:val="auto"/>
              </w:rPr>
              <w:t>天，实行白班制</w:t>
            </w:r>
            <w:r>
              <w:rPr>
                <w:rFonts w:hint="eastAsia"/>
                <w:color w:val="auto"/>
                <w:lang w:eastAsia="zh-CN"/>
              </w:rPr>
              <w:t>（</w:t>
            </w:r>
            <w:r>
              <w:rPr>
                <w:rFonts w:hint="eastAsia"/>
                <w:color w:val="auto"/>
                <w:lang w:val="en-US" w:eastAsia="zh-CN"/>
              </w:rPr>
              <w:t>8h/d</w:t>
            </w:r>
            <w:r>
              <w:rPr>
                <w:rFonts w:hint="eastAsia"/>
                <w:color w:val="auto"/>
                <w:lang w:eastAsia="zh-CN"/>
              </w:rPr>
              <w:t>），</w:t>
            </w:r>
            <w:r>
              <w:rPr>
                <w:rFonts w:hint="eastAsia"/>
                <w:color w:val="auto"/>
                <w:lang w:val="en-US" w:eastAsia="zh-CN"/>
              </w:rPr>
              <w:t>夜间不生产</w:t>
            </w:r>
          </w:p>
          <w:p w14:paraId="6A06E0FA">
            <w:pPr>
              <w:pStyle w:val="4"/>
              <w:bidi w:val="0"/>
              <w:rPr>
                <w:rFonts w:hint="eastAsia"/>
                <w:color w:val="auto"/>
                <w:lang w:val="en-US" w:eastAsia="zh-CN"/>
              </w:rPr>
            </w:pPr>
            <w:r>
              <w:rPr>
                <w:rFonts w:hint="default" w:ascii="Times New Roman" w:hAnsi="Times New Roman" w:cs="Times New Roman"/>
                <w:color w:val="auto"/>
                <w:lang w:val="en-US" w:eastAsia="zh-CN"/>
              </w:rPr>
              <w:t>2.2.2</w:t>
            </w:r>
            <w:r>
              <w:rPr>
                <w:rFonts w:hint="eastAsia"/>
                <w:color w:val="auto"/>
                <w:lang w:val="en-US" w:eastAsia="zh-CN"/>
              </w:rPr>
              <w:t xml:space="preserve"> 产品方案</w:t>
            </w:r>
          </w:p>
          <w:p w14:paraId="4DCAFD4C">
            <w:pPr>
              <w:bidi w:val="0"/>
              <w:rPr>
                <w:rFonts w:hint="eastAsia"/>
                <w:color w:val="auto"/>
                <w:lang w:val="en-US" w:eastAsia="zh-CN"/>
              </w:rPr>
            </w:pPr>
            <w:r>
              <w:rPr>
                <w:rFonts w:hint="eastAsia"/>
                <w:color w:val="auto"/>
                <w:lang w:val="en-US" w:eastAsia="zh-CN"/>
              </w:rPr>
              <w:t>本项目产品方案见表2.2-1。</w:t>
            </w:r>
          </w:p>
          <w:p w14:paraId="23196CC0">
            <w:pPr>
              <w:pStyle w:val="33"/>
              <w:bidi w:val="0"/>
              <w:rPr>
                <w:rFonts w:hint="default"/>
                <w:color w:val="auto"/>
                <w:sz w:val="24"/>
                <w:szCs w:val="24"/>
              </w:rPr>
            </w:pPr>
            <w:r>
              <w:rPr>
                <w:rFonts w:hint="default"/>
                <w:color w:val="auto"/>
                <w:sz w:val="24"/>
                <w:szCs w:val="24"/>
              </w:rPr>
              <w:t>表</w:t>
            </w:r>
            <w:r>
              <w:rPr>
                <w:rFonts w:hint="default"/>
                <w:color w:val="auto"/>
                <w:sz w:val="24"/>
                <w:szCs w:val="24"/>
                <w:lang w:val="en-US" w:eastAsia="zh-CN"/>
              </w:rPr>
              <w:t>2</w:t>
            </w:r>
            <w:r>
              <w:rPr>
                <w:rFonts w:hint="default"/>
                <w:color w:val="auto"/>
                <w:sz w:val="24"/>
                <w:szCs w:val="24"/>
              </w:rPr>
              <w:t>.</w:t>
            </w:r>
            <w:r>
              <w:rPr>
                <w:rFonts w:hint="default"/>
                <w:color w:val="auto"/>
                <w:sz w:val="24"/>
                <w:szCs w:val="24"/>
                <w:lang w:val="en-US" w:eastAsia="zh-CN"/>
              </w:rPr>
              <w:t>2</w:t>
            </w:r>
            <w:r>
              <w:rPr>
                <w:rFonts w:hint="default"/>
                <w:color w:val="auto"/>
                <w:sz w:val="24"/>
                <w:szCs w:val="24"/>
              </w:rPr>
              <w:t>-</w:t>
            </w:r>
            <w:r>
              <w:rPr>
                <w:rFonts w:hint="eastAsia"/>
                <w:color w:val="auto"/>
                <w:sz w:val="24"/>
                <w:szCs w:val="24"/>
                <w:lang w:val="en-US" w:eastAsia="zh-CN"/>
              </w:rPr>
              <w:t>1 项目产品方案</w:t>
            </w:r>
          </w:p>
          <w:p w14:paraId="1C32F943">
            <w:pPr>
              <w:pStyle w:val="4"/>
              <w:bidi w:val="0"/>
              <w:rPr>
                <w:rFonts w:hint="default"/>
                <w:color w:val="auto"/>
              </w:rPr>
            </w:pPr>
            <w:r>
              <w:rPr>
                <w:rFonts w:hint="default"/>
                <w:color w:val="auto"/>
                <w:lang w:val="en-US" w:eastAsia="zh-CN"/>
              </w:rPr>
              <w:t>2</w:t>
            </w:r>
            <w:r>
              <w:rPr>
                <w:rFonts w:hint="default"/>
                <w:color w:val="auto"/>
              </w:rPr>
              <w:t>.</w:t>
            </w:r>
            <w:r>
              <w:rPr>
                <w:rFonts w:hint="default"/>
                <w:color w:val="auto"/>
                <w:lang w:val="en-US" w:eastAsia="zh-CN"/>
              </w:rPr>
              <w:t>2</w:t>
            </w:r>
            <w:r>
              <w:rPr>
                <w:rFonts w:hint="default"/>
                <w:color w:val="auto"/>
              </w:rPr>
              <w:t>.</w:t>
            </w:r>
            <w:r>
              <w:rPr>
                <w:rFonts w:hint="eastAsia"/>
                <w:color w:val="auto"/>
                <w:lang w:val="en-US" w:eastAsia="zh-CN"/>
              </w:rPr>
              <w:t>3</w:t>
            </w:r>
            <w:r>
              <w:rPr>
                <w:rFonts w:hint="default"/>
                <w:color w:val="auto"/>
              </w:rPr>
              <w:t xml:space="preserve"> 项目组成及建设内容</w:t>
            </w:r>
          </w:p>
          <w:p w14:paraId="4DB24AC7">
            <w:pPr>
              <w:bidi w:val="0"/>
              <w:rPr>
                <w:rFonts w:hint="default"/>
                <w:color w:val="auto"/>
                <w:sz w:val="24"/>
                <w:szCs w:val="24"/>
              </w:rPr>
            </w:pPr>
            <w:r>
              <w:rPr>
                <w:rFonts w:hint="default"/>
                <w:color w:val="auto"/>
              </w:rPr>
              <w:t>项目</w:t>
            </w:r>
            <w:r>
              <w:rPr>
                <w:rFonts w:hint="default"/>
                <w:color w:val="auto"/>
                <w:lang w:eastAsia="zh-CN"/>
              </w:rPr>
              <w:t>工程</w:t>
            </w:r>
            <w:r>
              <w:rPr>
                <w:rFonts w:hint="default"/>
                <w:color w:val="auto"/>
              </w:rPr>
              <w:t>组成及建设内容</w:t>
            </w:r>
            <w:r>
              <w:rPr>
                <w:rFonts w:hint="default"/>
                <w:color w:val="auto"/>
                <w:lang w:eastAsia="zh-CN"/>
              </w:rPr>
              <w:t>见</w:t>
            </w:r>
            <w:r>
              <w:rPr>
                <w:rFonts w:hint="default"/>
                <w:color w:val="auto"/>
              </w:rPr>
              <w:t>表</w:t>
            </w:r>
            <w:r>
              <w:rPr>
                <w:rFonts w:hint="default"/>
                <w:color w:val="auto"/>
                <w:lang w:val="en-US" w:eastAsia="zh-CN"/>
              </w:rPr>
              <w:t>2</w:t>
            </w:r>
            <w:r>
              <w:rPr>
                <w:rFonts w:hint="default"/>
                <w:color w:val="auto"/>
              </w:rPr>
              <w:t>.</w:t>
            </w:r>
            <w:r>
              <w:rPr>
                <w:rFonts w:hint="default"/>
                <w:color w:val="auto"/>
                <w:lang w:val="en-US" w:eastAsia="zh-CN"/>
              </w:rPr>
              <w:t>2</w:t>
            </w:r>
            <w:r>
              <w:rPr>
                <w:rFonts w:hint="default"/>
                <w:color w:val="auto"/>
              </w:rPr>
              <w:t>-</w:t>
            </w:r>
            <w:r>
              <w:rPr>
                <w:rFonts w:hint="eastAsia"/>
                <w:color w:val="auto"/>
                <w:lang w:val="en-US" w:eastAsia="zh-CN"/>
              </w:rPr>
              <w:t>2。</w:t>
            </w:r>
          </w:p>
          <w:p w14:paraId="3D3A3862">
            <w:pPr>
              <w:pStyle w:val="33"/>
              <w:bidi w:val="0"/>
              <w:rPr>
                <w:rFonts w:hint="default"/>
                <w:color w:val="auto"/>
                <w:sz w:val="24"/>
                <w:szCs w:val="24"/>
              </w:rPr>
            </w:pPr>
            <w:r>
              <w:rPr>
                <w:rFonts w:hint="default"/>
                <w:color w:val="auto"/>
                <w:sz w:val="24"/>
                <w:szCs w:val="24"/>
              </w:rPr>
              <w:t>表</w:t>
            </w:r>
            <w:r>
              <w:rPr>
                <w:rFonts w:hint="default"/>
                <w:color w:val="auto"/>
                <w:sz w:val="24"/>
                <w:szCs w:val="24"/>
                <w:lang w:val="en-US" w:eastAsia="zh-CN"/>
              </w:rPr>
              <w:t>2</w:t>
            </w:r>
            <w:r>
              <w:rPr>
                <w:rFonts w:hint="default"/>
                <w:color w:val="auto"/>
                <w:sz w:val="24"/>
                <w:szCs w:val="24"/>
              </w:rPr>
              <w:t>.</w:t>
            </w:r>
            <w:r>
              <w:rPr>
                <w:rFonts w:hint="default"/>
                <w:color w:val="auto"/>
                <w:sz w:val="24"/>
                <w:szCs w:val="24"/>
                <w:lang w:val="en-US" w:eastAsia="zh-CN"/>
              </w:rPr>
              <w:t>2</w:t>
            </w:r>
            <w:r>
              <w:rPr>
                <w:rFonts w:hint="default"/>
                <w:color w:val="auto"/>
                <w:sz w:val="24"/>
                <w:szCs w:val="24"/>
              </w:rPr>
              <w:t>-</w:t>
            </w:r>
            <w:r>
              <w:rPr>
                <w:rFonts w:hint="eastAsia"/>
                <w:color w:val="auto"/>
                <w:sz w:val="24"/>
                <w:szCs w:val="24"/>
                <w:lang w:val="en-US" w:eastAsia="zh-CN"/>
              </w:rPr>
              <w:t>2</w:t>
            </w:r>
            <w:r>
              <w:rPr>
                <w:rFonts w:hint="default"/>
                <w:color w:val="auto"/>
                <w:sz w:val="24"/>
                <w:szCs w:val="24"/>
              </w:rPr>
              <w:t xml:space="preserve"> 项目组成一览表</w:t>
            </w:r>
          </w:p>
          <w:p w14:paraId="3B4548B6">
            <w:pPr>
              <w:pStyle w:val="4"/>
              <w:bidi w:val="0"/>
              <w:rPr>
                <w:rFonts w:hint="default"/>
                <w:color w:val="auto"/>
                <w:lang w:val="en-US" w:eastAsia="zh-CN"/>
              </w:rPr>
            </w:pPr>
            <w:r>
              <w:rPr>
                <w:rFonts w:hint="eastAsia"/>
                <w:color w:val="auto"/>
                <w:lang w:val="en-US" w:eastAsia="zh-CN"/>
              </w:rPr>
              <w:t>2.2.4项目主要原辅材料</w:t>
            </w:r>
          </w:p>
          <w:p w14:paraId="03BA9D3E">
            <w:pPr>
              <w:bidi w:val="0"/>
              <w:rPr>
                <w:rFonts w:hint="eastAsia"/>
                <w:color w:val="auto"/>
                <w:lang w:val="en-US" w:eastAsia="zh-CN"/>
              </w:rPr>
            </w:pPr>
            <w:r>
              <w:rPr>
                <w:rFonts w:hint="eastAsia"/>
                <w:color w:val="auto"/>
                <w:lang w:val="en-US" w:eastAsia="zh-CN"/>
              </w:rPr>
              <w:t>项目</w:t>
            </w:r>
            <w:r>
              <w:rPr>
                <w:rFonts w:hint="default"/>
                <w:color w:val="auto"/>
                <w:lang w:val="en-US" w:eastAsia="zh-CN"/>
              </w:rPr>
              <w:t>主要原辅材料</w:t>
            </w:r>
            <w:r>
              <w:rPr>
                <w:rFonts w:hint="eastAsia"/>
                <w:color w:val="auto"/>
                <w:lang w:val="en-US" w:eastAsia="zh-CN"/>
              </w:rPr>
              <w:t>及能源</w:t>
            </w:r>
            <w:r>
              <w:rPr>
                <w:rFonts w:hint="default"/>
                <w:color w:val="auto"/>
                <w:lang w:val="en-US" w:eastAsia="zh-CN"/>
              </w:rPr>
              <w:t>消耗情况</w:t>
            </w:r>
            <w:r>
              <w:rPr>
                <w:rFonts w:hint="eastAsia"/>
                <w:color w:val="auto"/>
                <w:lang w:val="en-US" w:eastAsia="zh-CN"/>
              </w:rPr>
              <w:t>详见</w:t>
            </w:r>
            <w:r>
              <w:rPr>
                <w:rFonts w:hint="default"/>
                <w:color w:val="auto"/>
                <w:lang w:val="en-US" w:eastAsia="zh-CN"/>
              </w:rPr>
              <w:t>表</w:t>
            </w:r>
            <w:r>
              <w:rPr>
                <w:rFonts w:hint="eastAsia"/>
                <w:color w:val="auto"/>
                <w:lang w:val="en-US" w:eastAsia="zh-CN"/>
              </w:rPr>
              <w:t>2.2-3，主要原辅材料均为从合规供应商外购。</w:t>
            </w:r>
          </w:p>
          <w:p w14:paraId="3EE2670C">
            <w:pPr>
              <w:pStyle w:val="33"/>
              <w:bidi w:val="0"/>
              <w:rPr>
                <w:rFonts w:hint="eastAsia"/>
                <w:color w:val="auto"/>
                <w:sz w:val="24"/>
                <w:szCs w:val="24"/>
              </w:rPr>
            </w:pPr>
            <w:r>
              <w:rPr>
                <w:color w:val="auto"/>
                <w:sz w:val="24"/>
                <w:szCs w:val="24"/>
              </w:rPr>
              <w:t>表</w:t>
            </w:r>
            <w:r>
              <w:rPr>
                <w:rFonts w:hint="eastAsia"/>
                <w:color w:val="auto"/>
                <w:sz w:val="24"/>
                <w:szCs w:val="24"/>
              </w:rPr>
              <w:t>2</w:t>
            </w:r>
            <w:r>
              <w:rPr>
                <w:rFonts w:hint="eastAsia"/>
                <w:color w:val="auto"/>
                <w:sz w:val="24"/>
                <w:szCs w:val="24"/>
                <w:lang w:val="en-US" w:eastAsia="zh-CN"/>
              </w:rPr>
              <w:t xml:space="preserve">.2-3 </w:t>
            </w:r>
            <w:r>
              <w:rPr>
                <w:color w:val="auto"/>
                <w:sz w:val="24"/>
                <w:szCs w:val="24"/>
              </w:rPr>
              <w:t>项目主要原辅料</w:t>
            </w:r>
            <w:r>
              <w:rPr>
                <w:rFonts w:hint="eastAsia"/>
                <w:color w:val="auto"/>
                <w:sz w:val="24"/>
                <w:szCs w:val="24"/>
              </w:rPr>
              <w:t>及能源消耗情况一览表</w:t>
            </w:r>
          </w:p>
          <w:p w14:paraId="646174BA">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textAlignment w:val="auto"/>
              <w:rPr>
                <w:rFonts w:hint="eastAsia" w:ascii="Times New Roman" w:hAnsi="Times New Roman" w:eastAsia="宋体" w:cs="Times New Roman"/>
                <w:b/>
                <w:bCs/>
                <w:color w:val="auto"/>
                <w:sz w:val="24"/>
                <w:szCs w:val="24"/>
                <w:u w:val="single"/>
              </w:rPr>
            </w:pPr>
            <w:r>
              <w:rPr>
                <w:rFonts w:hint="eastAsia" w:ascii="Times New Roman" w:hAnsi="Times New Roman" w:eastAsia="宋体" w:cs="Times New Roman"/>
                <w:b/>
                <w:bCs/>
                <w:color w:val="auto"/>
                <w:sz w:val="24"/>
                <w:szCs w:val="24"/>
                <w:u w:val="single"/>
                <w:lang w:val="en-US" w:eastAsia="zh-CN"/>
              </w:rPr>
              <w:t>原辅材料理化性质：</w:t>
            </w:r>
          </w:p>
          <w:p w14:paraId="30881922">
            <w:pPr>
              <w:bidi w:val="0"/>
              <w:rPr>
                <w:rFonts w:hint="eastAsia"/>
                <w:color w:val="auto"/>
                <w:highlight w:val="none"/>
                <w:lang w:val="en-US" w:eastAsia="zh-CN"/>
              </w:rPr>
            </w:pPr>
            <w:r>
              <w:rPr>
                <w:rFonts w:hint="eastAsia"/>
                <w:color w:val="auto"/>
                <w:highlight w:val="none"/>
                <w:lang w:val="en-US" w:eastAsia="zh-CN"/>
              </w:rPr>
              <w:t>外加剂：主要为聚羧酸盐系高性能减水剂，是水泥混凝土运用中的一种水泥分散剂，该品绿色环保，不易燃，不易爆。主要是改善混凝土拌和物的和易性、保水性和粘聚性，提高混凝土流动性、调节混凝土凝结时间、硬化性能，改善混凝土耐久性能。</w:t>
            </w:r>
          </w:p>
          <w:p w14:paraId="156E5C5B">
            <w:pPr>
              <w:bidi w:val="0"/>
              <w:rPr>
                <w:rFonts w:hint="eastAsia" w:ascii="Times New Roman" w:hAnsi="Times New Roman" w:eastAsia="宋体" w:cs="Times New Roman"/>
                <w:color w:val="auto"/>
                <w:highlight w:val="none"/>
                <w:lang w:val="en-US" w:eastAsia="zh-CN"/>
              </w:rPr>
            </w:pPr>
            <w:r>
              <w:rPr>
                <w:rFonts w:hint="eastAsia"/>
                <w:color w:val="auto"/>
                <w:lang w:val="en-US" w:eastAsia="zh-CN"/>
              </w:rPr>
              <w:t>水性脱模剂：</w:t>
            </w:r>
            <w:r>
              <w:rPr>
                <w:rFonts w:hint="eastAsia" w:ascii="Times New Roman" w:hAnsi="Times New Roman" w:eastAsia="宋体" w:cs="Times New Roman"/>
                <w:color w:val="auto"/>
                <w:highlight w:val="none"/>
                <w:lang w:val="en-US" w:eastAsia="zh-CN"/>
              </w:rPr>
              <w:t>水性脱模剂是一种介于模具和成品之间的功能性物质，主要成分包括基础材料、乳化剂和水，本项目使用的混凝土水性脱模剂主要成分为水性丙烯酸乳液、石蜡、硬脂酸、植物油、硅油及乳化剂等。</w:t>
            </w:r>
          </w:p>
          <w:p w14:paraId="090BB713">
            <w:pPr>
              <w:pStyle w:val="4"/>
              <w:keepNext w:val="0"/>
              <w:keepLines w:val="0"/>
              <w:pageBreakBefore w:val="0"/>
              <w:widowControl w:val="0"/>
              <w:kinsoku/>
              <w:wordWrap/>
              <w:overflowPunct/>
              <w:topLinePunct w:val="0"/>
              <w:autoSpaceDE/>
              <w:autoSpaceDN/>
              <w:bidi w:val="0"/>
              <w:adjustRightInd/>
              <w:snapToGrid/>
              <w:spacing w:before="0" w:beforeLines="0"/>
              <w:textAlignment w:val="auto"/>
              <w:rPr>
                <w:rFonts w:hint="default"/>
                <w:color w:val="auto"/>
              </w:rPr>
            </w:pPr>
            <w:r>
              <w:rPr>
                <w:rFonts w:hint="default"/>
                <w:color w:val="auto"/>
                <w:lang w:val="en-US" w:eastAsia="zh-CN"/>
              </w:rPr>
              <w:t>2</w:t>
            </w:r>
            <w:r>
              <w:rPr>
                <w:rFonts w:hint="default"/>
                <w:color w:val="auto"/>
              </w:rPr>
              <w:t>.</w:t>
            </w:r>
            <w:r>
              <w:rPr>
                <w:rFonts w:hint="default"/>
                <w:color w:val="auto"/>
                <w:lang w:val="en-US" w:eastAsia="zh-CN"/>
              </w:rPr>
              <w:t>2</w:t>
            </w:r>
            <w:r>
              <w:rPr>
                <w:rFonts w:hint="default"/>
                <w:color w:val="auto"/>
              </w:rPr>
              <w:t>.</w:t>
            </w:r>
            <w:r>
              <w:rPr>
                <w:rFonts w:hint="eastAsia"/>
                <w:color w:val="auto"/>
                <w:lang w:val="en-US" w:eastAsia="zh-CN"/>
              </w:rPr>
              <w:t>5</w:t>
            </w:r>
            <w:r>
              <w:rPr>
                <w:rFonts w:hint="default"/>
                <w:color w:val="auto"/>
              </w:rPr>
              <w:t xml:space="preserve"> 主要生产设备</w:t>
            </w:r>
          </w:p>
          <w:p w14:paraId="619B9F13">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color w:val="auto"/>
              </w:rPr>
            </w:pPr>
            <w:r>
              <w:rPr>
                <w:rFonts w:hint="default"/>
                <w:color w:val="auto"/>
              </w:rPr>
              <w:t>项目的主要设备详见表</w:t>
            </w:r>
            <w:r>
              <w:rPr>
                <w:rFonts w:hint="default"/>
                <w:color w:val="auto"/>
                <w:lang w:val="en-US" w:eastAsia="zh-CN"/>
              </w:rPr>
              <w:t>2</w:t>
            </w:r>
            <w:r>
              <w:rPr>
                <w:rFonts w:hint="default"/>
                <w:color w:val="auto"/>
              </w:rPr>
              <w:t>.</w:t>
            </w:r>
            <w:r>
              <w:rPr>
                <w:rFonts w:hint="default"/>
                <w:color w:val="auto"/>
                <w:lang w:val="en-US" w:eastAsia="zh-CN"/>
              </w:rPr>
              <w:t>2</w:t>
            </w:r>
            <w:r>
              <w:rPr>
                <w:rFonts w:hint="default"/>
                <w:color w:val="auto"/>
              </w:rPr>
              <w:t>-</w:t>
            </w:r>
            <w:r>
              <w:rPr>
                <w:rFonts w:hint="eastAsia"/>
                <w:color w:val="auto"/>
                <w:lang w:val="en-US" w:eastAsia="zh-CN"/>
              </w:rPr>
              <w:t>4</w:t>
            </w:r>
            <w:r>
              <w:rPr>
                <w:rFonts w:hint="default"/>
                <w:color w:val="auto"/>
              </w:rPr>
              <w:t>。</w:t>
            </w:r>
          </w:p>
          <w:p w14:paraId="6A8873C4">
            <w:pPr>
              <w:pStyle w:val="33"/>
              <w:keepNext/>
              <w:keepLines w:val="0"/>
              <w:pageBreakBefore w:val="0"/>
              <w:widowControl w:val="0"/>
              <w:kinsoku/>
              <w:wordWrap/>
              <w:overflowPunct/>
              <w:topLinePunct w:val="0"/>
              <w:autoSpaceDE/>
              <w:autoSpaceDN/>
              <w:bidi w:val="0"/>
              <w:adjustRightInd/>
              <w:snapToGrid/>
              <w:spacing w:before="0" w:beforeLines="0" w:after="0" w:afterLines="0"/>
              <w:textAlignment w:val="auto"/>
              <w:rPr>
                <w:rFonts w:hint="default"/>
                <w:color w:val="auto"/>
                <w:sz w:val="24"/>
                <w:szCs w:val="24"/>
              </w:rPr>
            </w:pPr>
            <w:r>
              <w:rPr>
                <w:rFonts w:hint="default"/>
                <w:color w:val="auto"/>
                <w:sz w:val="24"/>
                <w:szCs w:val="24"/>
              </w:rPr>
              <w:t>表2.2-</w:t>
            </w:r>
            <w:r>
              <w:rPr>
                <w:rFonts w:hint="eastAsia"/>
                <w:color w:val="auto"/>
                <w:sz w:val="24"/>
                <w:szCs w:val="24"/>
                <w:lang w:val="en-US" w:eastAsia="zh-CN"/>
              </w:rPr>
              <w:t>4</w:t>
            </w:r>
            <w:r>
              <w:rPr>
                <w:rFonts w:hint="default"/>
                <w:color w:val="auto"/>
                <w:sz w:val="24"/>
                <w:szCs w:val="24"/>
              </w:rPr>
              <w:t xml:space="preserve"> 主要设备一览表</w:t>
            </w:r>
          </w:p>
          <w:p w14:paraId="1B197341">
            <w:pPr>
              <w:pStyle w:val="4"/>
              <w:bidi w:val="0"/>
              <w:rPr>
                <w:rFonts w:hint="default"/>
                <w:color w:val="auto"/>
                <w:lang w:val="en-US" w:eastAsia="zh-CN"/>
              </w:rPr>
            </w:pPr>
            <w:r>
              <w:rPr>
                <w:rFonts w:hint="default"/>
                <w:color w:val="auto"/>
                <w:lang w:val="en-US" w:eastAsia="zh-CN"/>
              </w:rPr>
              <w:t>2.2.</w:t>
            </w:r>
            <w:r>
              <w:rPr>
                <w:rFonts w:hint="eastAsia"/>
                <w:color w:val="auto"/>
                <w:lang w:val="en-US" w:eastAsia="zh-CN"/>
              </w:rPr>
              <w:t>6</w:t>
            </w:r>
            <w:r>
              <w:rPr>
                <w:rFonts w:hint="default"/>
                <w:color w:val="auto"/>
                <w:lang w:val="en-US" w:eastAsia="zh-CN"/>
              </w:rPr>
              <w:t xml:space="preserve"> 水平衡</w:t>
            </w:r>
          </w:p>
          <w:p w14:paraId="4A6A2BE3">
            <w:pPr>
              <w:bidi w:val="0"/>
              <w:rPr>
                <w:rFonts w:hint="eastAsia" w:ascii="Times New Roman" w:hAnsi="Times New Roman" w:eastAsia="宋体" w:cs="Times New Roman"/>
                <w:color w:val="auto"/>
                <w:lang w:val="en-US" w:eastAsia="zh-CN"/>
              </w:rPr>
            </w:pPr>
            <w:r>
              <w:rPr>
                <w:rFonts w:hint="eastAsia"/>
                <w:color w:val="auto"/>
                <w:lang w:val="en-US" w:eastAsia="zh-CN"/>
              </w:rPr>
              <w:t>项目用水主要为洗砂用水、预拌混凝土用水、设备清洗用水、自然养护用水、生产区地面冲洗用水、抑尘用水、洗车用水、试验清洗用水、食堂用水、日常职工生活用水等，其用排情况如下：</w:t>
            </w:r>
          </w:p>
          <w:p w14:paraId="3FED3118">
            <w:pPr>
              <w:bidi w:val="0"/>
              <w:rPr>
                <w:rFonts w:hint="default"/>
                <w:b/>
                <w:bCs/>
                <w:color w:val="auto"/>
                <w:lang w:val="en-US" w:eastAsia="zh-CN"/>
              </w:rPr>
            </w:pPr>
            <w:r>
              <w:rPr>
                <w:rFonts w:hint="eastAsia"/>
                <w:b/>
                <w:bCs/>
                <w:color w:val="auto"/>
                <w:lang w:val="en-US" w:eastAsia="zh-CN"/>
              </w:rPr>
              <w:t>（1）预拌混凝土用水</w:t>
            </w:r>
          </w:p>
          <w:p w14:paraId="6486B195">
            <w:pPr>
              <w:bidi w:val="0"/>
              <w:rPr>
                <w:rFonts w:hint="eastAsia"/>
                <w:color w:val="auto"/>
                <w:lang w:val="en-US" w:eastAsia="zh-CN"/>
              </w:rPr>
            </w:pPr>
            <w:r>
              <w:rPr>
                <w:rFonts w:hint="eastAsia"/>
                <w:color w:val="auto"/>
                <w:lang w:val="en-US" w:eastAsia="zh-CN"/>
              </w:rPr>
              <w:t>项目搅拌形成预拌混凝土过程需要加水，企业根据订单需求对预拌混凝土加入不同剂量的新鲜水，主要使用经</w:t>
            </w:r>
            <w:r>
              <w:rPr>
                <w:rFonts w:hint="default"/>
                <w:color w:val="auto"/>
                <w:lang w:val="en-US" w:eastAsia="zh-CN"/>
              </w:rPr>
              <w:t>生产废水处理系统</w:t>
            </w:r>
            <w:r>
              <w:rPr>
                <w:rFonts w:hint="eastAsia"/>
                <w:color w:val="auto"/>
                <w:lang w:val="en-US" w:eastAsia="zh-CN"/>
              </w:rPr>
              <w:t>处理后的回用水。根据建设单位提供资料，项目的搅拌过程中主要原料比例根据订单有所变动，混凝土生产的用水量平均为0.3t/m</w:t>
            </w:r>
            <w:r>
              <w:rPr>
                <w:rFonts w:hint="eastAsia"/>
                <w:color w:val="auto"/>
                <w:vertAlign w:val="superscript"/>
                <w:lang w:val="en-US" w:eastAsia="zh-CN"/>
              </w:rPr>
              <w:t>3</w:t>
            </w:r>
            <w:r>
              <w:rPr>
                <w:rFonts w:hint="eastAsia"/>
                <w:color w:val="auto"/>
                <w:lang w:val="en-US" w:eastAsia="zh-CN"/>
              </w:rPr>
              <w:t>，项目年生产商砼及预制件用混凝土约100万m</w:t>
            </w:r>
            <w:r>
              <w:rPr>
                <w:rFonts w:hint="eastAsia"/>
                <w:color w:val="auto"/>
                <w:vertAlign w:val="superscript"/>
                <w:lang w:val="en-US" w:eastAsia="zh-CN"/>
              </w:rPr>
              <w:t>3</w:t>
            </w:r>
            <w:r>
              <w:rPr>
                <w:rFonts w:hint="eastAsia"/>
                <w:color w:val="auto"/>
                <w:lang w:val="en-US" w:eastAsia="zh-CN"/>
              </w:rPr>
              <w:t>，则计算得搅拌需水量约为30万t/a，考虑在输送等过程中水头损失按10%计，则项目搅拌用水量约33.33万t/a，其中30万t/a进入预拌混凝土中作为结合水存在，剩余3.33万t/a全部损失，无外排。</w:t>
            </w:r>
          </w:p>
          <w:p w14:paraId="049E0AEA">
            <w:pPr>
              <w:keepNext/>
              <w:keepLines w:val="0"/>
              <w:pageBreakBefore w:val="0"/>
              <w:widowControl w:val="0"/>
              <w:kinsoku/>
              <w:wordWrap/>
              <w:overflowPunct/>
              <w:topLinePunct w:val="0"/>
              <w:autoSpaceDE/>
              <w:autoSpaceDN/>
              <w:bidi w:val="0"/>
              <w:adjustRightInd/>
              <w:snapToGrid/>
              <w:textAlignment w:val="auto"/>
              <w:rPr>
                <w:rFonts w:hint="default"/>
                <w:b/>
                <w:bCs/>
                <w:color w:val="auto"/>
                <w:lang w:val="en-US" w:eastAsia="zh-CN"/>
              </w:rPr>
            </w:pPr>
            <w:r>
              <w:rPr>
                <w:rFonts w:hint="eastAsia"/>
                <w:b/>
                <w:bCs/>
                <w:color w:val="auto"/>
                <w:lang w:val="en-US" w:eastAsia="zh-CN"/>
              </w:rPr>
              <w:t>（2）养护用水</w:t>
            </w:r>
          </w:p>
          <w:p w14:paraId="3F9C20AB">
            <w:pPr>
              <w:bidi w:val="0"/>
              <w:rPr>
                <w:rFonts w:hint="eastAsia"/>
                <w:color w:val="auto"/>
                <w:lang w:val="en-US" w:eastAsia="zh-CN"/>
              </w:rPr>
            </w:pPr>
            <w:r>
              <w:rPr>
                <w:rFonts w:hint="eastAsia"/>
                <w:color w:val="auto"/>
                <w:lang w:val="en-US" w:eastAsia="zh-CN"/>
              </w:rPr>
              <w:t>根据建设单位提供资料，项目产品混凝土预制件需在堆场进行自然养护，每天专人对砼结构件喷三次水（早中晚各一次），喷水目的是保持结构件的湿度使混凝土能够自己慢慢凝固，根据建设单位提供资料，每吨预制砼构件表面每次浇水控制在10L，项目日平均生产砼构件量约为1575.76t（52万t/a），则项目自然养护用水量约为47.27t/d（15600t/a），自然养护用水在养护晾干过程中全部损耗，无外排。</w:t>
            </w:r>
          </w:p>
          <w:p w14:paraId="7C230CD4">
            <w:pPr>
              <w:bidi w:val="0"/>
              <w:rPr>
                <w:rFonts w:hint="eastAsia"/>
                <w:b/>
                <w:bCs/>
                <w:color w:val="auto"/>
                <w:lang w:val="en-US" w:eastAsia="zh-CN"/>
              </w:rPr>
            </w:pPr>
            <w:r>
              <w:rPr>
                <w:rFonts w:hint="eastAsia"/>
                <w:b/>
                <w:bCs/>
                <w:color w:val="auto"/>
                <w:lang w:val="en-US" w:eastAsia="zh-CN"/>
              </w:rPr>
              <w:t>（3）设备清洗用排水</w:t>
            </w:r>
          </w:p>
          <w:p w14:paraId="47631C70">
            <w:pPr>
              <w:bidi w:val="0"/>
              <w:rPr>
                <w:rFonts w:hint="eastAsia"/>
                <w:color w:val="auto"/>
                <w:lang w:val="en-US" w:eastAsia="zh-CN"/>
              </w:rPr>
            </w:pPr>
            <w:r>
              <w:rPr>
                <w:rFonts w:hint="eastAsia"/>
                <w:color w:val="auto"/>
                <w:lang w:val="en-US" w:eastAsia="zh-CN"/>
              </w:rPr>
              <w:t>项目需要对2#搅拌楼的搅拌机和5#车间预制砼结构件的布料车进行冲洗，防止因残留的混凝土干燥后板结于设备上，对设备性能造成影响。</w:t>
            </w:r>
          </w:p>
          <w:p w14:paraId="09488580">
            <w:pPr>
              <w:bidi w:val="0"/>
              <w:rPr>
                <w:rFonts w:hint="eastAsia"/>
                <w:color w:val="auto"/>
                <w:lang w:val="en-US" w:eastAsia="zh-CN"/>
              </w:rPr>
            </w:pPr>
            <w:r>
              <w:rPr>
                <w:rFonts w:hint="eastAsia"/>
                <w:color w:val="auto"/>
                <w:lang w:val="en-US" w:eastAsia="zh-CN"/>
              </w:rPr>
              <w:t>项目2#搅拌楼内设2套徐工HZS270VD型混凝土搅拌机，根据建设单位提供资料，搅拌机在暂停使用时须冲洗干净，按每台搅拌机平均每天冲洗1次，每次冲洗水量按约占搅拌机容积的30%计算，搅拌机内总容积约为4.5m</w:t>
            </w:r>
            <w:r>
              <w:rPr>
                <w:rFonts w:hint="eastAsia"/>
                <w:color w:val="auto"/>
                <w:vertAlign w:val="superscript"/>
                <w:lang w:val="en-US" w:eastAsia="zh-CN"/>
              </w:rPr>
              <w:t>3</w:t>
            </w:r>
            <w:r>
              <w:rPr>
                <w:rFonts w:hint="eastAsia"/>
                <w:color w:val="auto"/>
                <w:lang w:val="en-US" w:eastAsia="zh-CN"/>
              </w:rPr>
              <w:t>，则厂内2台搅拌机清洗用水量为2.7t/d（891t/a），排污系数按0.9计，则搅拌机清洗废水量为2.43t/d（801.9t/a）。</w:t>
            </w:r>
          </w:p>
          <w:p w14:paraId="6201FDA8">
            <w:pPr>
              <w:pStyle w:val="7"/>
              <w:rPr>
                <w:rFonts w:hint="eastAsia"/>
                <w:color w:val="auto"/>
                <w:lang w:val="en-US" w:eastAsia="zh-CN"/>
              </w:rPr>
            </w:pPr>
            <w:r>
              <w:rPr>
                <w:rFonts w:hint="eastAsia" w:ascii="Times New Roman" w:hAnsi="Times New Roman" w:eastAsia="宋体" w:cs="Times New Roman"/>
                <w:b w:val="0"/>
                <w:bCs w:val="0"/>
                <w:color w:val="auto"/>
                <w:sz w:val="24"/>
                <w:lang w:val="en-US" w:eastAsia="zh-CN"/>
              </w:rPr>
              <w:t>项目</w:t>
            </w:r>
            <w:r>
              <w:rPr>
                <w:rFonts w:hint="eastAsia" w:cs="Times New Roman"/>
                <w:b w:val="0"/>
                <w:bCs w:val="0"/>
                <w:color w:val="auto"/>
                <w:sz w:val="24"/>
                <w:lang w:val="en-US" w:eastAsia="zh-CN"/>
              </w:rPr>
              <w:t>设有1台布料车，</w:t>
            </w:r>
            <w:r>
              <w:rPr>
                <w:rFonts w:hint="eastAsia" w:ascii="Times New Roman" w:hAnsi="Times New Roman" w:eastAsia="宋体" w:cs="Times New Roman"/>
                <w:b w:val="0"/>
                <w:bCs w:val="0"/>
                <w:color w:val="auto"/>
                <w:sz w:val="24"/>
                <w:lang w:val="en-US" w:eastAsia="zh-CN"/>
              </w:rPr>
              <w:t>布料车需在暂停使用时进行冲洗，按平均每天冲洗1次，根据建设单位提供资料，布料车日冲洗用水量按</w:t>
            </w:r>
            <w:r>
              <w:rPr>
                <w:rFonts w:hint="eastAsia" w:cs="Times New Roman"/>
                <w:b w:val="0"/>
                <w:bCs w:val="0"/>
                <w:color w:val="auto"/>
                <w:sz w:val="24"/>
                <w:lang w:val="en-US" w:eastAsia="zh-CN"/>
              </w:rPr>
              <w:t>0.5</w:t>
            </w:r>
            <w:r>
              <w:rPr>
                <w:rFonts w:hint="eastAsia" w:ascii="Times New Roman" w:hAnsi="Times New Roman" w:eastAsia="宋体" w:cs="Times New Roman"/>
                <w:b w:val="0"/>
                <w:bCs w:val="0"/>
                <w:color w:val="auto"/>
                <w:sz w:val="24"/>
                <w:lang w:val="en-US" w:eastAsia="zh-CN"/>
              </w:rPr>
              <w:t>t/d（</w:t>
            </w:r>
            <w:r>
              <w:rPr>
                <w:rFonts w:hint="eastAsia" w:cs="Times New Roman"/>
                <w:b w:val="0"/>
                <w:bCs w:val="0"/>
                <w:color w:val="auto"/>
                <w:sz w:val="24"/>
                <w:lang w:val="en-US" w:eastAsia="zh-CN"/>
              </w:rPr>
              <w:t>165</w:t>
            </w:r>
            <w:r>
              <w:rPr>
                <w:rFonts w:hint="eastAsia" w:ascii="Times New Roman" w:hAnsi="Times New Roman" w:eastAsia="宋体" w:cs="Times New Roman"/>
                <w:b w:val="0"/>
                <w:bCs w:val="0"/>
                <w:color w:val="auto"/>
                <w:sz w:val="24"/>
                <w:lang w:val="en-US" w:eastAsia="zh-CN"/>
              </w:rPr>
              <w:t>t/a）计，排污系数按0.9计，则布料车冲洗废水量为0.</w:t>
            </w:r>
            <w:r>
              <w:rPr>
                <w:rFonts w:hint="eastAsia" w:cs="Times New Roman"/>
                <w:b w:val="0"/>
                <w:bCs w:val="0"/>
                <w:color w:val="auto"/>
                <w:sz w:val="24"/>
                <w:lang w:val="en-US" w:eastAsia="zh-CN"/>
              </w:rPr>
              <w:t>45</w:t>
            </w:r>
            <w:r>
              <w:rPr>
                <w:rFonts w:hint="eastAsia" w:ascii="Times New Roman" w:hAnsi="Times New Roman" w:eastAsia="宋体" w:cs="Times New Roman"/>
                <w:b w:val="0"/>
                <w:bCs w:val="0"/>
                <w:color w:val="auto"/>
                <w:sz w:val="24"/>
                <w:lang w:val="en-US" w:eastAsia="zh-CN"/>
              </w:rPr>
              <w:t>t/d（</w:t>
            </w:r>
            <w:r>
              <w:rPr>
                <w:rFonts w:hint="eastAsia" w:cs="Times New Roman"/>
                <w:b w:val="0"/>
                <w:bCs w:val="0"/>
                <w:color w:val="auto"/>
                <w:sz w:val="24"/>
                <w:lang w:val="en-US" w:eastAsia="zh-CN"/>
              </w:rPr>
              <w:t>148.5</w:t>
            </w:r>
            <w:r>
              <w:rPr>
                <w:rFonts w:hint="eastAsia" w:ascii="Times New Roman" w:hAnsi="Times New Roman" w:eastAsia="宋体" w:cs="Times New Roman"/>
                <w:b w:val="0"/>
                <w:bCs w:val="0"/>
                <w:color w:val="auto"/>
                <w:sz w:val="24"/>
                <w:lang w:val="en-US" w:eastAsia="zh-CN"/>
              </w:rPr>
              <w:t>t/a）。</w:t>
            </w:r>
          </w:p>
          <w:p w14:paraId="257BA90B">
            <w:pPr>
              <w:bidi w:val="0"/>
              <w:rPr>
                <w:rFonts w:hint="eastAsia"/>
                <w:color w:val="auto"/>
                <w:lang w:val="en-US" w:eastAsia="zh-CN"/>
              </w:rPr>
            </w:pPr>
            <w:r>
              <w:rPr>
                <w:rFonts w:hint="eastAsia"/>
                <w:color w:val="auto"/>
                <w:lang w:val="en-US" w:eastAsia="zh-CN"/>
              </w:rPr>
              <w:t>因此项目的设备清洗废水总量为2.88t/d（950.4</w:t>
            </w:r>
            <w:r>
              <w:rPr>
                <w:rFonts w:hint="eastAsia" w:ascii="Times New Roman" w:hAnsi="Times New Roman" w:eastAsia="宋体" w:cs="Times New Roman"/>
                <w:b w:val="0"/>
                <w:bCs w:val="0"/>
                <w:color w:val="auto"/>
                <w:sz w:val="24"/>
                <w:lang w:val="en-US" w:eastAsia="zh-CN"/>
              </w:rPr>
              <w:t>t/a</w:t>
            </w:r>
            <w:r>
              <w:rPr>
                <w:rFonts w:hint="eastAsia"/>
                <w:color w:val="auto"/>
                <w:lang w:val="en-US" w:eastAsia="zh-CN"/>
              </w:rPr>
              <w:t>），此部分废水</w:t>
            </w:r>
            <w:r>
              <w:rPr>
                <w:rFonts w:hint="default"/>
                <w:color w:val="auto"/>
                <w:lang w:val="en-US" w:eastAsia="zh-CN"/>
              </w:rPr>
              <w:t>经</w:t>
            </w:r>
            <w:r>
              <w:rPr>
                <w:rFonts w:hint="eastAsia"/>
                <w:color w:val="auto"/>
                <w:lang w:val="en-US" w:eastAsia="zh-CN"/>
              </w:rPr>
              <w:t>搅拌楼南侧的</w:t>
            </w:r>
            <w:r>
              <w:rPr>
                <w:rFonts w:hint="default"/>
                <w:color w:val="auto"/>
                <w:lang w:val="en-US" w:eastAsia="zh-CN"/>
              </w:rPr>
              <w:t>生产废水处理系统</w:t>
            </w:r>
            <w:r>
              <w:rPr>
                <w:rFonts w:hint="eastAsia"/>
                <w:color w:val="auto"/>
                <w:lang w:val="en-US" w:eastAsia="zh-CN"/>
              </w:rPr>
              <w:t>（斜坡沉淀池）</w:t>
            </w:r>
            <w:r>
              <w:rPr>
                <w:rFonts w:hint="default"/>
                <w:color w:val="auto"/>
                <w:lang w:val="en-US" w:eastAsia="zh-CN"/>
              </w:rPr>
              <w:t>处理后</w:t>
            </w:r>
            <w:r>
              <w:rPr>
                <w:rFonts w:hint="eastAsia"/>
                <w:color w:val="auto"/>
                <w:lang w:val="en-US" w:eastAsia="zh-CN"/>
              </w:rPr>
              <w:t>回用于混凝土搅拌，不外排。</w:t>
            </w:r>
          </w:p>
          <w:p w14:paraId="30607D7F">
            <w:pPr>
              <w:bidi w:val="0"/>
              <w:rPr>
                <w:rFonts w:hint="eastAsia"/>
                <w:b/>
                <w:bCs/>
                <w:color w:val="auto"/>
                <w:lang w:val="en-US" w:eastAsia="zh-CN"/>
              </w:rPr>
            </w:pPr>
            <w:r>
              <w:rPr>
                <w:rFonts w:hint="eastAsia"/>
                <w:b/>
                <w:bCs/>
                <w:color w:val="auto"/>
                <w:lang w:val="en-US" w:eastAsia="zh-CN"/>
              </w:rPr>
              <w:t>（4）地面冲洗用排水</w:t>
            </w:r>
          </w:p>
          <w:p w14:paraId="75CAF768">
            <w:pPr>
              <w:bidi w:val="0"/>
              <w:rPr>
                <w:rFonts w:hint="eastAsia" w:ascii="Times New Roman" w:hAnsi="Times New Roman" w:eastAsia="宋体" w:cs="Times New Roman"/>
                <w:b w:val="0"/>
                <w:bCs w:val="0"/>
                <w:color w:val="auto"/>
                <w:lang w:val="en-US" w:eastAsia="zh-CN"/>
              </w:rPr>
            </w:pPr>
            <w:r>
              <w:rPr>
                <w:rFonts w:hint="eastAsia"/>
                <w:color w:val="auto"/>
                <w:lang w:eastAsia="zh-CN"/>
              </w:rPr>
              <w:t>项目生产区地面需定期冲洗，避免残留物干燥后，造成扬尘。参照《建筑给水排水设计规范》（GB50015-2003）中的数据，取值2L/m</w:t>
            </w:r>
            <w:r>
              <w:rPr>
                <w:rFonts w:hint="eastAsia"/>
                <w:color w:val="auto"/>
                <w:vertAlign w:val="superscript"/>
                <w:lang w:eastAsia="zh-CN"/>
              </w:rPr>
              <w:t>2</w:t>
            </w:r>
            <w:r>
              <w:rPr>
                <w:rFonts w:hint="eastAsia"/>
                <w:color w:val="auto"/>
                <w:lang w:eastAsia="zh-CN"/>
              </w:rPr>
              <w:t>·d，项目需冲洗场地主要为</w:t>
            </w:r>
            <w:r>
              <w:rPr>
                <w:rFonts w:hint="eastAsia"/>
                <w:color w:val="auto"/>
                <w:lang w:val="en-US" w:eastAsia="zh-CN"/>
              </w:rPr>
              <w:t>2#搅拌楼及其附属设施、3#物料库砂石料配料区及建筑垃圾回收破碎区、5#-6#生产车间</w:t>
            </w:r>
            <w:r>
              <w:rPr>
                <w:rFonts w:hint="eastAsia"/>
                <w:color w:val="auto"/>
                <w:lang w:eastAsia="zh-CN"/>
              </w:rPr>
              <w:t>，根据建设单位提供资料，</w:t>
            </w:r>
            <w:r>
              <w:rPr>
                <w:rFonts w:hint="eastAsia"/>
                <w:color w:val="auto"/>
                <w:lang w:val="en-US" w:eastAsia="zh-CN"/>
              </w:rPr>
              <w:t>几处建筑物</w:t>
            </w:r>
            <w:r>
              <w:rPr>
                <w:rFonts w:hint="eastAsia"/>
                <w:color w:val="auto"/>
                <w:lang w:eastAsia="zh-CN"/>
              </w:rPr>
              <w:t>面积</w:t>
            </w:r>
            <w:r>
              <w:rPr>
                <w:rFonts w:hint="eastAsia"/>
                <w:color w:val="auto"/>
                <w:lang w:val="en-US" w:eastAsia="zh-CN"/>
              </w:rPr>
              <w:t>共计13049.55m</w:t>
            </w:r>
            <w:r>
              <w:rPr>
                <w:rFonts w:hint="eastAsia"/>
                <w:color w:val="auto"/>
                <w:vertAlign w:val="superscript"/>
                <w:lang w:val="en-US" w:eastAsia="zh-CN"/>
              </w:rPr>
              <w:t>2</w:t>
            </w:r>
            <w:r>
              <w:rPr>
                <w:rFonts w:hint="eastAsia"/>
                <w:color w:val="auto"/>
                <w:lang w:eastAsia="zh-CN"/>
              </w:rPr>
              <w:t>，</w:t>
            </w:r>
            <w:r>
              <w:rPr>
                <w:rFonts w:hint="eastAsia"/>
                <w:color w:val="auto"/>
                <w:lang w:val="en-US" w:eastAsia="zh-CN"/>
              </w:rPr>
              <w:t>按</w:t>
            </w:r>
            <w:r>
              <w:rPr>
                <w:rFonts w:hint="eastAsia"/>
                <w:color w:val="auto"/>
                <w:lang w:eastAsia="zh-CN"/>
              </w:rPr>
              <w:t>1周冲洗1次</w:t>
            </w:r>
            <w:r>
              <w:rPr>
                <w:rFonts w:hint="eastAsia"/>
                <w:color w:val="auto"/>
                <w:lang w:val="en-US" w:eastAsia="zh-CN"/>
              </w:rPr>
              <w:t>计</w:t>
            </w:r>
            <w:r>
              <w:rPr>
                <w:rFonts w:hint="eastAsia"/>
                <w:color w:val="auto"/>
                <w:lang w:eastAsia="zh-CN"/>
              </w:rPr>
              <w:t>，则项目地面冲洗用水量约为</w:t>
            </w:r>
            <w:r>
              <w:rPr>
                <w:rFonts w:hint="eastAsia"/>
                <w:color w:val="auto"/>
                <w:lang w:val="en-US" w:eastAsia="zh-CN"/>
              </w:rPr>
              <w:t>26.1t</w:t>
            </w:r>
            <w:r>
              <w:rPr>
                <w:rFonts w:hint="eastAsia"/>
                <w:color w:val="auto"/>
                <w:lang w:eastAsia="zh-CN"/>
              </w:rPr>
              <w:t>/次（</w:t>
            </w:r>
            <w:r>
              <w:rPr>
                <w:rFonts w:hint="eastAsia"/>
                <w:color w:val="auto"/>
                <w:lang w:val="en-US" w:eastAsia="zh-CN"/>
              </w:rPr>
              <w:t>1252.8</w:t>
            </w:r>
            <w:r>
              <w:rPr>
                <w:rFonts w:hint="eastAsia"/>
                <w:color w:val="auto"/>
                <w:lang w:eastAsia="zh-CN"/>
              </w:rPr>
              <w:t>t/a），</w:t>
            </w:r>
            <w:r>
              <w:rPr>
                <w:rFonts w:hint="eastAsia"/>
                <w:color w:val="auto"/>
                <w:lang w:val="en-US" w:eastAsia="zh-CN"/>
              </w:rPr>
              <w:t>地面</w:t>
            </w:r>
            <w:r>
              <w:rPr>
                <w:rFonts w:hint="eastAsia"/>
                <w:color w:val="auto"/>
                <w:lang w:eastAsia="zh-CN"/>
              </w:rPr>
              <w:t>冲洗的蒸发损耗量较大，损耗量按用水量的20%考虑，则项目地面冲洗废水量为</w:t>
            </w:r>
            <w:r>
              <w:rPr>
                <w:rFonts w:hint="eastAsia"/>
                <w:color w:val="auto"/>
                <w:lang w:val="en-US" w:eastAsia="zh-CN"/>
              </w:rPr>
              <w:t>20.88</w:t>
            </w:r>
            <w:r>
              <w:rPr>
                <w:rFonts w:hint="eastAsia"/>
                <w:color w:val="auto"/>
                <w:lang w:eastAsia="zh-CN"/>
              </w:rPr>
              <w:t>t/次（</w:t>
            </w:r>
            <w:r>
              <w:rPr>
                <w:rFonts w:hint="eastAsia"/>
                <w:color w:val="auto"/>
                <w:lang w:val="en-US" w:eastAsia="zh-CN"/>
              </w:rPr>
              <w:t>1002.24</w:t>
            </w:r>
            <w:r>
              <w:rPr>
                <w:rFonts w:hint="eastAsia"/>
                <w:color w:val="auto"/>
                <w:lang w:eastAsia="zh-CN"/>
              </w:rPr>
              <w:t>t/a），</w:t>
            </w:r>
            <w:r>
              <w:rPr>
                <w:rFonts w:hint="default"/>
                <w:color w:val="auto"/>
                <w:lang w:val="en-US" w:eastAsia="zh-CN"/>
              </w:rPr>
              <w:t>经生产废水处理系统</w:t>
            </w:r>
            <w:r>
              <w:rPr>
                <w:rFonts w:hint="eastAsia"/>
                <w:color w:val="auto"/>
                <w:lang w:val="en-US" w:eastAsia="zh-CN"/>
              </w:rPr>
              <w:t>（斜坡沉淀池）</w:t>
            </w:r>
            <w:r>
              <w:rPr>
                <w:rFonts w:hint="default"/>
                <w:color w:val="auto"/>
                <w:lang w:val="en-US" w:eastAsia="zh-CN"/>
              </w:rPr>
              <w:t>处理后</w:t>
            </w:r>
            <w:r>
              <w:rPr>
                <w:rFonts w:hint="eastAsia"/>
                <w:color w:val="auto"/>
                <w:lang w:val="en-US" w:eastAsia="zh-CN"/>
              </w:rPr>
              <w:t>回用于混凝土搅拌，不外排。</w:t>
            </w:r>
          </w:p>
          <w:p w14:paraId="4898AF29">
            <w:pPr>
              <w:bidi w:val="0"/>
              <w:rPr>
                <w:rFonts w:hint="default" w:ascii="Times New Roman" w:hAnsi="Times New Roman" w:eastAsia="宋体" w:cs="Times New Roman"/>
                <w:b/>
                <w:bCs/>
                <w:color w:val="auto"/>
                <w:lang w:val="en-US" w:eastAsia="zh-CN"/>
              </w:rPr>
            </w:pPr>
            <w:r>
              <w:rPr>
                <w:rFonts w:hint="eastAsia"/>
                <w:b/>
                <w:bCs/>
                <w:color w:val="auto"/>
                <w:lang w:val="en-US" w:eastAsia="zh-CN"/>
              </w:rPr>
              <w:t>（5）抑尘用水及道路清扫用水</w:t>
            </w:r>
          </w:p>
          <w:p w14:paraId="4D4A1C65">
            <w:pPr>
              <w:bidi w:val="0"/>
              <w:rPr>
                <w:rFonts w:hint="eastAsia"/>
                <w:color w:val="auto"/>
                <w:lang w:val="en-US" w:eastAsia="zh-CN"/>
              </w:rPr>
            </w:pPr>
            <w:r>
              <w:rPr>
                <w:rFonts w:hint="eastAsia"/>
                <w:color w:val="auto"/>
                <w:lang w:val="en-US" w:eastAsia="zh-CN"/>
              </w:rPr>
              <w:t>项目抑尘用水点主要为厂区喷淋降尘装置、道路人工定时洒水以及装卸时厂区雾炮机降尘。</w:t>
            </w:r>
          </w:p>
          <w:p w14:paraId="2D3E5F35">
            <w:pPr>
              <w:bidi w:val="0"/>
              <w:rPr>
                <w:rFonts w:hint="eastAsia"/>
                <w:color w:val="auto"/>
                <w:lang w:val="en-US" w:eastAsia="zh-CN"/>
              </w:rPr>
            </w:pPr>
            <w:r>
              <w:rPr>
                <w:rFonts w:hint="eastAsia" w:ascii="Times New Roman" w:hAnsi="Times New Roman" w:eastAsia="宋体" w:cs="Times New Roman"/>
                <w:color w:val="auto"/>
                <w:szCs w:val="24"/>
                <w:lang w:val="en-US" w:eastAsia="zh-CN"/>
              </w:rPr>
              <w:t>项目3#物料库的砂石堆场装卸及配料口装卸料</w:t>
            </w:r>
            <w:r>
              <w:rPr>
                <w:rFonts w:hint="default" w:ascii="Times New Roman" w:hAnsi="Times New Roman" w:eastAsia="宋体" w:cs="Times New Roman"/>
                <w:color w:val="auto"/>
                <w:highlight w:val="none"/>
              </w:rPr>
              <w:t>过程</w:t>
            </w:r>
            <w:r>
              <w:rPr>
                <w:rFonts w:hint="default" w:ascii="Times New Roman" w:hAnsi="Times New Roman" w:eastAsia="宋体" w:cs="Times New Roman"/>
                <w:color w:val="auto"/>
                <w:highlight w:val="none"/>
                <w:lang w:eastAsia="zh-CN"/>
              </w:rPr>
              <w:t>产生少量的</w:t>
            </w:r>
            <w:r>
              <w:rPr>
                <w:rFonts w:hint="default" w:ascii="Times New Roman" w:hAnsi="Times New Roman" w:eastAsia="宋体" w:cs="Times New Roman"/>
                <w:color w:val="auto"/>
                <w:highlight w:val="none"/>
              </w:rPr>
              <w:t>粉尘，</w:t>
            </w:r>
            <w:r>
              <w:rPr>
                <w:rFonts w:hint="default" w:ascii="Times New Roman" w:hAnsi="Times New Roman" w:eastAsia="宋体" w:cs="Times New Roman"/>
                <w:color w:val="auto"/>
                <w:highlight w:val="none"/>
                <w:lang w:eastAsia="zh-CN"/>
              </w:rPr>
              <w:t>为降低</w:t>
            </w:r>
            <w:r>
              <w:rPr>
                <w:rFonts w:hint="eastAsia" w:ascii="Times New Roman" w:hAnsi="Times New Roman" w:eastAsia="宋体" w:cs="Times New Roman"/>
                <w:color w:val="auto"/>
                <w:highlight w:val="none"/>
                <w:lang w:val="en-US" w:eastAsia="zh-CN"/>
              </w:rPr>
              <w:t>堆场</w:t>
            </w:r>
            <w:r>
              <w:rPr>
                <w:rFonts w:hint="eastAsia" w:ascii="Times New Roman" w:hAnsi="Times New Roman" w:eastAsia="宋体" w:cs="Times New Roman"/>
                <w:color w:val="auto"/>
                <w:szCs w:val="24"/>
                <w:lang w:val="en-US" w:eastAsia="zh-CN"/>
              </w:rPr>
              <w:t>装卸</w:t>
            </w:r>
            <w:r>
              <w:rPr>
                <w:rFonts w:hint="default" w:ascii="Times New Roman" w:hAnsi="Times New Roman" w:eastAsia="宋体" w:cs="Times New Roman"/>
                <w:color w:val="auto"/>
                <w:highlight w:val="none"/>
              </w:rPr>
              <w:t>料时</w:t>
            </w:r>
            <w:r>
              <w:rPr>
                <w:rFonts w:hint="default" w:ascii="Times New Roman" w:hAnsi="Times New Roman" w:eastAsia="宋体" w:cs="Times New Roman"/>
                <w:color w:val="auto"/>
                <w:highlight w:val="none"/>
                <w:lang w:eastAsia="zh-CN"/>
              </w:rPr>
              <w:t>产生的粉尘</w:t>
            </w:r>
            <w:r>
              <w:rPr>
                <w:rFonts w:hint="eastAsia" w:ascii="Times New Roman" w:hAnsi="Times New Roman" w:eastAsia="宋体" w:cs="Times New Roman"/>
                <w:color w:val="auto"/>
                <w:highlight w:val="none"/>
                <w:lang w:val="en-US" w:eastAsia="zh-CN"/>
              </w:rPr>
              <w:t>及生产车间生产过程中的粉尘，</w:t>
            </w:r>
            <w:r>
              <w:rPr>
                <w:rFonts w:hint="default" w:ascii="Times New Roman" w:hAnsi="Times New Roman" w:eastAsia="宋体" w:cs="Times New Roman"/>
                <w:color w:val="auto"/>
                <w:highlight w:val="none"/>
                <w:lang w:eastAsia="zh-CN"/>
              </w:rPr>
              <w:t>要求项目在</w:t>
            </w:r>
            <w:r>
              <w:rPr>
                <w:rFonts w:hint="eastAsia"/>
                <w:color w:val="auto"/>
                <w:lang w:val="en-US" w:eastAsia="zh-CN"/>
              </w:rPr>
              <w:t>3#物料库车间内部</w:t>
            </w:r>
            <w:r>
              <w:rPr>
                <w:rFonts w:hint="eastAsia" w:ascii="Times New Roman" w:hAnsi="Times New Roman" w:eastAsia="宋体" w:cs="Times New Roman"/>
                <w:color w:val="auto"/>
                <w:highlight w:val="none"/>
                <w:lang w:val="en-US" w:eastAsia="zh-CN"/>
              </w:rPr>
              <w:t>砂石料堆场、</w:t>
            </w:r>
            <w:r>
              <w:rPr>
                <w:rFonts w:hint="eastAsia" w:cs="Times New Roman"/>
                <w:color w:val="auto"/>
                <w:highlight w:val="none"/>
                <w:lang w:val="en-US" w:eastAsia="zh-CN"/>
              </w:rPr>
              <w:t>配料区</w:t>
            </w:r>
            <w:r>
              <w:rPr>
                <w:rFonts w:hint="eastAsia" w:ascii="Times New Roman" w:hAnsi="Times New Roman" w:eastAsia="宋体" w:cs="Times New Roman"/>
                <w:color w:val="auto"/>
                <w:highlight w:val="none"/>
                <w:lang w:val="en-US" w:eastAsia="zh-CN"/>
              </w:rPr>
              <w:t>进料口</w:t>
            </w:r>
            <w:r>
              <w:rPr>
                <w:rFonts w:hint="default" w:ascii="Times New Roman" w:hAnsi="Times New Roman" w:eastAsia="宋体" w:cs="Times New Roman"/>
                <w:color w:val="auto"/>
                <w:highlight w:val="none"/>
                <w:lang w:val="en-US" w:eastAsia="zh-CN"/>
              </w:rPr>
              <w:t>上方设置</w:t>
            </w:r>
            <w:r>
              <w:rPr>
                <w:rFonts w:hint="default" w:ascii="Times New Roman" w:hAnsi="Times New Roman" w:eastAsia="宋体" w:cs="Times New Roman"/>
                <w:color w:val="auto"/>
                <w:highlight w:val="none"/>
              </w:rPr>
              <w:t>雾化喷淋装置抑尘</w:t>
            </w:r>
            <w:r>
              <w:rPr>
                <w:rFonts w:hint="eastAsia"/>
                <w:color w:val="auto"/>
                <w:lang w:val="en-US" w:eastAsia="zh-CN"/>
              </w:rPr>
              <w:t>。根据建设单位提供资料，项目3#物料库占地面积为6110.98m</w:t>
            </w:r>
            <w:r>
              <w:rPr>
                <w:rFonts w:hint="eastAsia"/>
                <w:color w:val="auto"/>
                <w:vertAlign w:val="superscript"/>
                <w:lang w:val="en-US" w:eastAsia="zh-CN"/>
              </w:rPr>
              <w:t>2</w:t>
            </w:r>
            <w:r>
              <w:rPr>
                <w:rFonts w:hint="eastAsia"/>
                <w:color w:val="auto"/>
                <w:lang w:val="en-US" w:eastAsia="zh-CN"/>
              </w:rPr>
              <w:t>，喷淋水量按0.003t/m</w:t>
            </w:r>
            <w:r>
              <w:rPr>
                <w:rFonts w:hint="eastAsia"/>
                <w:color w:val="auto"/>
                <w:vertAlign w:val="superscript"/>
                <w:lang w:val="en-US" w:eastAsia="zh-CN"/>
              </w:rPr>
              <w:t>2</w:t>
            </w:r>
            <w:r>
              <w:rPr>
                <w:rFonts w:hint="eastAsia"/>
                <w:color w:val="auto"/>
                <w:lang w:val="en-US" w:eastAsia="zh-CN"/>
              </w:rPr>
              <w:t>·d计，则项目3#物料库喷淋抑尘用水量约为18.33t/d（6048.9t/a）。</w:t>
            </w:r>
          </w:p>
          <w:p w14:paraId="4E46D7DC">
            <w:pPr>
              <w:bidi w:val="0"/>
              <w:rPr>
                <w:rFonts w:hint="eastAsia"/>
                <w:color w:val="auto"/>
                <w:lang w:val="en-US" w:eastAsia="zh-CN"/>
              </w:rPr>
            </w:pPr>
            <w:r>
              <w:rPr>
                <w:rFonts w:hint="eastAsia"/>
                <w:color w:val="auto"/>
                <w:lang w:val="en-US" w:eastAsia="zh-CN"/>
              </w:rPr>
              <w:t>项目拟在搅拌楼及其附属设施内部（主要为称量、搅拌、骨料主传输带、装车层、粉料仓层）内部整体采用喷淋装置降尘，根据建设单位提供资料，按3t/d（990t/a）计。</w:t>
            </w:r>
          </w:p>
          <w:p w14:paraId="0DE5BAA9">
            <w:pPr>
              <w:bidi w:val="0"/>
              <w:rPr>
                <w:rFonts w:hint="default"/>
                <w:color w:val="auto"/>
                <w:lang w:val="en-US" w:eastAsia="zh-CN"/>
              </w:rPr>
            </w:pPr>
            <w:r>
              <w:rPr>
                <w:rFonts w:hint="eastAsia"/>
                <w:color w:val="auto"/>
                <w:lang w:val="en-US" w:eastAsia="zh-CN"/>
              </w:rPr>
              <w:t>同时项目拟对生产区侧的厂区西、西南侧以及南侧围墙上配套喷淋装置，在雨天（按120d/a计）以外的生产时间内（12h/d）开启，长度约246m，按2m隔间一个设置，喷头流量约0.8-1.0L/min，按0.9L/min计，围墙喷淋装置用水量约为79.7t/d（16737t/a）。</w:t>
            </w:r>
          </w:p>
          <w:p w14:paraId="02E398D8">
            <w:pPr>
              <w:bidi w:val="0"/>
              <w:rPr>
                <w:rFonts w:hint="eastAsia"/>
                <w:color w:val="auto"/>
                <w:lang w:val="en-US" w:eastAsia="zh-CN"/>
              </w:rPr>
            </w:pPr>
            <w:r>
              <w:rPr>
                <w:rFonts w:hint="eastAsia"/>
                <w:color w:val="auto"/>
                <w:lang w:val="en-US" w:eastAsia="zh-CN"/>
              </w:rPr>
              <w:t>项目厂内运输道路在雨天（按120d/a计）以外定时人工洒水并清扫，参考福建省地方标准《行业用水定额》（DB35/T 772-2023）中表6环境卫生管理中浇洒道路和场地用水定额值为1.5L/（m</w:t>
            </w:r>
            <w:r>
              <w:rPr>
                <w:rFonts w:hint="eastAsia"/>
                <w:color w:val="auto"/>
                <w:vertAlign w:val="superscript"/>
                <w:lang w:val="en-US" w:eastAsia="zh-CN"/>
              </w:rPr>
              <w:t>2</w:t>
            </w:r>
            <w:r>
              <w:rPr>
                <w:rFonts w:hint="eastAsia"/>
                <w:color w:val="auto"/>
                <w:lang w:val="en-US" w:eastAsia="zh-CN"/>
              </w:rPr>
              <w:t>·d），项目厂区运输道路面积约3700m</w:t>
            </w:r>
            <w:r>
              <w:rPr>
                <w:rFonts w:hint="eastAsia"/>
                <w:color w:val="auto"/>
                <w:vertAlign w:val="superscript"/>
                <w:lang w:val="en-US" w:eastAsia="zh-CN"/>
              </w:rPr>
              <w:t>2</w:t>
            </w:r>
            <w:r>
              <w:rPr>
                <w:rFonts w:hint="eastAsia"/>
                <w:color w:val="auto"/>
                <w:lang w:val="en-US" w:eastAsia="zh-CN"/>
              </w:rPr>
              <w:t>，则项目道路抑尘用水量约为5.55t/d（1165.5t/a）。</w:t>
            </w:r>
          </w:p>
          <w:p w14:paraId="7C721014">
            <w:pPr>
              <w:bidi w:val="0"/>
              <w:rPr>
                <w:rFonts w:hint="default" w:ascii="Times New Roman" w:hAnsi="Times New Roman" w:eastAsia="宋体" w:cs="Times New Roman"/>
                <w:b w:val="0"/>
                <w:bCs/>
                <w:caps w:val="0"/>
                <w:smallCaps w:val="0"/>
                <w:color w:val="auto"/>
                <w:szCs w:val="24"/>
                <w:lang w:val="en-US" w:eastAsia="zh-CN"/>
              </w:rPr>
            </w:pPr>
            <w:r>
              <w:rPr>
                <w:rFonts w:hint="eastAsia"/>
                <w:color w:val="auto"/>
                <w:lang w:val="en-US" w:eastAsia="zh-CN"/>
              </w:rPr>
              <w:t>综上，项目抑尘及道路清扫的日用水最大约为106.58t/d，年用水量约24941.4t/a，全部蒸发损耗，无废水排放。</w:t>
            </w:r>
          </w:p>
          <w:p w14:paraId="1AFF9A9F">
            <w:pPr>
              <w:bidi w:val="0"/>
              <w:rPr>
                <w:rFonts w:hint="eastAsia"/>
                <w:b/>
                <w:bCs/>
                <w:color w:val="auto"/>
                <w:lang w:val="en-US" w:eastAsia="zh-CN"/>
              </w:rPr>
            </w:pPr>
            <w:r>
              <w:rPr>
                <w:rFonts w:hint="eastAsia"/>
                <w:b/>
                <w:bCs/>
                <w:color w:val="auto"/>
                <w:lang w:val="en-US" w:eastAsia="zh-CN"/>
              </w:rPr>
              <w:t>（6）洗车用水</w:t>
            </w:r>
          </w:p>
          <w:p w14:paraId="160665FC">
            <w:pPr>
              <w:bidi w:val="0"/>
              <w:rPr>
                <w:rFonts w:hint="eastAsia"/>
                <w:color w:val="auto"/>
                <w:lang w:val="en-US" w:eastAsia="zh-CN"/>
              </w:rPr>
            </w:pPr>
            <w:r>
              <w:rPr>
                <w:rFonts w:hint="eastAsia"/>
                <w:color w:val="auto"/>
                <w:lang w:val="en-US" w:eastAsia="zh-CN"/>
              </w:rPr>
              <w:t>项目厂区出入口拟设置洗车台，对进、出运输车辆进行冲洗，参照《建筑给排水设计标准》（GB50015-2019），载重汽车高压水枪冲洗用水量为80～120L/（辆·次），本次评价取其平均值100L/（辆·次）进行计算。项目主要原料（水泥、粉煤灰、石方、矿粉、钢筋、钢棒、螺旋筋等）约207万t/a及产品</w:t>
            </w:r>
            <w:r>
              <w:rPr>
                <w:rFonts w:hint="eastAsia"/>
                <w:color w:val="auto"/>
                <w:lang w:eastAsia="zh-CN"/>
              </w:rPr>
              <w:t>约</w:t>
            </w:r>
            <w:r>
              <w:rPr>
                <w:rFonts w:hint="eastAsia"/>
                <w:color w:val="auto"/>
                <w:lang w:val="en-US" w:eastAsia="zh-CN"/>
              </w:rPr>
              <w:t>236万</w:t>
            </w:r>
            <w:r>
              <w:rPr>
                <w:rFonts w:hint="eastAsia"/>
                <w:color w:val="auto"/>
                <w:lang w:eastAsia="zh-CN"/>
              </w:rPr>
              <w:t>t/a（</w:t>
            </w:r>
            <w:r>
              <w:rPr>
                <w:rFonts w:hint="eastAsia"/>
                <w:color w:val="auto"/>
                <w:lang w:val="en-US" w:eastAsia="zh-CN"/>
              </w:rPr>
              <w:t>项目年产预拌商品混凝土80万立方，预制砼构件20万立方。</w:t>
            </w:r>
            <w:r>
              <w:rPr>
                <w:rFonts w:hint="eastAsia"/>
                <w:color w:val="auto"/>
                <w:highlight w:val="none"/>
                <w:lang w:val="en-US" w:eastAsia="zh-CN"/>
              </w:rPr>
              <w:t>根据建设方提供资料，预拌混凝土综合密度均按照2.3t/m</w:t>
            </w:r>
            <w:r>
              <w:rPr>
                <w:rFonts w:hint="eastAsia"/>
                <w:color w:val="auto"/>
                <w:highlight w:val="none"/>
                <w:vertAlign w:val="superscript"/>
                <w:lang w:val="en-US" w:eastAsia="zh-CN"/>
              </w:rPr>
              <w:t>3</w:t>
            </w:r>
            <w:r>
              <w:rPr>
                <w:rFonts w:hint="eastAsia"/>
                <w:color w:val="auto"/>
                <w:highlight w:val="none"/>
                <w:vertAlign w:val="baseline"/>
                <w:lang w:val="en-US" w:eastAsia="zh-CN"/>
              </w:rPr>
              <w:t>计</w:t>
            </w:r>
            <w:r>
              <w:rPr>
                <w:rFonts w:hint="eastAsia"/>
                <w:color w:val="auto"/>
                <w:highlight w:val="none"/>
                <w:lang w:val="en-US" w:eastAsia="zh-CN"/>
              </w:rPr>
              <w:t>，</w:t>
            </w:r>
            <w:r>
              <w:rPr>
                <w:rFonts w:hint="eastAsia"/>
                <w:color w:val="auto"/>
                <w:highlight w:val="none"/>
                <w:vertAlign w:val="baseline"/>
                <w:lang w:val="en-US" w:eastAsia="zh-CN"/>
              </w:rPr>
              <w:t>预制砼结构件综合密度按照</w:t>
            </w:r>
            <w:r>
              <w:rPr>
                <w:rFonts w:hint="eastAsia"/>
                <w:color w:val="auto"/>
                <w:highlight w:val="none"/>
                <w:lang w:val="en-US" w:eastAsia="zh-CN"/>
              </w:rPr>
              <w:t>2.6t/m</w:t>
            </w:r>
            <w:r>
              <w:rPr>
                <w:rFonts w:hint="eastAsia"/>
                <w:color w:val="auto"/>
                <w:highlight w:val="none"/>
                <w:vertAlign w:val="superscript"/>
                <w:lang w:val="en-US" w:eastAsia="zh-CN"/>
              </w:rPr>
              <w:t>3</w:t>
            </w:r>
            <w:r>
              <w:rPr>
                <w:rFonts w:hint="eastAsia"/>
                <w:color w:val="auto"/>
                <w:highlight w:val="none"/>
                <w:vertAlign w:val="baseline"/>
                <w:lang w:val="en-US" w:eastAsia="zh-CN"/>
              </w:rPr>
              <w:t>计</w:t>
            </w:r>
            <w:r>
              <w:rPr>
                <w:rFonts w:hint="eastAsia"/>
                <w:color w:val="auto"/>
                <w:highlight w:val="none"/>
                <w:lang w:eastAsia="zh-CN"/>
              </w:rPr>
              <w:t>）</w:t>
            </w:r>
            <w:r>
              <w:rPr>
                <w:rFonts w:hint="eastAsia"/>
                <w:color w:val="auto"/>
                <w:lang w:eastAsia="zh-CN"/>
              </w:rPr>
              <w:t>，共计约</w:t>
            </w:r>
            <w:r>
              <w:rPr>
                <w:rFonts w:hint="eastAsia"/>
                <w:color w:val="auto"/>
                <w:lang w:val="en-US" w:eastAsia="zh-CN"/>
              </w:rPr>
              <w:t>443万</w:t>
            </w:r>
            <w:r>
              <w:rPr>
                <w:rFonts w:hint="eastAsia"/>
                <w:color w:val="auto"/>
                <w:lang w:eastAsia="zh-CN"/>
              </w:rPr>
              <w:t>t/a。车辆载重规格按30t计，年发车</w:t>
            </w:r>
            <w:r>
              <w:rPr>
                <w:rFonts w:hint="eastAsia"/>
                <w:color w:val="auto"/>
                <w:lang w:val="en-US" w:eastAsia="zh-CN"/>
              </w:rPr>
              <w:t>147667</w:t>
            </w:r>
            <w:r>
              <w:rPr>
                <w:rFonts w:hint="eastAsia"/>
                <w:color w:val="auto"/>
                <w:lang w:eastAsia="zh-CN"/>
              </w:rPr>
              <w:t>辆次</w:t>
            </w:r>
            <w:r>
              <w:rPr>
                <w:rFonts w:hint="eastAsia"/>
                <w:color w:val="auto"/>
                <w:lang w:val="en-US" w:eastAsia="zh-CN"/>
              </w:rPr>
              <w:t>，则项目车辆进出两次洗车用水量约89.5t/d（29533.4t/a）。因属于露天清洗，蒸发损耗量较大，产污按80%计，则洗车废水产生量71.6t/d（23626.72t/a），经洗车台配套沉淀池处理后，回用于车辆冲洗，不外排。沉淀池表层少量浮油采用吸油毡定期清理，废吸油毡作为危险废物委托资质单位定期清运处置。</w:t>
            </w:r>
          </w:p>
          <w:p w14:paraId="5BE445F7">
            <w:pPr>
              <w:bidi w:val="0"/>
              <w:rPr>
                <w:rFonts w:hint="eastAsia"/>
                <w:b/>
                <w:bCs/>
                <w:color w:val="auto"/>
                <w:lang w:val="en-US" w:eastAsia="zh-CN"/>
              </w:rPr>
            </w:pPr>
            <w:r>
              <w:rPr>
                <w:rFonts w:hint="eastAsia"/>
                <w:b/>
                <w:bCs/>
                <w:color w:val="auto"/>
                <w:lang w:val="en-US" w:eastAsia="zh-CN"/>
              </w:rPr>
              <w:t>（7）试验清洗用水</w:t>
            </w:r>
          </w:p>
          <w:p w14:paraId="6547F047">
            <w:pPr>
              <w:bidi w:val="0"/>
              <w:rPr>
                <w:rFonts w:hint="eastAsia"/>
                <w:color w:val="auto"/>
                <w:lang w:val="en-US" w:eastAsia="zh-CN"/>
              </w:rPr>
            </w:pPr>
            <w:r>
              <w:rPr>
                <w:rFonts w:hint="eastAsia"/>
                <w:color w:val="auto"/>
                <w:lang w:val="en-US" w:eastAsia="zh-CN"/>
              </w:rPr>
              <w:t>项目对预拌混凝土物理性质（含气量、抗渗、抗折抗压等）进行试验，均为物理试验，不使用化学试剂。为保证试验准确性，需对试验设备和仪器进行清洗，产生一定量的试验清洗废水，废水的主要污染物为SS，不含有毒、有害物质及重金属。根据建设单位提供资料，试验清洗用水量约为0.3t/d（99t/a），产污系数取0.9，试验清洗废水产生量为0.27t/d（即89.1t/a）。试验清洗废水</w:t>
            </w:r>
            <w:r>
              <w:rPr>
                <w:rFonts w:hint="default"/>
                <w:color w:val="auto"/>
                <w:lang w:val="en-US" w:eastAsia="zh-CN"/>
              </w:rPr>
              <w:t>经</w:t>
            </w:r>
            <w:r>
              <w:rPr>
                <w:rFonts w:hint="eastAsia"/>
                <w:color w:val="auto"/>
                <w:lang w:val="en-US" w:eastAsia="zh-CN"/>
              </w:rPr>
              <w:t>收集后排放进</w:t>
            </w:r>
            <w:r>
              <w:rPr>
                <w:rFonts w:hint="default"/>
                <w:color w:val="auto"/>
                <w:lang w:val="en-US" w:eastAsia="zh-CN"/>
              </w:rPr>
              <w:t>生产废水处理系统</w:t>
            </w:r>
            <w:r>
              <w:rPr>
                <w:rFonts w:hint="eastAsia"/>
                <w:color w:val="auto"/>
                <w:lang w:val="en-US" w:eastAsia="zh-CN"/>
              </w:rPr>
              <w:t>（斜坡沉淀池）</w:t>
            </w:r>
            <w:r>
              <w:rPr>
                <w:rFonts w:hint="default"/>
                <w:color w:val="auto"/>
                <w:lang w:val="en-US" w:eastAsia="zh-CN"/>
              </w:rPr>
              <w:t>处理后</w:t>
            </w:r>
            <w:r>
              <w:rPr>
                <w:rFonts w:hint="eastAsia"/>
                <w:color w:val="auto"/>
                <w:lang w:val="en-US" w:eastAsia="zh-CN"/>
              </w:rPr>
              <w:t>回用于混凝土搅拌，不外排。</w:t>
            </w:r>
          </w:p>
          <w:p w14:paraId="0984C7F2">
            <w:pPr>
              <w:bidi w:val="0"/>
              <w:rPr>
                <w:rFonts w:hint="eastAsia"/>
                <w:b/>
                <w:bCs/>
                <w:color w:val="auto"/>
                <w:lang w:val="en-US" w:eastAsia="zh-CN"/>
              </w:rPr>
            </w:pPr>
            <w:r>
              <w:rPr>
                <w:rFonts w:hint="eastAsia"/>
                <w:b/>
                <w:bCs/>
                <w:color w:val="auto"/>
                <w:lang w:val="en-US" w:eastAsia="zh-CN"/>
              </w:rPr>
              <w:t>（8）职工日常生活用排水</w:t>
            </w:r>
          </w:p>
          <w:p w14:paraId="3F37C17B">
            <w:pPr>
              <w:bidi w:val="0"/>
              <w:rPr>
                <w:rFonts w:hint="eastAsia"/>
                <w:color w:val="auto"/>
                <w:lang w:val="en-US" w:eastAsia="zh-CN"/>
              </w:rPr>
            </w:pPr>
            <w:r>
              <w:rPr>
                <w:rFonts w:hint="eastAsia"/>
                <w:color w:val="auto"/>
                <w:lang w:val="en-US" w:eastAsia="zh-CN"/>
              </w:rPr>
              <w:t>根据建设单位提供的资料，本项目职工人数约40人，其中住厂员工30人，不住厂员工10人，参考《建筑给水排水设计标准》（GB50015-2019），车间工人的生活用水定额应根据车间性质确定，本评价</w:t>
            </w:r>
            <w:r>
              <w:rPr>
                <w:rFonts w:hint="default"/>
                <w:color w:val="auto"/>
                <w:lang w:val="en-US" w:eastAsia="zh-CN"/>
              </w:rPr>
              <w:t>按</w:t>
            </w:r>
            <w:r>
              <w:rPr>
                <w:rFonts w:hint="eastAsia"/>
                <w:color w:val="auto"/>
                <w:lang w:val="en-US" w:eastAsia="zh-CN"/>
              </w:rPr>
              <w:t>住厂员工生活用水量150L/</w:t>
            </w:r>
            <w:r>
              <w:rPr>
                <w:rFonts w:hint="default"/>
                <w:color w:val="auto"/>
                <w:lang w:val="en-US" w:eastAsia="zh-CN"/>
              </w:rPr>
              <w:t>人·班</w:t>
            </w:r>
            <w:r>
              <w:rPr>
                <w:rFonts w:hint="eastAsia"/>
                <w:color w:val="auto"/>
                <w:lang w:val="en-US" w:eastAsia="zh-CN"/>
              </w:rPr>
              <w:t>，</w:t>
            </w:r>
            <w:r>
              <w:rPr>
                <w:sz w:val="24"/>
                <w:szCs w:val="22"/>
              </w:rPr>
              <w:t>不住厂职工生活用水量取50L/d·人</w:t>
            </w:r>
            <w:r>
              <w:rPr>
                <w:rFonts w:hint="eastAsia"/>
                <w:sz w:val="24"/>
                <w:szCs w:val="22"/>
                <w:lang w:eastAsia="zh-CN"/>
              </w:rPr>
              <w:t>，</w:t>
            </w:r>
            <w:r>
              <w:rPr>
                <w:rFonts w:hint="eastAsia"/>
                <w:sz w:val="24"/>
                <w:szCs w:val="22"/>
                <w:lang w:val="en-US" w:eastAsia="zh-CN"/>
              </w:rPr>
              <w:t>员工</w:t>
            </w:r>
            <w:r>
              <w:rPr>
                <w:rFonts w:hint="eastAsia"/>
                <w:color w:val="auto"/>
                <w:lang w:val="en-US" w:eastAsia="zh-CN"/>
              </w:rPr>
              <w:t>年工作330天，则本项目职工生活用水量约为5t/d(1650t/a)。</w:t>
            </w:r>
            <w:r>
              <w:rPr>
                <w:rFonts w:hint="default"/>
                <w:color w:val="auto"/>
                <w:lang w:val="en-US" w:eastAsia="zh-CN"/>
              </w:rPr>
              <w:t>根据《室外排水设计规范》(GB 50014-20</w:t>
            </w:r>
            <w:r>
              <w:rPr>
                <w:rFonts w:hint="eastAsia"/>
                <w:color w:val="auto"/>
                <w:lang w:val="en-US" w:eastAsia="zh-CN"/>
              </w:rPr>
              <w:t>21</w:t>
            </w:r>
            <w:r>
              <w:rPr>
                <w:rFonts w:hint="default"/>
                <w:color w:val="auto"/>
                <w:lang w:val="en-US" w:eastAsia="zh-CN"/>
              </w:rPr>
              <w:t>)，居民生活污水定额可按用水定额的</w:t>
            </w:r>
            <w:r>
              <w:rPr>
                <w:rFonts w:hint="eastAsia"/>
                <w:color w:val="auto"/>
                <w:lang w:val="en-US" w:eastAsia="zh-CN"/>
              </w:rPr>
              <w:t>9</w:t>
            </w:r>
            <w:r>
              <w:rPr>
                <w:rFonts w:hint="default"/>
                <w:color w:val="auto"/>
                <w:lang w:val="en-US" w:eastAsia="zh-CN"/>
              </w:rPr>
              <w:t>0%计算(其余</w:t>
            </w:r>
            <w:r>
              <w:rPr>
                <w:rFonts w:hint="eastAsia"/>
                <w:color w:val="auto"/>
                <w:lang w:val="en-US" w:eastAsia="zh-CN"/>
              </w:rPr>
              <w:t>1</w:t>
            </w:r>
            <w:r>
              <w:rPr>
                <w:rFonts w:hint="default"/>
                <w:color w:val="auto"/>
                <w:lang w:val="en-US" w:eastAsia="zh-CN"/>
              </w:rPr>
              <w:t>0%蒸发损耗等)</w:t>
            </w:r>
            <w:r>
              <w:rPr>
                <w:rFonts w:hint="eastAsia"/>
                <w:color w:val="auto"/>
                <w:lang w:val="en-US" w:eastAsia="zh-CN"/>
              </w:rPr>
              <w:t>，则项目生活污水产生量约为4.5t/d(1485t/a)，项目职工日常生活污水经厂区化粪池处理后，排入拟建设的一体化污水处理设备处理，处理后的尾水在项目近期用于厂区绿化浇灌，不外排，远期待项目周边市政污水管网及相关配套设施建成后，统一接入当地市政污水处理系统排放处理。</w:t>
            </w:r>
          </w:p>
          <w:p w14:paraId="292CE19C">
            <w:pPr>
              <w:bidi w:val="0"/>
              <w:rPr>
                <w:rFonts w:hint="eastAsia"/>
                <w:b/>
                <w:bCs/>
                <w:color w:val="auto"/>
                <w:lang w:val="en-US" w:eastAsia="zh-CN"/>
              </w:rPr>
            </w:pPr>
            <w:r>
              <w:rPr>
                <w:rFonts w:hint="eastAsia"/>
                <w:b/>
                <w:bCs/>
                <w:color w:val="auto"/>
                <w:lang w:val="en-US" w:eastAsia="zh-CN"/>
              </w:rPr>
              <w:t>（9）绿化用水</w:t>
            </w:r>
          </w:p>
          <w:p w14:paraId="05E14797">
            <w:pPr>
              <w:bidi w:val="0"/>
              <w:rPr>
                <w:rFonts w:hint="default"/>
                <w:color w:val="auto"/>
                <w:lang w:val="en-US" w:eastAsia="zh-CN"/>
              </w:rPr>
            </w:pPr>
            <w:r>
              <w:rPr>
                <w:rFonts w:hint="eastAsia"/>
                <w:color w:val="auto"/>
                <w:lang w:val="en-US" w:eastAsia="zh-CN"/>
              </w:rPr>
              <w:t>根据建设单位提供资料，项目厂区绿化面积约为3666m</w:t>
            </w:r>
            <w:r>
              <w:rPr>
                <w:rFonts w:hint="eastAsia"/>
                <w:color w:val="auto"/>
                <w:vertAlign w:val="superscript"/>
                <w:lang w:val="en-US" w:eastAsia="zh-CN"/>
              </w:rPr>
              <w:t>2</w:t>
            </w:r>
            <w:r>
              <w:rPr>
                <w:rFonts w:hint="eastAsia"/>
                <w:color w:val="auto"/>
                <w:lang w:val="en-US" w:eastAsia="zh-CN"/>
              </w:rPr>
              <w:t>，绿化用水根据《室外给水设计标准》（GB50013-2018）的相关规定，浇洒绿地用水可根据浇洒面积按1.0L（m</w:t>
            </w:r>
            <w:r>
              <w:rPr>
                <w:rFonts w:hint="eastAsia"/>
                <w:color w:val="auto"/>
                <w:vertAlign w:val="superscript"/>
                <w:lang w:val="en-US" w:eastAsia="zh-CN"/>
              </w:rPr>
              <w:t>2</w:t>
            </w:r>
            <w:r>
              <w:rPr>
                <w:rFonts w:hint="eastAsia"/>
                <w:color w:val="auto"/>
                <w:lang w:val="en-US" w:eastAsia="zh-CN"/>
              </w:rPr>
              <w:t>/d）-3.0L（m</w:t>
            </w:r>
            <w:r>
              <w:rPr>
                <w:rFonts w:hint="eastAsia"/>
                <w:color w:val="auto"/>
                <w:vertAlign w:val="superscript"/>
                <w:lang w:val="en-US" w:eastAsia="zh-CN"/>
              </w:rPr>
              <w:t>2</w:t>
            </w:r>
            <w:r>
              <w:rPr>
                <w:rFonts w:hint="eastAsia"/>
                <w:color w:val="auto"/>
                <w:lang w:val="en-US" w:eastAsia="zh-CN"/>
              </w:rPr>
              <w:t>/d）计算，本项目取值2.0L（m</w:t>
            </w:r>
            <w:r>
              <w:rPr>
                <w:rFonts w:hint="eastAsia"/>
                <w:color w:val="auto"/>
                <w:vertAlign w:val="superscript"/>
                <w:lang w:val="en-US" w:eastAsia="zh-CN"/>
              </w:rPr>
              <w:t>2</w:t>
            </w:r>
            <w:r>
              <w:rPr>
                <w:rFonts w:hint="eastAsia"/>
                <w:color w:val="auto"/>
                <w:lang w:val="en-US" w:eastAsia="zh-CN"/>
              </w:rPr>
              <w:t>/d），在雨天（按120d/a计）以外定时对绿化用地部分进行浇洒，因此绿化用水量为7.33t/d（1539.72t/a）。此部分用水来源于厂区生活用水经化粪池+一体化处理设施处理达标后的尾水和补充部分新鲜水进行浇灌，项目绿化用水均进入土壤或经植物叶面蒸腾作用蒸发，不产生废水。</w:t>
            </w:r>
          </w:p>
          <w:p w14:paraId="74E37452">
            <w:pPr>
              <w:bidi w:val="0"/>
              <w:rPr>
                <w:rFonts w:hint="default"/>
                <w:b/>
                <w:bCs/>
                <w:color w:val="auto"/>
                <w:lang w:val="en-US" w:eastAsia="zh-CN"/>
              </w:rPr>
            </w:pPr>
            <w:r>
              <w:rPr>
                <w:rFonts w:hint="eastAsia"/>
                <w:b/>
                <w:bCs/>
                <w:color w:val="auto"/>
                <w:lang w:eastAsia="zh-CN"/>
              </w:rPr>
              <w:t>（</w:t>
            </w:r>
            <w:r>
              <w:rPr>
                <w:rFonts w:hint="eastAsia"/>
                <w:b/>
                <w:bCs/>
                <w:color w:val="auto"/>
                <w:lang w:val="en-US" w:eastAsia="zh-CN"/>
              </w:rPr>
              <w:t>10</w:t>
            </w:r>
            <w:r>
              <w:rPr>
                <w:rFonts w:hint="eastAsia"/>
                <w:b/>
                <w:bCs/>
                <w:color w:val="auto"/>
                <w:lang w:eastAsia="zh-CN"/>
              </w:rPr>
              <w:t>）</w:t>
            </w:r>
            <w:r>
              <w:rPr>
                <w:rFonts w:hint="eastAsia"/>
                <w:b/>
                <w:bCs/>
                <w:color w:val="auto"/>
                <w:lang w:val="en-US" w:eastAsia="zh-CN"/>
              </w:rPr>
              <w:t>洗砂工序用水</w:t>
            </w:r>
          </w:p>
          <w:p w14:paraId="729104FE">
            <w:pPr>
              <w:pStyle w:val="30"/>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项目位于3#物料库的制砂</w:t>
            </w:r>
            <w:r>
              <w:rPr>
                <w:rFonts w:hint="eastAsia" w:ascii="Times New Roman" w:hAnsi="Times New Roman" w:cs="Times New Roman"/>
                <w:color w:val="auto"/>
                <w:kern w:val="2"/>
                <w:sz w:val="24"/>
                <w:szCs w:val="24"/>
                <w:lang w:val="en-US" w:eastAsia="zh-CN" w:bidi="ar-SA"/>
              </w:rPr>
              <w:t>线</w:t>
            </w:r>
            <w:r>
              <w:rPr>
                <w:rFonts w:hint="eastAsia" w:ascii="Times New Roman" w:hAnsi="Times New Roman" w:eastAsia="宋体" w:cs="Times New Roman"/>
                <w:color w:val="auto"/>
                <w:kern w:val="2"/>
                <w:sz w:val="24"/>
                <w:szCs w:val="24"/>
                <w:lang w:val="en-US" w:eastAsia="zh-CN" w:bidi="ar-SA"/>
              </w:rPr>
              <w:t>中有使用3台XSD4020洗砂机和1台DR2445细砂回收脱水一体机进行洗砂脱水回收工序，该生产线的用水主要来自污水罐处理后的清水以及定期补充的新鲜自来水。根据建设方提供的设备详细参数，磊蒙机械XSD4020型洗砂机标称耗水量为30-50t/h，最大处理量为200t/h，洗砂废水产生量与洗砂量为1：4。项目年生产机制砂72万t，则洗砂机耗水量为545.45t/d（18万t/a）。</w:t>
            </w:r>
          </w:p>
          <w:p w14:paraId="1CD7B8E2">
            <w:pPr>
              <w:pStyle w:val="30"/>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该工序产生的废水随湿砂进入细砂回收脱水一体机脱水后，进入南侧的污水罐处理后回用于洗砂工序，不外排。市面上通常的细砂回收脱水一体机处理后的砂石含水率一般≤6%，本项目取值6%，项目年产机制砂72万t，则随机制砂一块带入堆场的水量为130.9t/d（4.32万t/a），因此洗砂工序产生的废水量为414.55t/d（13.68万t/a）。根据工程分析可知，洗砂工序的污水罐处理后压滤得到的沉渣为872.1t（含水率60%），则随压滤渣带出的水量为523.26t/a。因此洗砂工序每年需定期补充新鲜水4.37万t/a，污水罐处理后回用水量为13.63万t/a。</w:t>
            </w:r>
          </w:p>
          <w:p w14:paraId="35A7F7E1">
            <w:pPr>
              <w:bidi w:val="0"/>
              <w:rPr>
                <w:rFonts w:hint="eastAsia"/>
                <w:b/>
                <w:bCs/>
                <w:color w:val="auto"/>
                <w:lang w:eastAsia="zh-CN"/>
              </w:rPr>
            </w:pPr>
            <w:r>
              <w:rPr>
                <w:rFonts w:hint="eastAsia"/>
                <w:b/>
                <w:bCs/>
                <w:color w:val="auto"/>
                <w:lang w:eastAsia="zh-CN"/>
              </w:rPr>
              <w:t>（</w:t>
            </w:r>
            <w:r>
              <w:rPr>
                <w:rFonts w:hint="eastAsia"/>
                <w:b/>
                <w:bCs/>
                <w:color w:val="auto"/>
                <w:lang w:val="en-US" w:eastAsia="zh-CN"/>
              </w:rPr>
              <w:t>11</w:t>
            </w:r>
            <w:r>
              <w:rPr>
                <w:rFonts w:hint="eastAsia"/>
                <w:b/>
                <w:bCs/>
                <w:color w:val="auto"/>
                <w:lang w:eastAsia="zh-CN"/>
              </w:rPr>
              <w:t>）生产区初期雨水</w:t>
            </w:r>
          </w:p>
          <w:p w14:paraId="157B952B">
            <w:pPr>
              <w:bidi w:val="0"/>
              <w:rPr>
                <w:rFonts w:hint="eastAsia"/>
                <w:color w:val="auto"/>
                <w:lang w:val="en-US" w:eastAsia="zh-CN"/>
              </w:rPr>
            </w:pPr>
            <w:r>
              <w:rPr>
                <w:rFonts w:hint="eastAsia"/>
                <w:color w:val="auto"/>
                <w:lang w:val="en-US" w:eastAsia="zh-CN"/>
              </w:rPr>
              <w:t>由于项目所用砂石原料较多，进出运输车辆车身、轮胎等部位附着有泥沙，同时作业产生的粉尘，也会通过自然沉降在地面上，因此降雨时生产区初期雨水含SS浓度较大。因此项目对生产区初期雨水进行收集处理后回用。</w:t>
            </w:r>
          </w:p>
          <w:p w14:paraId="05328ECA">
            <w:pPr>
              <w:bidi w:val="0"/>
              <w:rPr>
                <w:rFonts w:hint="eastAsia" w:ascii="Times New Roman" w:hAnsi="Times New Roman" w:eastAsia="宋体" w:cs="Times New Roman"/>
                <w:color w:val="auto"/>
                <w:lang w:val="en-US" w:eastAsia="zh-CN"/>
              </w:rPr>
            </w:pPr>
            <w:r>
              <w:rPr>
                <w:rFonts w:hint="eastAsia"/>
                <w:color w:val="auto"/>
                <w:lang w:val="en-US" w:eastAsia="zh-CN"/>
              </w:rPr>
              <w:t>根据《室外排水设计标准》（</w:t>
            </w:r>
            <w:r>
              <w:rPr>
                <w:rFonts w:hint="default"/>
                <w:color w:val="auto"/>
                <w:lang w:val="en-US" w:eastAsia="zh-CN"/>
              </w:rPr>
              <w:t>GB50014-2021</w:t>
            </w:r>
            <w:r>
              <w:rPr>
                <w:rFonts w:hint="eastAsia"/>
                <w:color w:val="auto"/>
                <w:lang w:val="en-US" w:eastAsia="zh-CN"/>
              </w:rPr>
              <w:t>）：</w:t>
            </w:r>
          </w:p>
          <w:p w14:paraId="70C00EFE">
            <w:pPr>
              <w:ind w:left="0" w:leftChars="0" w:firstLine="0" w:firstLineChars="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初期雨水</w:t>
            </w:r>
            <w:r>
              <w:rPr>
                <w:rFonts w:hint="default" w:ascii="Times New Roman" w:hAnsi="Times New Roman" w:eastAsia="宋体" w:cs="Times New Roman"/>
                <w:color w:val="auto"/>
                <w:lang w:val="en-US" w:eastAsia="zh-CN"/>
              </w:rPr>
              <w:t>=q×ψ×F×t/1000</w:t>
            </w:r>
          </w:p>
          <w:p w14:paraId="51BFC84E">
            <w:pP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式中：</w:t>
            </w:r>
            <w:r>
              <w:rPr>
                <w:rFonts w:hint="default" w:ascii="Times New Roman" w:hAnsi="Times New Roman" w:eastAsia="宋体" w:cs="Times New Roman"/>
                <w:color w:val="auto"/>
                <w:lang w:val="en-US" w:eastAsia="zh-CN"/>
              </w:rPr>
              <w:t>q——</w:t>
            </w:r>
            <w:r>
              <w:rPr>
                <w:rFonts w:hint="eastAsia" w:ascii="Times New Roman" w:hAnsi="Times New Roman" w:eastAsia="宋体" w:cs="Times New Roman"/>
                <w:color w:val="auto"/>
                <w:lang w:val="en-US" w:eastAsia="zh-CN"/>
              </w:rPr>
              <w:t>设计暴雨强度</w:t>
            </w:r>
            <w:r>
              <w:rPr>
                <w:rFonts w:hint="default" w:ascii="Times New Roman" w:hAnsi="Times New Roman" w:eastAsia="宋体" w:cs="Times New Roman"/>
                <w:color w:val="auto"/>
                <w:lang w:val="en-US" w:eastAsia="zh-CN"/>
              </w:rPr>
              <w:t>EL</w:t>
            </w:r>
            <w:r>
              <w:rPr>
                <w:rFonts w:hint="eastAsia" w:ascii="Times New Roman" w:hAnsi="Times New Roman" w:eastAsia="宋体" w:cs="Times New Roman"/>
                <w:color w:val="auto"/>
                <w:lang w:val="en-US" w:eastAsia="zh-CN"/>
              </w:rPr>
              <w:t>／</w:t>
            </w:r>
            <w:r>
              <w:rPr>
                <w:rFonts w:hint="default" w:ascii="Times New Roman" w:hAnsi="Times New Roman" w:eastAsia="宋体" w:cs="Times New Roman"/>
                <w:color w:val="auto"/>
                <w:lang w:val="en-US" w:eastAsia="zh-CN"/>
              </w:rPr>
              <w:t>(s·hm</w:t>
            </w:r>
            <w:r>
              <w:rPr>
                <w:rFonts w:hint="default" w:ascii="Times New Roman" w:hAnsi="Times New Roman" w:eastAsia="宋体" w:cs="Times New Roman"/>
                <w:color w:val="auto"/>
                <w:vertAlign w:val="superscript"/>
                <w:lang w:val="en-US" w:eastAsia="zh-CN"/>
              </w:rPr>
              <w:t>2</w:t>
            </w:r>
            <w:r>
              <w:rPr>
                <w:rFonts w:hint="default" w:ascii="Times New Roman" w:hAnsi="Times New Roman" w:eastAsia="宋体" w:cs="Times New Roman"/>
                <w:color w:val="auto"/>
                <w:lang w:val="en-US" w:eastAsia="zh-CN"/>
              </w:rPr>
              <w:t>)L</w:t>
            </w:r>
            <w:r>
              <w:rPr>
                <w:rFonts w:hint="eastAsia" w:ascii="Times New Roman" w:hAnsi="Times New Roman" w:eastAsia="宋体" w:cs="Times New Roman"/>
                <w:color w:val="auto"/>
                <w:lang w:val="en-US" w:eastAsia="zh-CN"/>
              </w:rPr>
              <w:t>，根据《福建省城市及部分县城暴雨强度公式》（</w:t>
            </w:r>
            <w:r>
              <w:rPr>
                <w:rFonts w:hint="default" w:ascii="Times New Roman" w:hAnsi="Times New Roman" w:eastAsia="宋体" w:cs="Times New Roman"/>
                <w:color w:val="auto"/>
                <w:lang w:val="en-US" w:eastAsia="zh-CN"/>
              </w:rPr>
              <w:t>2003</w:t>
            </w:r>
            <w:r>
              <w:rPr>
                <w:rFonts w:hint="eastAsia" w:ascii="Times New Roman" w:hAnsi="Times New Roman" w:eastAsia="宋体" w:cs="Times New Roman"/>
                <w:color w:val="auto"/>
                <w:lang w:val="en-US" w:eastAsia="zh-CN"/>
              </w:rPr>
              <w:t>），取值</w:t>
            </w:r>
            <w:r>
              <w:rPr>
                <w:rFonts w:hint="eastAsia" w:cs="Times New Roman"/>
                <w:color w:val="auto"/>
                <w:lang w:val="en-US" w:eastAsia="zh-CN"/>
              </w:rPr>
              <w:t>福清</w:t>
            </w:r>
            <w:r>
              <w:rPr>
                <w:rFonts w:hint="eastAsia" w:ascii="Times New Roman" w:hAnsi="Times New Roman" w:eastAsia="宋体" w:cs="Times New Roman"/>
                <w:color w:val="auto"/>
                <w:lang w:val="en-US" w:eastAsia="zh-CN"/>
              </w:rPr>
              <w:t>q</w:t>
            </w:r>
            <w:r>
              <w:rPr>
                <w:rFonts w:hint="eastAsia" w:ascii="Times New Roman" w:hAnsi="Times New Roman" w:eastAsia="宋体" w:cs="Times New Roman"/>
                <w:color w:val="auto"/>
                <w:vertAlign w:val="subscript"/>
                <w:lang w:val="en-US" w:eastAsia="zh-CN"/>
              </w:rPr>
              <w:t xml:space="preserve">20 </w:t>
            </w:r>
            <w:r>
              <w:rPr>
                <w:rFonts w:hint="eastAsia" w:cs="Times New Roman"/>
                <w:color w:val="auto"/>
                <w:lang w:val="en-US" w:eastAsia="zh-CN"/>
              </w:rPr>
              <w:t>227.21；</w:t>
            </w:r>
          </w:p>
          <w:p w14:paraId="788B4F8A">
            <w:pPr>
              <w:rPr>
                <w:rFonts w:hint="eastAsia"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Ψ——</w:t>
            </w:r>
            <w:r>
              <w:rPr>
                <w:rFonts w:hint="eastAsia" w:ascii="Times New Roman" w:hAnsi="Times New Roman" w:eastAsia="宋体" w:cs="Times New Roman"/>
                <w:color w:val="auto"/>
                <w:lang w:val="en-US" w:eastAsia="zh-CN"/>
              </w:rPr>
              <w:t>径流系数，根据《室外排水设计标准》（</w:t>
            </w:r>
            <w:r>
              <w:rPr>
                <w:rFonts w:hint="default" w:ascii="Times New Roman" w:hAnsi="Times New Roman" w:eastAsia="宋体" w:cs="Times New Roman"/>
                <w:color w:val="auto"/>
                <w:lang w:val="en-US" w:eastAsia="zh-CN"/>
              </w:rPr>
              <w:t>GB50014-2021</w:t>
            </w:r>
            <w:r>
              <w:rPr>
                <w:rFonts w:hint="eastAsia" w:ascii="Times New Roman" w:hAnsi="Times New Roman" w:eastAsia="宋体" w:cs="Times New Roman"/>
                <w:color w:val="auto"/>
                <w:lang w:val="en-US" w:eastAsia="zh-CN"/>
              </w:rPr>
              <w:t>）表4.1.8-1径流系数表，各类屋面、混凝土或沥青路面径流系数为0.85~0.95，本评价取0.95；</w:t>
            </w:r>
          </w:p>
          <w:p w14:paraId="53FB15D9">
            <w:pPr>
              <w:rPr>
                <w:rFonts w:hint="eastAsia"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F——</w:t>
            </w:r>
            <w:r>
              <w:rPr>
                <w:rFonts w:hint="eastAsia" w:ascii="Times New Roman" w:hAnsi="Times New Roman" w:eastAsia="宋体" w:cs="Times New Roman"/>
                <w:color w:val="auto"/>
                <w:lang w:val="en-US" w:eastAsia="zh-CN"/>
              </w:rPr>
              <w:t>汇水面积</w:t>
            </w:r>
            <w:r>
              <w:rPr>
                <w:rFonts w:hint="default" w:ascii="Times New Roman" w:hAnsi="Times New Roman" w:eastAsia="宋体" w:cs="Times New Roman"/>
                <w:color w:val="auto"/>
                <w:lang w:val="en-US" w:eastAsia="zh-CN"/>
              </w:rPr>
              <w:t>(hm</w:t>
            </w:r>
            <w:r>
              <w:rPr>
                <w:rFonts w:hint="default" w:ascii="Times New Roman" w:hAnsi="Times New Roman" w:eastAsia="宋体" w:cs="Times New Roman"/>
                <w:color w:val="auto"/>
                <w:vertAlign w:val="superscript"/>
                <w:lang w:val="en-US" w:eastAsia="zh-CN"/>
              </w:rPr>
              <w:t>2</w:t>
            </w:r>
            <w:r>
              <w:rPr>
                <w:rFonts w:hint="default" w:ascii="Times New Roman" w:hAnsi="Times New Roman" w:eastAsia="宋体" w:cs="Times New Roman"/>
                <w:color w:val="auto"/>
                <w:lang w:val="en-US" w:eastAsia="zh-CN"/>
              </w:rPr>
              <w:t>)</w:t>
            </w:r>
            <w:r>
              <w:rPr>
                <w:rFonts w:hint="eastAsia" w:ascii="Times New Roman" w:hAnsi="Times New Roman" w:eastAsia="宋体" w:cs="Times New Roman"/>
                <w:color w:val="auto"/>
                <w:lang w:val="en-US" w:eastAsia="zh-CN"/>
              </w:rPr>
              <w:t>，根据建设单位提供设计资料计算，项目生产区初期雨水收集</w:t>
            </w:r>
            <w:r>
              <w:rPr>
                <w:rFonts w:hint="eastAsia" w:cs="Times New Roman"/>
                <w:color w:val="auto"/>
                <w:lang w:val="en-US" w:eastAsia="zh-CN"/>
              </w:rPr>
              <w:t>面积约为18305m</w:t>
            </w:r>
            <w:r>
              <w:rPr>
                <w:rFonts w:hint="eastAsia" w:cs="Times New Roman"/>
                <w:color w:val="auto"/>
                <w:vertAlign w:val="superscript"/>
                <w:lang w:val="en-US" w:eastAsia="zh-CN"/>
              </w:rPr>
              <w:t>2</w:t>
            </w:r>
            <w:r>
              <w:rPr>
                <w:rFonts w:hint="eastAsia" w:cs="Times New Roman"/>
                <w:color w:val="auto"/>
                <w:lang w:val="en-US" w:eastAsia="zh-CN"/>
              </w:rPr>
              <w:t>（合1.83</w:t>
            </w:r>
            <w:r>
              <w:rPr>
                <w:rFonts w:hint="default" w:ascii="Times New Roman" w:hAnsi="Times New Roman" w:eastAsia="宋体" w:cs="Times New Roman"/>
                <w:color w:val="auto"/>
                <w:lang w:val="en-US" w:eastAsia="zh-CN"/>
              </w:rPr>
              <w:t>hm</w:t>
            </w:r>
            <w:r>
              <w:rPr>
                <w:rFonts w:hint="default" w:ascii="Times New Roman" w:hAnsi="Times New Roman" w:eastAsia="宋体" w:cs="Times New Roman"/>
                <w:color w:val="auto"/>
                <w:vertAlign w:val="superscript"/>
                <w:lang w:val="en-US" w:eastAsia="zh-CN"/>
              </w:rPr>
              <w:t>2</w:t>
            </w:r>
            <w:r>
              <w:rPr>
                <w:rFonts w:hint="eastAsia" w:cs="Times New Roman"/>
                <w:color w:val="auto"/>
                <w:lang w:val="en-US" w:eastAsia="zh-CN"/>
              </w:rPr>
              <w:t>）</w:t>
            </w:r>
            <w:r>
              <w:rPr>
                <w:rFonts w:hint="eastAsia" w:ascii="Times New Roman" w:hAnsi="Times New Roman" w:eastAsia="宋体" w:cs="Times New Roman"/>
                <w:color w:val="auto"/>
                <w:lang w:val="en-US" w:eastAsia="zh-CN"/>
              </w:rPr>
              <w:t>；</w:t>
            </w:r>
          </w:p>
          <w:p w14:paraId="5A0AFE89">
            <w:pPr>
              <w:rPr>
                <w:rFonts w:hint="eastAsia"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t—</w:t>
            </w:r>
            <w:r>
              <w:rPr>
                <w:rFonts w:hint="eastAsia" w:ascii="Times New Roman" w:hAnsi="Times New Roman" w:eastAsia="宋体" w:cs="Times New Roman"/>
                <w:color w:val="auto"/>
                <w:lang w:val="en-US" w:eastAsia="zh-CN"/>
              </w:rPr>
              <w:t>时间</w:t>
            </w:r>
            <w:r>
              <w:rPr>
                <w:rFonts w:hint="default" w:ascii="Times New Roman" w:hAnsi="Times New Roman" w:eastAsia="宋体" w:cs="Times New Roman"/>
                <w:color w:val="auto"/>
                <w:lang w:val="en-US" w:eastAsia="zh-CN"/>
              </w:rPr>
              <w:t>s</w:t>
            </w:r>
            <w:r>
              <w:rPr>
                <w:rFonts w:hint="eastAsia" w:ascii="Times New Roman" w:hAnsi="Times New Roman" w:eastAsia="宋体" w:cs="Times New Roman"/>
                <w:color w:val="auto"/>
                <w:lang w:val="en-US" w:eastAsia="zh-CN"/>
              </w:rPr>
              <w:t>，按15分钟计算，9</w:t>
            </w:r>
            <w:r>
              <w:rPr>
                <w:rFonts w:hint="default" w:ascii="Times New Roman" w:hAnsi="Times New Roman" w:eastAsia="宋体" w:cs="Times New Roman"/>
                <w:color w:val="auto"/>
                <w:lang w:val="en-US" w:eastAsia="zh-CN"/>
              </w:rPr>
              <w:t>00s</w:t>
            </w:r>
            <w:r>
              <w:rPr>
                <w:rFonts w:hint="eastAsia" w:ascii="Times New Roman" w:hAnsi="Times New Roman" w:eastAsia="宋体" w:cs="Times New Roman"/>
                <w:color w:val="auto"/>
                <w:lang w:val="en-US" w:eastAsia="zh-CN"/>
              </w:rPr>
              <w:t>。</w:t>
            </w:r>
          </w:p>
          <w:p w14:paraId="49BAD599">
            <w:pP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经计算</w:t>
            </w:r>
            <w:r>
              <w:rPr>
                <w:rFonts w:hint="eastAsia" w:cs="Times New Roman"/>
                <w:color w:val="auto"/>
                <w:lang w:val="en-US" w:eastAsia="zh-CN"/>
              </w:rPr>
              <w:t>初期</w:t>
            </w:r>
            <w:r>
              <w:rPr>
                <w:rFonts w:hint="eastAsia" w:ascii="Times New Roman" w:hAnsi="Times New Roman" w:eastAsia="宋体" w:cs="Times New Roman"/>
                <w:color w:val="auto"/>
                <w:lang w:val="en-US" w:eastAsia="zh-CN"/>
              </w:rPr>
              <w:t>雨</w:t>
            </w:r>
            <w:r>
              <w:rPr>
                <w:rFonts w:hint="eastAsia" w:cs="Times New Roman"/>
                <w:color w:val="auto"/>
                <w:lang w:val="en-US" w:eastAsia="zh-CN"/>
              </w:rPr>
              <w:t>水</w:t>
            </w:r>
            <w:r>
              <w:rPr>
                <w:rFonts w:hint="eastAsia" w:ascii="Times New Roman" w:hAnsi="Times New Roman" w:eastAsia="宋体" w:cs="Times New Roman"/>
                <w:color w:val="auto"/>
                <w:lang w:val="en-US" w:eastAsia="zh-CN"/>
              </w:rPr>
              <w:t>值为</w:t>
            </w:r>
            <w:r>
              <w:rPr>
                <w:rFonts w:hint="eastAsia" w:cs="Times New Roman"/>
                <w:color w:val="auto"/>
                <w:lang w:val="en-US" w:eastAsia="zh-CN"/>
              </w:rPr>
              <w:t>355.5</w:t>
            </w:r>
            <w:r>
              <w:rPr>
                <w:rFonts w:hint="default" w:ascii="Times New Roman" w:hAnsi="Times New Roman" w:eastAsia="宋体" w:cs="Times New Roman"/>
                <w:color w:val="auto"/>
                <w:lang w:val="en-US" w:eastAsia="zh-CN"/>
              </w:rPr>
              <w:t>m</w:t>
            </w:r>
            <w:r>
              <w:rPr>
                <w:rFonts w:hint="default" w:ascii="Times New Roman" w:hAnsi="Times New Roman" w:eastAsia="宋体" w:cs="Times New Roman"/>
                <w:color w:val="auto"/>
                <w:vertAlign w:val="superscript"/>
                <w:lang w:val="en-US" w:eastAsia="zh-CN"/>
              </w:rPr>
              <w:t>3</w:t>
            </w:r>
            <w:r>
              <w:rPr>
                <w:rFonts w:hint="eastAsia" w:ascii="Times New Roman" w:hAnsi="Times New Roman" w:eastAsia="宋体" w:cs="Times New Roman"/>
                <w:color w:val="auto"/>
                <w:lang w:val="en-US" w:eastAsia="zh-CN"/>
              </w:rPr>
              <w:t>。</w:t>
            </w:r>
          </w:p>
          <w:p w14:paraId="6E934825">
            <w:pPr>
              <w:rPr>
                <w:rFonts w:hint="eastAsia" w:cs="Times New Roman"/>
                <w:color w:val="auto"/>
                <w:highlight w:val="none"/>
                <w:lang w:val="en-US" w:eastAsia="zh-CN"/>
              </w:rPr>
            </w:pPr>
            <w:r>
              <w:rPr>
                <w:rFonts w:hint="eastAsia" w:ascii="Times New Roman" w:hAnsi="Times New Roman" w:eastAsia="宋体" w:cs="Times New Roman"/>
                <w:color w:val="auto"/>
                <w:highlight w:val="none"/>
                <w:lang w:val="en-US" w:eastAsia="zh-CN"/>
              </w:rPr>
              <w:t>建设单位拟依据地形在生产区四周设置导流</w:t>
            </w:r>
            <w:r>
              <w:rPr>
                <w:rFonts w:hint="eastAsia" w:cs="Times New Roman"/>
                <w:color w:val="auto"/>
                <w:highlight w:val="none"/>
                <w:lang w:val="en-US" w:eastAsia="zh-CN"/>
              </w:rPr>
              <w:t>沟槽</w:t>
            </w:r>
            <w:r>
              <w:rPr>
                <w:rFonts w:hint="eastAsia" w:ascii="Times New Roman" w:hAnsi="Times New Roman" w:eastAsia="宋体" w:cs="Times New Roman"/>
                <w:color w:val="auto"/>
                <w:highlight w:val="none"/>
                <w:lang w:val="en-US" w:eastAsia="zh-CN"/>
              </w:rPr>
              <w:t>对厂区生产区初期雨水进行收集，通过手动阀门控制将初期雨水收集</w:t>
            </w:r>
            <w:r>
              <w:rPr>
                <w:rFonts w:hint="eastAsia" w:cs="Times New Roman"/>
                <w:color w:val="auto"/>
                <w:highlight w:val="none"/>
                <w:lang w:val="en-US" w:eastAsia="zh-CN"/>
              </w:rPr>
              <w:t>至400m</w:t>
            </w:r>
            <w:r>
              <w:rPr>
                <w:rFonts w:hint="eastAsia" w:cs="Times New Roman"/>
                <w:color w:val="auto"/>
                <w:highlight w:val="none"/>
                <w:vertAlign w:val="superscript"/>
                <w:lang w:val="en-US" w:eastAsia="zh-CN"/>
              </w:rPr>
              <w:t>3</w:t>
            </w:r>
            <w:r>
              <w:rPr>
                <w:rFonts w:hint="eastAsia" w:cs="Times New Roman"/>
                <w:color w:val="auto"/>
                <w:highlight w:val="none"/>
                <w:vertAlign w:val="baseline"/>
                <w:lang w:val="en-US" w:eastAsia="zh-CN"/>
              </w:rPr>
              <w:t>初期雨水收集池</w:t>
            </w:r>
            <w:r>
              <w:rPr>
                <w:rFonts w:hint="eastAsia" w:cs="Times New Roman"/>
                <w:color w:val="auto"/>
                <w:highlight w:val="none"/>
                <w:lang w:val="en-US" w:eastAsia="zh-CN"/>
              </w:rPr>
              <w:t>后，分批排入斜坡沉淀池内用于</w:t>
            </w:r>
            <w:r>
              <w:rPr>
                <w:rFonts w:hint="eastAsia"/>
                <w:color w:val="auto"/>
                <w:lang w:val="en-US" w:eastAsia="zh-CN"/>
              </w:rPr>
              <w:t>混凝土搅拌</w:t>
            </w:r>
            <w:r>
              <w:rPr>
                <w:rFonts w:hint="eastAsia" w:cs="Times New Roman"/>
                <w:color w:val="auto"/>
                <w:highlight w:val="none"/>
                <w:lang w:val="en-US" w:eastAsia="zh-CN"/>
              </w:rPr>
              <w:t>，不外排。</w:t>
            </w:r>
          </w:p>
          <w:p w14:paraId="0CCE307D">
            <w:pPr>
              <w:bidi w:val="0"/>
              <w:rPr>
                <w:rFonts w:hint="default"/>
                <w:color w:val="auto"/>
              </w:rPr>
            </w:pPr>
            <w:r>
              <w:rPr>
                <w:rFonts w:hint="default"/>
                <w:color w:val="auto"/>
              </w:rPr>
              <w:t>项目水平衡图详见图</w:t>
            </w:r>
            <w:r>
              <w:rPr>
                <w:rFonts w:hint="default"/>
                <w:color w:val="auto"/>
                <w:lang w:val="en-US" w:eastAsia="zh-CN"/>
              </w:rPr>
              <w:t>2.2-</w:t>
            </w:r>
            <w:r>
              <w:rPr>
                <w:rFonts w:hint="eastAsia"/>
                <w:color w:val="auto"/>
                <w:lang w:val="en-US" w:eastAsia="zh-CN"/>
              </w:rPr>
              <w:t>1</w:t>
            </w:r>
            <w:r>
              <w:rPr>
                <w:rFonts w:hint="default"/>
                <w:color w:val="auto"/>
              </w:rPr>
              <w:t>。</w:t>
            </w:r>
          </w:p>
          <w:p w14:paraId="22F7DA50">
            <w:pPr>
              <w:pStyle w:val="28"/>
              <w:keepNext w:val="0"/>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p>
          <w:p w14:paraId="451EDF10">
            <w:pPr>
              <w:pStyle w:val="33"/>
              <w:bidi w:val="0"/>
              <w:rPr>
                <w:rFonts w:hint="eastAsia" w:ascii="Times New Roman" w:hAnsi="Times New Roman" w:eastAsia="宋体" w:cs="Times New Roman"/>
                <w:b/>
                <w:bCs w:val="0"/>
                <w:color w:val="auto"/>
                <w:highlight w:val="none"/>
                <w:lang w:val="en-US" w:eastAsia="zh-CN"/>
              </w:rPr>
            </w:pPr>
            <w:r>
              <w:rPr>
                <w:rFonts w:hint="eastAsia"/>
                <w:color w:val="auto"/>
                <w:lang w:val="en-US" w:eastAsia="zh-CN"/>
              </w:rPr>
              <w:t xml:space="preserve">图2.2-1 </w:t>
            </w:r>
            <w:r>
              <w:rPr>
                <w:rFonts w:hint="default"/>
                <w:color w:val="auto"/>
              </w:rPr>
              <w:t>工程水平衡图</w:t>
            </w:r>
            <w:r>
              <w:rPr>
                <w:rFonts w:hint="eastAsia"/>
                <w:color w:val="auto"/>
                <w:lang w:eastAsia="zh-CN"/>
              </w:rPr>
              <w:t>（单位：</w:t>
            </w:r>
            <w:r>
              <w:rPr>
                <w:rFonts w:hint="eastAsia"/>
                <w:color w:val="auto"/>
                <w:lang w:val="en-US" w:eastAsia="zh-CN"/>
              </w:rPr>
              <w:t>t/a</w:t>
            </w:r>
            <w:r>
              <w:rPr>
                <w:rFonts w:hint="eastAsia"/>
                <w:color w:val="auto"/>
                <w:lang w:eastAsia="zh-CN"/>
              </w:rPr>
              <w:t>）</w:t>
            </w:r>
          </w:p>
          <w:p w14:paraId="56630C0B">
            <w:pPr>
              <w:pStyle w:val="4"/>
              <w:bidi w:val="0"/>
              <w:rPr>
                <w:rFonts w:hint="default"/>
                <w:color w:val="auto"/>
                <w:lang w:val="en-US" w:eastAsia="zh-CN"/>
              </w:rPr>
            </w:pPr>
            <w:r>
              <w:rPr>
                <w:rFonts w:hint="default"/>
                <w:color w:val="auto"/>
                <w:lang w:val="en-US" w:eastAsia="zh-CN"/>
              </w:rPr>
              <w:t>2.2.</w:t>
            </w:r>
            <w:r>
              <w:rPr>
                <w:rFonts w:hint="eastAsia"/>
                <w:color w:val="auto"/>
                <w:lang w:val="en-US" w:eastAsia="zh-CN"/>
              </w:rPr>
              <w:t>7</w:t>
            </w:r>
            <w:r>
              <w:rPr>
                <w:rFonts w:hint="default"/>
                <w:color w:val="auto"/>
                <w:lang w:val="en-US" w:eastAsia="zh-CN"/>
              </w:rPr>
              <w:t xml:space="preserve"> </w:t>
            </w:r>
            <w:r>
              <w:rPr>
                <w:rFonts w:hint="eastAsia"/>
                <w:color w:val="auto"/>
                <w:lang w:val="en-US" w:eastAsia="zh-CN"/>
              </w:rPr>
              <w:t>物料</w:t>
            </w:r>
            <w:r>
              <w:rPr>
                <w:rFonts w:hint="default"/>
                <w:color w:val="auto"/>
                <w:lang w:val="en-US" w:eastAsia="zh-CN"/>
              </w:rPr>
              <w:t>平衡</w:t>
            </w:r>
          </w:p>
          <w:p w14:paraId="1EEB0F7C">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项目全厂物料平衡详见下表。</w:t>
            </w:r>
          </w:p>
          <w:p w14:paraId="00AB8E33">
            <w:pPr>
              <w:pStyle w:val="33"/>
              <w:bidi w:val="0"/>
              <w:rPr>
                <w:rFonts w:hint="default"/>
                <w:color w:val="auto"/>
                <w:sz w:val="24"/>
                <w:szCs w:val="24"/>
                <w:lang w:val="en-US" w:eastAsia="zh-CN"/>
              </w:rPr>
            </w:pPr>
            <w:r>
              <w:rPr>
                <w:rFonts w:hint="default"/>
                <w:color w:val="auto"/>
                <w:sz w:val="24"/>
                <w:szCs w:val="24"/>
              </w:rPr>
              <w:t>表2.2-</w:t>
            </w:r>
            <w:r>
              <w:rPr>
                <w:rFonts w:hint="eastAsia"/>
                <w:color w:val="auto"/>
                <w:sz w:val="24"/>
                <w:szCs w:val="24"/>
                <w:lang w:val="en-US" w:eastAsia="zh-CN"/>
              </w:rPr>
              <w:t>6</w:t>
            </w:r>
            <w:r>
              <w:rPr>
                <w:rFonts w:hint="default"/>
                <w:color w:val="auto"/>
                <w:sz w:val="24"/>
                <w:szCs w:val="24"/>
              </w:rPr>
              <w:t xml:space="preserve"> </w:t>
            </w:r>
            <w:r>
              <w:rPr>
                <w:rFonts w:hint="eastAsia"/>
                <w:color w:val="auto"/>
                <w:sz w:val="24"/>
                <w:szCs w:val="24"/>
                <w:lang w:val="en-US" w:eastAsia="zh-CN"/>
              </w:rPr>
              <w:t>项目全厂物料平衡</w:t>
            </w:r>
          </w:p>
          <w:p w14:paraId="724F24B5">
            <w:pPr>
              <w:pStyle w:val="4"/>
              <w:bidi w:val="0"/>
              <w:rPr>
                <w:rFonts w:hint="default"/>
                <w:color w:val="auto"/>
                <w:lang w:val="en-US" w:eastAsia="zh-CN"/>
              </w:rPr>
            </w:pPr>
            <w:r>
              <w:rPr>
                <w:rFonts w:hint="default"/>
                <w:color w:val="auto"/>
                <w:lang w:val="en-US" w:eastAsia="zh-CN"/>
              </w:rPr>
              <w:t>2.2.</w:t>
            </w:r>
            <w:r>
              <w:rPr>
                <w:rFonts w:hint="eastAsia"/>
                <w:color w:val="auto"/>
                <w:lang w:val="en-US" w:eastAsia="zh-CN"/>
              </w:rPr>
              <w:t>8</w:t>
            </w:r>
            <w:r>
              <w:rPr>
                <w:rFonts w:hint="default"/>
                <w:color w:val="auto"/>
                <w:lang w:val="en-US" w:eastAsia="zh-CN"/>
              </w:rPr>
              <w:t xml:space="preserve"> 项目平面布置合理性分析</w:t>
            </w:r>
          </w:p>
          <w:p w14:paraId="09C65E29">
            <w:pPr>
              <w:bidi w:val="0"/>
              <w:rPr>
                <w:rFonts w:hint="default"/>
                <w:color w:val="auto"/>
                <w:lang w:val="en-US" w:eastAsia="zh-CN"/>
              </w:rPr>
            </w:pPr>
            <w:r>
              <w:rPr>
                <w:rFonts w:hint="eastAsia"/>
                <w:color w:val="auto"/>
                <w:lang w:val="en-US" w:eastAsia="zh-CN"/>
              </w:rPr>
              <w:t>项目厂区近似长方形，厂区南侧主要规划为企业的3#物料库，主要用于堆放预拌混凝土工序所使用的细砂、碎石等物料，3#物料库北侧与2#搅拌楼附属设施相连接，方便物料通过进料口和传送带进行传输；厂区西侧为混凝土搅拌区域，可以与堆场进行较好的衔接；厂区东侧布设有两处生产车间（5#、6#生产车间），根据生产工艺流程布设切割车间、笼筋车间、模具线车间、浇筑生产线、养护车间等，</w:t>
            </w:r>
            <w:r>
              <w:rPr>
                <w:rFonts w:hint="default"/>
                <w:color w:val="auto"/>
                <w:lang w:val="en-US" w:eastAsia="zh-CN"/>
              </w:rPr>
              <w:t>各功能分区明确，相对独立，</w:t>
            </w:r>
            <w:r>
              <w:rPr>
                <w:rFonts w:hint="eastAsia"/>
                <w:color w:val="auto"/>
                <w:lang w:val="en-US" w:eastAsia="zh-CN"/>
              </w:rPr>
              <w:t>互不干扰</w:t>
            </w:r>
            <w:r>
              <w:rPr>
                <w:rFonts w:hint="default"/>
                <w:color w:val="auto"/>
                <w:lang w:val="en-US" w:eastAsia="zh-CN"/>
              </w:rPr>
              <w:t>，工艺流程顺畅</w:t>
            </w:r>
            <w:r>
              <w:rPr>
                <w:rFonts w:hint="eastAsia"/>
                <w:color w:val="auto"/>
                <w:lang w:val="en-US" w:eastAsia="zh-CN"/>
              </w:rPr>
              <w:t>。办公生活区设置在厂区西北侧，</w:t>
            </w:r>
            <w:r>
              <w:rPr>
                <w:rFonts w:hint="default"/>
                <w:color w:val="auto"/>
                <w:lang w:val="en-US" w:eastAsia="zh-CN"/>
              </w:rPr>
              <w:t>生产区与办公</w:t>
            </w:r>
            <w:r>
              <w:rPr>
                <w:rFonts w:hint="eastAsia"/>
                <w:color w:val="auto"/>
                <w:lang w:val="en-US" w:eastAsia="zh-CN"/>
              </w:rPr>
              <w:t>生活</w:t>
            </w:r>
            <w:r>
              <w:rPr>
                <w:rFonts w:hint="default"/>
                <w:color w:val="auto"/>
                <w:lang w:val="en-US" w:eastAsia="zh-CN"/>
              </w:rPr>
              <w:t>区相对独立，</w:t>
            </w:r>
            <w:r>
              <w:rPr>
                <w:rFonts w:hint="eastAsia"/>
                <w:color w:val="auto"/>
                <w:lang w:val="en-US" w:eastAsia="zh-CN"/>
              </w:rPr>
              <w:t>减少互相干扰，</w:t>
            </w:r>
            <w:r>
              <w:rPr>
                <w:rFonts w:hint="default"/>
                <w:color w:val="auto"/>
                <w:lang w:val="en-US" w:eastAsia="zh-CN"/>
              </w:rPr>
              <w:t>项目</w:t>
            </w:r>
            <w:r>
              <w:rPr>
                <w:rFonts w:hint="eastAsia"/>
                <w:color w:val="auto"/>
                <w:lang w:val="en-US" w:eastAsia="zh-CN"/>
              </w:rPr>
              <w:t>厂区总平面布置图见附图四。</w:t>
            </w:r>
          </w:p>
          <w:p w14:paraId="48BA22E2">
            <w:pPr>
              <w:bidi w:val="0"/>
              <w:rPr>
                <w:rFonts w:hint="default"/>
                <w:color w:val="auto"/>
                <w:lang w:eastAsia="zh-CN"/>
              </w:rPr>
            </w:pPr>
            <w:r>
              <w:rPr>
                <w:rFonts w:hint="eastAsia"/>
                <w:color w:val="auto"/>
                <w:lang w:val="en-US" w:eastAsia="zh-CN"/>
              </w:rPr>
              <w:t>项目在搅拌楼南侧自建三个斜坡沉降池用于处理搅拌楼生产废水和经收集的初期雨水。厂区内</w:t>
            </w:r>
            <w:r>
              <w:rPr>
                <w:rFonts w:hint="default"/>
                <w:color w:val="auto"/>
                <w:lang w:eastAsia="zh-CN"/>
              </w:rPr>
              <w:t>危险废物贮存</w:t>
            </w:r>
            <w:r>
              <w:rPr>
                <w:rFonts w:hint="eastAsia"/>
                <w:color w:val="auto"/>
                <w:lang w:eastAsia="zh-CN"/>
              </w:rPr>
              <w:t>库</w:t>
            </w:r>
            <w:r>
              <w:rPr>
                <w:rFonts w:hint="default"/>
                <w:color w:val="auto"/>
                <w:lang w:eastAsia="zh-CN"/>
              </w:rPr>
              <w:t>设置于</w:t>
            </w:r>
            <w:r>
              <w:rPr>
                <w:rFonts w:hint="eastAsia"/>
                <w:color w:val="auto"/>
                <w:lang w:val="en-US" w:eastAsia="zh-CN"/>
              </w:rPr>
              <w:t>西南侧，靠近生产区，</w:t>
            </w:r>
            <w:r>
              <w:rPr>
                <w:rFonts w:hint="default"/>
                <w:color w:val="auto"/>
                <w:lang w:eastAsia="zh-CN"/>
              </w:rPr>
              <w:t>方便危险废物的分类收集，</w:t>
            </w:r>
            <w:r>
              <w:rPr>
                <w:rFonts w:hint="eastAsia"/>
                <w:color w:val="auto"/>
                <w:lang w:val="en-US" w:eastAsia="zh-CN"/>
              </w:rPr>
              <w:t>减少厂内运输路线，</w:t>
            </w:r>
            <w:r>
              <w:rPr>
                <w:rFonts w:hint="default"/>
                <w:color w:val="auto"/>
                <w:lang w:eastAsia="zh-CN"/>
              </w:rPr>
              <w:t>可避免造成二次污染；项目</w:t>
            </w:r>
            <w:r>
              <w:rPr>
                <w:rFonts w:hint="eastAsia"/>
                <w:color w:val="auto"/>
                <w:lang w:val="en-US" w:eastAsia="zh-CN"/>
              </w:rPr>
              <w:t>生产设备位于生产车间、搅拌楼内等，</w:t>
            </w:r>
            <w:r>
              <w:rPr>
                <w:rFonts w:hint="eastAsia"/>
                <w:color w:val="auto"/>
                <w:lang w:eastAsia="zh-CN"/>
              </w:rPr>
              <w:t>噪声经</w:t>
            </w:r>
            <w:r>
              <w:rPr>
                <w:rFonts w:hint="default"/>
                <w:color w:val="auto"/>
                <w:lang w:eastAsia="zh-CN"/>
              </w:rPr>
              <w:t>基础减振、</w:t>
            </w:r>
            <w:r>
              <w:rPr>
                <w:rFonts w:hint="eastAsia"/>
                <w:color w:val="auto"/>
                <w:lang w:val="en-US" w:eastAsia="zh-CN"/>
              </w:rPr>
              <w:t>车间</w:t>
            </w:r>
            <w:r>
              <w:rPr>
                <w:rFonts w:hint="default"/>
                <w:color w:val="auto"/>
                <w:lang w:eastAsia="zh-CN"/>
              </w:rPr>
              <w:t>隔声等综合降噪措施后，可实现噪声达标排放。</w:t>
            </w:r>
            <w:r>
              <w:rPr>
                <w:rFonts w:hint="eastAsia"/>
                <w:color w:val="auto"/>
                <w:lang w:val="en-US" w:eastAsia="zh-CN"/>
              </w:rPr>
              <w:t>将</w:t>
            </w:r>
            <w:r>
              <w:rPr>
                <w:rFonts w:hint="eastAsia" w:ascii="Times New Roman" w:hAnsi="Times New Roman" w:eastAsia="宋体" w:cs="Times New Roman"/>
                <w:color w:val="auto"/>
                <w:spacing w:val="0"/>
                <w:sz w:val="24"/>
                <w:szCs w:val="24"/>
                <w:highlight w:val="none"/>
                <w:lang w:val="en-US" w:eastAsia="zh-CN"/>
              </w:rPr>
              <w:t>靠近</w:t>
            </w:r>
            <w:r>
              <w:rPr>
                <w:rFonts w:hint="eastAsia" w:cs="Times New Roman"/>
                <w:color w:val="auto"/>
                <w:spacing w:val="0"/>
                <w:sz w:val="24"/>
                <w:szCs w:val="24"/>
                <w:highlight w:val="none"/>
                <w:lang w:val="en-US" w:eastAsia="zh-CN"/>
              </w:rPr>
              <w:t>海兴食品公司一侧布置为停车区，以减少项目生产粉尘排放对海兴食品公司的影响。</w:t>
            </w:r>
            <w:r>
              <w:rPr>
                <w:rFonts w:hint="default"/>
                <w:color w:val="auto"/>
              </w:rPr>
              <w:t>从环境影响的角度看，</w:t>
            </w:r>
            <w:r>
              <w:rPr>
                <w:rFonts w:hint="default"/>
                <w:color w:val="auto"/>
                <w:lang w:eastAsia="zh-CN"/>
              </w:rPr>
              <w:t>项目环保设施平面布置基本合理。</w:t>
            </w:r>
          </w:p>
          <w:p w14:paraId="460E06C3">
            <w:pPr>
              <w:keepNext w:val="0"/>
              <w:keepLines w:val="0"/>
              <w:pageBreakBefore w:val="0"/>
              <w:widowControl w:val="0"/>
              <w:numPr>
                <w:ilvl w:val="0"/>
                <w:numId w:val="0"/>
              </w:numPr>
              <w:tabs>
                <w:tab w:val="left" w:pos="1080"/>
              </w:tabs>
              <w:kinsoku/>
              <w:wordWrap/>
              <w:overflowPunct/>
              <w:topLinePunct w:val="0"/>
              <w:autoSpaceDE/>
              <w:autoSpaceDN/>
              <w:bidi w:val="0"/>
              <w:adjustRightInd w:val="0"/>
              <w:snapToGrid w:val="0"/>
              <w:spacing w:before="0" w:after="0" w:line="360" w:lineRule="auto"/>
              <w:ind w:firstLine="480" w:firstLineChars="200"/>
              <w:jc w:val="both"/>
              <w:textAlignment w:val="auto"/>
              <w:outlineLvl w:val="9"/>
              <w:rPr>
                <w:rFonts w:hint="default" w:ascii="Times New Roman" w:hAnsi="Times New Roman" w:eastAsia="宋体"/>
                <w:color w:val="auto"/>
                <w:lang w:val="en-US" w:eastAsia="zh-CN"/>
              </w:rPr>
            </w:pPr>
            <w:r>
              <w:rPr>
                <w:rFonts w:hint="default" w:ascii="Times New Roman" w:hAnsi="Times New Roman" w:eastAsia="宋体" w:cs="Times New Roman"/>
                <w:color w:val="auto"/>
                <w:sz w:val="24"/>
                <w:szCs w:val="24"/>
                <w:highlight w:val="none"/>
              </w:rPr>
              <w:t>综上所述，本项目的总平布置基本合理。</w:t>
            </w:r>
          </w:p>
        </w:tc>
      </w:tr>
    </w:tbl>
    <w:p w14:paraId="18F7C07F">
      <w:pPr>
        <w:pStyle w:val="2"/>
        <w:outlineLvl w:val="9"/>
        <w:rPr>
          <w:rFonts w:hint="default" w:ascii="Times New Roman" w:hAnsi="Times New Roman" w:eastAsia="宋体" w:cs="Times New Roman"/>
          <w:color w:val="auto"/>
        </w:rPr>
        <w:sectPr>
          <w:pgSz w:w="11906" w:h="16838"/>
          <w:pgMar w:top="1417" w:right="1417" w:bottom="1417" w:left="1417" w:header="851" w:footer="1077" w:gutter="0"/>
          <w:pgBorders>
            <w:top w:val="none" w:sz="0" w:space="0"/>
            <w:left w:val="none" w:sz="0" w:space="0"/>
            <w:bottom w:val="none" w:sz="0" w:space="0"/>
            <w:right w:val="none" w:sz="0" w:space="0"/>
          </w:pgBorders>
          <w:pgNumType w:fmt="numberInDash"/>
          <w:cols w:space="720" w:num="1"/>
          <w:docGrid w:linePitch="312" w:charSpace="0"/>
        </w:sectPr>
      </w:pP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7"/>
        <w:gridCol w:w="8218"/>
      </w:tblGrid>
      <w:tr w14:paraId="69DC4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4" w:hRule="atLeast"/>
          <w:jc w:val="center"/>
        </w:trPr>
        <w:tc>
          <w:tcPr>
            <w:tcW w:w="707" w:type="dxa"/>
            <w:noWrap w:val="0"/>
            <w:vAlign w:val="center"/>
          </w:tcPr>
          <w:p w14:paraId="0B6EF4CB">
            <w:pPr>
              <w:bidi w:val="0"/>
              <w:ind w:left="0" w:leftChars="0" w:firstLine="0" w:firstLineChars="0"/>
              <w:jc w:val="center"/>
              <w:rPr>
                <w:rFonts w:hint="default" w:ascii="Times New Roman" w:hAnsi="Times New Roman" w:eastAsia="宋体"/>
                <w:color w:val="auto"/>
                <w:vertAlign w:val="baseline"/>
              </w:rPr>
            </w:pPr>
            <w:r>
              <w:rPr>
                <w:rFonts w:hint="default"/>
                <w:color w:val="auto"/>
              </w:rPr>
              <w:t>工艺流程和产排污环节</w:t>
            </w:r>
          </w:p>
        </w:tc>
        <w:tc>
          <w:tcPr>
            <w:tcW w:w="8218" w:type="dxa"/>
            <w:noWrap w:val="0"/>
            <w:vAlign w:val="top"/>
          </w:tcPr>
          <w:p w14:paraId="5CB95E93">
            <w:pPr>
              <w:pStyle w:val="3"/>
              <w:keepNext w:val="0"/>
              <w:keepLines w:val="0"/>
              <w:pageBreakBefore w:val="0"/>
              <w:widowControl w:val="0"/>
              <w:numPr>
                <w:ilvl w:val="0"/>
                <w:numId w:val="0"/>
              </w:numPr>
              <w:kinsoku/>
              <w:wordWrap/>
              <w:overflowPunct/>
              <w:topLinePunct w:val="0"/>
              <w:autoSpaceDE/>
              <w:autoSpaceDN/>
              <w:bidi w:val="0"/>
              <w:adjustRightInd/>
              <w:snapToGrid/>
              <w:spacing w:before="313" w:beforeLines="100" w:after="157" w:afterLines="5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2.</w:t>
            </w:r>
            <w:r>
              <w:rPr>
                <w:rFonts w:hint="default" w:ascii="Times New Roman" w:hAnsi="Times New Roman" w:eastAsia="宋体" w:cs="Times New Roman"/>
                <w:color w:val="auto"/>
                <w:lang w:val="en-US" w:eastAsia="zh-CN"/>
              </w:rPr>
              <w:t>3</w:t>
            </w:r>
            <w:r>
              <w:rPr>
                <w:rFonts w:hint="default" w:ascii="Times New Roman" w:hAnsi="Times New Roman" w:eastAsia="宋体" w:cs="Times New Roman"/>
                <w:color w:val="auto"/>
              </w:rPr>
              <w:t>生产工艺流程及产污环节</w:t>
            </w:r>
          </w:p>
          <w:p w14:paraId="51580E5E">
            <w:pPr>
              <w:pStyle w:val="4"/>
              <w:bidi w:val="0"/>
              <w:rPr>
                <w:rFonts w:hint="eastAsia" w:ascii="Times New Roman" w:hAnsi="Times New Roman" w:eastAsia="宋体" w:cs="宋体"/>
                <w:color w:val="auto"/>
                <w:lang w:val="en-US" w:eastAsia="zh-CN"/>
              </w:rPr>
            </w:pPr>
            <w:r>
              <w:rPr>
                <w:rFonts w:hint="eastAsia" w:ascii="Times New Roman" w:hAnsi="Times New Roman" w:eastAsia="宋体" w:cs="宋体"/>
                <w:color w:val="auto"/>
                <w:lang w:val="en-US" w:eastAsia="zh-CN"/>
              </w:rPr>
              <w:t>2.3.1建筑垃圾回收</w:t>
            </w:r>
            <w:r>
              <w:rPr>
                <w:rFonts w:hint="eastAsia" w:cs="宋体"/>
                <w:color w:val="auto"/>
                <w:lang w:val="en-US" w:eastAsia="zh-CN"/>
              </w:rPr>
              <w:t>利用</w:t>
            </w:r>
            <w:r>
              <w:rPr>
                <w:rFonts w:hint="eastAsia" w:ascii="Times New Roman" w:hAnsi="Times New Roman" w:eastAsia="宋体" w:cs="宋体"/>
                <w:color w:val="auto"/>
                <w:lang w:val="en-US" w:eastAsia="zh-CN"/>
              </w:rPr>
              <w:t>生产工艺介绍</w:t>
            </w:r>
          </w:p>
          <w:p w14:paraId="06B43A7F">
            <w:pPr>
              <w:rPr>
                <w:rFonts w:hint="default"/>
                <w:lang w:val="en-US" w:eastAsia="zh-CN"/>
              </w:rPr>
            </w:pPr>
            <w:r>
              <w:rPr>
                <w:rFonts w:hint="eastAsia"/>
                <w:lang w:val="en-US" w:eastAsia="zh-CN"/>
              </w:rPr>
              <w:t>本项目建筑垃圾回收利用的生产工艺流程如下：</w:t>
            </w:r>
          </w:p>
          <w:p w14:paraId="7ACA649F">
            <w:pPr>
              <w:pStyle w:val="7"/>
              <w:ind w:left="0" w:leftChars="0" w:firstLine="0" w:firstLineChars="0"/>
              <w:rPr>
                <w:rFonts w:hint="default" w:cs="Times New Roman"/>
                <w:color w:val="auto"/>
                <w:kern w:val="2"/>
                <w:sz w:val="24"/>
                <w:szCs w:val="24"/>
                <w:lang w:val="en-US" w:eastAsia="zh-CN" w:bidi="ar-SA"/>
              </w:rPr>
            </w:pPr>
          </w:p>
          <w:p w14:paraId="449BDA66">
            <w:pPr>
              <w:pStyle w:val="26"/>
              <w:bidi w:val="0"/>
              <w:spacing w:line="360" w:lineRule="auto"/>
              <w:rPr>
                <w:rFonts w:hint="default"/>
                <w:sz w:val="24"/>
                <w:szCs w:val="24"/>
                <w:lang w:val="en-US" w:eastAsia="zh-CN"/>
              </w:rPr>
            </w:pPr>
            <w:r>
              <w:rPr>
                <w:rFonts w:hint="eastAsia"/>
                <w:sz w:val="24"/>
                <w:szCs w:val="24"/>
                <w:lang w:val="en-US" w:eastAsia="zh-CN"/>
              </w:rPr>
              <w:t>图2.3-1建筑垃圾回收生产工艺流程图</w:t>
            </w:r>
          </w:p>
          <w:p w14:paraId="692EB785">
            <w:pPr>
              <w:pStyle w:val="4"/>
              <w:bidi w:val="0"/>
              <w:rPr>
                <w:rFonts w:hint="default"/>
                <w:color w:val="auto"/>
                <w:lang w:val="en-US" w:eastAsia="zh-CN"/>
              </w:rPr>
            </w:pPr>
            <w:r>
              <w:rPr>
                <w:rFonts w:hint="eastAsia"/>
                <w:color w:val="auto"/>
                <w:lang w:val="en-US" w:eastAsia="zh-CN"/>
              </w:rPr>
              <w:t>2.3.2预拌商品混凝土生产工艺介绍</w:t>
            </w:r>
          </w:p>
          <w:p w14:paraId="2B6E7D23">
            <w:pPr>
              <w:numPr>
                <w:ilvl w:val="0"/>
                <w:numId w:val="0"/>
              </w:numPr>
              <w:autoSpaceDE w:val="0"/>
              <w:autoSpaceDN w:val="0"/>
              <w:spacing w:line="360" w:lineRule="auto"/>
              <w:ind w:firstLine="480" w:firstLineChars="200"/>
              <w:textAlignment w:val="bottom"/>
              <w:rPr>
                <w:rFonts w:hint="eastAsia"/>
                <w:color w:val="auto"/>
                <w:lang w:val="en-US" w:eastAsia="zh-CN"/>
              </w:rPr>
            </w:pPr>
            <w:r>
              <w:rPr>
                <w:rFonts w:hint="eastAsia" w:cs="Times New Roman"/>
                <w:color w:val="auto"/>
                <w:kern w:val="2"/>
                <w:sz w:val="24"/>
                <w:szCs w:val="24"/>
                <w:lang w:val="en-US" w:eastAsia="zh-CN" w:bidi="ar-SA"/>
              </w:rPr>
              <w:t>项目</w:t>
            </w:r>
            <w:r>
              <w:rPr>
                <w:rFonts w:hint="eastAsia"/>
                <w:color w:val="auto"/>
                <w:lang w:val="en-US" w:eastAsia="zh-CN"/>
              </w:rPr>
              <w:t>预拌商品混凝土加工生产工艺流程见下图。</w:t>
            </w:r>
          </w:p>
          <w:p w14:paraId="0BA48BD1">
            <w:pPr>
              <w:pStyle w:val="2"/>
              <w:outlineLvl w:val="9"/>
              <w:rPr>
                <w:rFonts w:hint="eastAsia" w:eastAsia="宋体"/>
                <w:color w:val="auto"/>
                <w:lang w:eastAsia="zh-CN"/>
              </w:rPr>
            </w:pPr>
          </w:p>
          <w:p w14:paraId="40D29615">
            <w:pPr>
              <w:pStyle w:val="26"/>
              <w:bidi w:val="0"/>
              <w:spacing w:line="360" w:lineRule="auto"/>
              <w:rPr>
                <w:rFonts w:hint="default"/>
                <w:color w:val="auto"/>
                <w:sz w:val="24"/>
                <w:szCs w:val="24"/>
                <w:lang w:val="en-US" w:eastAsia="zh-CN"/>
              </w:rPr>
            </w:pPr>
            <w:r>
              <w:rPr>
                <w:rFonts w:hint="eastAsia"/>
                <w:color w:val="auto"/>
                <w:sz w:val="24"/>
                <w:szCs w:val="24"/>
                <w:lang w:val="en-US" w:eastAsia="zh-CN"/>
              </w:rPr>
              <w:t>图2.3-2预拌商品混凝土工艺流程图</w:t>
            </w:r>
          </w:p>
          <w:p w14:paraId="338FAAED">
            <w:pPr>
              <w:bidi w:val="0"/>
              <w:rPr>
                <w:rFonts w:hint="default"/>
                <w:color w:val="auto"/>
                <w:lang w:val="en-US" w:eastAsia="zh-CN"/>
              </w:rPr>
            </w:pPr>
          </w:p>
          <w:p w14:paraId="2515A05C">
            <w:pPr>
              <w:pStyle w:val="4"/>
              <w:bidi w:val="0"/>
              <w:rPr>
                <w:rFonts w:hint="default"/>
                <w:color w:val="auto"/>
                <w:lang w:val="en-US" w:eastAsia="zh-CN"/>
              </w:rPr>
            </w:pPr>
            <w:r>
              <w:rPr>
                <w:rFonts w:hint="eastAsia"/>
                <w:color w:val="auto"/>
                <w:lang w:val="en-US" w:eastAsia="zh-CN"/>
              </w:rPr>
              <w:t>2.3.3砼结构件生产工艺介绍</w:t>
            </w:r>
          </w:p>
          <w:p w14:paraId="35DC9CFF">
            <w:pPr>
              <w:numPr>
                <w:ilvl w:val="0"/>
                <w:numId w:val="0"/>
              </w:numPr>
              <w:autoSpaceDE w:val="0"/>
              <w:autoSpaceDN w:val="0"/>
              <w:spacing w:line="360" w:lineRule="auto"/>
              <w:ind w:firstLine="480" w:firstLineChars="200"/>
              <w:textAlignment w:val="bottom"/>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项目</w:t>
            </w:r>
            <w:r>
              <w:rPr>
                <w:rFonts w:hint="eastAsia" w:cs="Times New Roman"/>
                <w:color w:val="auto"/>
                <w:kern w:val="2"/>
                <w:sz w:val="24"/>
                <w:szCs w:val="24"/>
                <w:lang w:val="en-US" w:eastAsia="zh-CN" w:bidi="ar-SA"/>
              </w:rPr>
              <w:t>砼结构件</w:t>
            </w:r>
            <w:r>
              <w:rPr>
                <w:rFonts w:hint="eastAsia" w:ascii="Times New Roman" w:hAnsi="Times New Roman" w:eastAsia="宋体" w:cs="Times New Roman"/>
                <w:color w:val="auto"/>
                <w:kern w:val="2"/>
                <w:sz w:val="24"/>
                <w:szCs w:val="24"/>
                <w:lang w:val="en-US" w:eastAsia="zh-CN" w:bidi="ar-SA"/>
              </w:rPr>
              <w:t>生产工艺流程见下图。</w:t>
            </w:r>
          </w:p>
          <w:p w14:paraId="062B1B4A">
            <w:pPr>
              <w:keepNext w:val="0"/>
              <w:keepLines w:val="0"/>
              <w:pageBreakBefore w:val="0"/>
              <w:widowControl w:val="0"/>
              <w:kinsoku/>
              <w:wordWrap/>
              <w:overflowPunct/>
              <w:topLinePunct w:val="0"/>
              <w:bidi w:val="0"/>
              <w:snapToGrid/>
              <w:spacing w:line="360" w:lineRule="auto"/>
              <w:ind w:left="0" w:leftChars="0" w:firstLine="0" w:firstLineChars="0"/>
              <w:jc w:val="center"/>
              <w:textAlignment w:val="auto"/>
              <w:rPr>
                <w:rFonts w:hint="eastAsia" w:ascii="Times New Roman" w:hAnsi="Times New Roman" w:eastAsia="宋体" w:cs="Times New Roman"/>
                <w:b/>
                <w:bCs/>
                <w:color w:val="auto"/>
                <w:sz w:val="24"/>
                <w:szCs w:val="24"/>
                <w:highlight w:val="none"/>
                <w:lang w:eastAsia="zh-CN"/>
              </w:rPr>
            </w:pPr>
          </w:p>
          <w:p w14:paraId="4E2EE202">
            <w:pPr>
              <w:pStyle w:val="33"/>
              <w:bidi w:val="0"/>
              <w:rPr>
                <w:rFonts w:hint="default"/>
                <w:color w:val="auto"/>
                <w:sz w:val="24"/>
                <w:lang w:val="en-US" w:eastAsia="zh-CN"/>
              </w:rPr>
            </w:pPr>
            <w:r>
              <w:rPr>
                <w:rFonts w:hint="eastAsia"/>
                <w:color w:val="auto"/>
                <w:sz w:val="24"/>
                <w:lang w:eastAsia="zh-CN"/>
              </w:rPr>
              <w:t>图</w:t>
            </w:r>
            <w:r>
              <w:rPr>
                <w:rFonts w:hint="eastAsia"/>
                <w:color w:val="auto"/>
                <w:sz w:val="24"/>
                <w:lang w:val="en-US" w:eastAsia="zh-CN"/>
              </w:rPr>
              <w:t>2.3</w:t>
            </w:r>
            <w:r>
              <w:rPr>
                <w:rFonts w:hint="eastAsia"/>
                <w:color w:val="auto"/>
                <w:sz w:val="24"/>
                <w:szCs w:val="24"/>
                <w:lang w:val="en-US" w:eastAsia="zh-CN"/>
              </w:rPr>
              <w:t>-3</w:t>
            </w:r>
            <w:r>
              <w:rPr>
                <w:rFonts w:hint="eastAsia"/>
                <w:color w:val="auto"/>
                <w:sz w:val="24"/>
                <w:lang w:val="en-US" w:eastAsia="zh-CN"/>
              </w:rPr>
              <w:t>砼结构件生产工艺流程</w:t>
            </w:r>
          </w:p>
          <w:p w14:paraId="22A62259">
            <w:pPr>
              <w:pStyle w:val="4"/>
              <w:bidi w:val="0"/>
              <w:rPr>
                <w:rFonts w:hint="default"/>
                <w:color w:val="auto"/>
                <w:lang w:eastAsia="zh-CN"/>
              </w:rPr>
            </w:pPr>
            <w:r>
              <w:rPr>
                <w:rFonts w:hint="default"/>
                <w:color w:val="auto"/>
                <w:lang w:val="en-US" w:eastAsia="zh-CN"/>
              </w:rPr>
              <w:t>2.3.</w:t>
            </w:r>
            <w:r>
              <w:rPr>
                <w:rFonts w:hint="eastAsia"/>
                <w:color w:val="auto"/>
                <w:lang w:val="en-US" w:eastAsia="zh-CN"/>
              </w:rPr>
              <w:t>4产污环节</w:t>
            </w:r>
            <w:r>
              <w:rPr>
                <w:rFonts w:hint="default"/>
                <w:color w:val="auto"/>
                <w:lang w:val="en-US" w:eastAsia="zh-CN"/>
              </w:rPr>
              <w:t>分析</w:t>
            </w:r>
          </w:p>
          <w:p w14:paraId="19D7EC59">
            <w:pPr>
              <w:autoSpaceDE w:val="0"/>
              <w:autoSpaceDN w:val="0"/>
              <w:spacing w:line="360" w:lineRule="auto"/>
              <w:ind w:firstLine="480" w:firstLineChars="200"/>
              <w:textAlignment w:val="bottom"/>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eastAsia="zh-CN"/>
              </w:rPr>
              <w:t>项目产污环节、污染物项目、排放形式及污染防治设施详见下表</w:t>
            </w:r>
            <w:r>
              <w:rPr>
                <w:rFonts w:hint="default" w:ascii="Times New Roman" w:hAnsi="Times New Roman" w:eastAsia="宋体" w:cs="Times New Roman"/>
                <w:color w:val="auto"/>
                <w:sz w:val="24"/>
                <w:szCs w:val="24"/>
                <w:highlight w:val="none"/>
                <w:lang w:val="en-US" w:eastAsia="zh-CN"/>
              </w:rPr>
              <w:t>2.3-1。</w:t>
            </w:r>
          </w:p>
          <w:p w14:paraId="3B4A6240">
            <w:pPr>
              <w:pStyle w:val="17"/>
              <w:keepNext w:val="0"/>
              <w:keepLines w:val="0"/>
              <w:pageBreakBefore w:val="0"/>
              <w:widowControl w:val="0"/>
              <w:kinsoku/>
              <w:wordWrap/>
              <w:overflowPunct/>
              <w:topLinePunct w:val="0"/>
              <w:autoSpaceDE w:val="0"/>
              <w:autoSpaceDN w:val="0"/>
              <w:bidi w:val="0"/>
              <w:adjustRightInd w:val="0"/>
              <w:snapToGrid w:val="0"/>
              <w:spacing w:before="0" w:beforeAutospacing="0" w:after="0" w:afterAutospacing="0"/>
              <w:ind w:firstLine="0" w:firstLineChars="0"/>
              <w:jc w:val="center"/>
              <w:textAlignment w:val="baseline"/>
              <w:rPr>
                <w:rFonts w:hint="default" w:ascii="Times New Roman" w:hAnsi="Times New Roman" w:eastAsia="宋体" w:cs="Times New Roman"/>
                <w:b/>
                <w:bCs/>
                <w:color w:val="auto"/>
                <w:spacing w:val="6"/>
                <w:highlight w:val="none"/>
              </w:rPr>
            </w:pPr>
            <w:r>
              <w:rPr>
                <w:rFonts w:hint="default" w:ascii="Times New Roman" w:hAnsi="Times New Roman" w:eastAsia="宋体" w:cs="Times New Roman"/>
                <w:b/>
                <w:bCs/>
                <w:color w:val="auto"/>
                <w:spacing w:val="6"/>
                <w:highlight w:val="none"/>
              </w:rPr>
              <w:t>表</w:t>
            </w:r>
            <w:r>
              <w:rPr>
                <w:rFonts w:hint="default" w:ascii="Times New Roman" w:hAnsi="Times New Roman" w:eastAsia="宋体" w:cs="Times New Roman"/>
                <w:b/>
                <w:bCs/>
                <w:color w:val="auto"/>
                <w:spacing w:val="6"/>
                <w:highlight w:val="none"/>
                <w:lang w:val="en-US" w:eastAsia="zh-CN"/>
              </w:rPr>
              <w:t>2.3-1</w:t>
            </w:r>
            <w:r>
              <w:rPr>
                <w:rFonts w:hint="default" w:ascii="Times New Roman" w:hAnsi="Times New Roman" w:eastAsia="宋体" w:cs="Times New Roman"/>
                <w:b/>
                <w:bCs/>
                <w:color w:val="auto"/>
                <w:spacing w:val="6"/>
                <w:highlight w:val="none"/>
              </w:rPr>
              <w:t xml:space="preserve"> </w:t>
            </w:r>
            <w:r>
              <w:rPr>
                <w:rFonts w:hint="default" w:ascii="Times New Roman" w:hAnsi="Times New Roman" w:eastAsia="宋体" w:cs="Times New Roman"/>
                <w:b/>
                <w:bCs/>
                <w:color w:val="auto"/>
                <w:spacing w:val="6"/>
                <w:highlight w:val="none"/>
                <w:lang w:eastAsia="zh-CN"/>
              </w:rPr>
              <w:t>项目</w:t>
            </w:r>
            <w:r>
              <w:rPr>
                <w:rFonts w:hint="default" w:ascii="Times New Roman" w:hAnsi="Times New Roman" w:eastAsia="宋体" w:cs="Times New Roman"/>
                <w:b/>
                <w:bCs/>
                <w:color w:val="auto"/>
                <w:spacing w:val="6"/>
                <w:highlight w:val="none"/>
              </w:rPr>
              <w:t>产污</w:t>
            </w:r>
            <w:r>
              <w:rPr>
                <w:rFonts w:hint="eastAsia" w:ascii="Times New Roman" w:hAnsi="Times New Roman" w:eastAsia="宋体" w:cs="Times New Roman"/>
                <w:b/>
                <w:bCs/>
                <w:color w:val="auto"/>
                <w:spacing w:val="6"/>
                <w:highlight w:val="none"/>
                <w:lang w:eastAsia="zh-CN"/>
              </w:rPr>
              <w:t>环节说明</w:t>
            </w:r>
            <w:r>
              <w:rPr>
                <w:rFonts w:hint="default" w:ascii="Times New Roman" w:hAnsi="Times New Roman" w:eastAsia="宋体" w:cs="Times New Roman"/>
                <w:b/>
                <w:bCs/>
                <w:color w:val="auto"/>
                <w:spacing w:val="6"/>
                <w:highlight w:val="none"/>
              </w:rPr>
              <w:t>一览表</w:t>
            </w:r>
          </w:p>
          <w:p w14:paraId="5B8FA6CF">
            <w:pPr>
              <w:rPr>
                <w:rFonts w:hint="default" w:ascii="Times New Roman" w:hAnsi="Times New Roman" w:eastAsia="宋体" w:cs="Times New Roman"/>
                <w:color w:val="auto"/>
                <w:sz w:val="24"/>
                <w:szCs w:val="24"/>
                <w:highlight w:val="none"/>
              </w:rPr>
            </w:pPr>
          </w:p>
        </w:tc>
      </w:tr>
      <w:tr w14:paraId="34CA8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9" w:hRule="atLeast"/>
          <w:jc w:val="center"/>
        </w:trPr>
        <w:tc>
          <w:tcPr>
            <w:tcW w:w="707" w:type="dxa"/>
            <w:noWrap w:val="0"/>
            <w:vAlign w:val="center"/>
          </w:tcPr>
          <w:p w14:paraId="4CE38480">
            <w:pPr>
              <w:pStyle w:val="28"/>
              <w:bidi w:val="0"/>
              <w:rPr>
                <w:rFonts w:hint="default" w:ascii="Times New Roman" w:hAnsi="Times New Roman" w:eastAsia="宋体" w:cs="Times New Roman"/>
                <w:color w:val="auto"/>
                <w:szCs w:val="21"/>
              </w:rPr>
            </w:pPr>
            <w:r>
              <w:rPr>
                <w:rFonts w:hint="default"/>
                <w:color w:val="auto"/>
                <w:sz w:val="24"/>
                <w:szCs w:val="32"/>
                <w:lang w:val="en-US" w:eastAsia="zh-CN"/>
              </w:rPr>
              <w:t>与项目有关的原有环境污染问题</w:t>
            </w:r>
          </w:p>
        </w:tc>
        <w:tc>
          <w:tcPr>
            <w:tcW w:w="8218" w:type="dxa"/>
            <w:noWrap w:val="0"/>
            <w:vAlign w:val="center"/>
          </w:tcPr>
          <w:p w14:paraId="45E5187A">
            <w:pPr>
              <w:pStyle w:val="3"/>
              <w:bidi w:val="0"/>
              <w:rPr>
                <w:rFonts w:hint="eastAsia"/>
                <w:color w:val="auto"/>
                <w:lang w:val="en-US" w:eastAsia="zh-CN"/>
              </w:rPr>
            </w:pPr>
            <w:r>
              <w:rPr>
                <w:rFonts w:hint="eastAsia"/>
                <w:color w:val="auto"/>
                <w:lang w:val="en-US" w:eastAsia="zh-CN"/>
              </w:rPr>
              <w:t>2.4迁建前工程建设情况及污染源分析</w:t>
            </w:r>
          </w:p>
          <w:p w14:paraId="4A59E168">
            <w:pPr>
              <w:pStyle w:val="4"/>
              <w:bidi w:val="0"/>
              <w:rPr>
                <w:color w:val="auto"/>
              </w:rPr>
            </w:pPr>
            <w:r>
              <w:rPr>
                <w:color w:val="auto"/>
              </w:rPr>
              <w:t>2.</w:t>
            </w:r>
            <w:r>
              <w:rPr>
                <w:rFonts w:hint="eastAsia"/>
                <w:color w:val="auto"/>
                <w:lang w:val="en-US" w:eastAsia="zh-CN"/>
              </w:rPr>
              <w:t>4.1迁建前</w:t>
            </w:r>
            <w:r>
              <w:rPr>
                <w:rFonts w:hint="eastAsia"/>
                <w:color w:val="auto"/>
              </w:rPr>
              <w:t>工程概况</w:t>
            </w:r>
          </w:p>
          <w:p w14:paraId="35CE38D0">
            <w:pPr>
              <w:rPr>
                <w:color w:val="auto"/>
                <w:sz w:val="24"/>
              </w:rPr>
            </w:pPr>
            <w:r>
              <w:rPr>
                <w:rFonts w:hint="eastAsia"/>
                <w:color w:val="auto"/>
                <w:sz w:val="24"/>
                <w:lang w:val="en-US" w:eastAsia="zh-CN"/>
              </w:rPr>
              <w:t>迁建前</w:t>
            </w:r>
            <w:r>
              <w:rPr>
                <w:color w:val="auto"/>
                <w:sz w:val="24"/>
              </w:rPr>
              <w:t>工程环评批复及验收情况详见下表：</w:t>
            </w:r>
          </w:p>
          <w:p w14:paraId="2B77DDED">
            <w:pPr>
              <w:pStyle w:val="33"/>
              <w:bidi w:val="0"/>
              <w:rPr>
                <w:b/>
                <w:color w:val="auto"/>
                <w:sz w:val="24"/>
                <w:szCs w:val="24"/>
              </w:rPr>
            </w:pPr>
            <w:r>
              <w:rPr>
                <w:color w:val="auto"/>
                <w:sz w:val="24"/>
                <w:szCs w:val="24"/>
              </w:rPr>
              <w:t>表</w:t>
            </w:r>
            <w:r>
              <w:rPr>
                <w:rFonts w:hint="eastAsia"/>
                <w:color w:val="auto"/>
                <w:sz w:val="24"/>
                <w:szCs w:val="24"/>
                <w:lang w:val="en-US" w:eastAsia="zh-CN"/>
              </w:rPr>
              <w:t>2.4-1</w:t>
            </w:r>
            <w:r>
              <w:rPr>
                <w:rFonts w:hint="eastAsia"/>
                <w:color w:val="auto"/>
                <w:sz w:val="24"/>
                <w:szCs w:val="24"/>
              </w:rPr>
              <w:t xml:space="preserve"> 现有</w:t>
            </w:r>
            <w:r>
              <w:rPr>
                <w:color w:val="auto"/>
                <w:sz w:val="24"/>
                <w:szCs w:val="24"/>
              </w:rPr>
              <w:t>工程环评批复及验收情况一览表</w:t>
            </w:r>
          </w:p>
          <w:p w14:paraId="120B5526">
            <w:pPr>
              <w:pStyle w:val="4"/>
              <w:bidi w:val="0"/>
              <w:rPr>
                <w:rFonts w:hint="default"/>
                <w:color w:val="auto"/>
                <w:lang w:val="en-US" w:eastAsia="zh-CN"/>
              </w:rPr>
            </w:pPr>
            <w:r>
              <w:rPr>
                <w:rFonts w:hint="eastAsia"/>
                <w:color w:val="auto"/>
                <w:lang w:val="en-US" w:eastAsia="zh-CN"/>
              </w:rPr>
              <w:t>2.4.2迁建前</w:t>
            </w:r>
            <w:r>
              <w:rPr>
                <w:rFonts w:hint="eastAsia"/>
                <w:color w:val="auto"/>
              </w:rPr>
              <w:t>工程建设情况</w:t>
            </w:r>
          </w:p>
          <w:p w14:paraId="1E6466F4">
            <w:pPr>
              <w:bidi w:val="0"/>
              <w:rPr>
                <w:rFonts w:hint="default"/>
                <w:color w:val="auto"/>
                <w:lang w:val="en-US" w:eastAsia="zh-CN"/>
              </w:rPr>
            </w:pPr>
            <w:r>
              <w:rPr>
                <w:rFonts w:hint="eastAsia"/>
                <w:color w:val="auto"/>
                <w:lang w:val="en-US" w:eastAsia="zh-CN"/>
              </w:rPr>
              <w:t>迁建前的工程为原</w:t>
            </w:r>
            <w:r>
              <w:rPr>
                <w:rFonts w:hint="default"/>
                <w:color w:val="auto"/>
                <w:lang w:val="en-US" w:eastAsia="zh-CN"/>
              </w:rPr>
              <w:t>福建融瀚建材有限公司</w:t>
            </w:r>
            <w:r>
              <w:rPr>
                <w:rFonts w:hint="eastAsia"/>
                <w:color w:val="auto"/>
                <w:lang w:val="en-US" w:eastAsia="zh-CN"/>
              </w:rPr>
              <w:t>，工程</w:t>
            </w:r>
            <w:r>
              <w:rPr>
                <w:rFonts w:hint="default"/>
                <w:color w:val="auto"/>
                <w:lang w:val="en-US" w:eastAsia="zh-CN"/>
              </w:rPr>
              <w:t>位于福建省福州市福清市海口镇东阁村真大线21公里处，总投资6800万元，占地面积5565</w:t>
            </w:r>
            <w:r>
              <w:rPr>
                <w:rFonts w:hint="eastAsia"/>
                <w:color w:val="auto"/>
                <w:lang w:val="en-US" w:eastAsia="zh-CN"/>
              </w:rPr>
              <w:t>m</w:t>
            </w:r>
            <w:r>
              <w:rPr>
                <w:rFonts w:hint="eastAsia"/>
                <w:color w:val="auto"/>
                <w:vertAlign w:val="superscript"/>
                <w:lang w:val="en-US" w:eastAsia="zh-CN"/>
              </w:rPr>
              <w:t>2</w:t>
            </w:r>
            <w:r>
              <w:rPr>
                <w:rFonts w:hint="default"/>
                <w:color w:val="auto"/>
                <w:lang w:val="en-US" w:eastAsia="zh-CN"/>
              </w:rPr>
              <w:t>，建筑面积4000</w:t>
            </w:r>
            <w:r>
              <w:rPr>
                <w:rFonts w:hint="eastAsia"/>
                <w:color w:val="auto"/>
                <w:lang w:val="en-US" w:eastAsia="zh-CN"/>
              </w:rPr>
              <w:t>m</w:t>
            </w:r>
            <w:r>
              <w:rPr>
                <w:rFonts w:hint="eastAsia"/>
                <w:color w:val="auto"/>
                <w:vertAlign w:val="superscript"/>
                <w:lang w:val="en-US" w:eastAsia="zh-CN"/>
              </w:rPr>
              <w:t>2</w:t>
            </w:r>
            <w:r>
              <w:rPr>
                <w:rFonts w:hint="default"/>
                <w:color w:val="auto"/>
                <w:lang w:val="en-US" w:eastAsia="zh-CN"/>
              </w:rPr>
              <w:t>。租赁福清市日盛饲料有限公司土地，从事商品混凝土生产项目，年产80万吨预拌商品混凝土。</w:t>
            </w:r>
            <w:r>
              <w:rPr>
                <w:rFonts w:hint="eastAsia"/>
                <w:color w:val="auto"/>
                <w:lang w:val="en-US" w:eastAsia="zh-CN"/>
              </w:rPr>
              <w:t>原工程企业员工58人，均不住厂，厂内不设食堂、公厕等辅助设施，年工作天数350天，单班制，每班8小时。</w:t>
            </w:r>
          </w:p>
          <w:p w14:paraId="589F9410">
            <w:pPr>
              <w:pStyle w:val="4"/>
              <w:bidi w:val="0"/>
              <w:rPr>
                <w:rFonts w:hint="eastAsia"/>
                <w:color w:val="auto"/>
                <w:lang w:val="en-US" w:eastAsia="zh-CN"/>
              </w:rPr>
            </w:pPr>
            <w:r>
              <w:rPr>
                <w:rFonts w:hint="eastAsia"/>
                <w:color w:val="auto"/>
                <w:lang w:val="en-US" w:eastAsia="zh-CN"/>
              </w:rPr>
              <w:t>2.4.3迁建前工程组成</w:t>
            </w:r>
          </w:p>
          <w:p w14:paraId="02739447">
            <w:pPr>
              <w:keepNext w:val="0"/>
              <w:keepLines w:val="0"/>
              <w:widowControl/>
              <w:suppressLineNumbers w:val="0"/>
              <w:jc w:val="left"/>
              <w:rPr>
                <w:rFonts w:hint="eastAsia"/>
                <w:color w:val="auto"/>
                <w:lang w:val="en-US" w:eastAsia="zh-CN"/>
              </w:rPr>
            </w:pPr>
            <w:r>
              <w:rPr>
                <w:rFonts w:hint="eastAsia"/>
                <w:color w:val="auto"/>
                <w:lang w:val="en-US" w:eastAsia="zh-CN"/>
              </w:rPr>
              <w:t>根据项目人员对原工程现状进行实地踏勘后，对照原工程所做《</w:t>
            </w:r>
            <w:r>
              <w:rPr>
                <w:rFonts w:hint="eastAsia" w:ascii="宋体" w:hAnsi="宋体" w:eastAsia="宋体" w:cs="宋体"/>
                <w:color w:val="auto"/>
                <w:kern w:val="0"/>
                <w:sz w:val="24"/>
                <w:szCs w:val="24"/>
                <w:lang w:val="en-US" w:eastAsia="zh-CN" w:bidi="ar"/>
              </w:rPr>
              <w:t>福建融瀚建材有限公司年产</w:t>
            </w:r>
            <w:r>
              <w:rPr>
                <w:rFonts w:hint="default" w:ascii="Times New Roman" w:hAnsi="Times New Roman" w:eastAsia="宋体" w:cs="Times New Roman"/>
                <w:color w:val="auto"/>
                <w:kern w:val="0"/>
                <w:sz w:val="24"/>
                <w:szCs w:val="24"/>
                <w:lang w:val="en-US" w:eastAsia="zh-CN" w:bidi="ar"/>
              </w:rPr>
              <w:t>80</w:t>
            </w:r>
            <w:r>
              <w:rPr>
                <w:rFonts w:hint="eastAsia" w:ascii="宋体" w:hAnsi="宋体" w:eastAsia="宋体" w:cs="宋体"/>
                <w:color w:val="auto"/>
                <w:kern w:val="0"/>
                <w:sz w:val="24"/>
                <w:szCs w:val="24"/>
                <w:lang w:val="en-US" w:eastAsia="zh-CN" w:bidi="ar"/>
              </w:rPr>
              <w:t>万吨预拌商品混凝土环境影响报告表</w:t>
            </w:r>
            <w:r>
              <w:rPr>
                <w:rFonts w:hint="eastAsia"/>
                <w:color w:val="auto"/>
                <w:lang w:val="en-US" w:eastAsia="zh-CN"/>
              </w:rPr>
              <w:t>》相关内容，企业迁建前的工程项目组成如下表2.4-2。</w:t>
            </w:r>
          </w:p>
          <w:p w14:paraId="27568A8F">
            <w:pPr>
              <w:pStyle w:val="33"/>
              <w:bidi w:val="0"/>
              <w:rPr>
                <w:color w:val="auto"/>
                <w:sz w:val="24"/>
                <w:szCs w:val="24"/>
              </w:rPr>
            </w:pPr>
            <w:r>
              <w:rPr>
                <w:color w:val="auto"/>
                <w:sz w:val="24"/>
                <w:szCs w:val="24"/>
              </w:rPr>
              <w:t>表2</w:t>
            </w:r>
            <w:r>
              <w:rPr>
                <w:rFonts w:hint="eastAsia"/>
                <w:color w:val="auto"/>
                <w:sz w:val="24"/>
                <w:szCs w:val="24"/>
                <w:lang w:val="en-US" w:eastAsia="zh-CN"/>
              </w:rPr>
              <w:t>.4-2</w:t>
            </w:r>
            <w:r>
              <w:rPr>
                <w:color w:val="auto"/>
                <w:sz w:val="24"/>
                <w:szCs w:val="24"/>
              </w:rPr>
              <w:t xml:space="preserve"> </w:t>
            </w:r>
            <w:r>
              <w:rPr>
                <w:rFonts w:hint="eastAsia"/>
                <w:color w:val="auto"/>
                <w:sz w:val="24"/>
                <w:szCs w:val="24"/>
                <w:lang w:val="en-US" w:eastAsia="zh-CN"/>
              </w:rPr>
              <w:t>迁建前工程</w:t>
            </w:r>
            <w:r>
              <w:rPr>
                <w:color w:val="auto"/>
                <w:sz w:val="24"/>
                <w:szCs w:val="24"/>
              </w:rPr>
              <w:t>组成一览表</w:t>
            </w:r>
          </w:p>
          <w:p w14:paraId="00F9520A">
            <w:pPr>
              <w:pStyle w:val="4"/>
              <w:bidi w:val="0"/>
              <w:rPr>
                <w:rFonts w:hint="eastAsia"/>
                <w:color w:val="auto"/>
                <w:lang w:val="en-US" w:eastAsia="zh-CN"/>
              </w:rPr>
            </w:pPr>
            <w:r>
              <w:rPr>
                <w:rFonts w:hint="eastAsia"/>
                <w:color w:val="auto"/>
                <w:lang w:val="en-US" w:eastAsia="zh-CN"/>
              </w:rPr>
              <w:t>2.4.4迁建前工程污染物排放情况分析</w:t>
            </w:r>
          </w:p>
          <w:p w14:paraId="64134031">
            <w:pPr>
              <w:bidi w:val="0"/>
              <w:rPr>
                <w:b/>
                <w:bCs/>
                <w:color w:val="auto"/>
              </w:rPr>
            </w:pPr>
            <w:r>
              <w:rPr>
                <w:b/>
                <w:bCs/>
                <w:color w:val="auto"/>
              </w:rPr>
              <w:t>（1）废水</w:t>
            </w:r>
          </w:p>
          <w:p w14:paraId="538ABE1A">
            <w:pPr>
              <w:bidi w:val="0"/>
              <w:rPr>
                <w:rFonts w:hint="default"/>
                <w:color w:val="auto"/>
                <w:lang w:val="en-US" w:eastAsia="zh-CN"/>
              </w:rPr>
            </w:pPr>
            <w:r>
              <w:rPr>
                <w:rFonts w:hint="eastAsia"/>
                <w:color w:val="auto"/>
                <w:lang w:val="en-US" w:eastAsia="zh-CN"/>
              </w:rPr>
              <w:t>迁建前工程的废水主要来源于生产废水和生活废水，生产废水主要来源于生产过程中设备和运输车辆的清洗，生活废水来源于职工生活用水，迁建前项目职工不住厂，不设宿舍、不设食堂，无厕所。生产废水和日常用水经三级沉淀池处理后全部循环回用于设备和车辆清洗用水，不外排。</w:t>
            </w:r>
          </w:p>
          <w:p w14:paraId="67485208">
            <w:pPr>
              <w:bidi w:val="0"/>
              <w:rPr>
                <w:rFonts w:hint="eastAsia"/>
                <w:color w:val="auto"/>
                <w:lang w:val="en-US" w:eastAsia="zh-CN"/>
              </w:rPr>
            </w:pPr>
            <w:r>
              <w:rPr>
                <w:rFonts w:hint="eastAsia"/>
                <w:color w:val="auto"/>
                <w:lang w:val="en-US" w:eastAsia="zh-CN"/>
              </w:rPr>
              <w:t>根据《福建融瀚建材有限公司年产80万吨预拌商品混凝土项目竣工环境保护验收监测报告》，迁建前工程厂区水平衡如下：</w:t>
            </w:r>
          </w:p>
          <w:p w14:paraId="6D860F93">
            <w:pPr>
              <w:pStyle w:val="7"/>
              <w:ind w:left="0" w:leftChars="0" w:firstLine="0" w:firstLineChars="0"/>
              <w:jc w:val="center"/>
              <w:rPr>
                <w:color w:val="auto"/>
              </w:rPr>
            </w:pPr>
          </w:p>
          <w:p w14:paraId="73A09073">
            <w:pPr>
              <w:pStyle w:val="26"/>
              <w:bidi w:val="0"/>
              <w:rPr>
                <w:rFonts w:hint="eastAsia"/>
                <w:color w:val="auto"/>
                <w:lang w:val="en-US" w:eastAsia="zh-CN"/>
              </w:rPr>
            </w:pPr>
            <w:r>
              <w:rPr>
                <w:rFonts w:hint="eastAsia"/>
                <w:color w:val="auto"/>
                <w:lang w:val="en-US" w:eastAsia="zh-CN"/>
              </w:rPr>
              <w:t>图2.4-1 迁建前项目厂区水平衡图</w:t>
            </w:r>
          </w:p>
          <w:p w14:paraId="741A2446">
            <w:pPr>
              <w:numPr>
                <w:ilvl w:val="0"/>
                <w:numId w:val="0"/>
              </w:numPr>
              <w:bidi w:val="0"/>
              <w:rPr>
                <w:rFonts w:hint="eastAsia"/>
                <w:b/>
                <w:bCs/>
                <w:color w:val="auto"/>
                <w:lang w:val="en-US" w:eastAsia="zh-CN"/>
              </w:rPr>
            </w:pPr>
          </w:p>
          <w:p w14:paraId="66E1CB93">
            <w:pPr>
              <w:numPr>
                <w:ilvl w:val="0"/>
                <w:numId w:val="6"/>
              </w:numPr>
              <w:bidi w:val="0"/>
              <w:rPr>
                <w:rFonts w:hint="eastAsia"/>
                <w:b/>
                <w:bCs/>
                <w:color w:val="auto"/>
                <w:lang w:val="en-US" w:eastAsia="zh-CN"/>
              </w:rPr>
            </w:pPr>
            <w:r>
              <w:rPr>
                <w:rFonts w:hint="eastAsia"/>
                <w:b/>
                <w:bCs/>
                <w:color w:val="auto"/>
                <w:lang w:val="en-US" w:eastAsia="zh-CN"/>
              </w:rPr>
              <w:t>废气</w:t>
            </w:r>
          </w:p>
          <w:p w14:paraId="069482CC">
            <w:pPr>
              <w:bidi w:val="0"/>
              <w:rPr>
                <w:rFonts w:hint="eastAsia"/>
                <w:color w:val="auto"/>
                <w:lang w:val="en-US" w:eastAsia="zh-CN"/>
              </w:rPr>
            </w:pPr>
            <w:r>
              <w:rPr>
                <w:rFonts w:hint="eastAsia"/>
                <w:color w:val="auto"/>
                <w:lang w:val="en-US" w:eastAsia="zh-CN"/>
              </w:rPr>
              <w:t>有组织废气：迁建前项目生产过程中的水泥、粉煤灰输送至筒仓，进行搅拌的过程中产生的粉尘经由筒仓顶部配备的脉冲除尘装置处理后于20米高处直接排放；搅拌主楼的粉尘经除尘器处理后于15米高处直接排放。</w:t>
            </w:r>
          </w:p>
          <w:p w14:paraId="3836090B">
            <w:pPr>
              <w:bidi w:val="0"/>
              <w:rPr>
                <w:rFonts w:hint="eastAsia"/>
                <w:color w:val="auto"/>
                <w:lang w:val="en-US" w:eastAsia="zh-CN"/>
              </w:rPr>
            </w:pPr>
            <w:r>
              <w:rPr>
                <w:rFonts w:hint="eastAsia"/>
                <w:color w:val="auto"/>
                <w:lang w:val="en-US" w:eastAsia="zh-CN"/>
              </w:rPr>
              <w:t>无组织废气：搅拌过程中石子、砂卸车粉尘剂铲车喂料产生的粉尘；石子、砂原料堆场产生的扬尘搅拌站车间的不严密性逸散的粉尘；厂内各车辆运输行驶产生的二次扬尘；这些粉尘均为无组织排放，无组织排放废气通过安装10台雾炮机以及靠马路边墙及搅拌楼布设大量水喷淋设施降低环境空气中的粉尘污染。</w:t>
            </w:r>
          </w:p>
          <w:p w14:paraId="1B5F4A3B">
            <w:pPr>
              <w:bidi w:val="0"/>
              <w:rPr>
                <w:rFonts w:hint="eastAsia"/>
                <w:bCs/>
                <w:snapToGrid w:val="0"/>
                <w:color w:val="auto"/>
                <w:sz w:val="24"/>
              </w:rPr>
            </w:pPr>
            <w:r>
              <w:rPr>
                <w:rFonts w:hint="eastAsia"/>
                <w:bCs/>
                <w:snapToGrid w:val="0"/>
                <w:color w:val="auto"/>
                <w:sz w:val="24"/>
              </w:rPr>
              <w:t>根据《</w:t>
            </w:r>
            <w:r>
              <w:rPr>
                <w:rFonts w:hint="eastAsia"/>
                <w:color w:val="auto"/>
                <w:lang w:val="en-US" w:eastAsia="zh-CN"/>
              </w:rPr>
              <w:t>福建融瀚建材有限公司年产80万吨预拌商品混凝土项目竣工环境保护验收监测报告</w:t>
            </w:r>
            <w:r>
              <w:rPr>
                <w:rFonts w:hint="eastAsia"/>
                <w:bCs/>
                <w:snapToGrid w:val="0"/>
                <w:color w:val="auto"/>
                <w:sz w:val="24"/>
              </w:rPr>
              <w:t>》，</w:t>
            </w:r>
            <w:r>
              <w:rPr>
                <w:rFonts w:hint="eastAsia"/>
                <w:bCs/>
                <w:snapToGrid w:val="0"/>
                <w:color w:val="auto"/>
                <w:sz w:val="24"/>
                <w:szCs w:val="24"/>
                <w:lang w:val="en-US" w:eastAsia="zh-CN"/>
              </w:rPr>
              <w:t>迁建前工程厂界</w:t>
            </w:r>
            <w:r>
              <w:rPr>
                <w:rFonts w:hint="eastAsia"/>
                <w:bCs/>
                <w:snapToGrid w:val="0"/>
                <w:color w:val="auto"/>
                <w:sz w:val="24"/>
              </w:rPr>
              <w:t>无</w:t>
            </w:r>
            <w:r>
              <w:rPr>
                <w:rFonts w:hint="eastAsia"/>
                <w:bCs/>
                <w:snapToGrid w:val="0"/>
                <w:color w:val="auto"/>
                <w:sz w:val="24"/>
                <w:szCs w:val="24"/>
                <w:lang w:val="en-US" w:eastAsia="zh-CN"/>
              </w:rPr>
              <w:t>组织废气监测结果见表2.4-3</w:t>
            </w:r>
            <w:r>
              <w:rPr>
                <w:rFonts w:hint="eastAsia"/>
                <w:bCs/>
                <w:snapToGrid w:val="0"/>
                <w:color w:val="auto"/>
                <w:sz w:val="24"/>
              </w:rPr>
              <w:t>。</w:t>
            </w:r>
          </w:p>
          <w:p w14:paraId="301A32FA">
            <w:pPr>
              <w:bidi w:val="0"/>
              <w:rPr>
                <w:rFonts w:hint="eastAsia"/>
                <w:bCs/>
                <w:snapToGrid w:val="0"/>
                <w:color w:val="auto"/>
                <w:sz w:val="24"/>
              </w:rPr>
            </w:pPr>
          </w:p>
          <w:p w14:paraId="1C5CBA17">
            <w:pPr>
              <w:bidi w:val="0"/>
              <w:rPr>
                <w:rFonts w:hint="eastAsia"/>
                <w:bCs/>
                <w:snapToGrid w:val="0"/>
                <w:color w:val="auto"/>
                <w:sz w:val="24"/>
              </w:rPr>
            </w:pPr>
          </w:p>
          <w:p w14:paraId="20A83493">
            <w:pPr>
              <w:pStyle w:val="33"/>
              <w:bidi w:val="0"/>
              <w:rPr>
                <w:color w:val="auto"/>
                <w:sz w:val="24"/>
                <w:szCs w:val="24"/>
              </w:rPr>
            </w:pPr>
            <w:r>
              <w:rPr>
                <w:color w:val="auto"/>
                <w:sz w:val="24"/>
                <w:szCs w:val="24"/>
              </w:rPr>
              <w:t>表</w:t>
            </w:r>
            <w:r>
              <w:rPr>
                <w:rFonts w:hint="eastAsia"/>
                <w:color w:val="auto"/>
                <w:sz w:val="24"/>
                <w:szCs w:val="24"/>
              </w:rPr>
              <w:t>2</w:t>
            </w:r>
            <w:r>
              <w:rPr>
                <w:rFonts w:hint="eastAsia"/>
                <w:color w:val="auto"/>
                <w:sz w:val="24"/>
                <w:szCs w:val="24"/>
                <w:lang w:val="en-US" w:eastAsia="zh-CN"/>
              </w:rPr>
              <w:t>.4-3</w:t>
            </w:r>
            <w:r>
              <w:rPr>
                <w:rFonts w:hint="eastAsia"/>
                <w:color w:val="auto"/>
                <w:sz w:val="24"/>
                <w:szCs w:val="24"/>
              </w:rPr>
              <w:t xml:space="preserve"> </w:t>
            </w:r>
            <w:r>
              <w:rPr>
                <w:rFonts w:hint="eastAsia"/>
                <w:color w:val="auto"/>
                <w:sz w:val="24"/>
                <w:szCs w:val="24"/>
                <w:lang w:val="en-US" w:eastAsia="zh-CN"/>
              </w:rPr>
              <w:t>迁建前</w:t>
            </w:r>
            <w:r>
              <w:rPr>
                <w:rFonts w:hint="eastAsia"/>
                <w:color w:val="auto"/>
                <w:sz w:val="24"/>
                <w:szCs w:val="24"/>
              </w:rPr>
              <w:t>工程</w:t>
            </w:r>
            <w:r>
              <w:rPr>
                <w:rFonts w:hint="eastAsia"/>
                <w:color w:val="auto"/>
                <w:sz w:val="24"/>
                <w:szCs w:val="24"/>
                <w:lang w:val="en-US" w:eastAsia="zh-CN"/>
              </w:rPr>
              <w:t>无组织</w:t>
            </w:r>
            <w:r>
              <w:rPr>
                <w:rFonts w:hint="eastAsia"/>
                <w:color w:val="auto"/>
                <w:sz w:val="24"/>
                <w:szCs w:val="24"/>
              </w:rPr>
              <w:t>废气排放检测结果</w:t>
            </w:r>
          </w:p>
          <w:p w14:paraId="5B5875ED">
            <w:pPr>
              <w:keepNext w:val="0"/>
              <w:keepLines w:val="0"/>
              <w:pageBreakBefore w:val="0"/>
              <w:widowControl w:val="0"/>
              <w:kinsoku/>
              <w:wordWrap/>
              <w:overflowPunct/>
              <w:topLinePunct w:val="0"/>
              <w:autoSpaceDE/>
              <w:autoSpaceDN/>
              <w:bidi w:val="0"/>
              <w:adjustRightInd/>
              <w:snapToGrid/>
              <w:spacing w:before="157" w:beforeLines="50"/>
              <w:textAlignment w:val="auto"/>
              <w:rPr>
                <w:rFonts w:hint="default" w:eastAsia="宋体"/>
                <w:color w:val="auto"/>
                <w:vertAlign w:val="baseline"/>
                <w:lang w:val="en-US" w:eastAsia="zh-CN"/>
              </w:rPr>
            </w:pPr>
            <w:r>
              <w:rPr>
                <w:rFonts w:hint="eastAsia"/>
                <w:color w:val="auto"/>
                <w:sz w:val="24"/>
                <w:szCs w:val="24"/>
              </w:rPr>
              <w:t>根据验收监测结果，</w:t>
            </w:r>
            <w:r>
              <w:rPr>
                <w:rFonts w:hint="eastAsia"/>
                <w:color w:val="auto"/>
                <w:sz w:val="24"/>
                <w:szCs w:val="24"/>
                <w:lang w:val="en-US" w:eastAsia="zh-CN"/>
              </w:rPr>
              <w:t>迁建前</w:t>
            </w:r>
            <w:r>
              <w:rPr>
                <w:rFonts w:hint="eastAsia"/>
                <w:color w:val="auto"/>
                <w:sz w:val="24"/>
                <w:szCs w:val="24"/>
              </w:rPr>
              <w:t>工程</w:t>
            </w:r>
            <w:r>
              <w:rPr>
                <w:rFonts w:hint="eastAsia"/>
                <w:color w:val="auto"/>
                <w:sz w:val="24"/>
                <w:szCs w:val="24"/>
                <w:lang w:val="en-US" w:eastAsia="zh-CN"/>
              </w:rPr>
              <w:t>厂界下风向颗粒物无组织排放的监控浓度为0.395</w:t>
            </w:r>
            <w:r>
              <w:rPr>
                <w:rFonts w:hint="eastAsia"/>
                <w:color w:val="auto"/>
                <w:lang w:val="en-US" w:eastAsia="zh-CN"/>
              </w:rPr>
              <w:t>mg/m</w:t>
            </w:r>
            <w:r>
              <w:rPr>
                <w:rFonts w:hint="eastAsia"/>
                <w:color w:val="auto"/>
                <w:vertAlign w:val="superscript"/>
                <w:lang w:val="en-US" w:eastAsia="zh-CN"/>
              </w:rPr>
              <w:t>3</w:t>
            </w:r>
            <w:r>
              <w:rPr>
                <w:rFonts w:hint="eastAsia"/>
                <w:color w:val="auto"/>
                <w:vertAlign w:val="baseline"/>
                <w:lang w:val="en-US" w:eastAsia="zh-CN"/>
              </w:rPr>
              <w:t>和0.383</w:t>
            </w:r>
            <w:r>
              <w:rPr>
                <w:rFonts w:hint="eastAsia"/>
                <w:color w:val="auto"/>
                <w:lang w:val="en-US" w:eastAsia="zh-CN"/>
              </w:rPr>
              <w:t>mg/m</w:t>
            </w:r>
            <w:r>
              <w:rPr>
                <w:rFonts w:hint="eastAsia"/>
                <w:color w:val="auto"/>
                <w:vertAlign w:val="superscript"/>
                <w:lang w:val="en-US" w:eastAsia="zh-CN"/>
              </w:rPr>
              <w:t>3</w:t>
            </w:r>
            <w:r>
              <w:rPr>
                <w:rFonts w:hint="eastAsia"/>
                <w:color w:val="auto"/>
                <w:vertAlign w:val="baseline"/>
                <w:lang w:val="en-US" w:eastAsia="zh-CN"/>
              </w:rPr>
              <w:t>，可以达到《水泥工业大气污染物排放标准》（</w:t>
            </w:r>
            <w:r>
              <w:rPr>
                <w:rFonts w:hint="eastAsia"/>
                <w:color w:val="auto"/>
                <w:lang w:val="en-US" w:eastAsia="zh-CN"/>
              </w:rPr>
              <w:t>DB35 1311-2013</w:t>
            </w:r>
            <w:r>
              <w:rPr>
                <w:rFonts w:hint="eastAsia"/>
                <w:color w:val="auto"/>
                <w:vertAlign w:val="baseline"/>
                <w:lang w:val="en-US" w:eastAsia="zh-CN"/>
              </w:rPr>
              <w:t>）表3中的无组织排放限值（</w:t>
            </w:r>
            <w:r>
              <w:rPr>
                <w:rFonts w:hint="eastAsia"/>
                <w:color w:val="auto"/>
                <w:lang w:val="en-US" w:eastAsia="zh-CN"/>
              </w:rPr>
              <w:t>0.5mg/m</w:t>
            </w:r>
            <w:r>
              <w:rPr>
                <w:rFonts w:hint="eastAsia"/>
                <w:color w:val="auto"/>
                <w:vertAlign w:val="superscript"/>
                <w:lang w:val="en-US" w:eastAsia="zh-CN"/>
              </w:rPr>
              <w:t>3</w:t>
            </w:r>
            <w:r>
              <w:rPr>
                <w:rFonts w:hint="eastAsia"/>
                <w:color w:val="auto"/>
                <w:vertAlign w:val="baseline"/>
                <w:lang w:val="en-US" w:eastAsia="zh-CN"/>
              </w:rPr>
              <w:t>）。</w:t>
            </w:r>
          </w:p>
          <w:p w14:paraId="0BE1B809">
            <w:pPr>
              <w:numPr>
                <w:ilvl w:val="0"/>
                <w:numId w:val="6"/>
              </w:numPr>
              <w:bidi w:val="0"/>
              <w:ind w:left="0" w:leftChars="0" w:firstLine="482" w:firstLineChars="200"/>
              <w:rPr>
                <w:rFonts w:hint="eastAsia"/>
                <w:b/>
                <w:bCs/>
                <w:color w:val="auto"/>
                <w:lang w:val="en-US" w:eastAsia="zh-CN"/>
              </w:rPr>
            </w:pPr>
            <w:r>
              <w:rPr>
                <w:rFonts w:hint="eastAsia"/>
                <w:b/>
                <w:bCs/>
                <w:color w:val="auto"/>
                <w:lang w:val="en-US" w:eastAsia="zh-CN"/>
              </w:rPr>
              <w:t>噪声</w:t>
            </w:r>
          </w:p>
          <w:p w14:paraId="12177269">
            <w:pPr>
              <w:bidi w:val="0"/>
              <w:rPr>
                <w:rFonts w:hint="eastAsia"/>
                <w:color w:val="auto"/>
                <w:lang w:val="en-US" w:eastAsia="zh-CN"/>
              </w:rPr>
            </w:pPr>
            <w:r>
              <w:rPr>
                <w:rFonts w:hint="eastAsia"/>
                <w:color w:val="auto"/>
                <w:lang w:val="en-US" w:eastAsia="zh-CN"/>
              </w:rPr>
              <w:t>根据《福建融瀚建材有限公司年产80万吨预拌商品混凝土项目竣工环境保护验收监测报告》，迁建前工程厂区2018年10月18-19日各生产设备正常运作，在验收监测的工况条件下，迁建前工程厂界噪声（N1-N4）监测点位，N1、N3、N4的噪声范围为56.0-59.1dB，符合《工业厂界环境噪声排放标准》（GB12348-2008）2类区标准限值的要求；N2的噪声范围为63.3-65dB，符合《工业厂界环境噪声排放标准》（GB12348-2008）4a类区标准限值的要求，具体监测结果如下表2.4-4所示。</w:t>
            </w:r>
          </w:p>
          <w:p w14:paraId="7077D914">
            <w:pPr>
              <w:pStyle w:val="33"/>
              <w:bidi w:val="0"/>
              <w:rPr>
                <w:rFonts w:hint="eastAsia"/>
                <w:color w:val="auto"/>
                <w:sz w:val="24"/>
                <w:szCs w:val="24"/>
                <w:lang w:val="en-US" w:eastAsia="zh-CN"/>
              </w:rPr>
            </w:pPr>
            <w:r>
              <w:rPr>
                <w:rFonts w:hint="eastAsia"/>
                <w:color w:val="auto"/>
                <w:sz w:val="24"/>
                <w:szCs w:val="24"/>
                <w:lang w:val="en-US" w:eastAsia="zh-CN"/>
              </w:rPr>
              <w:t>表2.4-4 迁建前工程验收期间昼间噪声监测结果（单位：L</w:t>
            </w:r>
            <w:r>
              <w:rPr>
                <w:rFonts w:hint="eastAsia"/>
                <w:color w:val="auto"/>
                <w:sz w:val="24"/>
                <w:szCs w:val="24"/>
                <w:vertAlign w:val="subscript"/>
                <w:lang w:val="en-US" w:eastAsia="zh-CN"/>
              </w:rPr>
              <w:t>Aeq</w:t>
            </w:r>
            <w:r>
              <w:rPr>
                <w:rFonts w:hint="eastAsia"/>
                <w:color w:val="auto"/>
                <w:sz w:val="24"/>
                <w:szCs w:val="24"/>
                <w:lang w:val="en-US" w:eastAsia="zh-CN"/>
              </w:rPr>
              <w:t>（dB））</w:t>
            </w:r>
          </w:p>
          <w:p w14:paraId="6BA83FA0">
            <w:pPr>
              <w:keepNext w:val="0"/>
              <w:keepLines w:val="0"/>
              <w:pageBreakBefore w:val="0"/>
              <w:widowControl w:val="0"/>
              <w:numPr>
                <w:ilvl w:val="0"/>
                <w:numId w:val="6"/>
              </w:numPr>
              <w:kinsoku/>
              <w:wordWrap/>
              <w:overflowPunct/>
              <w:topLinePunct w:val="0"/>
              <w:autoSpaceDE/>
              <w:autoSpaceDN/>
              <w:bidi w:val="0"/>
              <w:adjustRightInd/>
              <w:snapToGrid/>
              <w:spacing w:before="157" w:beforeLines="50"/>
              <w:ind w:left="0" w:leftChars="0" w:firstLine="480" w:firstLineChars="200"/>
              <w:textAlignment w:val="auto"/>
              <w:rPr>
                <w:rFonts w:hint="eastAsia"/>
                <w:color w:val="auto"/>
                <w:lang w:val="en-US" w:eastAsia="zh-CN"/>
              </w:rPr>
            </w:pPr>
            <w:r>
              <w:rPr>
                <w:rFonts w:hint="eastAsia"/>
                <w:color w:val="auto"/>
                <w:lang w:val="en-US" w:eastAsia="zh-CN"/>
              </w:rPr>
              <w:t>固体废物</w:t>
            </w:r>
          </w:p>
          <w:p w14:paraId="4664DC1A">
            <w:pPr>
              <w:bidi w:val="0"/>
              <w:rPr>
                <w:rFonts w:hint="eastAsia"/>
                <w:color w:val="auto"/>
                <w:lang w:val="en-US" w:eastAsia="zh-CN"/>
              </w:rPr>
            </w:pPr>
            <w:r>
              <w:rPr>
                <w:rFonts w:hint="eastAsia"/>
                <w:color w:val="auto"/>
                <w:lang w:val="en-US" w:eastAsia="zh-CN"/>
              </w:rPr>
              <w:t>迁建前项目生产过程中固体废物由生产固废和生活垃圾组成。</w:t>
            </w:r>
          </w:p>
          <w:p w14:paraId="3F56549E">
            <w:pPr>
              <w:bidi w:val="0"/>
              <w:rPr>
                <w:rFonts w:hint="eastAsia"/>
                <w:color w:val="auto"/>
                <w:lang w:val="en-US" w:eastAsia="zh-CN"/>
              </w:rPr>
            </w:pPr>
            <w:r>
              <w:rPr>
                <w:rFonts w:hint="eastAsia"/>
                <w:color w:val="auto"/>
                <w:lang w:val="en-US" w:eastAsia="zh-CN"/>
              </w:rPr>
              <w:t>①生产固废：</w:t>
            </w:r>
          </w:p>
          <w:p w14:paraId="619ECCDC">
            <w:pPr>
              <w:bidi w:val="0"/>
              <w:rPr>
                <w:rFonts w:hint="eastAsia"/>
                <w:color w:val="auto"/>
                <w:lang w:val="en-US" w:eastAsia="zh-CN"/>
              </w:rPr>
            </w:pPr>
            <w:r>
              <w:rPr>
                <w:rFonts w:hint="eastAsia"/>
                <w:color w:val="auto"/>
                <w:lang w:val="en-US" w:eastAsia="zh-CN"/>
              </w:rPr>
              <w:t>散落的砂浆、混凝土，根据业主提供资料，其产生量约4010t/a。返回生产系统。</w:t>
            </w:r>
          </w:p>
          <w:p w14:paraId="526E60ED">
            <w:pPr>
              <w:bidi w:val="0"/>
              <w:rPr>
                <w:rFonts w:hint="default"/>
                <w:color w:val="auto"/>
                <w:lang w:val="en-US" w:eastAsia="zh-CN"/>
              </w:rPr>
            </w:pPr>
            <w:r>
              <w:rPr>
                <w:rFonts w:hint="eastAsia"/>
                <w:color w:val="auto"/>
                <w:lang w:val="en-US" w:eastAsia="zh-CN"/>
              </w:rPr>
              <w:t>由搅拌机和混凝土运输车冲洗水夹带的沉淀物，多为残留混凝土，产生量约1000t/a。</w:t>
            </w:r>
          </w:p>
          <w:p w14:paraId="327EF4E2">
            <w:pPr>
              <w:bidi w:val="0"/>
              <w:rPr>
                <w:rFonts w:hint="default"/>
                <w:color w:val="auto"/>
                <w:lang w:val="en-US" w:eastAsia="zh-CN"/>
              </w:rPr>
            </w:pPr>
            <w:r>
              <w:rPr>
                <w:rFonts w:hint="eastAsia"/>
                <w:color w:val="auto"/>
                <w:lang w:val="en-US" w:eastAsia="zh-CN"/>
              </w:rPr>
              <w:t>迁建前项目年产生粉尘约862.4t，除尘器收集的效率为99.6%，年收集的粉尘量约为859t。</w:t>
            </w:r>
          </w:p>
          <w:p w14:paraId="0AACC175">
            <w:pPr>
              <w:bidi w:val="0"/>
              <w:rPr>
                <w:rFonts w:hint="default"/>
                <w:color w:val="auto"/>
                <w:lang w:val="en-US" w:eastAsia="zh-CN"/>
              </w:rPr>
            </w:pPr>
            <w:r>
              <w:rPr>
                <w:rFonts w:hint="eastAsia"/>
                <w:color w:val="auto"/>
                <w:lang w:val="en-US" w:eastAsia="zh-CN"/>
              </w:rPr>
              <w:t>此外少量的包装袋约1t/a。</w:t>
            </w:r>
          </w:p>
          <w:p w14:paraId="3709A6E0">
            <w:pPr>
              <w:bidi w:val="0"/>
              <w:rPr>
                <w:rFonts w:hint="eastAsia"/>
                <w:color w:val="auto"/>
                <w:lang w:val="en-US" w:eastAsia="zh-CN"/>
              </w:rPr>
            </w:pPr>
            <w:r>
              <w:rPr>
                <w:rFonts w:hint="eastAsia"/>
                <w:color w:val="auto"/>
                <w:lang w:val="en-US" w:eastAsia="zh-CN"/>
              </w:rPr>
              <w:t>②生活垃圾：迁建前项目共有职工58人（不住厂），垃圾排放系数取0.5kg/人·天，则每年排放生活垃圾约10.2t。</w:t>
            </w:r>
          </w:p>
          <w:p w14:paraId="7A95D973">
            <w:pPr>
              <w:bidi w:val="0"/>
              <w:rPr>
                <w:rFonts w:hint="eastAsia"/>
                <w:color w:val="auto"/>
                <w:lang w:val="en-US" w:eastAsia="zh-CN"/>
              </w:rPr>
            </w:pPr>
            <w:r>
              <w:rPr>
                <w:rFonts w:hint="eastAsia"/>
                <w:color w:val="auto"/>
                <w:lang w:val="en-US" w:eastAsia="zh-CN"/>
              </w:rPr>
              <w:t>迁建前项目的固体废物产生及处置情况见下表2.4-5。</w:t>
            </w:r>
          </w:p>
          <w:p w14:paraId="5D94D095">
            <w:pPr>
              <w:pStyle w:val="33"/>
              <w:bidi w:val="0"/>
              <w:rPr>
                <w:rFonts w:hint="eastAsia"/>
                <w:color w:val="auto"/>
                <w:sz w:val="24"/>
                <w:szCs w:val="24"/>
                <w:lang w:val="en-US" w:eastAsia="zh-CN"/>
              </w:rPr>
            </w:pPr>
            <w:r>
              <w:rPr>
                <w:rFonts w:hint="eastAsia"/>
                <w:color w:val="auto"/>
                <w:sz w:val="24"/>
                <w:szCs w:val="24"/>
                <w:lang w:val="en-US" w:eastAsia="zh-CN"/>
              </w:rPr>
              <w:t>表2.4-5 迁建前项目固体废物产生及处置情况表</w:t>
            </w:r>
          </w:p>
          <w:p w14:paraId="634114BC">
            <w:pPr>
              <w:pStyle w:val="4"/>
              <w:bidi w:val="0"/>
              <w:rPr>
                <w:rFonts w:hint="eastAsia"/>
                <w:color w:val="auto"/>
                <w:lang w:val="en-US" w:eastAsia="zh-CN"/>
              </w:rPr>
            </w:pPr>
            <w:r>
              <w:rPr>
                <w:rFonts w:hint="eastAsia"/>
                <w:color w:val="auto"/>
                <w:lang w:val="en-US" w:eastAsia="zh-CN"/>
              </w:rPr>
              <w:t>2.4.5</w:t>
            </w:r>
            <w:r>
              <w:rPr>
                <w:color w:val="auto"/>
              </w:rPr>
              <w:t>迁建前工程主要环保问题及</w:t>
            </w:r>
            <w:r>
              <w:rPr>
                <w:rFonts w:hint="eastAsia"/>
                <w:color w:val="auto"/>
              </w:rPr>
              <w:t>整改要求</w:t>
            </w:r>
          </w:p>
          <w:p w14:paraId="25BBD9CF">
            <w:pPr>
              <w:bidi w:val="0"/>
              <w:rPr>
                <w:rFonts w:hint="eastAsia" w:cs="Times New Roman"/>
                <w:color w:val="auto"/>
                <w:sz w:val="24"/>
                <w:szCs w:val="24"/>
                <w:highlight w:val="none"/>
                <w:lang w:val="en-US" w:eastAsia="zh-CN"/>
              </w:rPr>
            </w:pPr>
            <w:r>
              <w:rPr>
                <w:color w:val="auto"/>
                <w:sz w:val="24"/>
                <w:highlight w:val="none"/>
              </w:rPr>
              <w:t>根据</w:t>
            </w:r>
            <w:r>
              <w:rPr>
                <w:rFonts w:hint="eastAsia"/>
                <w:color w:val="auto"/>
                <w:highlight w:val="none"/>
                <w:lang w:val="en-US" w:eastAsia="zh-CN"/>
              </w:rPr>
              <w:t>《</w:t>
            </w:r>
            <w:r>
              <w:rPr>
                <w:rFonts w:hint="eastAsia"/>
                <w:color w:val="auto"/>
                <w:lang w:val="en-US" w:eastAsia="zh-CN"/>
              </w:rPr>
              <w:t>福建融瀚建材有限公司年产80万吨预拌商品混凝土项目竣工环境保护验收监测报告》</w:t>
            </w:r>
            <w:r>
              <w:rPr>
                <w:rFonts w:hint="eastAsia"/>
                <w:bCs/>
                <w:snapToGrid w:val="0"/>
                <w:color w:val="auto"/>
                <w:sz w:val="24"/>
                <w:highlight w:val="none"/>
              </w:rPr>
              <w:t>结论</w:t>
            </w:r>
            <w:r>
              <w:rPr>
                <w:rFonts w:hint="eastAsia"/>
                <w:color w:val="auto"/>
                <w:sz w:val="24"/>
                <w:highlight w:val="none"/>
                <w:lang w:eastAsia="zh-CN"/>
              </w:rPr>
              <w:t>，</w:t>
            </w:r>
            <w:r>
              <w:rPr>
                <w:rFonts w:hint="eastAsia" w:cs="Times New Roman"/>
                <w:color w:val="auto"/>
                <w:sz w:val="24"/>
                <w:szCs w:val="24"/>
                <w:highlight w:val="none"/>
                <w:lang w:val="en-US" w:eastAsia="zh-CN"/>
              </w:rPr>
              <w:t>迁建前项目当时已按环境影响报告表及福清市环保局批复要求建成环境保护设施，环境保护设施能与主体工程同时投产。该项目的建设性质、规模、地点、采用的生产工艺或者防治污染、防止生态破坏的措施未发生重大变动，具备竣工环保验收条件。</w:t>
            </w:r>
          </w:p>
          <w:p w14:paraId="27721515">
            <w:pPr>
              <w:bidi w:val="0"/>
              <w:rPr>
                <w:rFonts w:hint="eastAsia"/>
                <w:color w:val="auto"/>
                <w:highlight w:val="none"/>
              </w:rPr>
            </w:pPr>
            <w:r>
              <w:rPr>
                <w:rFonts w:hint="eastAsia"/>
                <w:color w:val="auto"/>
                <w:sz w:val="24"/>
                <w:highlight w:val="none"/>
              </w:rPr>
              <w:t>另经现场踏</w:t>
            </w:r>
            <w:r>
              <w:rPr>
                <w:rFonts w:hint="eastAsia"/>
                <w:color w:val="auto"/>
                <w:sz w:val="24"/>
                <w:highlight w:val="none"/>
                <w:lang w:val="en-US" w:eastAsia="zh-CN"/>
              </w:rPr>
              <w:t>看</w:t>
            </w:r>
            <w:r>
              <w:rPr>
                <w:rFonts w:hint="eastAsia"/>
                <w:color w:val="auto"/>
                <w:sz w:val="24"/>
                <w:highlight w:val="none"/>
              </w:rPr>
              <w:t>，发现</w:t>
            </w:r>
            <w:r>
              <w:rPr>
                <w:color w:val="auto"/>
                <w:sz w:val="24"/>
                <w:highlight w:val="none"/>
              </w:rPr>
              <w:t>迁建前工程</w:t>
            </w:r>
            <w:r>
              <w:rPr>
                <w:rFonts w:hint="eastAsia"/>
                <w:color w:val="auto"/>
                <w:sz w:val="24"/>
                <w:highlight w:val="none"/>
              </w:rPr>
              <w:t>存在</w:t>
            </w:r>
            <w:r>
              <w:rPr>
                <w:rFonts w:hint="eastAsia"/>
                <w:color w:val="auto"/>
                <w:sz w:val="24"/>
                <w:highlight w:val="none"/>
                <w:lang w:val="en-US" w:eastAsia="zh-CN"/>
              </w:rPr>
              <w:t>部分环保问题，如厂区地面日常未及时清洗，导致现场地面较为泥泞脏乱；停车场区域未硬化导致地面粉尘堆积较多；少部分混凝土实验产生的水泥试块未按规定存放于一般固废暂存间内，而是堆放于厂区角落</w:t>
            </w:r>
            <w:r>
              <w:rPr>
                <w:rFonts w:hint="eastAsia"/>
                <w:color w:val="auto"/>
                <w:highlight w:val="none"/>
              </w:rPr>
              <w:t>。</w:t>
            </w:r>
          </w:p>
          <w:p w14:paraId="0550A348">
            <w:pPr>
              <w:pStyle w:val="30"/>
              <w:rPr>
                <w:rFonts w:hint="eastAsia"/>
                <w:color w:val="auto"/>
                <w:highlight w:val="none"/>
                <w:lang w:val="en-US" w:eastAsia="zh-CN"/>
              </w:rPr>
            </w:pPr>
            <w:r>
              <w:rPr>
                <w:rFonts w:hint="eastAsia"/>
                <w:color w:val="auto"/>
                <w:highlight w:val="none"/>
                <w:lang w:val="en-US" w:eastAsia="zh-CN"/>
              </w:rPr>
              <w:t>针对上述现场踏勘发现的问题，建议目前仍在生产的原工程做好以下几点：</w:t>
            </w:r>
          </w:p>
          <w:p w14:paraId="4EB15059">
            <w:pPr>
              <w:numPr>
                <w:ilvl w:val="0"/>
                <w:numId w:val="7"/>
              </w:numPr>
              <w:bidi w:val="0"/>
              <w:rPr>
                <w:rFonts w:hint="eastAsia"/>
                <w:color w:val="auto"/>
                <w:lang w:val="en-US" w:eastAsia="zh-CN"/>
              </w:rPr>
            </w:pPr>
            <w:r>
              <w:rPr>
                <w:rFonts w:hint="eastAsia"/>
                <w:color w:val="auto"/>
                <w:lang w:val="en-US" w:eastAsia="zh-CN"/>
              </w:rPr>
              <w:t>对原工程现状地面进行清理，并做好定期清扫和冲洗工作；</w:t>
            </w:r>
          </w:p>
          <w:p w14:paraId="0F19B436">
            <w:pPr>
              <w:numPr>
                <w:ilvl w:val="0"/>
                <w:numId w:val="7"/>
              </w:numPr>
              <w:bidi w:val="0"/>
              <w:rPr>
                <w:rFonts w:hint="default"/>
                <w:color w:val="auto"/>
                <w:lang w:val="en-US" w:eastAsia="zh-CN"/>
              </w:rPr>
            </w:pPr>
            <w:r>
              <w:rPr>
                <w:rFonts w:hint="eastAsia"/>
                <w:color w:val="auto"/>
                <w:lang w:val="en-US" w:eastAsia="zh-CN"/>
              </w:rPr>
              <w:t>厂区内停车场区域做好日常的洒水降尘工作；</w:t>
            </w:r>
          </w:p>
          <w:p w14:paraId="6FA8776A">
            <w:pPr>
              <w:bidi w:val="0"/>
              <w:rPr>
                <w:rFonts w:hint="default"/>
                <w:color w:val="auto"/>
                <w:lang w:val="en-US" w:eastAsia="zh-CN"/>
              </w:rPr>
            </w:pPr>
            <w:r>
              <w:rPr>
                <w:rFonts w:hint="eastAsia"/>
                <w:color w:val="auto"/>
                <w:lang w:val="en-US" w:eastAsia="zh-CN"/>
              </w:rPr>
              <w:t>3、规范企业日常的危固废暂存制度，将日常生产产生的危固废及时入库。</w:t>
            </w:r>
          </w:p>
          <w:p w14:paraId="7E4E6206">
            <w:pPr>
              <w:pStyle w:val="4"/>
              <w:bidi w:val="0"/>
              <w:rPr>
                <w:rFonts w:hint="eastAsia"/>
                <w:color w:val="auto"/>
                <w:lang w:val="en-US" w:eastAsia="zh-CN"/>
              </w:rPr>
            </w:pPr>
            <w:bookmarkStart w:id="12" w:name="_Toc13747"/>
            <w:bookmarkStart w:id="13" w:name="_Toc103869765"/>
            <w:bookmarkStart w:id="14" w:name="_Toc103525220"/>
            <w:r>
              <w:rPr>
                <w:rFonts w:hint="eastAsia"/>
                <w:color w:val="auto"/>
                <w:lang w:val="en-US" w:eastAsia="zh-CN"/>
              </w:rPr>
              <w:t>2.4.6</w:t>
            </w:r>
            <w:bookmarkEnd w:id="12"/>
            <w:bookmarkEnd w:id="13"/>
            <w:bookmarkEnd w:id="14"/>
            <w:r>
              <w:rPr>
                <w:rFonts w:hint="eastAsia"/>
                <w:color w:val="auto"/>
              </w:rPr>
              <w:t>迁建前工程退役期环保要求</w:t>
            </w:r>
          </w:p>
          <w:p w14:paraId="46C80097">
            <w:pPr>
              <w:bidi w:val="0"/>
              <w:rPr>
                <w:b/>
                <w:bCs/>
                <w:color w:val="auto"/>
              </w:rPr>
            </w:pPr>
            <w:r>
              <w:rPr>
                <w:rFonts w:hint="eastAsia"/>
                <w:b/>
                <w:bCs/>
                <w:color w:val="auto"/>
                <w:lang w:val="en-US" w:eastAsia="zh-CN"/>
              </w:rPr>
              <w:t>一、原材料处置</w:t>
            </w:r>
          </w:p>
          <w:p w14:paraId="77FDC5AD">
            <w:pPr>
              <w:bidi w:val="0"/>
              <w:rPr>
                <w:color w:val="auto"/>
              </w:rPr>
            </w:pPr>
            <w:r>
              <w:rPr>
                <w:rFonts w:hint="eastAsia"/>
                <w:color w:val="auto"/>
                <w:lang w:val="en-US" w:eastAsia="zh-CN"/>
              </w:rPr>
              <w:t>项目所使用的原料与本项目所使用部分原材料一致，本项目建成后，迁建前工程剩余原材料转运至本项目用于生产，对环境无影响。</w:t>
            </w:r>
          </w:p>
          <w:p w14:paraId="5401699E">
            <w:pPr>
              <w:bidi w:val="0"/>
              <w:rPr>
                <w:b/>
                <w:bCs/>
                <w:color w:val="auto"/>
              </w:rPr>
            </w:pPr>
            <w:r>
              <w:rPr>
                <w:rFonts w:hint="eastAsia"/>
                <w:b/>
                <w:bCs/>
                <w:color w:val="auto"/>
                <w:lang w:val="en-US" w:eastAsia="zh-CN"/>
              </w:rPr>
              <w:t>二、设备处置</w:t>
            </w:r>
          </w:p>
          <w:p w14:paraId="4F536BF7">
            <w:pPr>
              <w:bidi w:val="0"/>
              <w:rPr>
                <w:color w:val="auto"/>
              </w:rPr>
            </w:pPr>
            <w:r>
              <w:rPr>
                <w:rFonts w:hint="eastAsia"/>
                <w:color w:val="auto"/>
                <w:lang w:val="en-US" w:eastAsia="zh-CN"/>
              </w:rPr>
              <w:t>项目退役后，其设备处置应遵循以下几方面原则：</w:t>
            </w:r>
          </w:p>
          <w:p w14:paraId="23949309">
            <w:pPr>
              <w:bidi w:val="0"/>
              <w:rPr>
                <w:color w:val="auto"/>
              </w:rPr>
            </w:pPr>
            <w:r>
              <w:rPr>
                <w:rFonts w:hint="default"/>
                <w:color w:val="auto"/>
                <w:lang w:val="en-US" w:eastAsia="zh-CN"/>
              </w:rPr>
              <w:t>1)</w:t>
            </w:r>
            <w:r>
              <w:rPr>
                <w:rFonts w:hint="eastAsia"/>
                <w:color w:val="auto"/>
                <w:lang w:val="en-US" w:eastAsia="zh-CN"/>
              </w:rPr>
              <w:t>在退役时，尚不属于行业淘汰范围的且尚符合当时国家产业政策和地方政策要求的设备，可出售给其他相关企业。</w:t>
            </w:r>
          </w:p>
          <w:p w14:paraId="732FFF52">
            <w:pPr>
              <w:bidi w:val="0"/>
              <w:rPr>
                <w:color w:val="auto"/>
              </w:rPr>
            </w:pPr>
            <w:r>
              <w:rPr>
                <w:rFonts w:hint="default"/>
                <w:color w:val="auto"/>
                <w:lang w:val="en-US" w:eastAsia="zh-CN"/>
              </w:rPr>
              <w:t>2)</w:t>
            </w:r>
            <w:r>
              <w:rPr>
                <w:rFonts w:hint="eastAsia"/>
                <w:color w:val="auto"/>
                <w:lang w:val="en-US" w:eastAsia="zh-CN"/>
              </w:rPr>
              <w:t>在退役时，属于行业淘汰范围、不符合当时国家产业政策或地方政策要求的，应予以报废处置，设备经清洗后可按废品出售给物质回收单位。</w:t>
            </w:r>
          </w:p>
          <w:p w14:paraId="6654E771">
            <w:pPr>
              <w:bidi w:val="0"/>
              <w:rPr>
                <w:rFonts w:hint="eastAsia"/>
                <w:color w:val="auto"/>
                <w:lang w:val="en-US" w:eastAsia="zh-CN"/>
              </w:rPr>
            </w:pPr>
            <w:r>
              <w:rPr>
                <w:rFonts w:hint="default"/>
                <w:color w:val="auto"/>
                <w:lang w:val="en-US" w:eastAsia="zh-CN"/>
              </w:rPr>
              <w:t>3)</w:t>
            </w:r>
            <w:r>
              <w:rPr>
                <w:rFonts w:hint="eastAsia"/>
                <w:color w:val="auto"/>
                <w:lang w:val="en-US" w:eastAsia="zh-CN"/>
              </w:rPr>
              <w:t>本项目所使用的设备在退役后应根据上述两个原则将生产设备售给相关的企业或予以报废、出售给物质回收单位。</w:t>
            </w:r>
          </w:p>
          <w:p w14:paraId="3346C72E">
            <w:pPr>
              <w:bidi w:val="0"/>
              <w:rPr>
                <w:rFonts w:hint="default"/>
                <w:color w:val="auto"/>
                <w:lang w:val="en-US" w:eastAsia="zh-CN"/>
              </w:rPr>
            </w:pPr>
            <w:r>
              <w:rPr>
                <w:rFonts w:hint="eastAsia"/>
                <w:color w:val="auto"/>
                <w:lang w:val="en-US" w:eastAsia="zh-CN"/>
              </w:rPr>
              <w:t>本项目所有设备均为全新购买安装，迁建前工程所有设备均依照上述三类原则进行处置，不用于本项目生产。</w:t>
            </w:r>
          </w:p>
          <w:p w14:paraId="176E9F40">
            <w:pPr>
              <w:bidi w:val="0"/>
              <w:rPr>
                <w:b/>
                <w:bCs/>
                <w:color w:val="auto"/>
              </w:rPr>
            </w:pPr>
            <w:r>
              <w:rPr>
                <w:rFonts w:hint="eastAsia"/>
                <w:b/>
                <w:bCs/>
                <w:color w:val="auto"/>
                <w:lang w:val="en-US" w:eastAsia="zh-CN"/>
              </w:rPr>
              <w:t>三、厂房处置</w:t>
            </w:r>
          </w:p>
          <w:p w14:paraId="0FB43DC7">
            <w:pPr>
              <w:bidi w:val="0"/>
              <w:rPr>
                <w:rFonts w:hint="default"/>
                <w:color w:val="auto"/>
                <w:lang w:val="en-US" w:eastAsia="zh-CN"/>
              </w:rPr>
            </w:pPr>
            <w:r>
              <w:rPr>
                <w:rFonts w:hint="eastAsia"/>
                <w:color w:val="auto"/>
                <w:lang w:val="en-US" w:eastAsia="zh-CN"/>
              </w:rPr>
              <w:t>项目退役后，厂房可出租或转让其他单位转换为其它工业用地。</w:t>
            </w:r>
          </w:p>
        </w:tc>
      </w:tr>
    </w:tbl>
    <w:p w14:paraId="6488DA26">
      <w:pPr>
        <w:rPr>
          <w:rFonts w:hint="default" w:ascii="Times New Roman" w:hAnsi="Times New Roman" w:eastAsia="宋体"/>
          <w:color w:val="auto"/>
        </w:rPr>
        <w:sectPr>
          <w:pgSz w:w="11906" w:h="16838"/>
          <w:pgMar w:top="1417" w:right="1417" w:bottom="1417" w:left="1417" w:header="851" w:footer="1077" w:gutter="0"/>
          <w:pgBorders>
            <w:top w:val="none" w:sz="0" w:space="0"/>
            <w:left w:val="none" w:sz="0" w:space="0"/>
            <w:bottom w:val="none" w:sz="0" w:space="0"/>
            <w:right w:val="none" w:sz="0" w:space="0"/>
          </w:pgBorders>
          <w:pgNumType w:fmt="numberInDash"/>
          <w:cols w:space="720" w:num="1"/>
          <w:docGrid w:linePitch="312" w:charSpace="0"/>
        </w:sectPr>
      </w:pPr>
    </w:p>
    <w:p w14:paraId="0E067BBF">
      <w:pPr>
        <w:pStyle w:val="2"/>
        <w:bidi w:val="0"/>
        <w:jc w:val="center"/>
        <w:rPr>
          <w:rFonts w:hint="default"/>
          <w:color w:val="auto"/>
        </w:rPr>
      </w:pPr>
      <w:bookmarkStart w:id="15" w:name="_Toc21309"/>
      <w:bookmarkStart w:id="16" w:name="_Toc3559"/>
      <w:r>
        <w:rPr>
          <w:rFonts w:hint="default"/>
          <w:color w:val="auto"/>
        </w:rPr>
        <w:t>三、区域环境质量现状、环境保护目标及评价标准</w:t>
      </w:r>
      <w:bookmarkEnd w:id="15"/>
      <w:bookmarkEnd w:id="16"/>
    </w:p>
    <w:tbl>
      <w:tblPr>
        <w:tblStyle w:val="2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5"/>
        <w:gridCol w:w="8834"/>
      </w:tblGrid>
      <w:tr w14:paraId="26D233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0" w:type="dxa"/>
            <w:noWrap w:val="0"/>
            <w:vAlign w:val="center"/>
          </w:tcPr>
          <w:p w14:paraId="06DA363A">
            <w:pPr>
              <w:pStyle w:val="28"/>
              <w:bidi w:val="0"/>
              <w:rPr>
                <w:rFonts w:hint="default"/>
                <w:color w:val="auto"/>
              </w:rPr>
            </w:pPr>
            <w:r>
              <w:rPr>
                <w:rFonts w:hint="default"/>
                <w:color w:val="auto"/>
              </w:rPr>
              <w:t>区域</w:t>
            </w:r>
          </w:p>
          <w:p w14:paraId="085FC788">
            <w:pPr>
              <w:pStyle w:val="28"/>
              <w:bidi w:val="0"/>
              <w:rPr>
                <w:rFonts w:hint="default"/>
                <w:color w:val="auto"/>
              </w:rPr>
            </w:pPr>
            <w:r>
              <w:rPr>
                <w:rFonts w:hint="default"/>
                <w:color w:val="auto"/>
              </w:rPr>
              <w:t>环境</w:t>
            </w:r>
          </w:p>
          <w:p w14:paraId="3A15DAF3">
            <w:pPr>
              <w:pStyle w:val="28"/>
              <w:bidi w:val="0"/>
              <w:rPr>
                <w:rFonts w:hint="default"/>
                <w:color w:val="auto"/>
              </w:rPr>
            </w:pPr>
            <w:r>
              <w:rPr>
                <w:rFonts w:hint="default"/>
                <w:color w:val="auto"/>
              </w:rPr>
              <w:t>质量</w:t>
            </w:r>
          </w:p>
          <w:p w14:paraId="5D55BE3A">
            <w:pPr>
              <w:pStyle w:val="28"/>
              <w:bidi w:val="0"/>
              <w:rPr>
                <w:rFonts w:hint="default" w:ascii="Times New Roman" w:hAnsi="Times New Roman" w:eastAsia="宋体" w:cs="Times New Roman"/>
                <w:color w:val="auto"/>
                <w:kern w:val="0"/>
                <w:szCs w:val="21"/>
              </w:rPr>
            </w:pPr>
            <w:r>
              <w:rPr>
                <w:rFonts w:hint="default"/>
                <w:color w:val="auto"/>
              </w:rPr>
              <w:t>现状</w:t>
            </w:r>
          </w:p>
        </w:tc>
        <w:tc>
          <w:tcPr>
            <w:tcW w:w="8310" w:type="dxa"/>
            <w:noWrap w:val="0"/>
            <w:vAlign w:val="center"/>
          </w:tcPr>
          <w:p w14:paraId="26C2A01E">
            <w:pPr>
              <w:pStyle w:val="3"/>
              <w:bidi w:val="0"/>
              <w:rPr>
                <w:rFonts w:hint="default"/>
                <w:color w:val="auto"/>
              </w:rPr>
            </w:pPr>
            <w:r>
              <w:rPr>
                <w:rFonts w:hint="default"/>
                <w:color w:val="auto"/>
              </w:rPr>
              <w:t>3.</w:t>
            </w:r>
            <w:r>
              <w:rPr>
                <w:rFonts w:hint="default"/>
                <w:color w:val="auto"/>
                <w:lang w:val="en-US" w:eastAsia="zh-CN"/>
              </w:rPr>
              <w:t>1</w:t>
            </w:r>
            <w:r>
              <w:rPr>
                <w:rFonts w:hint="default"/>
                <w:color w:val="auto"/>
              </w:rPr>
              <w:t>大气环境质量现状</w:t>
            </w:r>
          </w:p>
          <w:p w14:paraId="6EB6F96E">
            <w:pPr>
              <w:pStyle w:val="4"/>
              <w:bidi w:val="0"/>
              <w:rPr>
                <w:rFonts w:hint="default"/>
                <w:color w:val="auto"/>
              </w:rPr>
            </w:pPr>
            <w:r>
              <w:rPr>
                <w:rFonts w:hint="default"/>
                <w:color w:val="auto"/>
              </w:rPr>
              <w:t>3.1.1环境空气质量功能区划</w:t>
            </w:r>
          </w:p>
          <w:p w14:paraId="424C00D0">
            <w:pPr>
              <w:bidi w:val="0"/>
              <w:rPr>
                <w:rFonts w:hint="default"/>
                <w:color w:val="auto"/>
              </w:rPr>
            </w:pPr>
            <w:bookmarkStart w:id="17" w:name="_Toc339964236"/>
            <w:bookmarkStart w:id="18" w:name="_Toc338850492"/>
            <w:r>
              <w:rPr>
                <w:rFonts w:hint="default"/>
                <w:color w:val="auto"/>
              </w:rPr>
              <w:t>根据福州市人民政府榕政综</w:t>
            </w:r>
            <w:r>
              <w:rPr>
                <w:rFonts w:hint="eastAsia"/>
                <w:color w:val="auto"/>
                <w:lang w:eastAsia="zh-CN"/>
              </w:rPr>
              <w:t>〔2014〕30号</w:t>
            </w:r>
            <w:r>
              <w:rPr>
                <w:rFonts w:hint="default"/>
                <w:color w:val="auto"/>
              </w:rPr>
              <w:t>文件正式批准实施《福州市环境空气质量功能区划(报批稿)》的规定，</w:t>
            </w:r>
            <w:r>
              <w:rPr>
                <w:rFonts w:hint="default"/>
                <w:color w:val="auto"/>
                <w:lang w:eastAsia="zh-CN"/>
              </w:rPr>
              <w:t>项目所在区域</w:t>
            </w:r>
            <w:r>
              <w:rPr>
                <w:rFonts w:hint="default"/>
                <w:color w:val="auto"/>
              </w:rPr>
              <w:t>环境空气功能规划为二类区</w:t>
            </w:r>
            <w:r>
              <w:rPr>
                <w:rFonts w:hint="default"/>
                <w:color w:val="auto"/>
                <w:lang w:eastAsia="zh-CN"/>
              </w:rPr>
              <w:t>，</w:t>
            </w:r>
            <w:r>
              <w:rPr>
                <w:rFonts w:hint="default"/>
                <w:color w:val="auto"/>
              </w:rPr>
              <w:t>环境空气质量执行</w:t>
            </w:r>
            <w:r>
              <w:rPr>
                <w:rFonts w:hint="default"/>
                <w:color w:val="auto"/>
                <w:lang w:eastAsia="zh-CN"/>
              </w:rPr>
              <w:t>《环境空气质量标准》(GB3095-2012)及其修改单</w:t>
            </w:r>
            <w:r>
              <w:rPr>
                <w:rFonts w:hint="default"/>
                <w:color w:val="auto"/>
              </w:rPr>
              <w:t>中的二级标准</w:t>
            </w:r>
            <w:r>
              <w:rPr>
                <w:rFonts w:hint="eastAsia"/>
                <w:color w:val="auto"/>
                <w:lang w:val="en-US" w:eastAsia="zh-CN"/>
              </w:rPr>
              <w:t>，</w:t>
            </w:r>
            <w:r>
              <w:rPr>
                <w:rFonts w:hint="default"/>
                <w:color w:val="auto"/>
              </w:rPr>
              <w:t>具体详见表</w:t>
            </w:r>
            <w:r>
              <w:rPr>
                <w:rFonts w:hint="default"/>
                <w:color w:val="auto"/>
                <w:lang w:eastAsia="zh-CN"/>
              </w:rPr>
              <w:t>3.</w:t>
            </w:r>
            <w:r>
              <w:rPr>
                <w:rFonts w:hint="default"/>
                <w:color w:val="auto"/>
                <w:lang w:val="en-US" w:eastAsia="zh-CN"/>
              </w:rPr>
              <w:t>1</w:t>
            </w:r>
            <w:r>
              <w:rPr>
                <w:rFonts w:hint="default"/>
                <w:color w:val="auto"/>
              </w:rPr>
              <w:t>-</w:t>
            </w:r>
            <w:r>
              <w:rPr>
                <w:rFonts w:hint="default"/>
                <w:color w:val="auto"/>
                <w:lang w:val="en-US" w:eastAsia="zh-CN"/>
              </w:rPr>
              <w:t>1</w:t>
            </w:r>
            <w:r>
              <w:rPr>
                <w:rFonts w:hint="default"/>
                <w:color w:val="auto"/>
              </w:rPr>
              <w:t>。</w:t>
            </w:r>
          </w:p>
          <w:bookmarkEnd w:id="17"/>
          <w:bookmarkEnd w:id="18"/>
          <w:p w14:paraId="63E4B910">
            <w:pPr>
              <w:pStyle w:val="33"/>
              <w:bidi w:val="0"/>
              <w:rPr>
                <w:rFonts w:hint="default"/>
                <w:color w:val="auto"/>
              </w:rPr>
            </w:pPr>
            <w:r>
              <w:rPr>
                <w:rFonts w:hint="default"/>
                <w:color w:val="auto"/>
              </w:rPr>
              <w:t>表</w:t>
            </w:r>
            <w:r>
              <w:rPr>
                <w:rFonts w:hint="default"/>
                <w:color w:val="auto"/>
                <w:lang w:eastAsia="zh-CN"/>
              </w:rPr>
              <w:t>3.</w:t>
            </w:r>
            <w:r>
              <w:rPr>
                <w:rFonts w:hint="default"/>
                <w:color w:val="auto"/>
                <w:lang w:val="en-US" w:eastAsia="zh-CN"/>
              </w:rPr>
              <w:t>1</w:t>
            </w:r>
            <w:r>
              <w:rPr>
                <w:rFonts w:hint="default"/>
                <w:color w:val="auto"/>
              </w:rPr>
              <w:t>-</w:t>
            </w:r>
            <w:r>
              <w:rPr>
                <w:rFonts w:hint="default"/>
                <w:color w:val="auto"/>
                <w:lang w:val="en-US" w:eastAsia="zh-CN"/>
              </w:rPr>
              <w:t>1</w:t>
            </w:r>
            <w:r>
              <w:rPr>
                <w:rFonts w:hint="default"/>
                <w:color w:val="auto"/>
              </w:rPr>
              <w:t xml:space="preserve">  本项目环境空气</w:t>
            </w:r>
            <w:r>
              <w:rPr>
                <w:rFonts w:hint="eastAsia"/>
                <w:color w:val="auto"/>
                <w:lang w:val="en-US" w:eastAsia="zh-CN"/>
              </w:rPr>
              <w:t>质量</w:t>
            </w:r>
            <w:r>
              <w:rPr>
                <w:rFonts w:hint="default"/>
                <w:color w:val="auto"/>
              </w:rPr>
              <w:t>标准一览表</w:t>
            </w:r>
          </w:p>
          <w:tbl>
            <w:tblPr>
              <w:tblStyle w:val="20"/>
              <w:tblW w:w="5000"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108" w:type="dxa"/>
                <w:bottom w:w="0" w:type="dxa"/>
                <w:right w:w="108" w:type="dxa"/>
              </w:tblCellMar>
            </w:tblPr>
            <w:tblGrid>
              <w:gridCol w:w="1604"/>
              <w:gridCol w:w="2181"/>
              <w:gridCol w:w="1679"/>
              <w:gridCol w:w="3154"/>
            </w:tblGrid>
            <w:tr w14:paraId="3D85B9E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0" w:hRule="atLeast"/>
                <w:jc w:val="center"/>
              </w:trPr>
              <w:tc>
                <w:tcPr>
                  <w:tcW w:w="930" w:type="pct"/>
                  <w:noWrap w:val="0"/>
                  <w:vAlign w:val="center"/>
                </w:tcPr>
                <w:p w14:paraId="78BF3CCB">
                  <w:pPr>
                    <w:pStyle w:val="28"/>
                    <w:bidi w:val="0"/>
                    <w:rPr>
                      <w:rFonts w:hint="default"/>
                      <w:color w:val="auto"/>
                    </w:rPr>
                  </w:pPr>
                  <w:r>
                    <w:rPr>
                      <w:rFonts w:hint="default"/>
                      <w:color w:val="auto"/>
                    </w:rPr>
                    <w:t>污染物名称</w:t>
                  </w:r>
                </w:p>
              </w:tc>
              <w:tc>
                <w:tcPr>
                  <w:tcW w:w="1265" w:type="pct"/>
                  <w:noWrap w:val="0"/>
                  <w:vAlign w:val="center"/>
                </w:tcPr>
                <w:p w14:paraId="6074E750">
                  <w:pPr>
                    <w:pStyle w:val="28"/>
                    <w:bidi w:val="0"/>
                    <w:rPr>
                      <w:rFonts w:hint="default"/>
                      <w:color w:val="auto"/>
                    </w:rPr>
                  </w:pPr>
                  <w:r>
                    <w:rPr>
                      <w:rFonts w:hint="default"/>
                      <w:color w:val="auto"/>
                    </w:rPr>
                    <w:t>取值时间</w:t>
                  </w:r>
                </w:p>
              </w:tc>
              <w:tc>
                <w:tcPr>
                  <w:tcW w:w="974" w:type="pct"/>
                  <w:noWrap w:val="0"/>
                  <w:vAlign w:val="center"/>
                </w:tcPr>
                <w:p w14:paraId="276F4BFD">
                  <w:pPr>
                    <w:pStyle w:val="28"/>
                    <w:bidi w:val="0"/>
                    <w:rPr>
                      <w:rFonts w:hint="default"/>
                      <w:color w:val="auto"/>
                    </w:rPr>
                  </w:pPr>
                  <w:r>
                    <w:rPr>
                      <w:rFonts w:hint="default"/>
                      <w:color w:val="auto"/>
                    </w:rPr>
                    <w:t>浓度限值</w:t>
                  </w:r>
                </w:p>
              </w:tc>
              <w:tc>
                <w:tcPr>
                  <w:tcW w:w="1829" w:type="pct"/>
                  <w:noWrap w:val="0"/>
                  <w:vAlign w:val="center"/>
                </w:tcPr>
                <w:p w14:paraId="1DFDB282">
                  <w:pPr>
                    <w:pStyle w:val="28"/>
                    <w:bidi w:val="0"/>
                    <w:rPr>
                      <w:rFonts w:hint="default"/>
                      <w:color w:val="auto"/>
                    </w:rPr>
                  </w:pPr>
                  <w:r>
                    <w:rPr>
                      <w:rFonts w:hint="default"/>
                      <w:color w:val="auto"/>
                    </w:rPr>
                    <w:t>标准来源</w:t>
                  </w:r>
                </w:p>
              </w:tc>
            </w:tr>
            <w:tr w14:paraId="6A08AF4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0" w:hRule="atLeast"/>
                <w:jc w:val="center"/>
              </w:trPr>
              <w:tc>
                <w:tcPr>
                  <w:tcW w:w="930" w:type="pct"/>
                  <w:vMerge w:val="restart"/>
                  <w:noWrap w:val="0"/>
                  <w:vAlign w:val="center"/>
                </w:tcPr>
                <w:p w14:paraId="2C655953">
                  <w:pPr>
                    <w:pStyle w:val="28"/>
                    <w:bidi w:val="0"/>
                    <w:rPr>
                      <w:rFonts w:hint="default"/>
                      <w:color w:val="auto"/>
                    </w:rPr>
                  </w:pPr>
                  <w:r>
                    <w:rPr>
                      <w:rFonts w:hint="default"/>
                      <w:color w:val="auto"/>
                    </w:rPr>
                    <w:t>PM10</w:t>
                  </w:r>
                </w:p>
              </w:tc>
              <w:tc>
                <w:tcPr>
                  <w:tcW w:w="1265" w:type="pct"/>
                  <w:noWrap w:val="0"/>
                  <w:vAlign w:val="center"/>
                </w:tcPr>
                <w:p w14:paraId="46B559B0">
                  <w:pPr>
                    <w:pStyle w:val="28"/>
                    <w:bidi w:val="0"/>
                    <w:rPr>
                      <w:rFonts w:hint="default"/>
                      <w:color w:val="auto"/>
                    </w:rPr>
                  </w:pPr>
                  <w:r>
                    <w:rPr>
                      <w:rFonts w:hint="default"/>
                      <w:color w:val="auto"/>
                    </w:rPr>
                    <w:t>年平均</w:t>
                  </w:r>
                </w:p>
              </w:tc>
              <w:tc>
                <w:tcPr>
                  <w:tcW w:w="974" w:type="pct"/>
                  <w:noWrap w:val="0"/>
                  <w:vAlign w:val="center"/>
                </w:tcPr>
                <w:p w14:paraId="4A7E17E2">
                  <w:pPr>
                    <w:pStyle w:val="28"/>
                    <w:bidi w:val="0"/>
                    <w:rPr>
                      <w:rFonts w:hint="default"/>
                      <w:color w:val="auto"/>
                    </w:rPr>
                  </w:pPr>
                  <w:r>
                    <w:rPr>
                      <w:rFonts w:hint="default"/>
                      <w:color w:val="auto"/>
                    </w:rPr>
                    <w:t>70μg/m</w:t>
                  </w:r>
                  <w:r>
                    <w:rPr>
                      <w:rFonts w:hint="default"/>
                      <w:color w:val="auto"/>
                      <w:vertAlign w:val="superscript"/>
                    </w:rPr>
                    <w:t>3</w:t>
                  </w:r>
                </w:p>
              </w:tc>
              <w:tc>
                <w:tcPr>
                  <w:tcW w:w="1829" w:type="pct"/>
                  <w:vMerge w:val="restart"/>
                  <w:noWrap w:val="0"/>
                  <w:vAlign w:val="center"/>
                </w:tcPr>
                <w:p w14:paraId="6B3B086D">
                  <w:pPr>
                    <w:pStyle w:val="28"/>
                    <w:bidi w:val="0"/>
                    <w:rPr>
                      <w:rFonts w:hint="default"/>
                      <w:color w:val="auto"/>
                      <w:lang w:eastAsia="zh-CN"/>
                    </w:rPr>
                  </w:pPr>
                  <w:r>
                    <w:rPr>
                      <w:rFonts w:hint="default"/>
                      <w:color w:val="auto"/>
                      <w:lang w:eastAsia="zh-CN"/>
                    </w:rPr>
                    <w:t>《环境空气质量标准》(GB3095-2012)及其修改</w:t>
                  </w:r>
                </w:p>
                <w:p w14:paraId="3441A9F6">
                  <w:pPr>
                    <w:pStyle w:val="28"/>
                    <w:bidi w:val="0"/>
                    <w:rPr>
                      <w:rFonts w:hint="default"/>
                      <w:color w:val="auto"/>
                    </w:rPr>
                  </w:pPr>
                  <w:r>
                    <w:rPr>
                      <w:rFonts w:hint="default"/>
                      <w:color w:val="auto"/>
                      <w:lang w:eastAsia="zh-CN"/>
                    </w:rPr>
                    <w:t>单</w:t>
                  </w:r>
                  <w:r>
                    <w:rPr>
                      <w:rFonts w:hint="default"/>
                      <w:color w:val="auto"/>
                    </w:rPr>
                    <w:t>中的二级标准</w:t>
                  </w:r>
                </w:p>
              </w:tc>
            </w:tr>
            <w:tr w14:paraId="5C435CA1">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0" w:hRule="atLeast"/>
                <w:jc w:val="center"/>
              </w:trPr>
              <w:tc>
                <w:tcPr>
                  <w:tcW w:w="930" w:type="pct"/>
                  <w:vMerge w:val="continue"/>
                  <w:noWrap w:val="0"/>
                  <w:vAlign w:val="center"/>
                </w:tcPr>
                <w:p w14:paraId="7F664069">
                  <w:pPr>
                    <w:pStyle w:val="28"/>
                    <w:bidi w:val="0"/>
                    <w:rPr>
                      <w:rFonts w:hint="default"/>
                      <w:color w:val="auto"/>
                    </w:rPr>
                  </w:pPr>
                </w:p>
              </w:tc>
              <w:tc>
                <w:tcPr>
                  <w:tcW w:w="1265" w:type="pct"/>
                  <w:noWrap w:val="0"/>
                  <w:vAlign w:val="center"/>
                </w:tcPr>
                <w:p w14:paraId="0BF384FC">
                  <w:pPr>
                    <w:pStyle w:val="28"/>
                    <w:bidi w:val="0"/>
                    <w:rPr>
                      <w:rFonts w:hint="default"/>
                      <w:color w:val="auto"/>
                    </w:rPr>
                  </w:pPr>
                  <w:r>
                    <w:rPr>
                      <w:rFonts w:hint="default"/>
                      <w:color w:val="auto"/>
                    </w:rPr>
                    <w:t>24小时平均</w:t>
                  </w:r>
                </w:p>
              </w:tc>
              <w:tc>
                <w:tcPr>
                  <w:tcW w:w="974" w:type="pct"/>
                  <w:noWrap w:val="0"/>
                  <w:vAlign w:val="center"/>
                </w:tcPr>
                <w:p w14:paraId="256DC55D">
                  <w:pPr>
                    <w:pStyle w:val="28"/>
                    <w:bidi w:val="0"/>
                    <w:rPr>
                      <w:rFonts w:hint="default"/>
                      <w:color w:val="auto"/>
                    </w:rPr>
                  </w:pPr>
                  <w:r>
                    <w:rPr>
                      <w:rFonts w:hint="default"/>
                      <w:color w:val="auto"/>
                    </w:rPr>
                    <w:t>150μg/m</w:t>
                  </w:r>
                  <w:r>
                    <w:rPr>
                      <w:rFonts w:hint="default"/>
                      <w:color w:val="auto"/>
                      <w:vertAlign w:val="superscript"/>
                    </w:rPr>
                    <w:t>3</w:t>
                  </w:r>
                </w:p>
              </w:tc>
              <w:tc>
                <w:tcPr>
                  <w:tcW w:w="1829" w:type="pct"/>
                  <w:vMerge w:val="continue"/>
                  <w:noWrap w:val="0"/>
                  <w:vAlign w:val="center"/>
                </w:tcPr>
                <w:p w14:paraId="1220AE4A">
                  <w:pPr>
                    <w:pStyle w:val="28"/>
                    <w:bidi w:val="0"/>
                    <w:rPr>
                      <w:rFonts w:hint="default"/>
                      <w:color w:val="auto"/>
                    </w:rPr>
                  </w:pPr>
                </w:p>
              </w:tc>
            </w:tr>
            <w:tr w14:paraId="60456E7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0" w:hRule="atLeast"/>
                <w:jc w:val="center"/>
              </w:trPr>
              <w:tc>
                <w:tcPr>
                  <w:tcW w:w="930" w:type="pct"/>
                  <w:vMerge w:val="restart"/>
                  <w:noWrap w:val="0"/>
                  <w:vAlign w:val="center"/>
                </w:tcPr>
                <w:p w14:paraId="3B6A97F2">
                  <w:pPr>
                    <w:pStyle w:val="28"/>
                    <w:bidi w:val="0"/>
                    <w:rPr>
                      <w:rFonts w:hint="default"/>
                      <w:color w:val="auto"/>
                      <w:lang w:val="en-US" w:eastAsia="zh-CN"/>
                    </w:rPr>
                  </w:pPr>
                  <w:r>
                    <w:rPr>
                      <w:rFonts w:hint="default"/>
                      <w:color w:val="auto"/>
                      <w:lang w:val="en-US" w:eastAsia="zh-CN"/>
                    </w:rPr>
                    <w:t>PM2.5</w:t>
                  </w:r>
                </w:p>
              </w:tc>
              <w:tc>
                <w:tcPr>
                  <w:tcW w:w="1265" w:type="pct"/>
                  <w:noWrap w:val="0"/>
                  <w:vAlign w:val="center"/>
                </w:tcPr>
                <w:p w14:paraId="247002CB">
                  <w:pPr>
                    <w:pStyle w:val="28"/>
                    <w:bidi w:val="0"/>
                    <w:rPr>
                      <w:rFonts w:hint="default"/>
                      <w:color w:val="auto"/>
                    </w:rPr>
                  </w:pPr>
                  <w:r>
                    <w:rPr>
                      <w:rFonts w:hint="default"/>
                      <w:color w:val="auto"/>
                    </w:rPr>
                    <w:t>年平均</w:t>
                  </w:r>
                </w:p>
              </w:tc>
              <w:tc>
                <w:tcPr>
                  <w:tcW w:w="974" w:type="pct"/>
                  <w:noWrap w:val="0"/>
                  <w:vAlign w:val="center"/>
                </w:tcPr>
                <w:p w14:paraId="1B708DD0">
                  <w:pPr>
                    <w:pStyle w:val="28"/>
                    <w:bidi w:val="0"/>
                    <w:rPr>
                      <w:rFonts w:hint="default"/>
                      <w:color w:val="auto"/>
                    </w:rPr>
                  </w:pPr>
                  <w:r>
                    <w:rPr>
                      <w:rFonts w:hint="default"/>
                      <w:color w:val="auto"/>
                      <w:lang w:val="en-US" w:eastAsia="zh-CN"/>
                    </w:rPr>
                    <w:t>35</w:t>
                  </w:r>
                  <w:r>
                    <w:rPr>
                      <w:rFonts w:hint="default"/>
                      <w:color w:val="auto"/>
                    </w:rPr>
                    <w:t>μg/m</w:t>
                  </w:r>
                  <w:r>
                    <w:rPr>
                      <w:rFonts w:hint="default"/>
                      <w:color w:val="auto"/>
                      <w:vertAlign w:val="superscript"/>
                    </w:rPr>
                    <w:t>3</w:t>
                  </w:r>
                </w:p>
              </w:tc>
              <w:tc>
                <w:tcPr>
                  <w:tcW w:w="1829" w:type="pct"/>
                  <w:vMerge w:val="continue"/>
                  <w:noWrap w:val="0"/>
                  <w:vAlign w:val="center"/>
                </w:tcPr>
                <w:p w14:paraId="47DE31CD">
                  <w:pPr>
                    <w:pStyle w:val="28"/>
                    <w:bidi w:val="0"/>
                    <w:rPr>
                      <w:rFonts w:hint="default"/>
                      <w:color w:val="auto"/>
                    </w:rPr>
                  </w:pPr>
                </w:p>
              </w:tc>
            </w:tr>
            <w:tr w14:paraId="1ABE615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0" w:hRule="atLeast"/>
                <w:jc w:val="center"/>
              </w:trPr>
              <w:tc>
                <w:tcPr>
                  <w:tcW w:w="930" w:type="pct"/>
                  <w:vMerge w:val="continue"/>
                  <w:noWrap w:val="0"/>
                  <w:vAlign w:val="center"/>
                </w:tcPr>
                <w:p w14:paraId="4C4CB2E0">
                  <w:pPr>
                    <w:pStyle w:val="28"/>
                    <w:bidi w:val="0"/>
                    <w:rPr>
                      <w:rFonts w:hint="default"/>
                      <w:color w:val="auto"/>
                    </w:rPr>
                  </w:pPr>
                </w:p>
              </w:tc>
              <w:tc>
                <w:tcPr>
                  <w:tcW w:w="1265" w:type="pct"/>
                  <w:noWrap w:val="0"/>
                  <w:vAlign w:val="center"/>
                </w:tcPr>
                <w:p w14:paraId="4FC531E7">
                  <w:pPr>
                    <w:pStyle w:val="28"/>
                    <w:bidi w:val="0"/>
                    <w:rPr>
                      <w:rFonts w:hint="default"/>
                      <w:color w:val="auto"/>
                    </w:rPr>
                  </w:pPr>
                  <w:r>
                    <w:rPr>
                      <w:rFonts w:hint="default"/>
                      <w:color w:val="auto"/>
                    </w:rPr>
                    <w:t>24小时平均</w:t>
                  </w:r>
                </w:p>
              </w:tc>
              <w:tc>
                <w:tcPr>
                  <w:tcW w:w="974" w:type="pct"/>
                  <w:noWrap w:val="0"/>
                  <w:vAlign w:val="center"/>
                </w:tcPr>
                <w:p w14:paraId="4FEBAEE2">
                  <w:pPr>
                    <w:pStyle w:val="28"/>
                    <w:bidi w:val="0"/>
                    <w:rPr>
                      <w:rFonts w:hint="default"/>
                      <w:color w:val="auto"/>
                    </w:rPr>
                  </w:pPr>
                  <w:r>
                    <w:rPr>
                      <w:rFonts w:hint="default"/>
                      <w:color w:val="auto"/>
                      <w:lang w:val="en-US" w:eastAsia="zh-CN"/>
                    </w:rPr>
                    <w:t>75</w:t>
                  </w:r>
                  <w:r>
                    <w:rPr>
                      <w:rFonts w:hint="default"/>
                      <w:color w:val="auto"/>
                    </w:rPr>
                    <w:t>μg/m</w:t>
                  </w:r>
                  <w:r>
                    <w:rPr>
                      <w:rFonts w:hint="default"/>
                      <w:color w:val="auto"/>
                      <w:vertAlign w:val="superscript"/>
                    </w:rPr>
                    <w:t>3</w:t>
                  </w:r>
                </w:p>
              </w:tc>
              <w:tc>
                <w:tcPr>
                  <w:tcW w:w="1829" w:type="pct"/>
                  <w:vMerge w:val="continue"/>
                  <w:noWrap w:val="0"/>
                  <w:vAlign w:val="center"/>
                </w:tcPr>
                <w:p w14:paraId="07D9C57D">
                  <w:pPr>
                    <w:pStyle w:val="28"/>
                    <w:bidi w:val="0"/>
                    <w:rPr>
                      <w:rFonts w:hint="default"/>
                      <w:color w:val="auto"/>
                    </w:rPr>
                  </w:pPr>
                </w:p>
              </w:tc>
            </w:tr>
            <w:tr w14:paraId="20229FB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0" w:hRule="atLeast"/>
                <w:jc w:val="center"/>
              </w:trPr>
              <w:tc>
                <w:tcPr>
                  <w:tcW w:w="930" w:type="pct"/>
                  <w:vMerge w:val="restart"/>
                  <w:noWrap w:val="0"/>
                  <w:vAlign w:val="center"/>
                </w:tcPr>
                <w:p w14:paraId="65A40547">
                  <w:pPr>
                    <w:pStyle w:val="28"/>
                    <w:bidi w:val="0"/>
                    <w:rPr>
                      <w:rFonts w:hint="default"/>
                      <w:color w:val="auto"/>
                    </w:rPr>
                  </w:pPr>
                  <w:r>
                    <w:rPr>
                      <w:rFonts w:hint="default"/>
                      <w:color w:val="auto"/>
                    </w:rPr>
                    <w:t>SO</w:t>
                  </w:r>
                  <w:r>
                    <w:rPr>
                      <w:rFonts w:hint="default"/>
                      <w:color w:val="auto"/>
                      <w:vertAlign w:val="subscript"/>
                    </w:rPr>
                    <w:t>2</w:t>
                  </w:r>
                </w:p>
              </w:tc>
              <w:tc>
                <w:tcPr>
                  <w:tcW w:w="1265" w:type="pct"/>
                  <w:noWrap w:val="0"/>
                  <w:vAlign w:val="center"/>
                </w:tcPr>
                <w:p w14:paraId="0F4C1A0F">
                  <w:pPr>
                    <w:pStyle w:val="28"/>
                    <w:bidi w:val="0"/>
                    <w:rPr>
                      <w:rFonts w:hint="default"/>
                      <w:color w:val="auto"/>
                    </w:rPr>
                  </w:pPr>
                  <w:r>
                    <w:rPr>
                      <w:rFonts w:hint="default"/>
                      <w:color w:val="auto"/>
                    </w:rPr>
                    <w:t>年平均</w:t>
                  </w:r>
                </w:p>
              </w:tc>
              <w:tc>
                <w:tcPr>
                  <w:tcW w:w="974" w:type="pct"/>
                  <w:noWrap w:val="0"/>
                  <w:vAlign w:val="center"/>
                </w:tcPr>
                <w:p w14:paraId="5C1CB73C">
                  <w:pPr>
                    <w:pStyle w:val="28"/>
                    <w:bidi w:val="0"/>
                    <w:rPr>
                      <w:rFonts w:hint="default"/>
                      <w:color w:val="auto"/>
                    </w:rPr>
                  </w:pPr>
                  <w:r>
                    <w:rPr>
                      <w:rFonts w:hint="default"/>
                      <w:color w:val="auto"/>
                    </w:rPr>
                    <w:t>60μg/m</w:t>
                  </w:r>
                  <w:r>
                    <w:rPr>
                      <w:rFonts w:hint="default"/>
                      <w:color w:val="auto"/>
                      <w:vertAlign w:val="superscript"/>
                    </w:rPr>
                    <w:t>3</w:t>
                  </w:r>
                </w:p>
              </w:tc>
              <w:tc>
                <w:tcPr>
                  <w:tcW w:w="1829" w:type="pct"/>
                  <w:vMerge w:val="continue"/>
                  <w:noWrap w:val="0"/>
                  <w:vAlign w:val="center"/>
                </w:tcPr>
                <w:p w14:paraId="56ED2D4C">
                  <w:pPr>
                    <w:pStyle w:val="28"/>
                    <w:bidi w:val="0"/>
                    <w:rPr>
                      <w:rFonts w:hint="default"/>
                      <w:color w:val="auto"/>
                    </w:rPr>
                  </w:pPr>
                </w:p>
              </w:tc>
            </w:tr>
            <w:tr w14:paraId="40A7C49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0" w:hRule="atLeast"/>
                <w:jc w:val="center"/>
              </w:trPr>
              <w:tc>
                <w:tcPr>
                  <w:tcW w:w="930" w:type="pct"/>
                  <w:vMerge w:val="continue"/>
                  <w:noWrap w:val="0"/>
                  <w:vAlign w:val="center"/>
                </w:tcPr>
                <w:p w14:paraId="7B3C57C2">
                  <w:pPr>
                    <w:pStyle w:val="28"/>
                    <w:bidi w:val="0"/>
                    <w:rPr>
                      <w:rFonts w:hint="default"/>
                      <w:color w:val="auto"/>
                    </w:rPr>
                  </w:pPr>
                </w:p>
              </w:tc>
              <w:tc>
                <w:tcPr>
                  <w:tcW w:w="1265" w:type="pct"/>
                  <w:noWrap w:val="0"/>
                  <w:vAlign w:val="center"/>
                </w:tcPr>
                <w:p w14:paraId="6973C6D5">
                  <w:pPr>
                    <w:pStyle w:val="28"/>
                    <w:bidi w:val="0"/>
                    <w:rPr>
                      <w:rFonts w:hint="default"/>
                      <w:color w:val="auto"/>
                    </w:rPr>
                  </w:pPr>
                  <w:r>
                    <w:rPr>
                      <w:rFonts w:hint="default"/>
                      <w:color w:val="auto"/>
                    </w:rPr>
                    <w:t>24小时平均</w:t>
                  </w:r>
                </w:p>
              </w:tc>
              <w:tc>
                <w:tcPr>
                  <w:tcW w:w="974" w:type="pct"/>
                  <w:noWrap w:val="0"/>
                  <w:vAlign w:val="center"/>
                </w:tcPr>
                <w:p w14:paraId="59BA7332">
                  <w:pPr>
                    <w:pStyle w:val="28"/>
                    <w:bidi w:val="0"/>
                    <w:rPr>
                      <w:rFonts w:hint="default"/>
                      <w:color w:val="auto"/>
                    </w:rPr>
                  </w:pPr>
                  <w:r>
                    <w:rPr>
                      <w:rFonts w:hint="default"/>
                      <w:color w:val="auto"/>
                    </w:rPr>
                    <w:t>150μg/m</w:t>
                  </w:r>
                  <w:r>
                    <w:rPr>
                      <w:rFonts w:hint="default"/>
                      <w:color w:val="auto"/>
                      <w:vertAlign w:val="superscript"/>
                    </w:rPr>
                    <w:t>3</w:t>
                  </w:r>
                </w:p>
              </w:tc>
              <w:tc>
                <w:tcPr>
                  <w:tcW w:w="1829" w:type="pct"/>
                  <w:vMerge w:val="continue"/>
                  <w:noWrap w:val="0"/>
                  <w:vAlign w:val="center"/>
                </w:tcPr>
                <w:p w14:paraId="5AF3C49C">
                  <w:pPr>
                    <w:pStyle w:val="28"/>
                    <w:bidi w:val="0"/>
                    <w:rPr>
                      <w:rFonts w:hint="default"/>
                      <w:color w:val="auto"/>
                    </w:rPr>
                  </w:pPr>
                </w:p>
              </w:tc>
            </w:tr>
            <w:tr w14:paraId="4A3F62F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0" w:hRule="atLeast"/>
                <w:jc w:val="center"/>
              </w:trPr>
              <w:tc>
                <w:tcPr>
                  <w:tcW w:w="930" w:type="pct"/>
                  <w:vMerge w:val="continue"/>
                  <w:noWrap w:val="0"/>
                  <w:vAlign w:val="center"/>
                </w:tcPr>
                <w:p w14:paraId="3360930C">
                  <w:pPr>
                    <w:pStyle w:val="28"/>
                    <w:bidi w:val="0"/>
                    <w:rPr>
                      <w:rFonts w:hint="default"/>
                      <w:color w:val="auto"/>
                    </w:rPr>
                  </w:pPr>
                </w:p>
              </w:tc>
              <w:tc>
                <w:tcPr>
                  <w:tcW w:w="1265" w:type="pct"/>
                  <w:noWrap w:val="0"/>
                  <w:vAlign w:val="center"/>
                </w:tcPr>
                <w:p w14:paraId="2EDB4E2B">
                  <w:pPr>
                    <w:pStyle w:val="28"/>
                    <w:bidi w:val="0"/>
                    <w:rPr>
                      <w:rFonts w:hint="default"/>
                      <w:color w:val="auto"/>
                    </w:rPr>
                  </w:pPr>
                  <w:r>
                    <w:rPr>
                      <w:rFonts w:hint="default"/>
                      <w:color w:val="auto"/>
                    </w:rPr>
                    <w:t>1小时平均</w:t>
                  </w:r>
                </w:p>
              </w:tc>
              <w:tc>
                <w:tcPr>
                  <w:tcW w:w="974" w:type="pct"/>
                  <w:noWrap w:val="0"/>
                  <w:vAlign w:val="center"/>
                </w:tcPr>
                <w:p w14:paraId="15703DC4">
                  <w:pPr>
                    <w:pStyle w:val="28"/>
                    <w:bidi w:val="0"/>
                    <w:rPr>
                      <w:rFonts w:hint="default"/>
                      <w:color w:val="auto"/>
                    </w:rPr>
                  </w:pPr>
                  <w:r>
                    <w:rPr>
                      <w:rFonts w:hint="eastAsia"/>
                      <w:color w:val="auto"/>
                      <w:lang w:val="en-US" w:eastAsia="zh-CN"/>
                    </w:rPr>
                    <w:t>500</w:t>
                  </w:r>
                  <w:r>
                    <w:rPr>
                      <w:rFonts w:hint="default"/>
                      <w:color w:val="auto"/>
                    </w:rPr>
                    <w:t>μg/m</w:t>
                  </w:r>
                  <w:r>
                    <w:rPr>
                      <w:rFonts w:hint="default"/>
                      <w:color w:val="auto"/>
                      <w:vertAlign w:val="superscript"/>
                    </w:rPr>
                    <w:t>3</w:t>
                  </w:r>
                </w:p>
              </w:tc>
              <w:tc>
                <w:tcPr>
                  <w:tcW w:w="1829" w:type="pct"/>
                  <w:vMerge w:val="continue"/>
                  <w:noWrap w:val="0"/>
                  <w:vAlign w:val="center"/>
                </w:tcPr>
                <w:p w14:paraId="6F682C04">
                  <w:pPr>
                    <w:pStyle w:val="28"/>
                    <w:bidi w:val="0"/>
                    <w:rPr>
                      <w:rFonts w:hint="default"/>
                      <w:color w:val="auto"/>
                    </w:rPr>
                  </w:pPr>
                </w:p>
              </w:tc>
            </w:tr>
            <w:tr w14:paraId="3FB25E6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0" w:hRule="atLeast"/>
                <w:jc w:val="center"/>
              </w:trPr>
              <w:tc>
                <w:tcPr>
                  <w:tcW w:w="930" w:type="pct"/>
                  <w:vMerge w:val="restart"/>
                  <w:noWrap w:val="0"/>
                  <w:vAlign w:val="center"/>
                </w:tcPr>
                <w:p w14:paraId="4241EA2B">
                  <w:pPr>
                    <w:pStyle w:val="28"/>
                    <w:bidi w:val="0"/>
                    <w:rPr>
                      <w:rFonts w:hint="default"/>
                      <w:color w:val="auto"/>
                    </w:rPr>
                  </w:pPr>
                  <w:r>
                    <w:rPr>
                      <w:rFonts w:hint="default"/>
                      <w:color w:val="auto"/>
                    </w:rPr>
                    <w:t>NO</w:t>
                  </w:r>
                  <w:r>
                    <w:rPr>
                      <w:rFonts w:hint="default"/>
                      <w:color w:val="auto"/>
                      <w:vertAlign w:val="subscript"/>
                    </w:rPr>
                    <w:t>2</w:t>
                  </w:r>
                </w:p>
              </w:tc>
              <w:tc>
                <w:tcPr>
                  <w:tcW w:w="1265" w:type="pct"/>
                  <w:noWrap w:val="0"/>
                  <w:vAlign w:val="center"/>
                </w:tcPr>
                <w:p w14:paraId="763F5DF3">
                  <w:pPr>
                    <w:pStyle w:val="28"/>
                    <w:bidi w:val="0"/>
                    <w:rPr>
                      <w:rFonts w:hint="default"/>
                      <w:color w:val="auto"/>
                    </w:rPr>
                  </w:pPr>
                  <w:r>
                    <w:rPr>
                      <w:rFonts w:hint="default"/>
                      <w:color w:val="auto"/>
                    </w:rPr>
                    <w:t>年平均</w:t>
                  </w:r>
                </w:p>
              </w:tc>
              <w:tc>
                <w:tcPr>
                  <w:tcW w:w="974" w:type="pct"/>
                  <w:noWrap w:val="0"/>
                  <w:vAlign w:val="center"/>
                </w:tcPr>
                <w:p w14:paraId="0C3DDB26">
                  <w:pPr>
                    <w:pStyle w:val="28"/>
                    <w:bidi w:val="0"/>
                    <w:rPr>
                      <w:rFonts w:hint="default"/>
                      <w:color w:val="auto"/>
                    </w:rPr>
                  </w:pPr>
                  <w:r>
                    <w:rPr>
                      <w:rFonts w:hint="default"/>
                      <w:color w:val="auto"/>
                    </w:rPr>
                    <w:t>40μg/m</w:t>
                  </w:r>
                  <w:r>
                    <w:rPr>
                      <w:rFonts w:hint="default"/>
                      <w:color w:val="auto"/>
                      <w:vertAlign w:val="superscript"/>
                    </w:rPr>
                    <w:t>3</w:t>
                  </w:r>
                </w:p>
              </w:tc>
              <w:tc>
                <w:tcPr>
                  <w:tcW w:w="1829" w:type="pct"/>
                  <w:vMerge w:val="continue"/>
                  <w:noWrap w:val="0"/>
                  <w:vAlign w:val="center"/>
                </w:tcPr>
                <w:p w14:paraId="4BEB14E4">
                  <w:pPr>
                    <w:pStyle w:val="28"/>
                    <w:bidi w:val="0"/>
                    <w:rPr>
                      <w:rFonts w:hint="default"/>
                      <w:color w:val="auto"/>
                    </w:rPr>
                  </w:pPr>
                </w:p>
              </w:tc>
            </w:tr>
            <w:tr w14:paraId="1180E86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0" w:hRule="atLeast"/>
                <w:jc w:val="center"/>
              </w:trPr>
              <w:tc>
                <w:tcPr>
                  <w:tcW w:w="930" w:type="pct"/>
                  <w:vMerge w:val="continue"/>
                  <w:noWrap w:val="0"/>
                  <w:vAlign w:val="center"/>
                </w:tcPr>
                <w:p w14:paraId="3F8FEEFF">
                  <w:pPr>
                    <w:pStyle w:val="28"/>
                    <w:bidi w:val="0"/>
                    <w:rPr>
                      <w:rFonts w:hint="default"/>
                      <w:color w:val="auto"/>
                    </w:rPr>
                  </w:pPr>
                </w:p>
              </w:tc>
              <w:tc>
                <w:tcPr>
                  <w:tcW w:w="1265" w:type="pct"/>
                  <w:noWrap w:val="0"/>
                  <w:vAlign w:val="center"/>
                </w:tcPr>
                <w:p w14:paraId="05018BB3">
                  <w:pPr>
                    <w:pStyle w:val="28"/>
                    <w:bidi w:val="0"/>
                    <w:rPr>
                      <w:rFonts w:hint="default"/>
                      <w:color w:val="auto"/>
                    </w:rPr>
                  </w:pPr>
                  <w:r>
                    <w:rPr>
                      <w:rFonts w:hint="default"/>
                      <w:color w:val="auto"/>
                    </w:rPr>
                    <w:t>24小时平均</w:t>
                  </w:r>
                </w:p>
              </w:tc>
              <w:tc>
                <w:tcPr>
                  <w:tcW w:w="974" w:type="pct"/>
                  <w:noWrap w:val="0"/>
                  <w:vAlign w:val="center"/>
                </w:tcPr>
                <w:p w14:paraId="2C02721C">
                  <w:pPr>
                    <w:pStyle w:val="28"/>
                    <w:bidi w:val="0"/>
                    <w:rPr>
                      <w:rFonts w:hint="default"/>
                      <w:color w:val="auto"/>
                    </w:rPr>
                  </w:pPr>
                  <w:r>
                    <w:rPr>
                      <w:rFonts w:hint="default"/>
                      <w:color w:val="auto"/>
                    </w:rPr>
                    <w:t>80μg/m</w:t>
                  </w:r>
                  <w:r>
                    <w:rPr>
                      <w:rFonts w:hint="default"/>
                      <w:color w:val="auto"/>
                      <w:vertAlign w:val="superscript"/>
                    </w:rPr>
                    <w:t>3</w:t>
                  </w:r>
                </w:p>
              </w:tc>
              <w:tc>
                <w:tcPr>
                  <w:tcW w:w="1829" w:type="pct"/>
                  <w:vMerge w:val="continue"/>
                  <w:noWrap w:val="0"/>
                  <w:vAlign w:val="center"/>
                </w:tcPr>
                <w:p w14:paraId="6A79D6FC">
                  <w:pPr>
                    <w:pStyle w:val="28"/>
                    <w:bidi w:val="0"/>
                    <w:rPr>
                      <w:rFonts w:hint="default"/>
                      <w:color w:val="auto"/>
                    </w:rPr>
                  </w:pPr>
                </w:p>
              </w:tc>
            </w:tr>
            <w:tr w14:paraId="4B3496BA">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0" w:hRule="atLeast"/>
                <w:jc w:val="center"/>
              </w:trPr>
              <w:tc>
                <w:tcPr>
                  <w:tcW w:w="930" w:type="pct"/>
                  <w:vMerge w:val="continue"/>
                  <w:noWrap w:val="0"/>
                  <w:vAlign w:val="center"/>
                </w:tcPr>
                <w:p w14:paraId="1CD56273">
                  <w:pPr>
                    <w:pStyle w:val="28"/>
                    <w:bidi w:val="0"/>
                    <w:rPr>
                      <w:rFonts w:hint="default"/>
                      <w:color w:val="auto"/>
                    </w:rPr>
                  </w:pPr>
                </w:p>
              </w:tc>
              <w:tc>
                <w:tcPr>
                  <w:tcW w:w="1265" w:type="pct"/>
                  <w:noWrap w:val="0"/>
                  <w:vAlign w:val="center"/>
                </w:tcPr>
                <w:p w14:paraId="087484FA">
                  <w:pPr>
                    <w:pStyle w:val="28"/>
                    <w:bidi w:val="0"/>
                    <w:rPr>
                      <w:rFonts w:hint="default"/>
                      <w:color w:val="auto"/>
                    </w:rPr>
                  </w:pPr>
                  <w:r>
                    <w:rPr>
                      <w:rFonts w:hint="default"/>
                      <w:color w:val="auto"/>
                    </w:rPr>
                    <w:t>1小时平均</w:t>
                  </w:r>
                </w:p>
              </w:tc>
              <w:tc>
                <w:tcPr>
                  <w:tcW w:w="974" w:type="pct"/>
                  <w:noWrap w:val="0"/>
                  <w:vAlign w:val="center"/>
                </w:tcPr>
                <w:p w14:paraId="5324D4E5">
                  <w:pPr>
                    <w:pStyle w:val="28"/>
                    <w:bidi w:val="0"/>
                    <w:rPr>
                      <w:rFonts w:hint="default"/>
                      <w:color w:val="auto"/>
                    </w:rPr>
                  </w:pPr>
                  <w:r>
                    <w:rPr>
                      <w:rFonts w:hint="default"/>
                      <w:color w:val="auto"/>
                    </w:rPr>
                    <w:t>200μg/m</w:t>
                  </w:r>
                  <w:r>
                    <w:rPr>
                      <w:rFonts w:hint="default"/>
                      <w:color w:val="auto"/>
                      <w:vertAlign w:val="superscript"/>
                    </w:rPr>
                    <w:t>3</w:t>
                  </w:r>
                </w:p>
              </w:tc>
              <w:tc>
                <w:tcPr>
                  <w:tcW w:w="1829" w:type="pct"/>
                  <w:vMerge w:val="continue"/>
                  <w:noWrap w:val="0"/>
                  <w:vAlign w:val="center"/>
                </w:tcPr>
                <w:p w14:paraId="19838DC4">
                  <w:pPr>
                    <w:pStyle w:val="28"/>
                    <w:bidi w:val="0"/>
                    <w:rPr>
                      <w:rFonts w:hint="default"/>
                      <w:color w:val="auto"/>
                    </w:rPr>
                  </w:pPr>
                </w:p>
              </w:tc>
            </w:tr>
            <w:tr w14:paraId="03C1125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0" w:hRule="atLeast"/>
                <w:jc w:val="center"/>
              </w:trPr>
              <w:tc>
                <w:tcPr>
                  <w:tcW w:w="930" w:type="pct"/>
                  <w:vMerge w:val="restart"/>
                  <w:noWrap w:val="0"/>
                  <w:vAlign w:val="center"/>
                </w:tcPr>
                <w:p w14:paraId="7D348F3F">
                  <w:pPr>
                    <w:pStyle w:val="28"/>
                    <w:bidi w:val="0"/>
                    <w:rPr>
                      <w:rFonts w:hint="default"/>
                      <w:color w:val="auto"/>
                    </w:rPr>
                  </w:pPr>
                  <w:r>
                    <w:rPr>
                      <w:rFonts w:hint="default"/>
                      <w:color w:val="auto"/>
                      <w:lang w:val="en-US" w:eastAsia="zh-CN"/>
                    </w:rPr>
                    <w:t>CO</w:t>
                  </w:r>
                </w:p>
              </w:tc>
              <w:tc>
                <w:tcPr>
                  <w:tcW w:w="1265" w:type="pct"/>
                  <w:noWrap w:val="0"/>
                  <w:vAlign w:val="center"/>
                </w:tcPr>
                <w:p w14:paraId="5BD006DA">
                  <w:pPr>
                    <w:pStyle w:val="28"/>
                    <w:bidi w:val="0"/>
                    <w:rPr>
                      <w:rFonts w:hint="default"/>
                      <w:color w:val="auto"/>
                    </w:rPr>
                  </w:pPr>
                  <w:r>
                    <w:rPr>
                      <w:rFonts w:hint="default"/>
                      <w:color w:val="auto"/>
                    </w:rPr>
                    <w:t>24小时平均</w:t>
                  </w:r>
                </w:p>
              </w:tc>
              <w:tc>
                <w:tcPr>
                  <w:tcW w:w="974" w:type="pct"/>
                  <w:noWrap w:val="0"/>
                  <w:vAlign w:val="center"/>
                </w:tcPr>
                <w:p w14:paraId="10557E42">
                  <w:pPr>
                    <w:pStyle w:val="28"/>
                    <w:bidi w:val="0"/>
                    <w:rPr>
                      <w:rFonts w:hint="default"/>
                      <w:color w:val="auto"/>
                    </w:rPr>
                  </w:pPr>
                  <w:r>
                    <w:rPr>
                      <w:rFonts w:hint="default"/>
                      <w:color w:val="auto"/>
                      <w:lang w:val="en-US" w:eastAsia="zh-CN"/>
                    </w:rPr>
                    <w:t>4mg/</w:t>
                  </w:r>
                  <w:r>
                    <w:rPr>
                      <w:rFonts w:hint="default"/>
                      <w:color w:val="auto"/>
                    </w:rPr>
                    <w:t>m</w:t>
                  </w:r>
                  <w:r>
                    <w:rPr>
                      <w:rFonts w:hint="default"/>
                      <w:color w:val="auto"/>
                      <w:vertAlign w:val="superscript"/>
                    </w:rPr>
                    <w:t>3</w:t>
                  </w:r>
                </w:p>
              </w:tc>
              <w:tc>
                <w:tcPr>
                  <w:tcW w:w="1829" w:type="pct"/>
                  <w:vMerge w:val="continue"/>
                  <w:noWrap w:val="0"/>
                  <w:vAlign w:val="center"/>
                </w:tcPr>
                <w:p w14:paraId="53E62E66">
                  <w:pPr>
                    <w:pStyle w:val="28"/>
                    <w:bidi w:val="0"/>
                    <w:rPr>
                      <w:rFonts w:hint="default"/>
                      <w:color w:val="auto"/>
                    </w:rPr>
                  </w:pPr>
                </w:p>
              </w:tc>
            </w:tr>
            <w:tr w14:paraId="707C83F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0" w:hRule="atLeast"/>
                <w:jc w:val="center"/>
              </w:trPr>
              <w:tc>
                <w:tcPr>
                  <w:tcW w:w="930" w:type="pct"/>
                  <w:vMerge w:val="continue"/>
                  <w:noWrap w:val="0"/>
                  <w:vAlign w:val="center"/>
                </w:tcPr>
                <w:p w14:paraId="7679AEF8">
                  <w:pPr>
                    <w:pStyle w:val="28"/>
                    <w:bidi w:val="0"/>
                    <w:rPr>
                      <w:rFonts w:hint="default"/>
                      <w:color w:val="auto"/>
                    </w:rPr>
                  </w:pPr>
                </w:p>
              </w:tc>
              <w:tc>
                <w:tcPr>
                  <w:tcW w:w="1265" w:type="pct"/>
                  <w:noWrap w:val="0"/>
                  <w:vAlign w:val="center"/>
                </w:tcPr>
                <w:p w14:paraId="0AA0C541">
                  <w:pPr>
                    <w:pStyle w:val="28"/>
                    <w:bidi w:val="0"/>
                    <w:rPr>
                      <w:rFonts w:hint="default"/>
                      <w:color w:val="auto"/>
                    </w:rPr>
                  </w:pPr>
                  <w:r>
                    <w:rPr>
                      <w:rFonts w:hint="default"/>
                      <w:color w:val="auto"/>
                      <w:lang w:val="en-US" w:eastAsia="zh-CN"/>
                    </w:rPr>
                    <w:t>1小时平均</w:t>
                  </w:r>
                </w:p>
              </w:tc>
              <w:tc>
                <w:tcPr>
                  <w:tcW w:w="974" w:type="pct"/>
                  <w:noWrap w:val="0"/>
                  <w:vAlign w:val="center"/>
                </w:tcPr>
                <w:p w14:paraId="204B76F6">
                  <w:pPr>
                    <w:pStyle w:val="28"/>
                    <w:bidi w:val="0"/>
                    <w:rPr>
                      <w:rFonts w:hint="default"/>
                      <w:color w:val="auto"/>
                    </w:rPr>
                  </w:pPr>
                  <w:r>
                    <w:rPr>
                      <w:rFonts w:hint="default"/>
                      <w:color w:val="auto"/>
                      <w:lang w:val="en-US" w:eastAsia="zh-CN"/>
                    </w:rPr>
                    <w:t>10mg/</w:t>
                  </w:r>
                  <w:r>
                    <w:rPr>
                      <w:rFonts w:hint="default"/>
                      <w:color w:val="auto"/>
                    </w:rPr>
                    <w:t>m</w:t>
                  </w:r>
                  <w:r>
                    <w:rPr>
                      <w:rFonts w:hint="default"/>
                      <w:color w:val="auto"/>
                      <w:vertAlign w:val="superscript"/>
                    </w:rPr>
                    <w:t>3</w:t>
                  </w:r>
                </w:p>
              </w:tc>
              <w:tc>
                <w:tcPr>
                  <w:tcW w:w="1829" w:type="pct"/>
                  <w:vMerge w:val="continue"/>
                  <w:noWrap w:val="0"/>
                  <w:vAlign w:val="center"/>
                </w:tcPr>
                <w:p w14:paraId="42972C3D">
                  <w:pPr>
                    <w:pStyle w:val="28"/>
                    <w:bidi w:val="0"/>
                    <w:rPr>
                      <w:rFonts w:hint="default"/>
                      <w:color w:val="auto"/>
                    </w:rPr>
                  </w:pPr>
                </w:p>
              </w:tc>
            </w:tr>
            <w:tr w14:paraId="1E65ED7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0" w:hRule="atLeast"/>
                <w:jc w:val="center"/>
              </w:trPr>
              <w:tc>
                <w:tcPr>
                  <w:tcW w:w="930" w:type="pct"/>
                  <w:vMerge w:val="restart"/>
                  <w:noWrap w:val="0"/>
                  <w:vAlign w:val="center"/>
                </w:tcPr>
                <w:p w14:paraId="2C55CD4B">
                  <w:pPr>
                    <w:pStyle w:val="28"/>
                    <w:bidi w:val="0"/>
                    <w:rPr>
                      <w:rFonts w:hint="default"/>
                      <w:color w:val="auto"/>
                    </w:rPr>
                  </w:pPr>
                  <w:r>
                    <w:rPr>
                      <w:rFonts w:hint="default"/>
                      <w:color w:val="auto"/>
                      <w:lang w:val="en-US" w:eastAsia="zh-CN"/>
                    </w:rPr>
                    <w:t>O</w:t>
                  </w:r>
                  <w:r>
                    <w:rPr>
                      <w:rFonts w:hint="default"/>
                      <w:color w:val="auto"/>
                      <w:vertAlign w:val="subscript"/>
                      <w:lang w:val="en-US" w:eastAsia="zh-CN"/>
                    </w:rPr>
                    <w:t>3</w:t>
                  </w:r>
                </w:p>
              </w:tc>
              <w:tc>
                <w:tcPr>
                  <w:tcW w:w="1265" w:type="pct"/>
                  <w:noWrap w:val="0"/>
                  <w:vAlign w:val="center"/>
                </w:tcPr>
                <w:p w14:paraId="22990FB7">
                  <w:pPr>
                    <w:pStyle w:val="28"/>
                    <w:bidi w:val="0"/>
                    <w:rPr>
                      <w:rFonts w:hint="default"/>
                      <w:color w:val="auto"/>
                    </w:rPr>
                  </w:pPr>
                  <w:r>
                    <w:rPr>
                      <w:rFonts w:hint="default"/>
                      <w:color w:val="auto"/>
                      <w:lang w:val="en-US" w:eastAsia="zh-CN"/>
                    </w:rPr>
                    <w:t>日最大8小时平均</w:t>
                  </w:r>
                </w:p>
              </w:tc>
              <w:tc>
                <w:tcPr>
                  <w:tcW w:w="974" w:type="pct"/>
                  <w:noWrap w:val="0"/>
                  <w:vAlign w:val="center"/>
                </w:tcPr>
                <w:p w14:paraId="2A173513">
                  <w:pPr>
                    <w:pStyle w:val="28"/>
                    <w:bidi w:val="0"/>
                    <w:rPr>
                      <w:rFonts w:hint="default"/>
                      <w:color w:val="auto"/>
                    </w:rPr>
                  </w:pPr>
                  <w:r>
                    <w:rPr>
                      <w:rFonts w:hint="default"/>
                      <w:color w:val="auto"/>
                      <w:lang w:val="en-US" w:eastAsia="zh-CN"/>
                    </w:rPr>
                    <w:t>160</w:t>
                  </w:r>
                  <w:r>
                    <w:rPr>
                      <w:rFonts w:hint="default"/>
                      <w:color w:val="auto"/>
                    </w:rPr>
                    <w:t>μg/m</w:t>
                  </w:r>
                  <w:r>
                    <w:rPr>
                      <w:rFonts w:hint="default"/>
                      <w:color w:val="auto"/>
                      <w:vertAlign w:val="superscript"/>
                    </w:rPr>
                    <w:t>3</w:t>
                  </w:r>
                </w:p>
              </w:tc>
              <w:tc>
                <w:tcPr>
                  <w:tcW w:w="1829" w:type="pct"/>
                  <w:vMerge w:val="continue"/>
                  <w:noWrap w:val="0"/>
                  <w:vAlign w:val="center"/>
                </w:tcPr>
                <w:p w14:paraId="3028C5CC">
                  <w:pPr>
                    <w:pStyle w:val="28"/>
                    <w:bidi w:val="0"/>
                    <w:rPr>
                      <w:rFonts w:hint="default"/>
                      <w:color w:val="auto"/>
                    </w:rPr>
                  </w:pPr>
                </w:p>
              </w:tc>
            </w:tr>
            <w:tr w14:paraId="4A914623">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0" w:hRule="atLeast"/>
                <w:jc w:val="center"/>
              </w:trPr>
              <w:tc>
                <w:tcPr>
                  <w:tcW w:w="930" w:type="pct"/>
                  <w:vMerge w:val="continue"/>
                  <w:noWrap w:val="0"/>
                  <w:vAlign w:val="center"/>
                </w:tcPr>
                <w:p w14:paraId="266187F7">
                  <w:pPr>
                    <w:pStyle w:val="28"/>
                    <w:bidi w:val="0"/>
                    <w:rPr>
                      <w:rFonts w:hint="default"/>
                      <w:color w:val="auto"/>
                    </w:rPr>
                  </w:pPr>
                </w:p>
              </w:tc>
              <w:tc>
                <w:tcPr>
                  <w:tcW w:w="1265" w:type="pct"/>
                  <w:noWrap w:val="0"/>
                  <w:vAlign w:val="center"/>
                </w:tcPr>
                <w:p w14:paraId="4FA1F552">
                  <w:pPr>
                    <w:pStyle w:val="28"/>
                    <w:bidi w:val="0"/>
                    <w:rPr>
                      <w:rFonts w:hint="default"/>
                      <w:color w:val="auto"/>
                    </w:rPr>
                  </w:pPr>
                  <w:r>
                    <w:rPr>
                      <w:rFonts w:hint="default"/>
                      <w:color w:val="auto"/>
                      <w:lang w:val="en-US" w:eastAsia="zh-CN"/>
                    </w:rPr>
                    <w:t>1小时平均</w:t>
                  </w:r>
                </w:p>
              </w:tc>
              <w:tc>
                <w:tcPr>
                  <w:tcW w:w="974" w:type="pct"/>
                  <w:noWrap w:val="0"/>
                  <w:vAlign w:val="center"/>
                </w:tcPr>
                <w:p w14:paraId="2AC39A7B">
                  <w:pPr>
                    <w:pStyle w:val="28"/>
                    <w:bidi w:val="0"/>
                    <w:rPr>
                      <w:rFonts w:hint="default"/>
                      <w:color w:val="auto"/>
                    </w:rPr>
                  </w:pPr>
                  <w:r>
                    <w:rPr>
                      <w:rFonts w:hint="default"/>
                      <w:color w:val="auto"/>
                      <w:lang w:val="en-US" w:eastAsia="zh-CN"/>
                    </w:rPr>
                    <w:t>200</w:t>
                  </w:r>
                  <w:r>
                    <w:rPr>
                      <w:rFonts w:hint="default"/>
                      <w:color w:val="auto"/>
                    </w:rPr>
                    <w:t>μg/m</w:t>
                  </w:r>
                  <w:r>
                    <w:rPr>
                      <w:rFonts w:hint="default"/>
                      <w:color w:val="auto"/>
                      <w:vertAlign w:val="superscript"/>
                    </w:rPr>
                    <w:t>3</w:t>
                  </w:r>
                </w:p>
              </w:tc>
              <w:tc>
                <w:tcPr>
                  <w:tcW w:w="1829" w:type="pct"/>
                  <w:vMerge w:val="continue"/>
                  <w:noWrap w:val="0"/>
                  <w:vAlign w:val="center"/>
                </w:tcPr>
                <w:p w14:paraId="2026BEAB">
                  <w:pPr>
                    <w:pStyle w:val="28"/>
                    <w:bidi w:val="0"/>
                    <w:rPr>
                      <w:rFonts w:hint="default"/>
                      <w:color w:val="auto"/>
                    </w:rPr>
                  </w:pPr>
                </w:p>
              </w:tc>
            </w:tr>
            <w:tr w14:paraId="5653F89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0" w:hRule="atLeast"/>
                <w:jc w:val="center"/>
              </w:trPr>
              <w:tc>
                <w:tcPr>
                  <w:tcW w:w="930" w:type="pct"/>
                  <w:vMerge w:val="restart"/>
                  <w:noWrap w:val="0"/>
                  <w:vAlign w:val="center"/>
                </w:tcPr>
                <w:p w14:paraId="27710B56">
                  <w:pPr>
                    <w:pStyle w:val="28"/>
                    <w:bidi w:val="0"/>
                    <w:rPr>
                      <w:rFonts w:hint="default"/>
                      <w:color w:val="auto"/>
                      <w:lang w:val="en-US" w:eastAsia="zh-CN"/>
                    </w:rPr>
                  </w:pPr>
                  <w:r>
                    <w:rPr>
                      <w:rFonts w:hint="eastAsia"/>
                      <w:color w:val="auto"/>
                      <w:lang w:val="en-US" w:eastAsia="zh-CN"/>
                    </w:rPr>
                    <w:t>TSP</w:t>
                  </w:r>
                </w:p>
              </w:tc>
              <w:tc>
                <w:tcPr>
                  <w:tcW w:w="1265" w:type="pct"/>
                  <w:noWrap w:val="0"/>
                  <w:vAlign w:val="center"/>
                </w:tcPr>
                <w:p w14:paraId="45A455E2">
                  <w:pPr>
                    <w:pStyle w:val="28"/>
                    <w:bidi w:val="0"/>
                    <w:rPr>
                      <w:rFonts w:hint="default"/>
                      <w:color w:val="auto"/>
                      <w:lang w:val="en-US" w:eastAsia="zh-CN"/>
                    </w:rPr>
                  </w:pPr>
                  <w:r>
                    <w:rPr>
                      <w:rFonts w:hint="eastAsia"/>
                      <w:color w:val="auto"/>
                      <w:lang w:val="en-US" w:eastAsia="zh-CN"/>
                    </w:rPr>
                    <w:t>年平均</w:t>
                  </w:r>
                </w:p>
              </w:tc>
              <w:tc>
                <w:tcPr>
                  <w:tcW w:w="974" w:type="pct"/>
                  <w:noWrap w:val="0"/>
                  <w:vAlign w:val="center"/>
                </w:tcPr>
                <w:p w14:paraId="1F6BDD6F">
                  <w:pPr>
                    <w:pStyle w:val="28"/>
                    <w:bidi w:val="0"/>
                    <w:rPr>
                      <w:rFonts w:hint="default"/>
                      <w:color w:val="auto"/>
                      <w:lang w:val="en-US" w:eastAsia="zh-CN"/>
                    </w:rPr>
                  </w:pPr>
                  <w:r>
                    <w:rPr>
                      <w:rFonts w:hint="eastAsia"/>
                      <w:color w:val="auto"/>
                      <w:lang w:val="en-US" w:eastAsia="zh-CN"/>
                    </w:rPr>
                    <w:t>200</w:t>
                  </w:r>
                  <w:r>
                    <w:rPr>
                      <w:rFonts w:hint="default"/>
                      <w:color w:val="auto"/>
                    </w:rPr>
                    <w:t>μg/m</w:t>
                  </w:r>
                  <w:r>
                    <w:rPr>
                      <w:rFonts w:hint="default"/>
                      <w:color w:val="auto"/>
                      <w:vertAlign w:val="superscript"/>
                    </w:rPr>
                    <w:t>3</w:t>
                  </w:r>
                </w:p>
              </w:tc>
              <w:tc>
                <w:tcPr>
                  <w:tcW w:w="1829" w:type="pct"/>
                  <w:vMerge w:val="continue"/>
                  <w:noWrap w:val="0"/>
                  <w:vAlign w:val="center"/>
                </w:tcPr>
                <w:p w14:paraId="5AC4185E">
                  <w:pPr>
                    <w:pStyle w:val="28"/>
                    <w:bidi w:val="0"/>
                    <w:rPr>
                      <w:rFonts w:hint="default"/>
                      <w:color w:val="auto"/>
                    </w:rPr>
                  </w:pPr>
                </w:p>
              </w:tc>
            </w:tr>
            <w:tr w14:paraId="2D83330C">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0" w:hRule="atLeast"/>
                <w:jc w:val="center"/>
              </w:trPr>
              <w:tc>
                <w:tcPr>
                  <w:tcW w:w="930" w:type="pct"/>
                  <w:vMerge w:val="continue"/>
                  <w:noWrap w:val="0"/>
                  <w:vAlign w:val="center"/>
                </w:tcPr>
                <w:p w14:paraId="312AD31C">
                  <w:pPr>
                    <w:pStyle w:val="28"/>
                    <w:bidi w:val="0"/>
                    <w:rPr>
                      <w:rFonts w:hint="default"/>
                      <w:color w:val="auto"/>
                    </w:rPr>
                  </w:pPr>
                </w:p>
              </w:tc>
              <w:tc>
                <w:tcPr>
                  <w:tcW w:w="1265" w:type="pct"/>
                  <w:noWrap w:val="0"/>
                  <w:vAlign w:val="center"/>
                </w:tcPr>
                <w:p w14:paraId="1DEAC8DF">
                  <w:pPr>
                    <w:pStyle w:val="28"/>
                    <w:bidi w:val="0"/>
                    <w:rPr>
                      <w:rFonts w:hint="default"/>
                      <w:color w:val="auto"/>
                      <w:lang w:val="en-US" w:eastAsia="zh-CN"/>
                    </w:rPr>
                  </w:pPr>
                  <w:r>
                    <w:rPr>
                      <w:rFonts w:hint="default"/>
                      <w:color w:val="auto"/>
                    </w:rPr>
                    <w:t>24小时平均</w:t>
                  </w:r>
                </w:p>
              </w:tc>
              <w:tc>
                <w:tcPr>
                  <w:tcW w:w="974" w:type="pct"/>
                  <w:noWrap w:val="0"/>
                  <w:vAlign w:val="center"/>
                </w:tcPr>
                <w:p w14:paraId="63C79F63">
                  <w:pPr>
                    <w:pStyle w:val="28"/>
                    <w:bidi w:val="0"/>
                    <w:rPr>
                      <w:rFonts w:hint="default"/>
                      <w:color w:val="auto"/>
                      <w:lang w:val="en-US" w:eastAsia="zh-CN"/>
                    </w:rPr>
                  </w:pPr>
                  <w:r>
                    <w:rPr>
                      <w:rFonts w:hint="eastAsia"/>
                      <w:color w:val="auto"/>
                      <w:lang w:val="en-US" w:eastAsia="zh-CN"/>
                    </w:rPr>
                    <w:t>3</w:t>
                  </w:r>
                  <w:r>
                    <w:rPr>
                      <w:rFonts w:hint="default"/>
                      <w:color w:val="auto"/>
                      <w:lang w:val="en-US" w:eastAsia="zh-CN"/>
                    </w:rPr>
                    <w:t>00</w:t>
                  </w:r>
                  <w:r>
                    <w:rPr>
                      <w:rFonts w:hint="default"/>
                      <w:color w:val="auto"/>
                    </w:rPr>
                    <w:t>μg/m</w:t>
                  </w:r>
                  <w:r>
                    <w:rPr>
                      <w:rFonts w:hint="default"/>
                      <w:color w:val="auto"/>
                      <w:vertAlign w:val="superscript"/>
                    </w:rPr>
                    <w:t>3</w:t>
                  </w:r>
                </w:p>
              </w:tc>
              <w:tc>
                <w:tcPr>
                  <w:tcW w:w="1829" w:type="pct"/>
                  <w:vMerge w:val="continue"/>
                  <w:noWrap w:val="0"/>
                  <w:vAlign w:val="center"/>
                </w:tcPr>
                <w:p w14:paraId="05425B3E">
                  <w:pPr>
                    <w:pStyle w:val="28"/>
                    <w:bidi w:val="0"/>
                    <w:rPr>
                      <w:rFonts w:hint="default"/>
                      <w:color w:val="auto"/>
                    </w:rPr>
                  </w:pPr>
                </w:p>
              </w:tc>
            </w:tr>
          </w:tbl>
          <w:p w14:paraId="214B0574">
            <w:pPr>
              <w:pStyle w:val="4"/>
              <w:bidi w:val="0"/>
              <w:rPr>
                <w:rFonts w:hint="default"/>
                <w:color w:val="auto"/>
              </w:rPr>
            </w:pPr>
            <w:r>
              <w:rPr>
                <w:rFonts w:hint="default"/>
                <w:color w:val="auto"/>
                <w:lang w:val="en-US" w:eastAsia="zh-CN"/>
              </w:rPr>
              <w:t>3.1.2</w:t>
            </w:r>
            <w:r>
              <w:rPr>
                <w:rFonts w:hint="default"/>
                <w:color w:val="auto"/>
              </w:rPr>
              <w:t>区域大气环境质量现状</w:t>
            </w:r>
          </w:p>
          <w:p w14:paraId="006A44F5">
            <w:pPr>
              <w:bidi w:val="0"/>
              <w:rPr>
                <w:rFonts w:hint="default"/>
                <w:b/>
                <w:bCs/>
                <w:color w:val="auto"/>
                <w:lang w:val="en-US" w:eastAsia="zh-CN"/>
              </w:rPr>
            </w:pPr>
            <w:r>
              <w:rPr>
                <w:rFonts w:hint="eastAsia"/>
                <w:b/>
                <w:bCs/>
                <w:color w:val="auto"/>
                <w:lang w:val="en-US" w:eastAsia="zh-CN"/>
              </w:rPr>
              <w:t>（1）</w:t>
            </w:r>
            <w:r>
              <w:rPr>
                <w:rFonts w:hint="default"/>
                <w:b/>
                <w:bCs/>
                <w:color w:val="auto"/>
                <w:lang w:val="en-US" w:eastAsia="zh-CN"/>
              </w:rPr>
              <w:t>城市达标区域判断</w:t>
            </w:r>
          </w:p>
          <w:p w14:paraId="4A66F4FA">
            <w:pPr>
              <w:bidi w:val="0"/>
              <w:rPr>
                <w:rFonts w:hint="default"/>
                <w:color w:val="auto"/>
                <w:lang w:val="en-US" w:eastAsia="zh-CN"/>
              </w:rPr>
            </w:pPr>
            <w:r>
              <w:rPr>
                <w:rFonts w:hint="default"/>
                <w:color w:val="auto"/>
              </w:rPr>
              <w:t>城市环境空气质量达标情况评价指标为SO</w:t>
            </w:r>
            <w:r>
              <w:rPr>
                <w:rFonts w:hint="default"/>
                <w:color w:val="auto"/>
                <w:vertAlign w:val="subscript"/>
              </w:rPr>
              <w:t>2</w:t>
            </w:r>
            <w:r>
              <w:rPr>
                <w:rFonts w:hint="default"/>
                <w:color w:val="auto"/>
              </w:rPr>
              <w:t>、NO</w:t>
            </w:r>
            <w:r>
              <w:rPr>
                <w:rFonts w:hint="default"/>
                <w:color w:val="auto"/>
                <w:vertAlign w:val="subscript"/>
              </w:rPr>
              <w:t>2</w:t>
            </w:r>
            <w:r>
              <w:rPr>
                <w:rFonts w:hint="default"/>
                <w:color w:val="auto"/>
              </w:rPr>
              <w:t>、PM</w:t>
            </w:r>
            <w:r>
              <w:rPr>
                <w:rFonts w:hint="default"/>
                <w:color w:val="auto"/>
                <w:vertAlign w:val="subscript"/>
              </w:rPr>
              <w:t>10</w:t>
            </w:r>
            <w:r>
              <w:rPr>
                <w:rFonts w:hint="default"/>
                <w:color w:val="auto"/>
              </w:rPr>
              <w:t>、PM</w:t>
            </w:r>
            <w:r>
              <w:rPr>
                <w:rFonts w:hint="default"/>
                <w:color w:val="auto"/>
                <w:vertAlign w:val="subscript"/>
              </w:rPr>
              <w:t>2.5</w:t>
            </w:r>
            <w:r>
              <w:rPr>
                <w:rFonts w:hint="default"/>
                <w:color w:val="auto"/>
              </w:rPr>
              <w:t>、CO和O</w:t>
            </w:r>
            <w:r>
              <w:rPr>
                <w:rFonts w:hint="default"/>
                <w:color w:val="auto"/>
                <w:vertAlign w:val="subscript"/>
              </w:rPr>
              <w:t>3</w:t>
            </w:r>
            <w:r>
              <w:rPr>
                <w:rFonts w:hint="default"/>
                <w:color w:val="auto"/>
              </w:rPr>
              <w:t>，</w:t>
            </w:r>
            <w:r>
              <w:rPr>
                <w:rFonts w:hint="default"/>
                <w:color w:val="auto"/>
                <w:lang w:val="en-US" w:eastAsia="zh-CN"/>
              </w:rPr>
              <w:t>六项污染物全部达标即为城市环境空气质量达标。</w:t>
            </w:r>
          </w:p>
          <w:p w14:paraId="6C4CD6BC">
            <w:pPr>
              <w:bidi w:val="0"/>
              <w:rPr>
                <w:rFonts w:hint="eastAsia"/>
                <w:color w:val="auto"/>
                <w:lang w:val="en-US" w:eastAsia="zh-CN"/>
              </w:rPr>
            </w:pPr>
            <w:r>
              <w:rPr>
                <w:rFonts w:hint="eastAsia"/>
                <w:color w:val="auto"/>
                <w:lang w:val="en-US" w:eastAsia="zh-CN"/>
              </w:rPr>
              <w:t>根据福清市人民政府网站公布的2024年1月-12月福清市空气环境质量各月报可知（网址：http://www.fuqing.gov.cn/xjwz/zwgk/ztzl/sdgjz/dhwrfzgjz/hjzl/），福清市2024年连续1年的大气常规因子环境空气质量监测数据如下。</w:t>
            </w:r>
          </w:p>
          <w:p w14:paraId="1457CDD2">
            <w:pPr>
              <w:bidi w:val="0"/>
              <w:rPr>
                <w:rFonts w:hint="eastAsia"/>
                <w:color w:val="auto"/>
                <w:lang w:val="en-US" w:eastAsia="zh-CN"/>
              </w:rPr>
            </w:pPr>
          </w:p>
          <w:p w14:paraId="1541F642">
            <w:pPr>
              <w:bidi w:val="0"/>
              <w:rPr>
                <w:rFonts w:hint="eastAsia"/>
                <w:color w:val="auto"/>
                <w:lang w:val="en-US" w:eastAsia="zh-CN"/>
              </w:rPr>
            </w:pPr>
          </w:p>
          <w:p w14:paraId="6302B5DD">
            <w:pPr>
              <w:bidi w:val="0"/>
              <w:rPr>
                <w:rFonts w:hint="default"/>
                <w:color w:val="auto"/>
                <w:lang w:val="zh-CN" w:eastAsia="zh-CN"/>
              </w:rPr>
            </w:pPr>
          </w:p>
          <w:p w14:paraId="4ECAB085">
            <w:pPr>
              <w:pStyle w:val="33"/>
              <w:bidi w:val="0"/>
              <w:rPr>
                <w:rFonts w:hint="default"/>
                <w:color w:val="auto"/>
                <w:sz w:val="24"/>
                <w:szCs w:val="24"/>
                <w:lang w:val="zh-CN" w:eastAsia="zh-CN"/>
              </w:rPr>
            </w:pPr>
            <w:r>
              <w:rPr>
                <w:rFonts w:hint="default"/>
                <w:color w:val="auto"/>
                <w:sz w:val="24"/>
                <w:szCs w:val="24"/>
                <w:lang w:val="zh-CN" w:eastAsia="zh-CN"/>
              </w:rPr>
              <w:t>表3.1-</w:t>
            </w:r>
            <w:r>
              <w:rPr>
                <w:rFonts w:hint="eastAsia"/>
                <w:color w:val="auto"/>
                <w:sz w:val="24"/>
                <w:szCs w:val="24"/>
                <w:lang w:val="en-US" w:eastAsia="zh-CN"/>
              </w:rPr>
              <w:t xml:space="preserve">2 </w:t>
            </w:r>
            <w:r>
              <w:rPr>
                <w:rFonts w:hint="eastAsia"/>
                <w:color w:val="auto"/>
                <w:sz w:val="24"/>
                <w:szCs w:val="24"/>
                <w:lang w:val="zh-CN" w:eastAsia="zh-CN"/>
              </w:rPr>
              <w:t>福</w:t>
            </w:r>
            <w:r>
              <w:rPr>
                <w:rFonts w:hint="eastAsia"/>
                <w:color w:val="auto"/>
                <w:sz w:val="24"/>
                <w:szCs w:val="24"/>
                <w:lang w:val="en-US" w:eastAsia="zh-CN"/>
              </w:rPr>
              <w:t>清市</w:t>
            </w:r>
            <w:r>
              <w:rPr>
                <w:rFonts w:hint="default"/>
                <w:color w:val="auto"/>
                <w:sz w:val="24"/>
                <w:szCs w:val="24"/>
                <w:lang w:val="zh-CN" w:eastAsia="zh-CN"/>
              </w:rPr>
              <w:t>202</w:t>
            </w:r>
            <w:r>
              <w:rPr>
                <w:rFonts w:hint="eastAsia"/>
                <w:color w:val="auto"/>
                <w:sz w:val="24"/>
                <w:szCs w:val="24"/>
                <w:lang w:val="en-US" w:eastAsia="zh-CN"/>
              </w:rPr>
              <w:t>4</w:t>
            </w:r>
            <w:r>
              <w:rPr>
                <w:rFonts w:hint="default"/>
                <w:color w:val="auto"/>
                <w:sz w:val="24"/>
                <w:szCs w:val="24"/>
                <w:lang w:val="zh-CN" w:eastAsia="zh-CN"/>
              </w:rPr>
              <w:t>年1月份</w:t>
            </w:r>
            <w:r>
              <w:rPr>
                <w:rFonts w:hint="eastAsia"/>
                <w:color w:val="auto"/>
                <w:sz w:val="24"/>
                <w:szCs w:val="24"/>
                <w:lang w:val="zh-CN" w:eastAsia="zh-CN"/>
              </w:rPr>
              <w:t>～</w:t>
            </w:r>
            <w:r>
              <w:rPr>
                <w:rFonts w:hint="default"/>
                <w:color w:val="auto"/>
                <w:sz w:val="24"/>
                <w:szCs w:val="24"/>
                <w:lang w:val="zh-CN" w:eastAsia="zh-CN"/>
              </w:rPr>
              <w:t>202</w:t>
            </w:r>
            <w:r>
              <w:rPr>
                <w:rFonts w:hint="eastAsia"/>
                <w:color w:val="auto"/>
                <w:sz w:val="24"/>
                <w:szCs w:val="24"/>
                <w:lang w:val="en-US" w:eastAsia="zh-CN"/>
              </w:rPr>
              <w:t>4</w:t>
            </w:r>
            <w:r>
              <w:rPr>
                <w:rFonts w:hint="default"/>
                <w:color w:val="auto"/>
                <w:sz w:val="24"/>
                <w:szCs w:val="24"/>
                <w:lang w:val="zh-CN" w:eastAsia="zh-CN"/>
              </w:rPr>
              <w:t>年1</w:t>
            </w:r>
            <w:r>
              <w:rPr>
                <w:rFonts w:hint="eastAsia"/>
                <w:color w:val="auto"/>
                <w:sz w:val="24"/>
                <w:szCs w:val="24"/>
                <w:lang w:val="en-US" w:eastAsia="zh-CN"/>
              </w:rPr>
              <w:t>2</w:t>
            </w:r>
            <w:r>
              <w:rPr>
                <w:rFonts w:hint="default"/>
                <w:color w:val="auto"/>
                <w:sz w:val="24"/>
                <w:szCs w:val="24"/>
                <w:lang w:val="zh-CN" w:eastAsia="zh-CN"/>
              </w:rPr>
              <w:t>月份环境空气质量统计</w:t>
            </w:r>
          </w:p>
          <w:tbl>
            <w:tblPr>
              <w:tblStyle w:val="20"/>
              <w:tblW w:w="809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1953"/>
              <w:gridCol w:w="942"/>
              <w:gridCol w:w="1008"/>
              <w:gridCol w:w="1008"/>
              <w:gridCol w:w="1019"/>
              <w:gridCol w:w="1119"/>
              <w:gridCol w:w="1045"/>
            </w:tblGrid>
            <w:tr w14:paraId="4FAA96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953" w:type="dxa"/>
                  <w:vMerge w:val="restart"/>
                  <w:tcBorders>
                    <w:tl2br w:val="nil"/>
                    <w:tr2bl w:val="nil"/>
                  </w:tcBorders>
                  <w:noWrap w:val="0"/>
                  <w:vAlign w:val="center"/>
                </w:tcPr>
                <w:p w14:paraId="2C33F1E5">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时间</w:t>
                  </w:r>
                </w:p>
              </w:tc>
              <w:tc>
                <w:tcPr>
                  <w:tcW w:w="6141" w:type="dxa"/>
                  <w:gridSpan w:val="6"/>
                  <w:tcBorders>
                    <w:tl2br w:val="nil"/>
                    <w:tr2bl w:val="nil"/>
                  </w:tcBorders>
                  <w:noWrap w:val="0"/>
                  <w:vAlign w:val="center"/>
                </w:tcPr>
                <w:p w14:paraId="083EE8C8">
                  <w:pPr>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月均值m</w:t>
                  </w:r>
                  <w:r>
                    <w:rPr>
                      <w:rFonts w:hint="default" w:ascii="Times New Roman" w:hAnsi="Times New Roman" w:eastAsia="宋体" w:cs="Times New Roman"/>
                      <w:b/>
                      <w:bCs/>
                      <w:color w:val="auto"/>
                      <w:sz w:val="21"/>
                      <w:szCs w:val="21"/>
                      <w:highlight w:val="none"/>
                    </w:rPr>
                    <w:t>g/m³</w:t>
                  </w:r>
                </w:p>
              </w:tc>
            </w:tr>
            <w:tr w14:paraId="01DA28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953" w:type="dxa"/>
                  <w:vMerge w:val="continue"/>
                  <w:tcBorders>
                    <w:tl2br w:val="nil"/>
                    <w:tr2bl w:val="nil"/>
                  </w:tcBorders>
                  <w:noWrap w:val="0"/>
                  <w:vAlign w:val="center"/>
                </w:tcPr>
                <w:p w14:paraId="01AC481D">
                  <w:pPr>
                    <w:spacing w:line="240" w:lineRule="auto"/>
                    <w:ind w:firstLine="0" w:firstLineChars="0"/>
                    <w:jc w:val="center"/>
                    <w:rPr>
                      <w:rFonts w:hint="default" w:ascii="Times New Roman" w:hAnsi="Times New Roman" w:eastAsia="宋体" w:cs="Times New Roman"/>
                      <w:b/>
                      <w:bCs/>
                      <w:color w:val="auto"/>
                      <w:sz w:val="21"/>
                      <w:szCs w:val="21"/>
                      <w:highlight w:val="none"/>
                    </w:rPr>
                  </w:pPr>
                </w:p>
              </w:tc>
              <w:tc>
                <w:tcPr>
                  <w:tcW w:w="942" w:type="dxa"/>
                  <w:tcBorders>
                    <w:tl2br w:val="nil"/>
                    <w:tr2bl w:val="nil"/>
                  </w:tcBorders>
                  <w:noWrap w:val="0"/>
                  <w:vAlign w:val="center"/>
                </w:tcPr>
                <w:p w14:paraId="08C2EEFE">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SO</w:t>
                  </w:r>
                  <w:r>
                    <w:rPr>
                      <w:rFonts w:hint="default" w:ascii="Times New Roman" w:hAnsi="Times New Roman" w:eastAsia="宋体" w:cs="Times New Roman"/>
                      <w:b/>
                      <w:bCs/>
                      <w:color w:val="auto"/>
                      <w:sz w:val="21"/>
                      <w:szCs w:val="21"/>
                      <w:highlight w:val="none"/>
                      <w:vertAlign w:val="subscript"/>
                    </w:rPr>
                    <w:t>2</w:t>
                  </w:r>
                </w:p>
              </w:tc>
              <w:tc>
                <w:tcPr>
                  <w:tcW w:w="1008" w:type="dxa"/>
                  <w:tcBorders>
                    <w:tl2br w:val="nil"/>
                    <w:tr2bl w:val="nil"/>
                  </w:tcBorders>
                  <w:noWrap w:val="0"/>
                  <w:vAlign w:val="center"/>
                </w:tcPr>
                <w:p w14:paraId="1F88EE48">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NO</w:t>
                  </w:r>
                  <w:r>
                    <w:rPr>
                      <w:rFonts w:hint="default" w:ascii="Times New Roman" w:hAnsi="Times New Roman" w:eastAsia="宋体" w:cs="Times New Roman"/>
                      <w:b/>
                      <w:bCs/>
                      <w:color w:val="auto"/>
                      <w:sz w:val="21"/>
                      <w:szCs w:val="21"/>
                      <w:highlight w:val="none"/>
                      <w:vertAlign w:val="subscript"/>
                    </w:rPr>
                    <w:t>2</w:t>
                  </w:r>
                </w:p>
              </w:tc>
              <w:tc>
                <w:tcPr>
                  <w:tcW w:w="1008" w:type="dxa"/>
                  <w:tcBorders>
                    <w:tl2br w:val="nil"/>
                    <w:tr2bl w:val="nil"/>
                  </w:tcBorders>
                  <w:noWrap w:val="0"/>
                  <w:vAlign w:val="center"/>
                </w:tcPr>
                <w:p w14:paraId="7C3EBA32">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PM</w:t>
                  </w:r>
                  <w:r>
                    <w:rPr>
                      <w:rFonts w:hint="default" w:ascii="Times New Roman" w:hAnsi="Times New Roman" w:eastAsia="宋体" w:cs="Times New Roman"/>
                      <w:b/>
                      <w:bCs/>
                      <w:color w:val="auto"/>
                      <w:sz w:val="21"/>
                      <w:szCs w:val="21"/>
                      <w:highlight w:val="none"/>
                      <w:vertAlign w:val="subscript"/>
                    </w:rPr>
                    <w:t>10</w:t>
                  </w:r>
                </w:p>
              </w:tc>
              <w:tc>
                <w:tcPr>
                  <w:tcW w:w="1019" w:type="dxa"/>
                  <w:tcBorders>
                    <w:tl2br w:val="nil"/>
                    <w:tr2bl w:val="nil"/>
                  </w:tcBorders>
                  <w:noWrap w:val="0"/>
                  <w:vAlign w:val="center"/>
                </w:tcPr>
                <w:p w14:paraId="4D8F43D5">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PM</w:t>
                  </w:r>
                  <w:r>
                    <w:rPr>
                      <w:rFonts w:hint="default" w:ascii="Times New Roman" w:hAnsi="Times New Roman" w:eastAsia="宋体" w:cs="Times New Roman"/>
                      <w:b/>
                      <w:bCs/>
                      <w:color w:val="auto"/>
                      <w:sz w:val="21"/>
                      <w:szCs w:val="21"/>
                      <w:highlight w:val="none"/>
                      <w:vertAlign w:val="subscript"/>
                    </w:rPr>
                    <w:t>2.5</w:t>
                  </w:r>
                </w:p>
              </w:tc>
              <w:tc>
                <w:tcPr>
                  <w:tcW w:w="1119" w:type="dxa"/>
                  <w:tcBorders>
                    <w:tl2br w:val="nil"/>
                    <w:tr2bl w:val="nil"/>
                  </w:tcBorders>
                  <w:noWrap w:val="0"/>
                  <w:vAlign w:val="center"/>
                </w:tcPr>
                <w:p w14:paraId="5E485131">
                  <w:pPr>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CO</w:t>
                  </w:r>
                </w:p>
              </w:tc>
              <w:tc>
                <w:tcPr>
                  <w:tcW w:w="1045" w:type="dxa"/>
                  <w:tcBorders>
                    <w:tl2br w:val="nil"/>
                    <w:tr2bl w:val="nil"/>
                  </w:tcBorders>
                  <w:noWrap w:val="0"/>
                  <w:vAlign w:val="center"/>
                </w:tcPr>
                <w:p w14:paraId="2D7EB66D">
                  <w:pPr>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O</w:t>
                  </w:r>
                  <w:r>
                    <w:rPr>
                      <w:rFonts w:hint="default" w:ascii="Times New Roman" w:hAnsi="Times New Roman" w:eastAsia="宋体" w:cs="Times New Roman"/>
                      <w:b/>
                      <w:bCs/>
                      <w:color w:val="auto"/>
                      <w:sz w:val="21"/>
                      <w:szCs w:val="21"/>
                      <w:highlight w:val="none"/>
                      <w:vertAlign w:val="subscript"/>
                    </w:rPr>
                    <w:t>3</w:t>
                  </w:r>
                </w:p>
              </w:tc>
            </w:tr>
            <w:tr w14:paraId="5360E2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953" w:type="dxa"/>
                  <w:tcBorders>
                    <w:tl2br w:val="nil"/>
                    <w:tr2bl w:val="nil"/>
                  </w:tcBorders>
                  <w:noWrap w:val="0"/>
                  <w:vAlign w:val="center"/>
                </w:tcPr>
                <w:p w14:paraId="0DDEE9FE">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202</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年1月</w:t>
                  </w:r>
                </w:p>
              </w:tc>
              <w:tc>
                <w:tcPr>
                  <w:tcW w:w="942" w:type="dxa"/>
                  <w:tcBorders>
                    <w:tl2br w:val="nil"/>
                    <w:tr2bl w:val="nil"/>
                  </w:tcBorders>
                  <w:noWrap w:val="0"/>
                  <w:vAlign w:val="center"/>
                </w:tcPr>
                <w:p w14:paraId="6CB7108F">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0.003</w:t>
                  </w:r>
                </w:p>
              </w:tc>
              <w:tc>
                <w:tcPr>
                  <w:tcW w:w="1008" w:type="dxa"/>
                  <w:tcBorders>
                    <w:tl2br w:val="nil"/>
                    <w:tr2bl w:val="nil"/>
                  </w:tcBorders>
                  <w:noWrap w:val="0"/>
                  <w:vAlign w:val="center"/>
                </w:tcPr>
                <w:p w14:paraId="4EA3E87A">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0.022</w:t>
                  </w:r>
                </w:p>
              </w:tc>
              <w:tc>
                <w:tcPr>
                  <w:tcW w:w="1008" w:type="dxa"/>
                  <w:tcBorders>
                    <w:tl2br w:val="nil"/>
                    <w:tr2bl w:val="nil"/>
                  </w:tcBorders>
                  <w:noWrap w:val="0"/>
                  <w:vAlign w:val="center"/>
                </w:tcPr>
                <w:p w14:paraId="36EBE104">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0.048</w:t>
                  </w:r>
                </w:p>
              </w:tc>
              <w:tc>
                <w:tcPr>
                  <w:tcW w:w="1019" w:type="dxa"/>
                  <w:tcBorders>
                    <w:tl2br w:val="nil"/>
                    <w:tr2bl w:val="nil"/>
                  </w:tcBorders>
                  <w:noWrap w:val="0"/>
                  <w:vAlign w:val="center"/>
                </w:tcPr>
                <w:p w14:paraId="500F99B1">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0.030</w:t>
                  </w:r>
                </w:p>
              </w:tc>
              <w:tc>
                <w:tcPr>
                  <w:tcW w:w="1119" w:type="dxa"/>
                  <w:tcBorders>
                    <w:tl2br w:val="nil"/>
                    <w:tr2bl w:val="nil"/>
                  </w:tcBorders>
                  <w:noWrap w:val="0"/>
                  <w:vAlign w:val="center"/>
                </w:tcPr>
                <w:p w14:paraId="2D440E90">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0.9</w:t>
                  </w:r>
                </w:p>
              </w:tc>
              <w:tc>
                <w:tcPr>
                  <w:tcW w:w="1045" w:type="dxa"/>
                  <w:tcBorders>
                    <w:tl2br w:val="nil"/>
                    <w:tr2bl w:val="nil"/>
                  </w:tcBorders>
                  <w:noWrap w:val="0"/>
                  <w:vAlign w:val="center"/>
                </w:tcPr>
                <w:p w14:paraId="07A6AFD2">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0.110</w:t>
                  </w:r>
                </w:p>
              </w:tc>
            </w:tr>
            <w:tr w14:paraId="7A62E3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953" w:type="dxa"/>
                  <w:tcBorders>
                    <w:tl2br w:val="nil"/>
                    <w:tr2bl w:val="nil"/>
                  </w:tcBorders>
                  <w:noWrap w:val="0"/>
                  <w:vAlign w:val="center"/>
                </w:tcPr>
                <w:p w14:paraId="6F553AC5">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202</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年2月</w:t>
                  </w:r>
                </w:p>
              </w:tc>
              <w:tc>
                <w:tcPr>
                  <w:tcW w:w="942" w:type="dxa"/>
                  <w:tcBorders>
                    <w:tl2br w:val="nil"/>
                    <w:tr2bl w:val="nil"/>
                  </w:tcBorders>
                  <w:noWrap w:val="0"/>
                  <w:vAlign w:val="center"/>
                </w:tcPr>
                <w:p w14:paraId="4913F072">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0.003</w:t>
                  </w:r>
                </w:p>
              </w:tc>
              <w:tc>
                <w:tcPr>
                  <w:tcW w:w="1008" w:type="dxa"/>
                  <w:tcBorders>
                    <w:tl2br w:val="nil"/>
                    <w:tr2bl w:val="nil"/>
                  </w:tcBorders>
                  <w:noWrap w:val="0"/>
                  <w:vAlign w:val="center"/>
                </w:tcPr>
                <w:p w14:paraId="18288693">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0.009</w:t>
                  </w:r>
                </w:p>
              </w:tc>
              <w:tc>
                <w:tcPr>
                  <w:tcW w:w="1008" w:type="dxa"/>
                  <w:tcBorders>
                    <w:tl2br w:val="nil"/>
                    <w:tr2bl w:val="nil"/>
                  </w:tcBorders>
                  <w:noWrap w:val="0"/>
                  <w:vAlign w:val="center"/>
                </w:tcPr>
                <w:p w14:paraId="3E09D9B0">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0.038</w:t>
                  </w:r>
                </w:p>
              </w:tc>
              <w:tc>
                <w:tcPr>
                  <w:tcW w:w="1019" w:type="dxa"/>
                  <w:tcBorders>
                    <w:tl2br w:val="nil"/>
                    <w:tr2bl w:val="nil"/>
                  </w:tcBorders>
                  <w:noWrap w:val="0"/>
                  <w:vAlign w:val="center"/>
                </w:tcPr>
                <w:p w14:paraId="34E2CA43">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0.023</w:t>
                  </w:r>
                </w:p>
              </w:tc>
              <w:tc>
                <w:tcPr>
                  <w:tcW w:w="1119" w:type="dxa"/>
                  <w:tcBorders>
                    <w:tl2br w:val="nil"/>
                    <w:tr2bl w:val="nil"/>
                  </w:tcBorders>
                  <w:noWrap w:val="0"/>
                  <w:vAlign w:val="center"/>
                </w:tcPr>
                <w:p w14:paraId="06FFDF59">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1.2</w:t>
                  </w:r>
                </w:p>
              </w:tc>
              <w:tc>
                <w:tcPr>
                  <w:tcW w:w="1045" w:type="dxa"/>
                  <w:tcBorders>
                    <w:tl2br w:val="nil"/>
                    <w:tr2bl w:val="nil"/>
                  </w:tcBorders>
                  <w:noWrap w:val="0"/>
                  <w:vAlign w:val="center"/>
                </w:tcPr>
                <w:p w14:paraId="05DCE0F0">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0.112</w:t>
                  </w:r>
                </w:p>
              </w:tc>
            </w:tr>
            <w:tr w14:paraId="32F5A1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953" w:type="dxa"/>
                  <w:tcBorders>
                    <w:tl2br w:val="nil"/>
                    <w:tr2bl w:val="nil"/>
                  </w:tcBorders>
                  <w:noWrap w:val="0"/>
                  <w:vAlign w:val="center"/>
                </w:tcPr>
                <w:p w14:paraId="70470465">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202</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年3月</w:t>
                  </w:r>
                </w:p>
              </w:tc>
              <w:tc>
                <w:tcPr>
                  <w:tcW w:w="942" w:type="dxa"/>
                  <w:tcBorders>
                    <w:tl2br w:val="nil"/>
                    <w:tr2bl w:val="nil"/>
                  </w:tcBorders>
                  <w:noWrap w:val="0"/>
                  <w:vAlign w:val="center"/>
                </w:tcPr>
                <w:p w14:paraId="7CBC8AB9">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0.002</w:t>
                  </w:r>
                </w:p>
              </w:tc>
              <w:tc>
                <w:tcPr>
                  <w:tcW w:w="1008" w:type="dxa"/>
                  <w:tcBorders>
                    <w:tl2br w:val="nil"/>
                    <w:tr2bl w:val="nil"/>
                  </w:tcBorders>
                  <w:noWrap w:val="0"/>
                  <w:vAlign w:val="center"/>
                </w:tcPr>
                <w:p w14:paraId="5424CCD4">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0.018</w:t>
                  </w:r>
                </w:p>
              </w:tc>
              <w:tc>
                <w:tcPr>
                  <w:tcW w:w="1008" w:type="dxa"/>
                  <w:tcBorders>
                    <w:tl2br w:val="nil"/>
                    <w:tr2bl w:val="nil"/>
                  </w:tcBorders>
                  <w:noWrap w:val="0"/>
                  <w:vAlign w:val="center"/>
                </w:tcPr>
                <w:p w14:paraId="7AC4FDE2">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0.050</w:t>
                  </w:r>
                </w:p>
              </w:tc>
              <w:tc>
                <w:tcPr>
                  <w:tcW w:w="1019" w:type="dxa"/>
                  <w:tcBorders>
                    <w:tl2br w:val="nil"/>
                    <w:tr2bl w:val="nil"/>
                  </w:tcBorders>
                  <w:noWrap w:val="0"/>
                  <w:vAlign w:val="center"/>
                </w:tcPr>
                <w:p w14:paraId="7129F973">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0.023</w:t>
                  </w:r>
                </w:p>
              </w:tc>
              <w:tc>
                <w:tcPr>
                  <w:tcW w:w="1119" w:type="dxa"/>
                  <w:tcBorders>
                    <w:tl2br w:val="nil"/>
                    <w:tr2bl w:val="nil"/>
                  </w:tcBorders>
                  <w:noWrap w:val="0"/>
                  <w:vAlign w:val="center"/>
                </w:tcPr>
                <w:p w14:paraId="5D55EB6B">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c>
                <w:tcPr>
                  <w:tcW w:w="1045" w:type="dxa"/>
                  <w:tcBorders>
                    <w:tl2br w:val="nil"/>
                    <w:tr2bl w:val="nil"/>
                  </w:tcBorders>
                  <w:noWrap w:val="0"/>
                  <w:vAlign w:val="center"/>
                </w:tcPr>
                <w:p w14:paraId="617868B1">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0.121</w:t>
                  </w:r>
                </w:p>
              </w:tc>
            </w:tr>
            <w:tr w14:paraId="5BBEA3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953" w:type="dxa"/>
                  <w:tcBorders>
                    <w:tl2br w:val="nil"/>
                    <w:tr2bl w:val="nil"/>
                  </w:tcBorders>
                  <w:noWrap w:val="0"/>
                  <w:vAlign w:val="center"/>
                </w:tcPr>
                <w:p w14:paraId="7D42C0F8">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202</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年4月</w:t>
                  </w:r>
                </w:p>
              </w:tc>
              <w:tc>
                <w:tcPr>
                  <w:tcW w:w="942" w:type="dxa"/>
                  <w:tcBorders>
                    <w:tl2br w:val="nil"/>
                    <w:tr2bl w:val="nil"/>
                  </w:tcBorders>
                  <w:noWrap w:val="0"/>
                  <w:vAlign w:val="center"/>
                </w:tcPr>
                <w:p w14:paraId="088107CF">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0.003</w:t>
                  </w:r>
                </w:p>
              </w:tc>
              <w:tc>
                <w:tcPr>
                  <w:tcW w:w="1008" w:type="dxa"/>
                  <w:tcBorders>
                    <w:tl2br w:val="nil"/>
                    <w:tr2bl w:val="nil"/>
                  </w:tcBorders>
                  <w:noWrap w:val="0"/>
                  <w:vAlign w:val="center"/>
                </w:tcPr>
                <w:p w14:paraId="048D162C">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0.016</w:t>
                  </w:r>
                </w:p>
              </w:tc>
              <w:tc>
                <w:tcPr>
                  <w:tcW w:w="1008" w:type="dxa"/>
                  <w:tcBorders>
                    <w:tl2br w:val="nil"/>
                    <w:tr2bl w:val="nil"/>
                  </w:tcBorders>
                  <w:noWrap w:val="0"/>
                  <w:vAlign w:val="center"/>
                </w:tcPr>
                <w:p w14:paraId="2BCA7429">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0.041</w:t>
                  </w:r>
                </w:p>
              </w:tc>
              <w:tc>
                <w:tcPr>
                  <w:tcW w:w="1019" w:type="dxa"/>
                  <w:tcBorders>
                    <w:tl2br w:val="nil"/>
                    <w:tr2bl w:val="nil"/>
                  </w:tcBorders>
                  <w:noWrap w:val="0"/>
                  <w:vAlign w:val="center"/>
                </w:tcPr>
                <w:p w14:paraId="202F4B98">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0.020</w:t>
                  </w:r>
                </w:p>
              </w:tc>
              <w:tc>
                <w:tcPr>
                  <w:tcW w:w="1119" w:type="dxa"/>
                  <w:tcBorders>
                    <w:tl2br w:val="nil"/>
                    <w:tr2bl w:val="nil"/>
                  </w:tcBorders>
                  <w:noWrap w:val="0"/>
                  <w:vAlign w:val="center"/>
                </w:tcPr>
                <w:p w14:paraId="0B7BAA79">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0.8</w:t>
                  </w:r>
                </w:p>
              </w:tc>
              <w:tc>
                <w:tcPr>
                  <w:tcW w:w="1045" w:type="dxa"/>
                  <w:tcBorders>
                    <w:tl2br w:val="nil"/>
                    <w:tr2bl w:val="nil"/>
                  </w:tcBorders>
                  <w:noWrap w:val="0"/>
                  <w:vAlign w:val="center"/>
                </w:tcPr>
                <w:p w14:paraId="0BFBF11F">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0.122</w:t>
                  </w:r>
                </w:p>
              </w:tc>
            </w:tr>
            <w:tr w14:paraId="1EE13A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953" w:type="dxa"/>
                  <w:tcBorders>
                    <w:tl2br w:val="nil"/>
                    <w:tr2bl w:val="nil"/>
                  </w:tcBorders>
                  <w:noWrap w:val="0"/>
                  <w:vAlign w:val="center"/>
                </w:tcPr>
                <w:p w14:paraId="484FD86A">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202</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年5月</w:t>
                  </w:r>
                </w:p>
              </w:tc>
              <w:tc>
                <w:tcPr>
                  <w:tcW w:w="942" w:type="dxa"/>
                  <w:tcBorders>
                    <w:tl2br w:val="nil"/>
                    <w:tr2bl w:val="nil"/>
                  </w:tcBorders>
                  <w:noWrap w:val="0"/>
                  <w:vAlign w:val="center"/>
                </w:tcPr>
                <w:p w14:paraId="31BE8355">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0.002</w:t>
                  </w:r>
                </w:p>
              </w:tc>
              <w:tc>
                <w:tcPr>
                  <w:tcW w:w="1008" w:type="dxa"/>
                  <w:tcBorders>
                    <w:tl2br w:val="nil"/>
                    <w:tr2bl w:val="nil"/>
                  </w:tcBorders>
                  <w:noWrap w:val="0"/>
                  <w:vAlign w:val="center"/>
                </w:tcPr>
                <w:p w14:paraId="043AD99C">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0.011</w:t>
                  </w:r>
                </w:p>
              </w:tc>
              <w:tc>
                <w:tcPr>
                  <w:tcW w:w="1008" w:type="dxa"/>
                  <w:tcBorders>
                    <w:tl2br w:val="nil"/>
                    <w:tr2bl w:val="nil"/>
                  </w:tcBorders>
                  <w:noWrap w:val="0"/>
                  <w:vAlign w:val="center"/>
                </w:tcPr>
                <w:p w14:paraId="0F63A01E">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0.028</w:t>
                  </w:r>
                </w:p>
              </w:tc>
              <w:tc>
                <w:tcPr>
                  <w:tcW w:w="1019" w:type="dxa"/>
                  <w:tcBorders>
                    <w:tl2br w:val="nil"/>
                    <w:tr2bl w:val="nil"/>
                  </w:tcBorders>
                  <w:noWrap w:val="0"/>
                  <w:vAlign w:val="center"/>
                </w:tcPr>
                <w:p w14:paraId="00498B04">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0.013</w:t>
                  </w:r>
                </w:p>
              </w:tc>
              <w:tc>
                <w:tcPr>
                  <w:tcW w:w="1119" w:type="dxa"/>
                  <w:tcBorders>
                    <w:tl2br w:val="nil"/>
                    <w:tr2bl w:val="nil"/>
                  </w:tcBorders>
                  <w:noWrap w:val="0"/>
                  <w:vAlign w:val="center"/>
                </w:tcPr>
                <w:p w14:paraId="5F8665D7">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0.6</w:t>
                  </w:r>
                </w:p>
              </w:tc>
              <w:tc>
                <w:tcPr>
                  <w:tcW w:w="1045" w:type="dxa"/>
                  <w:tcBorders>
                    <w:tl2br w:val="nil"/>
                    <w:tr2bl w:val="nil"/>
                  </w:tcBorders>
                  <w:noWrap w:val="0"/>
                  <w:vAlign w:val="center"/>
                </w:tcPr>
                <w:p w14:paraId="694B2D5E">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0.130</w:t>
                  </w:r>
                </w:p>
              </w:tc>
            </w:tr>
            <w:tr w14:paraId="71F4EE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953" w:type="dxa"/>
                  <w:tcBorders>
                    <w:tl2br w:val="nil"/>
                    <w:tr2bl w:val="nil"/>
                  </w:tcBorders>
                  <w:noWrap w:val="0"/>
                  <w:vAlign w:val="center"/>
                </w:tcPr>
                <w:p w14:paraId="0F1D3585">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202</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年6月</w:t>
                  </w:r>
                </w:p>
              </w:tc>
              <w:tc>
                <w:tcPr>
                  <w:tcW w:w="942" w:type="dxa"/>
                  <w:tcBorders>
                    <w:tl2br w:val="nil"/>
                    <w:tr2bl w:val="nil"/>
                  </w:tcBorders>
                  <w:noWrap w:val="0"/>
                  <w:vAlign w:val="center"/>
                </w:tcPr>
                <w:p w14:paraId="797B1DA9">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0.002</w:t>
                  </w:r>
                </w:p>
              </w:tc>
              <w:tc>
                <w:tcPr>
                  <w:tcW w:w="1008" w:type="dxa"/>
                  <w:tcBorders>
                    <w:tl2br w:val="nil"/>
                    <w:tr2bl w:val="nil"/>
                  </w:tcBorders>
                  <w:noWrap w:val="0"/>
                  <w:vAlign w:val="center"/>
                </w:tcPr>
                <w:p w14:paraId="04AA5FF5">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0.010</w:t>
                  </w:r>
                </w:p>
              </w:tc>
              <w:tc>
                <w:tcPr>
                  <w:tcW w:w="1008" w:type="dxa"/>
                  <w:tcBorders>
                    <w:tl2br w:val="nil"/>
                    <w:tr2bl w:val="nil"/>
                  </w:tcBorders>
                  <w:noWrap w:val="0"/>
                  <w:vAlign w:val="center"/>
                </w:tcPr>
                <w:p w14:paraId="70F97182">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0.022</w:t>
                  </w:r>
                </w:p>
              </w:tc>
              <w:tc>
                <w:tcPr>
                  <w:tcW w:w="1019" w:type="dxa"/>
                  <w:tcBorders>
                    <w:tl2br w:val="nil"/>
                    <w:tr2bl w:val="nil"/>
                  </w:tcBorders>
                  <w:noWrap w:val="0"/>
                  <w:vAlign w:val="center"/>
                </w:tcPr>
                <w:p w14:paraId="24648914">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0.010</w:t>
                  </w:r>
                </w:p>
              </w:tc>
              <w:tc>
                <w:tcPr>
                  <w:tcW w:w="1119" w:type="dxa"/>
                  <w:tcBorders>
                    <w:tl2br w:val="nil"/>
                    <w:tr2bl w:val="nil"/>
                  </w:tcBorders>
                  <w:noWrap w:val="0"/>
                  <w:vAlign w:val="center"/>
                </w:tcPr>
                <w:p w14:paraId="058E6A33">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0.6</w:t>
                  </w:r>
                </w:p>
              </w:tc>
              <w:tc>
                <w:tcPr>
                  <w:tcW w:w="1045" w:type="dxa"/>
                  <w:tcBorders>
                    <w:tl2br w:val="nil"/>
                    <w:tr2bl w:val="nil"/>
                  </w:tcBorders>
                  <w:noWrap w:val="0"/>
                  <w:vAlign w:val="center"/>
                </w:tcPr>
                <w:p w14:paraId="41C87030">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0.112</w:t>
                  </w:r>
                </w:p>
              </w:tc>
            </w:tr>
            <w:tr w14:paraId="773078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953" w:type="dxa"/>
                  <w:tcBorders>
                    <w:tl2br w:val="nil"/>
                    <w:tr2bl w:val="nil"/>
                  </w:tcBorders>
                  <w:noWrap w:val="0"/>
                  <w:vAlign w:val="center"/>
                </w:tcPr>
                <w:p w14:paraId="4324B08D">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202</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年7月</w:t>
                  </w:r>
                </w:p>
              </w:tc>
              <w:tc>
                <w:tcPr>
                  <w:tcW w:w="942" w:type="dxa"/>
                  <w:tcBorders>
                    <w:tl2br w:val="nil"/>
                    <w:tr2bl w:val="nil"/>
                  </w:tcBorders>
                  <w:noWrap w:val="0"/>
                  <w:vAlign w:val="center"/>
                </w:tcPr>
                <w:p w14:paraId="1113F8C6">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0.002</w:t>
                  </w:r>
                </w:p>
              </w:tc>
              <w:tc>
                <w:tcPr>
                  <w:tcW w:w="1008" w:type="dxa"/>
                  <w:tcBorders>
                    <w:tl2br w:val="nil"/>
                    <w:tr2bl w:val="nil"/>
                  </w:tcBorders>
                  <w:noWrap w:val="0"/>
                  <w:vAlign w:val="center"/>
                </w:tcPr>
                <w:p w14:paraId="0A50E69E">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0.008</w:t>
                  </w:r>
                </w:p>
              </w:tc>
              <w:tc>
                <w:tcPr>
                  <w:tcW w:w="1008" w:type="dxa"/>
                  <w:tcBorders>
                    <w:tl2br w:val="nil"/>
                    <w:tr2bl w:val="nil"/>
                  </w:tcBorders>
                  <w:noWrap w:val="0"/>
                  <w:vAlign w:val="center"/>
                </w:tcPr>
                <w:p w14:paraId="43D55F4F">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0.020</w:t>
                  </w:r>
                </w:p>
              </w:tc>
              <w:tc>
                <w:tcPr>
                  <w:tcW w:w="1019" w:type="dxa"/>
                  <w:tcBorders>
                    <w:tl2br w:val="nil"/>
                    <w:tr2bl w:val="nil"/>
                  </w:tcBorders>
                  <w:noWrap w:val="0"/>
                  <w:vAlign w:val="center"/>
                </w:tcPr>
                <w:p w14:paraId="6261FDAD">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0.009</w:t>
                  </w:r>
                </w:p>
              </w:tc>
              <w:tc>
                <w:tcPr>
                  <w:tcW w:w="1119" w:type="dxa"/>
                  <w:tcBorders>
                    <w:tl2br w:val="nil"/>
                    <w:tr2bl w:val="nil"/>
                  </w:tcBorders>
                  <w:noWrap w:val="0"/>
                  <w:vAlign w:val="center"/>
                </w:tcPr>
                <w:p w14:paraId="54DE0051">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0.4</w:t>
                  </w:r>
                </w:p>
              </w:tc>
              <w:tc>
                <w:tcPr>
                  <w:tcW w:w="1045" w:type="dxa"/>
                  <w:tcBorders>
                    <w:tl2br w:val="nil"/>
                    <w:tr2bl w:val="nil"/>
                  </w:tcBorders>
                  <w:noWrap w:val="0"/>
                  <w:vAlign w:val="center"/>
                </w:tcPr>
                <w:p w14:paraId="410E9D60">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0.108</w:t>
                  </w:r>
                </w:p>
              </w:tc>
            </w:tr>
            <w:tr w14:paraId="5461A4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953" w:type="dxa"/>
                  <w:tcBorders>
                    <w:tl2br w:val="nil"/>
                    <w:tr2bl w:val="nil"/>
                  </w:tcBorders>
                  <w:noWrap w:val="0"/>
                  <w:vAlign w:val="center"/>
                </w:tcPr>
                <w:p w14:paraId="31C4A51B">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202</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年8月</w:t>
                  </w:r>
                </w:p>
              </w:tc>
              <w:tc>
                <w:tcPr>
                  <w:tcW w:w="942" w:type="dxa"/>
                  <w:tcBorders>
                    <w:tl2br w:val="nil"/>
                    <w:tr2bl w:val="nil"/>
                  </w:tcBorders>
                  <w:noWrap w:val="0"/>
                  <w:vAlign w:val="center"/>
                </w:tcPr>
                <w:p w14:paraId="7464F7AE">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0.004</w:t>
                  </w:r>
                </w:p>
              </w:tc>
              <w:tc>
                <w:tcPr>
                  <w:tcW w:w="1008" w:type="dxa"/>
                  <w:tcBorders>
                    <w:tl2br w:val="nil"/>
                    <w:tr2bl w:val="nil"/>
                  </w:tcBorders>
                  <w:noWrap w:val="0"/>
                  <w:vAlign w:val="center"/>
                </w:tcPr>
                <w:p w14:paraId="25BBFF98">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0.009</w:t>
                  </w:r>
                </w:p>
              </w:tc>
              <w:tc>
                <w:tcPr>
                  <w:tcW w:w="1008" w:type="dxa"/>
                  <w:tcBorders>
                    <w:tl2br w:val="nil"/>
                    <w:tr2bl w:val="nil"/>
                  </w:tcBorders>
                  <w:noWrap w:val="0"/>
                  <w:vAlign w:val="center"/>
                </w:tcPr>
                <w:p w14:paraId="12A43F2F">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0.032</w:t>
                  </w:r>
                </w:p>
              </w:tc>
              <w:tc>
                <w:tcPr>
                  <w:tcW w:w="1019" w:type="dxa"/>
                  <w:tcBorders>
                    <w:tl2br w:val="nil"/>
                    <w:tr2bl w:val="nil"/>
                  </w:tcBorders>
                  <w:noWrap w:val="0"/>
                  <w:vAlign w:val="center"/>
                </w:tcPr>
                <w:p w14:paraId="3961905E">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0.017</w:t>
                  </w:r>
                </w:p>
              </w:tc>
              <w:tc>
                <w:tcPr>
                  <w:tcW w:w="1119" w:type="dxa"/>
                  <w:tcBorders>
                    <w:tl2br w:val="nil"/>
                    <w:tr2bl w:val="nil"/>
                  </w:tcBorders>
                  <w:noWrap w:val="0"/>
                  <w:vAlign w:val="center"/>
                </w:tcPr>
                <w:p w14:paraId="6D1138A4">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0.5</w:t>
                  </w:r>
                </w:p>
              </w:tc>
              <w:tc>
                <w:tcPr>
                  <w:tcW w:w="1045" w:type="dxa"/>
                  <w:tcBorders>
                    <w:tl2br w:val="nil"/>
                    <w:tr2bl w:val="nil"/>
                  </w:tcBorders>
                  <w:noWrap w:val="0"/>
                  <w:vAlign w:val="center"/>
                </w:tcPr>
                <w:p w14:paraId="097869D8">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0.144</w:t>
                  </w:r>
                </w:p>
              </w:tc>
            </w:tr>
            <w:tr w14:paraId="2CCC87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1953" w:type="dxa"/>
                  <w:tcBorders>
                    <w:tl2br w:val="nil"/>
                    <w:tr2bl w:val="nil"/>
                  </w:tcBorders>
                  <w:noWrap w:val="0"/>
                  <w:vAlign w:val="center"/>
                </w:tcPr>
                <w:p w14:paraId="0A3F3D35">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r>
                    <w:rPr>
                      <w:rFonts w:hint="default" w:ascii="Times New Roman" w:hAnsi="Times New Roman" w:eastAsia="宋体" w:cs="Times New Roman"/>
                      <w:color w:val="auto"/>
                      <w:sz w:val="21"/>
                      <w:szCs w:val="21"/>
                      <w:highlight w:val="none"/>
                      <w:lang w:val="en-US" w:eastAsia="zh-CN"/>
                    </w:rPr>
                    <w:t>2</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年9月</w:t>
                  </w:r>
                </w:p>
              </w:tc>
              <w:tc>
                <w:tcPr>
                  <w:tcW w:w="942" w:type="dxa"/>
                  <w:tcBorders>
                    <w:tl2br w:val="nil"/>
                    <w:tr2bl w:val="nil"/>
                  </w:tcBorders>
                  <w:noWrap w:val="0"/>
                  <w:vAlign w:val="center"/>
                </w:tcPr>
                <w:p w14:paraId="2365194B">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0.002</w:t>
                  </w:r>
                </w:p>
              </w:tc>
              <w:tc>
                <w:tcPr>
                  <w:tcW w:w="1008" w:type="dxa"/>
                  <w:tcBorders>
                    <w:tl2br w:val="nil"/>
                    <w:tr2bl w:val="nil"/>
                  </w:tcBorders>
                  <w:noWrap w:val="0"/>
                  <w:vAlign w:val="center"/>
                </w:tcPr>
                <w:p w14:paraId="198D7FC5">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0.007</w:t>
                  </w:r>
                </w:p>
              </w:tc>
              <w:tc>
                <w:tcPr>
                  <w:tcW w:w="1008" w:type="dxa"/>
                  <w:tcBorders>
                    <w:tl2br w:val="nil"/>
                    <w:tr2bl w:val="nil"/>
                  </w:tcBorders>
                  <w:noWrap w:val="0"/>
                  <w:vAlign w:val="center"/>
                </w:tcPr>
                <w:p w14:paraId="16CCE023">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0.020</w:t>
                  </w:r>
                </w:p>
              </w:tc>
              <w:tc>
                <w:tcPr>
                  <w:tcW w:w="1019" w:type="dxa"/>
                  <w:tcBorders>
                    <w:tl2br w:val="nil"/>
                    <w:tr2bl w:val="nil"/>
                  </w:tcBorders>
                  <w:noWrap w:val="0"/>
                  <w:vAlign w:val="center"/>
                </w:tcPr>
                <w:p w14:paraId="1099D9A9">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0.010</w:t>
                  </w:r>
                </w:p>
              </w:tc>
              <w:tc>
                <w:tcPr>
                  <w:tcW w:w="1119" w:type="dxa"/>
                  <w:tcBorders>
                    <w:tl2br w:val="nil"/>
                    <w:tr2bl w:val="nil"/>
                  </w:tcBorders>
                  <w:noWrap w:val="0"/>
                  <w:vAlign w:val="center"/>
                </w:tcPr>
                <w:p w14:paraId="3F4DA546">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0.4</w:t>
                  </w:r>
                </w:p>
              </w:tc>
              <w:tc>
                <w:tcPr>
                  <w:tcW w:w="1045" w:type="dxa"/>
                  <w:tcBorders>
                    <w:tl2br w:val="nil"/>
                    <w:tr2bl w:val="nil"/>
                  </w:tcBorders>
                  <w:noWrap w:val="0"/>
                  <w:vAlign w:val="center"/>
                </w:tcPr>
                <w:p w14:paraId="0B5BA902">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0.090</w:t>
                  </w:r>
                </w:p>
              </w:tc>
            </w:tr>
            <w:tr w14:paraId="2D7F3D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953" w:type="dxa"/>
                  <w:tcBorders>
                    <w:tl2br w:val="nil"/>
                    <w:tr2bl w:val="nil"/>
                  </w:tcBorders>
                  <w:noWrap w:val="0"/>
                  <w:vAlign w:val="center"/>
                </w:tcPr>
                <w:p w14:paraId="1D4E1525">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202</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年10月</w:t>
                  </w:r>
                </w:p>
              </w:tc>
              <w:tc>
                <w:tcPr>
                  <w:tcW w:w="942" w:type="dxa"/>
                  <w:tcBorders>
                    <w:tl2br w:val="nil"/>
                    <w:tr2bl w:val="nil"/>
                  </w:tcBorders>
                  <w:noWrap w:val="0"/>
                  <w:vAlign w:val="center"/>
                </w:tcPr>
                <w:p w14:paraId="47103C87">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0.002</w:t>
                  </w:r>
                </w:p>
              </w:tc>
              <w:tc>
                <w:tcPr>
                  <w:tcW w:w="1008" w:type="dxa"/>
                  <w:tcBorders>
                    <w:tl2br w:val="nil"/>
                    <w:tr2bl w:val="nil"/>
                  </w:tcBorders>
                  <w:noWrap w:val="0"/>
                  <w:vAlign w:val="center"/>
                </w:tcPr>
                <w:p w14:paraId="030B5F3A">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0.005</w:t>
                  </w:r>
                </w:p>
              </w:tc>
              <w:tc>
                <w:tcPr>
                  <w:tcW w:w="1008" w:type="dxa"/>
                  <w:tcBorders>
                    <w:tl2br w:val="nil"/>
                    <w:tr2bl w:val="nil"/>
                  </w:tcBorders>
                  <w:noWrap w:val="0"/>
                  <w:vAlign w:val="center"/>
                </w:tcPr>
                <w:p w14:paraId="730AAD7D">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0.022</w:t>
                  </w:r>
                </w:p>
              </w:tc>
              <w:tc>
                <w:tcPr>
                  <w:tcW w:w="1019" w:type="dxa"/>
                  <w:tcBorders>
                    <w:tl2br w:val="nil"/>
                    <w:tr2bl w:val="nil"/>
                  </w:tcBorders>
                  <w:noWrap w:val="0"/>
                  <w:vAlign w:val="center"/>
                </w:tcPr>
                <w:p w14:paraId="77D4BD9C">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0.013</w:t>
                  </w:r>
                </w:p>
              </w:tc>
              <w:tc>
                <w:tcPr>
                  <w:tcW w:w="1119" w:type="dxa"/>
                  <w:tcBorders>
                    <w:tl2br w:val="nil"/>
                    <w:tr2bl w:val="nil"/>
                  </w:tcBorders>
                  <w:noWrap w:val="0"/>
                  <w:vAlign w:val="center"/>
                </w:tcPr>
                <w:p w14:paraId="03810683">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0.4</w:t>
                  </w:r>
                </w:p>
              </w:tc>
              <w:tc>
                <w:tcPr>
                  <w:tcW w:w="1045" w:type="dxa"/>
                  <w:tcBorders>
                    <w:tl2br w:val="nil"/>
                    <w:tr2bl w:val="nil"/>
                  </w:tcBorders>
                  <w:noWrap w:val="0"/>
                  <w:vAlign w:val="center"/>
                </w:tcPr>
                <w:p w14:paraId="131A2FBC">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0.106</w:t>
                  </w:r>
                </w:p>
              </w:tc>
            </w:tr>
            <w:tr w14:paraId="208A42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953" w:type="dxa"/>
                  <w:tcBorders>
                    <w:tl2br w:val="nil"/>
                    <w:tr2bl w:val="nil"/>
                  </w:tcBorders>
                  <w:noWrap w:val="0"/>
                  <w:vAlign w:val="center"/>
                </w:tcPr>
                <w:p w14:paraId="57C2618C">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202</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年11月</w:t>
                  </w:r>
                </w:p>
              </w:tc>
              <w:tc>
                <w:tcPr>
                  <w:tcW w:w="942" w:type="dxa"/>
                  <w:tcBorders>
                    <w:tl2br w:val="nil"/>
                    <w:tr2bl w:val="nil"/>
                  </w:tcBorders>
                  <w:noWrap w:val="0"/>
                  <w:vAlign w:val="center"/>
                </w:tcPr>
                <w:p w14:paraId="7FAA2274">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0.002</w:t>
                  </w:r>
                </w:p>
              </w:tc>
              <w:tc>
                <w:tcPr>
                  <w:tcW w:w="1008" w:type="dxa"/>
                  <w:tcBorders>
                    <w:tl2br w:val="nil"/>
                    <w:tr2bl w:val="nil"/>
                  </w:tcBorders>
                  <w:noWrap w:val="0"/>
                  <w:vAlign w:val="center"/>
                </w:tcPr>
                <w:p w14:paraId="12C39994">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0.008</w:t>
                  </w:r>
                </w:p>
              </w:tc>
              <w:tc>
                <w:tcPr>
                  <w:tcW w:w="1008" w:type="dxa"/>
                  <w:tcBorders>
                    <w:tl2br w:val="nil"/>
                    <w:tr2bl w:val="nil"/>
                  </w:tcBorders>
                  <w:noWrap w:val="0"/>
                  <w:vAlign w:val="center"/>
                </w:tcPr>
                <w:p w14:paraId="7678A058">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0.023</w:t>
                  </w:r>
                </w:p>
              </w:tc>
              <w:tc>
                <w:tcPr>
                  <w:tcW w:w="1019" w:type="dxa"/>
                  <w:tcBorders>
                    <w:tl2br w:val="nil"/>
                    <w:tr2bl w:val="nil"/>
                  </w:tcBorders>
                  <w:noWrap w:val="0"/>
                  <w:vAlign w:val="center"/>
                </w:tcPr>
                <w:p w14:paraId="527001BA">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0.012</w:t>
                  </w:r>
                </w:p>
              </w:tc>
              <w:tc>
                <w:tcPr>
                  <w:tcW w:w="1119" w:type="dxa"/>
                  <w:tcBorders>
                    <w:tl2br w:val="nil"/>
                    <w:tr2bl w:val="nil"/>
                  </w:tcBorders>
                  <w:noWrap w:val="0"/>
                  <w:vAlign w:val="center"/>
                </w:tcPr>
                <w:p w14:paraId="0CED1B1A">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0.4</w:t>
                  </w:r>
                </w:p>
              </w:tc>
              <w:tc>
                <w:tcPr>
                  <w:tcW w:w="1045" w:type="dxa"/>
                  <w:tcBorders>
                    <w:tl2br w:val="nil"/>
                    <w:tr2bl w:val="nil"/>
                  </w:tcBorders>
                  <w:noWrap w:val="0"/>
                  <w:vAlign w:val="center"/>
                </w:tcPr>
                <w:p w14:paraId="7183E8F9">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0.100</w:t>
                  </w:r>
                </w:p>
              </w:tc>
            </w:tr>
            <w:tr w14:paraId="185DFF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953" w:type="dxa"/>
                  <w:tcBorders>
                    <w:tl2br w:val="nil"/>
                    <w:tr2bl w:val="nil"/>
                  </w:tcBorders>
                  <w:noWrap w:val="0"/>
                  <w:vAlign w:val="center"/>
                </w:tcPr>
                <w:p w14:paraId="1735F65B">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202</w:t>
                  </w:r>
                  <w:r>
                    <w:rPr>
                      <w:rFonts w:hint="eastAsia" w:cs="Times New Roman"/>
                      <w:color w:val="auto"/>
                      <w:sz w:val="21"/>
                      <w:szCs w:val="21"/>
                      <w:highlight w:val="none"/>
                      <w:lang w:val="en-US" w:eastAsia="zh-CN"/>
                    </w:rPr>
                    <w:t>4</w:t>
                  </w:r>
                  <w:r>
                    <w:rPr>
                      <w:rFonts w:hint="eastAsia" w:ascii="Times New Roman" w:hAnsi="Times New Roman" w:eastAsia="宋体" w:cs="Times New Roman"/>
                      <w:color w:val="auto"/>
                      <w:sz w:val="21"/>
                      <w:szCs w:val="21"/>
                      <w:highlight w:val="none"/>
                      <w:lang w:val="en-US" w:eastAsia="zh-CN"/>
                    </w:rPr>
                    <w:t>年12月</w:t>
                  </w:r>
                </w:p>
              </w:tc>
              <w:tc>
                <w:tcPr>
                  <w:tcW w:w="942" w:type="dxa"/>
                  <w:tcBorders>
                    <w:tl2br w:val="nil"/>
                    <w:tr2bl w:val="nil"/>
                  </w:tcBorders>
                  <w:noWrap w:val="0"/>
                  <w:vAlign w:val="center"/>
                </w:tcPr>
                <w:p w14:paraId="55794D05">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0.002</w:t>
                  </w:r>
                </w:p>
              </w:tc>
              <w:tc>
                <w:tcPr>
                  <w:tcW w:w="1008" w:type="dxa"/>
                  <w:tcBorders>
                    <w:tl2br w:val="nil"/>
                    <w:tr2bl w:val="nil"/>
                  </w:tcBorders>
                  <w:noWrap w:val="0"/>
                  <w:vAlign w:val="center"/>
                </w:tcPr>
                <w:p w14:paraId="3B1C14D0">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0.014</w:t>
                  </w:r>
                </w:p>
              </w:tc>
              <w:tc>
                <w:tcPr>
                  <w:tcW w:w="1008" w:type="dxa"/>
                  <w:tcBorders>
                    <w:tl2br w:val="nil"/>
                    <w:tr2bl w:val="nil"/>
                  </w:tcBorders>
                  <w:noWrap w:val="0"/>
                  <w:vAlign w:val="center"/>
                </w:tcPr>
                <w:p w14:paraId="64FA4E11">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0.036</w:t>
                  </w:r>
                </w:p>
              </w:tc>
              <w:tc>
                <w:tcPr>
                  <w:tcW w:w="1019" w:type="dxa"/>
                  <w:tcBorders>
                    <w:tl2br w:val="nil"/>
                    <w:tr2bl w:val="nil"/>
                  </w:tcBorders>
                  <w:noWrap w:val="0"/>
                  <w:vAlign w:val="center"/>
                </w:tcPr>
                <w:p w14:paraId="51D97911">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0.019</w:t>
                  </w:r>
                </w:p>
              </w:tc>
              <w:tc>
                <w:tcPr>
                  <w:tcW w:w="1119" w:type="dxa"/>
                  <w:tcBorders>
                    <w:tl2br w:val="nil"/>
                    <w:tr2bl w:val="nil"/>
                  </w:tcBorders>
                  <w:noWrap w:val="0"/>
                  <w:vAlign w:val="center"/>
                </w:tcPr>
                <w:p w14:paraId="437F7D21">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0.6</w:t>
                  </w:r>
                </w:p>
              </w:tc>
              <w:tc>
                <w:tcPr>
                  <w:tcW w:w="1045" w:type="dxa"/>
                  <w:tcBorders>
                    <w:tl2br w:val="nil"/>
                    <w:tr2bl w:val="nil"/>
                  </w:tcBorders>
                  <w:noWrap w:val="0"/>
                  <w:vAlign w:val="center"/>
                </w:tcPr>
                <w:p w14:paraId="58D3A618">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0.104</w:t>
                  </w:r>
                </w:p>
              </w:tc>
            </w:tr>
            <w:tr w14:paraId="1B6C23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953" w:type="dxa"/>
                  <w:tcBorders>
                    <w:tl2br w:val="nil"/>
                    <w:tr2bl w:val="nil"/>
                  </w:tcBorders>
                  <w:noWrap w:val="0"/>
                  <w:vAlign w:val="center"/>
                </w:tcPr>
                <w:p w14:paraId="363530A6">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环境空气质量标准</w:t>
                  </w:r>
                </w:p>
              </w:tc>
              <w:tc>
                <w:tcPr>
                  <w:tcW w:w="942" w:type="dxa"/>
                  <w:tcBorders>
                    <w:tl2br w:val="nil"/>
                    <w:tr2bl w:val="nil"/>
                  </w:tcBorders>
                  <w:noWrap w:val="0"/>
                  <w:vAlign w:val="center"/>
                </w:tcPr>
                <w:p w14:paraId="03F2C6A7">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0.060</w:t>
                  </w:r>
                </w:p>
              </w:tc>
              <w:tc>
                <w:tcPr>
                  <w:tcW w:w="1008" w:type="dxa"/>
                  <w:tcBorders>
                    <w:tl2br w:val="nil"/>
                    <w:tr2bl w:val="nil"/>
                  </w:tcBorders>
                  <w:noWrap w:val="0"/>
                  <w:vAlign w:val="center"/>
                </w:tcPr>
                <w:p w14:paraId="7EE9F04E">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0.040</w:t>
                  </w:r>
                </w:p>
              </w:tc>
              <w:tc>
                <w:tcPr>
                  <w:tcW w:w="1008" w:type="dxa"/>
                  <w:tcBorders>
                    <w:tl2br w:val="nil"/>
                    <w:tr2bl w:val="nil"/>
                  </w:tcBorders>
                  <w:noWrap w:val="0"/>
                  <w:vAlign w:val="center"/>
                </w:tcPr>
                <w:p w14:paraId="0C24073D">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0.07</w:t>
                  </w:r>
                </w:p>
              </w:tc>
              <w:tc>
                <w:tcPr>
                  <w:tcW w:w="1019" w:type="dxa"/>
                  <w:tcBorders>
                    <w:tl2br w:val="nil"/>
                    <w:tr2bl w:val="nil"/>
                  </w:tcBorders>
                  <w:noWrap w:val="0"/>
                  <w:vAlign w:val="center"/>
                </w:tcPr>
                <w:p w14:paraId="2D595E81">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4.0</w:t>
                  </w:r>
                </w:p>
              </w:tc>
              <w:tc>
                <w:tcPr>
                  <w:tcW w:w="1119" w:type="dxa"/>
                  <w:tcBorders>
                    <w:tl2br w:val="nil"/>
                    <w:tr2bl w:val="nil"/>
                  </w:tcBorders>
                  <w:noWrap w:val="0"/>
                  <w:vAlign w:val="center"/>
                </w:tcPr>
                <w:p w14:paraId="27BC1AF6">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0.160</w:t>
                  </w:r>
                </w:p>
              </w:tc>
              <w:tc>
                <w:tcPr>
                  <w:tcW w:w="1045" w:type="dxa"/>
                  <w:tcBorders>
                    <w:tl2br w:val="nil"/>
                    <w:tr2bl w:val="nil"/>
                  </w:tcBorders>
                  <w:noWrap w:val="0"/>
                  <w:vAlign w:val="center"/>
                </w:tcPr>
                <w:p w14:paraId="05C6914E">
                  <w:pPr>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0.035</w:t>
                  </w:r>
                </w:p>
              </w:tc>
            </w:tr>
            <w:tr w14:paraId="2F1A62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953" w:type="dxa"/>
                  <w:tcBorders>
                    <w:tl2br w:val="nil"/>
                    <w:tr2bl w:val="nil"/>
                  </w:tcBorders>
                  <w:noWrap w:val="0"/>
                  <w:vAlign w:val="center"/>
                </w:tcPr>
                <w:p w14:paraId="174F4DDD">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达标情况</w:t>
                  </w:r>
                </w:p>
              </w:tc>
              <w:tc>
                <w:tcPr>
                  <w:tcW w:w="6141" w:type="dxa"/>
                  <w:gridSpan w:val="6"/>
                  <w:tcBorders>
                    <w:tl2br w:val="nil"/>
                    <w:tr2bl w:val="nil"/>
                  </w:tcBorders>
                  <w:noWrap w:val="0"/>
                  <w:vAlign w:val="center"/>
                </w:tcPr>
                <w:p w14:paraId="4F08E676">
                  <w:pPr>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w:t>
                  </w:r>
                </w:p>
              </w:tc>
            </w:tr>
            <w:tr w14:paraId="64C009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8094" w:type="dxa"/>
                  <w:gridSpan w:val="7"/>
                  <w:tcBorders>
                    <w:tl2br w:val="nil"/>
                    <w:tr2bl w:val="nil"/>
                  </w:tcBorders>
                  <w:noWrap w:val="0"/>
                  <w:vAlign w:val="center"/>
                </w:tcPr>
                <w:p w14:paraId="56FC4335">
                  <w:pPr>
                    <w:spacing w:line="240" w:lineRule="auto"/>
                    <w:ind w:firstLine="0" w:firstLineChars="0"/>
                    <w:jc w:val="both"/>
                    <w:rPr>
                      <w:rFonts w:hint="default" w:ascii="Times New Roman" w:hAnsi="Times New Roman" w:eastAsia="宋体"/>
                      <w:color w:val="auto"/>
                      <w:highlight w:val="none"/>
                      <w:lang w:val="en-US" w:eastAsia="zh-CN"/>
                    </w:rPr>
                  </w:pPr>
                  <w:r>
                    <w:rPr>
                      <w:rFonts w:hint="default" w:ascii="Times New Roman" w:hAnsi="Times New Roman" w:eastAsia="宋体"/>
                      <w:color w:val="auto"/>
                      <w:sz w:val="18"/>
                      <w:szCs w:val="18"/>
                      <w:highlight w:val="none"/>
                    </w:rPr>
                    <w:t>注：CO为日均值第95百分位数，O</w:t>
                  </w:r>
                  <w:r>
                    <w:rPr>
                      <w:rFonts w:hint="default" w:ascii="Times New Roman" w:hAnsi="Times New Roman" w:eastAsia="宋体"/>
                      <w:color w:val="auto"/>
                      <w:sz w:val="18"/>
                      <w:szCs w:val="18"/>
                      <w:highlight w:val="none"/>
                      <w:vertAlign w:val="subscript"/>
                    </w:rPr>
                    <w:t>3</w:t>
                  </w:r>
                  <w:r>
                    <w:rPr>
                      <w:rFonts w:hint="default" w:ascii="Times New Roman" w:hAnsi="Times New Roman" w:eastAsia="宋体"/>
                      <w:color w:val="auto"/>
                      <w:sz w:val="18"/>
                      <w:szCs w:val="18"/>
                      <w:highlight w:val="none"/>
                    </w:rPr>
                    <w:t>为日最大8小时值第90百分位数。</w:t>
                  </w:r>
                </w:p>
              </w:tc>
            </w:tr>
          </w:tbl>
          <w:p w14:paraId="229112AE">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rPr>
                <w:rFonts w:hint="eastAsia" w:ascii="Times New Roman" w:hAnsi="Times New Roman" w:eastAsia="宋体" w:cs="Times New Roman"/>
                <w:color w:val="auto"/>
                <w:kern w:val="0"/>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由上表可知，</w:t>
            </w:r>
            <w:r>
              <w:rPr>
                <w:rFonts w:hint="eastAsia" w:cs="Times New Roman"/>
                <w:color w:val="auto"/>
                <w:sz w:val="24"/>
                <w:szCs w:val="24"/>
                <w:highlight w:val="none"/>
                <w:lang w:val="en-US" w:eastAsia="zh-CN"/>
              </w:rPr>
              <w:t>福清市</w:t>
            </w:r>
            <w:r>
              <w:rPr>
                <w:rFonts w:hint="default" w:ascii="Times New Roman" w:hAnsi="Times New Roman" w:eastAsia="宋体" w:cs="Times New Roman"/>
                <w:color w:val="auto"/>
                <w:sz w:val="24"/>
                <w:szCs w:val="24"/>
                <w:highlight w:val="none"/>
                <w:lang w:val="en-US" w:eastAsia="zh-CN"/>
              </w:rPr>
              <w:t>202</w:t>
            </w:r>
            <w:r>
              <w:rPr>
                <w:rFonts w:hint="eastAsia"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val="en-US" w:eastAsia="zh-CN"/>
              </w:rPr>
              <w:t>年1月</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12月份环境</w:t>
            </w:r>
            <w:r>
              <w:rPr>
                <w:rFonts w:hint="eastAsia" w:ascii="Times New Roman" w:hAnsi="Times New Roman" w:eastAsia="宋体" w:cs="Times New Roman"/>
                <w:color w:val="auto"/>
                <w:sz w:val="24"/>
                <w:szCs w:val="24"/>
                <w:highlight w:val="none"/>
                <w:lang w:val="en-US" w:eastAsia="zh-CN"/>
              </w:rPr>
              <w:t>空气</w:t>
            </w:r>
            <w:r>
              <w:rPr>
                <w:rFonts w:hint="default" w:ascii="Times New Roman" w:hAnsi="Times New Roman" w:eastAsia="宋体" w:cs="Times New Roman"/>
                <w:color w:val="auto"/>
                <w:sz w:val="24"/>
                <w:szCs w:val="24"/>
                <w:highlight w:val="none"/>
                <w:lang w:val="en-US" w:eastAsia="zh-CN"/>
              </w:rPr>
              <w:t>中</w:t>
            </w:r>
            <w:r>
              <w:rPr>
                <w:rFonts w:hint="default" w:ascii="Times New Roman" w:hAnsi="Times New Roman" w:eastAsia="宋体" w:cs="Times New Roman"/>
                <w:bCs/>
                <w:color w:val="auto"/>
                <w:sz w:val="24"/>
                <w:szCs w:val="24"/>
              </w:rPr>
              <w:t>SO</w:t>
            </w:r>
            <w:r>
              <w:rPr>
                <w:rFonts w:hint="default" w:ascii="Times New Roman" w:hAnsi="Times New Roman" w:eastAsia="宋体" w:cs="Times New Roman"/>
                <w:bCs/>
                <w:color w:val="auto"/>
                <w:sz w:val="24"/>
                <w:szCs w:val="24"/>
                <w:vertAlign w:val="subscript"/>
              </w:rPr>
              <w:t>2</w:t>
            </w:r>
            <w:r>
              <w:rPr>
                <w:rFonts w:hint="default" w:ascii="Times New Roman" w:hAnsi="Times New Roman" w:eastAsia="宋体" w:cs="Times New Roman"/>
                <w:bCs/>
                <w:color w:val="auto"/>
                <w:sz w:val="24"/>
                <w:szCs w:val="24"/>
              </w:rPr>
              <w:t>、NO</w:t>
            </w:r>
            <w:r>
              <w:rPr>
                <w:rFonts w:hint="default" w:ascii="Times New Roman" w:hAnsi="Times New Roman" w:eastAsia="宋体" w:cs="Times New Roman"/>
                <w:bCs/>
                <w:color w:val="auto"/>
                <w:sz w:val="24"/>
                <w:szCs w:val="24"/>
                <w:vertAlign w:val="subscript"/>
              </w:rPr>
              <w:t>2</w:t>
            </w:r>
            <w:r>
              <w:rPr>
                <w:rFonts w:hint="default" w:ascii="Times New Roman" w:hAnsi="Times New Roman" w:eastAsia="宋体" w:cs="Times New Roman"/>
                <w:bCs/>
                <w:color w:val="auto"/>
                <w:sz w:val="24"/>
                <w:szCs w:val="24"/>
              </w:rPr>
              <w:t>、PM</w:t>
            </w:r>
            <w:r>
              <w:rPr>
                <w:rFonts w:hint="default" w:ascii="Times New Roman" w:hAnsi="Times New Roman" w:eastAsia="宋体" w:cs="Times New Roman"/>
                <w:bCs/>
                <w:color w:val="auto"/>
                <w:sz w:val="24"/>
                <w:szCs w:val="24"/>
                <w:vertAlign w:val="subscript"/>
              </w:rPr>
              <w:t>10</w:t>
            </w:r>
            <w:r>
              <w:rPr>
                <w:rFonts w:hint="default" w:ascii="Times New Roman" w:hAnsi="Times New Roman" w:eastAsia="宋体" w:cs="Times New Roman"/>
                <w:bCs/>
                <w:color w:val="auto"/>
                <w:sz w:val="24"/>
                <w:szCs w:val="24"/>
              </w:rPr>
              <w:t>、PM</w:t>
            </w:r>
            <w:r>
              <w:rPr>
                <w:rFonts w:hint="default" w:ascii="Times New Roman" w:hAnsi="Times New Roman" w:eastAsia="宋体" w:cs="Times New Roman"/>
                <w:bCs/>
                <w:color w:val="auto"/>
                <w:sz w:val="24"/>
                <w:szCs w:val="24"/>
                <w:vertAlign w:val="subscript"/>
              </w:rPr>
              <w:t>2.5</w:t>
            </w:r>
            <w:r>
              <w:rPr>
                <w:rFonts w:hint="default" w:ascii="Times New Roman" w:hAnsi="Times New Roman" w:eastAsia="宋体" w:cs="Times New Roman"/>
                <w:bCs/>
                <w:color w:val="auto"/>
                <w:sz w:val="24"/>
                <w:szCs w:val="24"/>
              </w:rPr>
              <w:t>、CO、O</w:t>
            </w:r>
            <w:r>
              <w:rPr>
                <w:rFonts w:hint="default" w:ascii="Times New Roman" w:hAnsi="Times New Roman" w:eastAsia="宋体" w:cs="Times New Roman"/>
                <w:bCs/>
                <w:color w:val="auto"/>
                <w:sz w:val="24"/>
                <w:szCs w:val="24"/>
                <w:vertAlign w:val="subscript"/>
              </w:rPr>
              <w:t>3</w:t>
            </w:r>
            <w:r>
              <w:rPr>
                <w:rFonts w:hint="default" w:ascii="Times New Roman" w:hAnsi="Times New Roman" w:eastAsia="宋体" w:cs="Times New Roman"/>
                <w:bCs/>
                <w:color w:val="auto"/>
                <w:sz w:val="24"/>
                <w:szCs w:val="24"/>
              </w:rPr>
              <w:t>六项污染物</w:t>
            </w:r>
            <w:r>
              <w:rPr>
                <w:rFonts w:hint="eastAsia" w:ascii="Times New Roman" w:hAnsi="Times New Roman" w:eastAsia="宋体" w:cs="Times New Roman"/>
                <w:bCs/>
                <w:color w:val="auto"/>
                <w:sz w:val="24"/>
                <w:szCs w:val="24"/>
                <w:lang w:eastAsia="zh-CN"/>
              </w:rPr>
              <w:t>浓度指标可达</w:t>
            </w:r>
            <w:r>
              <w:rPr>
                <w:rFonts w:hint="default" w:ascii="Times New Roman" w:hAnsi="Times New Roman" w:eastAsia="宋体" w:cs="Times New Roman"/>
                <w:bCs/>
                <w:color w:val="auto"/>
                <w:sz w:val="24"/>
                <w:szCs w:val="24"/>
              </w:rPr>
              <w:t>《环境空气质量标准》</w:t>
            </w:r>
            <w:r>
              <w:rPr>
                <w:rFonts w:hint="default" w:ascii="Times New Roman" w:hAnsi="Times New Roman" w:eastAsia="宋体" w:cs="Times New Roman"/>
                <w:bCs/>
                <w:color w:val="auto"/>
                <w:sz w:val="24"/>
                <w:szCs w:val="24"/>
                <w:lang w:val="en-US" w:eastAsia="zh-CN"/>
              </w:rPr>
              <w:t>(</w:t>
            </w:r>
            <w:r>
              <w:rPr>
                <w:rFonts w:hint="default" w:ascii="Times New Roman" w:hAnsi="Times New Roman" w:eastAsia="宋体" w:cs="Times New Roman"/>
                <w:bCs/>
                <w:color w:val="auto"/>
                <w:sz w:val="24"/>
                <w:szCs w:val="24"/>
              </w:rPr>
              <w:t>GB3095-2012</w:t>
            </w:r>
            <w:r>
              <w:rPr>
                <w:rFonts w:hint="default" w:ascii="Times New Roman" w:hAnsi="Times New Roman" w:eastAsia="宋体" w:cs="Times New Roman"/>
                <w:bCs/>
                <w:color w:val="auto"/>
                <w:sz w:val="24"/>
                <w:szCs w:val="24"/>
                <w:lang w:val="en-US" w:eastAsia="zh-CN"/>
              </w:rPr>
              <w:t>)及其修改单</w:t>
            </w:r>
            <w:r>
              <w:rPr>
                <w:rFonts w:hint="default" w:ascii="Times New Roman" w:hAnsi="Times New Roman" w:eastAsia="宋体" w:cs="Times New Roman"/>
                <w:bCs/>
                <w:color w:val="auto"/>
                <w:sz w:val="24"/>
                <w:szCs w:val="24"/>
              </w:rPr>
              <w:t>中的二级标准要求</w:t>
            </w:r>
            <w:r>
              <w:rPr>
                <w:rFonts w:hint="eastAsia" w:ascii="Times New Roman" w:hAnsi="Times New Roman" w:eastAsia="宋体" w:cs="Times New Roman"/>
                <w:bCs/>
                <w:color w:val="auto"/>
                <w:sz w:val="24"/>
                <w:szCs w:val="24"/>
                <w:lang w:eastAsia="zh-CN"/>
              </w:rPr>
              <w:t>，</w:t>
            </w:r>
            <w:r>
              <w:rPr>
                <w:rFonts w:hint="default" w:ascii="Times New Roman" w:hAnsi="Times New Roman" w:eastAsia="宋体" w:cs="Times New Roman"/>
                <w:color w:val="auto"/>
                <w:sz w:val="24"/>
                <w:szCs w:val="24"/>
                <w:highlight w:val="none"/>
                <w:lang w:val="en-US" w:eastAsia="zh-CN"/>
              </w:rPr>
              <w:t>因此，项目所在区域属于大气环境达标区。</w:t>
            </w:r>
          </w:p>
          <w:p w14:paraId="05738EC8">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szCs w:val="24"/>
                <w:highlight w:val="none"/>
                <w:lang w:eastAsia="zh-CN"/>
              </w:rPr>
            </w:pPr>
            <w:r>
              <w:rPr>
                <w:rFonts w:hint="eastAsia"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lang w:val="en-US" w:eastAsia="zh-CN"/>
              </w:rPr>
              <w:t>其他</w:t>
            </w:r>
            <w:r>
              <w:rPr>
                <w:rFonts w:hint="default" w:ascii="Times New Roman" w:hAnsi="Times New Roman" w:eastAsia="宋体" w:cs="Times New Roman"/>
                <w:b/>
                <w:bCs/>
                <w:color w:val="auto"/>
                <w:sz w:val="24"/>
                <w:szCs w:val="24"/>
                <w:highlight w:val="none"/>
                <w:lang w:eastAsia="zh-CN"/>
              </w:rPr>
              <w:t>污染因子</w:t>
            </w:r>
          </w:p>
          <w:p w14:paraId="777B951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为了解本项目特征污染因子TSP在区域的环境空气质量现状</w:t>
            </w:r>
            <w:r>
              <w:rPr>
                <w:rFonts w:hint="eastAsia" w:ascii="Times New Roman" w:hAnsi="Times New Roman" w:eastAsia="宋体" w:cs="Times New Roman"/>
                <w:b w:val="0"/>
                <w:bCs w:val="0"/>
                <w:color w:val="auto"/>
                <w:sz w:val="24"/>
                <w:szCs w:val="24"/>
                <w:highlight w:val="none"/>
                <w:lang w:val="en-US" w:eastAsia="zh-CN"/>
              </w:rPr>
              <w:t>，本</w:t>
            </w:r>
            <w:r>
              <w:rPr>
                <w:rFonts w:hint="eastAsia" w:cs="Times New Roman"/>
                <w:b w:val="0"/>
                <w:bCs w:val="0"/>
                <w:color w:val="auto"/>
                <w:sz w:val="24"/>
                <w:szCs w:val="24"/>
                <w:highlight w:val="none"/>
                <w:lang w:val="en-US" w:eastAsia="zh-CN"/>
              </w:rPr>
              <w:t>次</w:t>
            </w:r>
            <w:r>
              <w:rPr>
                <w:rFonts w:hint="eastAsia" w:ascii="Times New Roman" w:hAnsi="Times New Roman" w:eastAsia="宋体" w:cs="Times New Roman"/>
                <w:b w:val="0"/>
                <w:bCs w:val="0"/>
                <w:color w:val="auto"/>
                <w:sz w:val="24"/>
                <w:szCs w:val="24"/>
                <w:highlight w:val="none"/>
                <w:lang w:val="en-US" w:eastAsia="zh-CN"/>
              </w:rPr>
              <w:t>评价引用安正计量检测有限公司于2024年</w:t>
            </w:r>
            <w:r>
              <w:rPr>
                <w:rFonts w:hint="eastAsia" w:cs="Times New Roman"/>
                <w:b w:val="0"/>
                <w:bCs w:val="0"/>
                <w:color w:val="auto"/>
                <w:sz w:val="24"/>
                <w:szCs w:val="24"/>
                <w:highlight w:val="none"/>
                <w:lang w:val="en-US" w:eastAsia="zh-CN"/>
              </w:rPr>
              <w:t>04</w:t>
            </w:r>
            <w:r>
              <w:rPr>
                <w:rFonts w:hint="eastAsia" w:ascii="Times New Roman" w:hAnsi="Times New Roman" w:eastAsia="宋体" w:cs="Times New Roman"/>
                <w:b w:val="0"/>
                <w:bCs w:val="0"/>
                <w:color w:val="auto"/>
                <w:sz w:val="24"/>
                <w:szCs w:val="24"/>
                <w:highlight w:val="none"/>
                <w:lang w:val="en-US" w:eastAsia="zh-CN"/>
              </w:rPr>
              <w:t>月</w:t>
            </w:r>
            <w:r>
              <w:rPr>
                <w:rFonts w:hint="eastAsia" w:cs="Times New Roman"/>
                <w:b w:val="0"/>
                <w:bCs w:val="0"/>
                <w:color w:val="auto"/>
                <w:sz w:val="24"/>
                <w:szCs w:val="24"/>
                <w:highlight w:val="none"/>
                <w:lang w:val="en-US" w:eastAsia="zh-CN"/>
              </w:rPr>
              <w:t>01</w:t>
            </w:r>
            <w:r>
              <w:rPr>
                <w:rFonts w:hint="eastAsia" w:ascii="Times New Roman" w:hAnsi="Times New Roman" w:eastAsia="宋体" w:cs="Times New Roman"/>
                <w:b w:val="0"/>
                <w:bCs w:val="0"/>
                <w:color w:val="auto"/>
                <w:sz w:val="24"/>
                <w:szCs w:val="24"/>
                <w:highlight w:val="none"/>
                <w:lang w:val="en-US" w:eastAsia="zh-CN"/>
              </w:rPr>
              <w:t>日～</w:t>
            </w:r>
            <w:r>
              <w:rPr>
                <w:rFonts w:hint="eastAsia" w:cs="Times New Roman"/>
                <w:b w:val="0"/>
                <w:bCs w:val="0"/>
                <w:color w:val="auto"/>
                <w:sz w:val="24"/>
                <w:szCs w:val="24"/>
                <w:highlight w:val="none"/>
                <w:lang w:val="en-US" w:eastAsia="zh-CN"/>
              </w:rPr>
              <w:t>04</w:t>
            </w:r>
            <w:r>
              <w:rPr>
                <w:rFonts w:hint="eastAsia" w:ascii="Times New Roman" w:hAnsi="Times New Roman" w:eastAsia="宋体" w:cs="Times New Roman"/>
                <w:b w:val="0"/>
                <w:bCs w:val="0"/>
                <w:color w:val="auto"/>
                <w:sz w:val="24"/>
                <w:szCs w:val="24"/>
                <w:highlight w:val="none"/>
                <w:lang w:val="en-US" w:eastAsia="zh-CN"/>
              </w:rPr>
              <w:t>日</w:t>
            </w:r>
            <w:r>
              <w:rPr>
                <w:rFonts w:hint="default" w:ascii="Times New Roman" w:hAnsi="Times New Roman" w:eastAsia="宋体" w:cs="Times New Roman"/>
                <w:b w:val="0"/>
                <w:bCs w:val="0"/>
                <w:color w:val="auto"/>
                <w:sz w:val="24"/>
                <w:szCs w:val="24"/>
                <w:highlight w:val="none"/>
                <w:lang w:val="en-US" w:eastAsia="zh-CN"/>
              </w:rPr>
              <w:t>对</w:t>
            </w:r>
            <w:r>
              <w:rPr>
                <w:rFonts w:hint="eastAsia" w:ascii="Times New Roman" w:hAnsi="Times New Roman" w:eastAsia="宋体" w:cs="Times New Roman"/>
                <w:b w:val="0"/>
                <w:bCs w:val="0"/>
                <w:color w:val="auto"/>
                <w:sz w:val="24"/>
                <w:szCs w:val="24"/>
                <w:highlight w:val="none"/>
                <w:lang w:val="en-US" w:eastAsia="zh-CN"/>
              </w:rPr>
              <w:t>项目所在区域</w:t>
            </w:r>
            <w:r>
              <w:rPr>
                <w:rFonts w:hint="eastAsia" w:cs="Times New Roman"/>
                <w:b w:val="0"/>
                <w:bCs w:val="0"/>
                <w:color w:val="auto"/>
                <w:sz w:val="24"/>
                <w:szCs w:val="24"/>
                <w:highlight w:val="none"/>
                <w:lang w:val="en-US" w:eastAsia="zh-CN"/>
              </w:rPr>
              <w:t>石溪</w:t>
            </w:r>
            <w:r>
              <w:rPr>
                <w:rFonts w:hint="eastAsia" w:ascii="Times New Roman" w:hAnsi="Times New Roman" w:eastAsia="宋体" w:cs="Times New Roman"/>
                <w:b w:val="0"/>
                <w:bCs w:val="0"/>
                <w:color w:val="auto"/>
                <w:sz w:val="24"/>
                <w:szCs w:val="24"/>
                <w:highlight w:val="none"/>
                <w:lang w:val="en-US" w:eastAsia="zh-CN"/>
              </w:rPr>
              <w:t>村</w:t>
            </w:r>
            <w:r>
              <w:rPr>
                <w:rFonts w:hint="default" w:ascii="Times New Roman" w:hAnsi="Times New Roman" w:eastAsia="宋体" w:cs="Times New Roman"/>
                <w:b w:val="0"/>
                <w:bCs w:val="0"/>
                <w:color w:val="auto"/>
                <w:sz w:val="24"/>
                <w:szCs w:val="24"/>
                <w:highlight w:val="none"/>
                <w:lang w:val="en-US" w:eastAsia="zh-CN"/>
              </w:rPr>
              <w:t>点位TSP现状</w:t>
            </w:r>
            <w:r>
              <w:rPr>
                <w:rFonts w:hint="eastAsia" w:ascii="Times New Roman" w:hAnsi="Times New Roman" w:eastAsia="宋体" w:cs="Times New Roman"/>
                <w:b w:val="0"/>
                <w:bCs w:val="0"/>
                <w:color w:val="auto"/>
                <w:sz w:val="24"/>
                <w:szCs w:val="24"/>
                <w:highlight w:val="none"/>
                <w:lang w:val="en-US" w:eastAsia="zh-CN"/>
              </w:rPr>
              <w:t>监测数据（</w:t>
            </w:r>
            <w:r>
              <w:rPr>
                <w:rFonts w:hint="default" w:ascii="Times New Roman" w:hAnsi="Times New Roman" w:eastAsia="宋体" w:cs="Times New Roman"/>
                <w:b w:val="0"/>
                <w:bCs w:val="0"/>
                <w:color w:val="auto"/>
                <w:sz w:val="24"/>
                <w:szCs w:val="24"/>
                <w:highlight w:val="none"/>
                <w:lang w:val="en-US" w:eastAsia="zh-CN"/>
              </w:rPr>
              <w:t>检测报告编号：AZJC24</w:t>
            </w:r>
            <w:r>
              <w:rPr>
                <w:rFonts w:hint="eastAsia" w:cs="Times New Roman"/>
                <w:b w:val="0"/>
                <w:bCs w:val="0"/>
                <w:color w:val="auto"/>
                <w:sz w:val="24"/>
                <w:szCs w:val="24"/>
                <w:highlight w:val="none"/>
                <w:lang w:val="en-US" w:eastAsia="zh-CN"/>
              </w:rPr>
              <w:t>0321001</w:t>
            </w:r>
            <w:r>
              <w:rPr>
                <w:rFonts w:hint="default" w:ascii="Times New Roman" w:hAnsi="Times New Roman" w:eastAsia="宋体" w:cs="Times New Roman"/>
                <w:b w:val="0"/>
                <w:bCs w:val="0"/>
                <w:color w:val="auto"/>
                <w:sz w:val="24"/>
                <w:szCs w:val="24"/>
                <w:highlight w:val="none"/>
                <w:lang w:val="en-US" w:eastAsia="zh-CN"/>
              </w:rPr>
              <w:t>）。</w:t>
            </w:r>
            <w:r>
              <w:rPr>
                <w:rFonts w:hint="eastAsia" w:cs="Times New Roman"/>
                <w:b w:val="0"/>
                <w:bCs w:val="0"/>
                <w:color w:val="auto"/>
                <w:sz w:val="24"/>
                <w:szCs w:val="24"/>
                <w:highlight w:val="none"/>
                <w:lang w:val="en-US" w:eastAsia="zh-CN"/>
              </w:rPr>
              <w:t>石溪</w:t>
            </w:r>
            <w:r>
              <w:rPr>
                <w:rFonts w:hint="eastAsia" w:ascii="Times New Roman" w:hAnsi="Times New Roman" w:eastAsia="宋体" w:cs="Times New Roman"/>
                <w:b w:val="0"/>
                <w:bCs w:val="0"/>
                <w:color w:val="auto"/>
                <w:sz w:val="24"/>
                <w:szCs w:val="24"/>
                <w:highlight w:val="none"/>
                <w:lang w:val="en-US" w:eastAsia="zh-CN"/>
              </w:rPr>
              <w:t>村</w:t>
            </w:r>
            <w:r>
              <w:rPr>
                <w:rFonts w:hint="default" w:ascii="Times New Roman" w:hAnsi="Times New Roman" w:eastAsia="宋体" w:cs="Times New Roman"/>
                <w:b w:val="0"/>
                <w:bCs w:val="0"/>
                <w:color w:val="auto"/>
                <w:sz w:val="24"/>
                <w:szCs w:val="24"/>
                <w:highlight w:val="none"/>
                <w:lang w:val="en-US" w:eastAsia="zh-CN"/>
              </w:rPr>
              <w:t>TSP监测结果见表3.1-</w:t>
            </w:r>
            <w:r>
              <w:rPr>
                <w:rFonts w:hint="eastAsia" w:ascii="Times New Roman" w:hAnsi="Times New Roman" w:eastAsia="宋体" w:cs="Times New Roman"/>
                <w:b w:val="0"/>
                <w:bCs w:val="0"/>
                <w:color w:val="auto"/>
                <w:sz w:val="24"/>
                <w:szCs w:val="24"/>
                <w:highlight w:val="none"/>
                <w:lang w:val="en-US" w:eastAsia="zh-CN"/>
              </w:rPr>
              <w:t>3</w:t>
            </w:r>
            <w:r>
              <w:rPr>
                <w:rFonts w:hint="default" w:ascii="Times New Roman" w:hAnsi="Times New Roman" w:eastAsia="宋体" w:cs="Times New Roman"/>
                <w:b w:val="0"/>
                <w:bCs w:val="0"/>
                <w:color w:val="auto"/>
                <w:sz w:val="24"/>
                <w:szCs w:val="24"/>
                <w:highlight w:val="none"/>
                <w:lang w:val="en-US" w:eastAsia="zh-CN"/>
              </w:rPr>
              <w:t>，监测点位置见</w:t>
            </w:r>
            <w:r>
              <w:rPr>
                <w:rFonts w:hint="eastAsia" w:ascii="Times New Roman" w:hAnsi="Times New Roman" w:eastAsia="宋体" w:cs="Times New Roman"/>
                <w:b w:val="0"/>
                <w:bCs w:val="0"/>
                <w:color w:val="auto"/>
                <w:sz w:val="24"/>
                <w:szCs w:val="24"/>
                <w:highlight w:val="none"/>
                <w:lang w:val="en-US" w:eastAsia="zh-CN"/>
              </w:rPr>
              <w:t>附图</w:t>
            </w:r>
            <w:r>
              <w:rPr>
                <w:rFonts w:hint="eastAsia" w:cs="Times New Roman"/>
                <w:b w:val="0"/>
                <w:bCs w:val="0"/>
                <w:color w:val="auto"/>
                <w:sz w:val="24"/>
                <w:szCs w:val="24"/>
                <w:highlight w:val="none"/>
                <w:lang w:val="en-US" w:eastAsia="zh-CN"/>
              </w:rPr>
              <w:t>十三</w:t>
            </w:r>
            <w:r>
              <w:rPr>
                <w:rFonts w:hint="eastAsia" w:ascii="Times New Roman" w:hAnsi="Times New Roman" w:eastAsia="宋体" w:cs="Times New Roman"/>
                <w:b w:val="0"/>
                <w:bCs w:val="0"/>
                <w:color w:val="auto"/>
                <w:sz w:val="24"/>
                <w:szCs w:val="24"/>
                <w:highlight w:val="none"/>
                <w:lang w:val="en-US" w:eastAsia="zh-CN"/>
              </w:rPr>
              <w:t>，监测报告见附件</w:t>
            </w:r>
            <w:r>
              <w:rPr>
                <w:rFonts w:hint="eastAsia" w:cs="Times New Roman"/>
                <w:b w:val="0"/>
                <w:bCs w:val="0"/>
                <w:color w:val="auto"/>
                <w:sz w:val="24"/>
                <w:szCs w:val="24"/>
                <w:highlight w:val="none"/>
                <w:lang w:val="en-US" w:eastAsia="zh-CN"/>
              </w:rPr>
              <w:t>七</w:t>
            </w:r>
            <w:r>
              <w:rPr>
                <w:rFonts w:hint="eastAsia" w:ascii="Times New Roman" w:hAnsi="Times New Roman" w:eastAsia="宋体" w:cs="Times New Roman"/>
                <w:b w:val="0"/>
                <w:bCs w:val="0"/>
                <w:color w:val="auto"/>
                <w:sz w:val="24"/>
                <w:szCs w:val="24"/>
                <w:highlight w:val="none"/>
                <w:lang w:val="en-US" w:eastAsia="zh-CN"/>
              </w:rPr>
              <w:t>。</w:t>
            </w:r>
          </w:p>
          <w:p w14:paraId="6A2C85BC">
            <w:pPr>
              <w:pStyle w:val="33"/>
              <w:bidi w:val="0"/>
              <w:rPr>
                <w:rFonts w:hint="eastAsia"/>
                <w:color w:val="auto"/>
                <w:sz w:val="24"/>
                <w:szCs w:val="24"/>
                <w:lang w:val="en-US" w:eastAsia="zh-CN"/>
              </w:rPr>
            </w:pPr>
            <w:r>
              <w:rPr>
                <w:rFonts w:hint="eastAsia"/>
                <w:color w:val="auto"/>
                <w:sz w:val="24"/>
                <w:szCs w:val="24"/>
                <w:lang w:val="en-US" w:eastAsia="zh-CN"/>
              </w:rPr>
              <w:t>表3.1-3 项目区域TSP环境监测数据</w:t>
            </w:r>
          </w:p>
          <w:p w14:paraId="099C83AF">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根据上表监测结果可知，项目所在区域</w:t>
            </w:r>
            <w:r>
              <w:rPr>
                <w:rFonts w:hint="eastAsia" w:cs="Times New Roman"/>
                <w:color w:val="auto"/>
                <w:sz w:val="24"/>
                <w:szCs w:val="24"/>
                <w:lang w:val="en-US" w:eastAsia="zh-CN"/>
              </w:rPr>
              <w:t>石溪</w:t>
            </w:r>
            <w:r>
              <w:rPr>
                <w:rFonts w:hint="eastAsia" w:ascii="Times New Roman" w:hAnsi="Times New Roman" w:eastAsia="宋体" w:cs="Times New Roman"/>
                <w:color w:val="auto"/>
                <w:sz w:val="24"/>
                <w:szCs w:val="24"/>
                <w:lang w:val="en-US" w:eastAsia="zh-CN"/>
              </w:rPr>
              <w:t>村TSP的24小时平均浓度值符合《环境空气质量标准》（GB3095-2012）及其修改单中的二级标准，即≤0.3mg/m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，环境质量现状良好</w:t>
            </w:r>
            <w:r>
              <w:rPr>
                <w:rFonts w:hint="eastAsia" w:ascii="Times New Roman" w:hAnsi="Times New Roman" w:eastAsia="宋体" w:cs="Times New Roman"/>
                <w:color w:val="auto"/>
                <w:sz w:val="24"/>
                <w:szCs w:val="24"/>
                <w:lang w:val="en-US" w:eastAsia="zh-CN"/>
              </w:rPr>
              <w:t>。</w:t>
            </w:r>
          </w:p>
          <w:p w14:paraId="66C0EACD">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4"/>
                <w:lang w:eastAsia="zh-CN"/>
              </w:rPr>
            </w:pPr>
            <w:r>
              <w:rPr>
                <w:rFonts w:hint="eastAsia"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lang w:eastAsia="zh-CN"/>
              </w:rPr>
              <w:t>引用资料的有效性</w:t>
            </w:r>
            <w:r>
              <w:rPr>
                <w:rFonts w:hint="eastAsia" w:cs="Times New Roman"/>
                <w:b/>
                <w:bCs/>
                <w:color w:val="auto"/>
                <w:sz w:val="24"/>
                <w:szCs w:val="24"/>
                <w:lang w:val="en-US" w:eastAsia="zh-CN"/>
              </w:rPr>
              <w:t>及可行性</w:t>
            </w:r>
            <w:r>
              <w:rPr>
                <w:rFonts w:hint="default" w:ascii="Times New Roman" w:hAnsi="Times New Roman" w:eastAsia="宋体" w:cs="Times New Roman"/>
                <w:b/>
                <w:bCs/>
                <w:color w:val="auto"/>
                <w:sz w:val="24"/>
                <w:szCs w:val="24"/>
                <w:lang w:eastAsia="zh-CN"/>
              </w:rPr>
              <w:t>分析</w:t>
            </w:r>
          </w:p>
          <w:p w14:paraId="5871E77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根据《建设项目环境影响报告表编制技术指南</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污染影响类</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试行</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环办环评〔2020〕33号</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的要求：“大气环境区域环境质量现状常规污染物引用与建设项目距离近的有效数据，包括近3年的规划环境影响评价的监测数据，国家、地方环境空气质量监测网数据或生态环境主管部门公开发布的质量数据等，排放国家、地方环境空气质量标准中有标准限值要求的特征污染物时，引用建设项目周边5千米范围内近3年的现有监测数据</w:t>
            </w:r>
            <w:r>
              <w:rPr>
                <w:rFonts w:hint="eastAsia" w:ascii="Times New Roman" w:hAnsi="Times New Roman" w:eastAsia="宋体" w:cs="Times New Roman"/>
                <w:color w:val="auto"/>
                <w:sz w:val="24"/>
                <w:szCs w:val="24"/>
                <w:lang w:eastAsia="zh-CN"/>
              </w:rPr>
              <w:t>，无相关数据的选择当季主导风向下风向1个点位补充不少于3天的监测数据</w:t>
            </w:r>
            <w:r>
              <w:rPr>
                <w:rFonts w:hint="default" w:ascii="Times New Roman" w:hAnsi="Times New Roman" w:eastAsia="宋体" w:cs="Times New Roman"/>
                <w:color w:val="auto"/>
                <w:sz w:val="24"/>
                <w:szCs w:val="24"/>
                <w:lang w:eastAsia="zh-CN"/>
              </w:rPr>
              <w:t>”。</w:t>
            </w:r>
          </w:p>
          <w:p w14:paraId="31AC95D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本评价常规污染因子选取</w:t>
            </w:r>
            <w:r>
              <w:rPr>
                <w:rFonts w:hint="eastAsia" w:ascii="Times New Roman" w:hAnsi="Times New Roman" w:eastAsia="宋体" w:cs="Times New Roman"/>
                <w:color w:val="auto"/>
                <w:sz w:val="24"/>
                <w:szCs w:val="24"/>
                <w:lang w:val="en-US" w:eastAsia="zh-CN"/>
              </w:rPr>
              <w:t>福</w:t>
            </w:r>
            <w:r>
              <w:rPr>
                <w:rFonts w:hint="eastAsia" w:cs="Times New Roman"/>
                <w:color w:val="auto"/>
                <w:sz w:val="24"/>
                <w:szCs w:val="24"/>
                <w:lang w:val="en-US" w:eastAsia="zh-CN"/>
              </w:rPr>
              <w:t>清市</w:t>
            </w:r>
            <w:r>
              <w:rPr>
                <w:rFonts w:hint="eastAsia" w:ascii="Times New Roman" w:hAnsi="Times New Roman" w:eastAsia="宋体" w:cs="Times New Roman"/>
                <w:color w:val="auto"/>
                <w:sz w:val="24"/>
                <w:szCs w:val="24"/>
                <w:lang w:val="en-US" w:eastAsia="zh-CN"/>
              </w:rPr>
              <w:t>人民政府</w:t>
            </w:r>
            <w:r>
              <w:rPr>
                <w:rFonts w:hint="default" w:ascii="Times New Roman" w:hAnsi="Times New Roman" w:eastAsia="宋体" w:cs="Times New Roman"/>
                <w:color w:val="auto"/>
                <w:sz w:val="24"/>
                <w:szCs w:val="24"/>
                <w:lang w:eastAsia="zh-CN"/>
              </w:rPr>
              <w:t>发布的</w:t>
            </w:r>
            <w:r>
              <w:rPr>
                <w:rFonts w:hint="eastAsia" w:cs="Times New Roman"/>
                <w:color w:val="auto"/>
                <w:sz w:val="24"/>
                <w:szCs w:val="24"/>
                <w:lang w:val="en-US" w:eastAsia="zh-CN"/>
              </w:rPr>
              <w:t>2024年1-12月份</w:t>
            </w:r>
            <w:r>
              <w:rPr>
                <w:rFonts w:hint="default" w:ascii="Times New Roman" w:hAnsi="Times New Roman" w:eastAsia="宋体" w:cs="Times New Roman"/>
                <w:color w:val="auto"/>
                <w:sz w:val="24"/>
                <w:szCs w:val="24"/>
                <w:lang w:eastAsia="zh-CN"/>
              </w:rPr>
              <w:t>环境空气质量现状信息，特征污染因子TSP</w:t>
            </w:r>
            <w:r>
              <w:rPr>
                <w:rFonts w:hint="eastAsia" w:ascii="Times New Roman" w:hAnsi="Times New Roman" w:eastAsia="宋体" w:cs="Times New Roman"/>
                <w:color w:val="auto"/>
                <w:sz w:val="24"/>
                <w:szCs w:val="24"/>
                <w:lang w:val="en-US" w:eastAsia="zh-CN"/>
              </w:rPr>
              <w:t>引用</w:t>
            </w:r>
            <w:r>
              <w:rPr>
                <w:rFonts w:hint="default" w:ascii="Times New Roman" w:hAnsi="Times New Roman" w:eastAsia="宋体" w:cs="Times New Roman"/>
                <w:color w:val="auto"/>
                <w:sz w:val="24"/>
                <w:szCs w:val="24"/>
                <w:lang w:eastAsia="zh-CN"/>
              </w:rPr>
              <w:t>项目周边</w:t>
            </w:r>
            <w:r>
              <w:rPr>
                <w:rFonts w:hint="eastAsia" w:ascii="Times New Roman" w:hAnsi="Times New Roman" w:eastAsia="宋体" w:cs="Times New Roman"/>
                <w:color w:val="auto"/>
                <w:sz w:val="24"/>
                <w:szCs w:val="24"/>
                <w:lang w:val="en-US" w:eastAsia="zh-CN"/>
              </w:rPr>
              <w:t>5千米范围内</w:t>
            </w:r>
            <w:r>
              <w:rPr>
                <w:rFonts w:hint="default" w:ascii="Times New Roman" w:hAnsi="Times New Roman" w:eastAsia="宋体" w:cs="Times New Roman"/>
                <w:color w:val="auto"/>
                <w:sz w:val="24"/>
                <w:szCs w:val="24"/>
                <w:lang w:eastAsia="zh-CN"/>
              </w:rPr>
              <w:t>监测点</w:t>
            </w:r>
            <w:r>
              <w:rPr>
                <w:rFonts w:hint="eastAsia" w:ascii="Times New Roman" w:hAnsi="Times New Roman" w:eastAsia="宋体" w:cs="Times New Roman"/>
                <w:color w:val="auto"/>
                <w:sz w:val="24"/>
                <w:szCs w:val="24"/>
                <w:lang w:val="en-US" w:eastAsia="zh-CN"/>
              </w:rPr>
              <w:t>近3年内监测</w:t>
            </w:r>
            <w:r>
              <w:rPr>
                <w:rFonts w:hint="eastAsia" w:cs="Times New Roman"/>
                <w:color w:val="auto"/>
                <w:sz w:val="24"/>
                <w:szCs w:val="24"/>
                <w:lang w:val="en-US" w:eastAsia="zh-CN"/>
              </w:rPr>
              <w:t>数据</w:t>
            </w:r>
            <w:r>
              <w:rPr>
                <w:rFonts w:hint="default" w:ascii="Times New Roman" w:hAnsi="Times New Roman" w:eastAsia="宋体" w:cs="Times New Roman"/>
                <w:color w:val="auto"/>
                <w:sz w:val="24"/>
                <w:szCs w:val="24"/>
                <w:lang w:eastAsia="zh-CN"/>
              </w:rPr>
              <w:t>，符合《建设项目环境影响报告表编制技术指南（污染影响类）（试行）》（环办环评〔2020〕33号）的要求。</w:t>
            </w:r>
          </w:p>
          <w:p w14:paraId="32F881A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本项目引用</w:t>
            </w:r>
            <w:r>
              <w:rPr>
                <w:rFonts w:hint="eastAsia" w:ascii="Times New Roman" w:hAnsi="Times New Roman" w:eastAsia="宋体" w:cs="Times New Roman"/>
                <w:b w:val="0"/>
                <w:bCs w:val="0"/>
                <w:color w:val="auto"/>
                <w:sz w:val="24"/>
                <w:szCs w:val="24"/>
                <w:highlight w:val="none"/>
                <w:lang w:val="en-US" w:eastAsia="zh-CN"/>
              </w:rPr>
              <w:t>安正计量检测有限公司于2024年</w:t>
            </w:r>
            <w:r>
              <w:rPr>
                <w:rFonts w:hint="eastAsia" w:cs="Times New Roman"/>
                <w:b w:val="0"/>
                <w:bCs w:val="0"/>
                <w:color w:val="auto"/>
                <w:sz w:val="24"/>
                <w:szCs w:val="24"/>
                <w:highlight w:val="none"/>
                <w:lang w:val="en-US" w:eastAsia="zh-CN"/>
              </w:rPr>
              <w:t>04</w:t>
            </w:r>
            <w:r>
              <w:rPr>
                <w:rFonts w:hint="eastAsia" w:ascii="Times New Roman" w:hAnsi="Times New Roman" w:eastAsia="宋体" w:cs="Times New Roman"/>
                <w:b w:val="0"/>
                <w:bCs w:val="0"/>
                <w:color w:val="auto"/>
                <w:sz w:val="24"/>
                <w:szCs w:val="24"/>
                <w:highlight w:val="none"/>
                <w:lang w:val="en-US" w:eastAsia="zh-CN"/>
              </w:rPr>
              <w:t>月</w:t>
            </w:r>
            <w:r>
              <w:rPr>
                <w:rFonts w:hint="eastAsia" w:cs="Times New Roman"/>
                <w:b w:val="0"/>
                <w:bCs w:val="0"/>
                <w:color w:val="auto"/>
                <w:sz w:val="24"/>
                <w:szCs w:val="24"/>
                <w:highlight w:val="none"/>
                <w:lang w:val="en-US" w:eastAsia="zh-CN"/>
              </w:rPr>
              <w:t>01</w:t>
            </w:r>
            <w:r>
              <w:rPr>
                <w:rFonts w:hint="eastAsia" w:ascii="Times New Roman" w:hAnsi="Times New Roman" w:eastAsia="宋体" w:cs="Times New Roman"/>
                <w:b w:val="0"/>
                <w:bCs w:val="0"/>
                <w:color w:val="auto"/>
                <w:sz w:val="24"/>
                <w:szCs w:val="24"/>
                <w:highlight w:val="none"/>
                <w:lang w:val="en-US" w:eastAsia="zh-CN"/>
              </w:rPr>
              <w:t>日～</w:t>
            </w:r>
            <w:r>
              <w:rPr>
                <w:rFonts w:hint="eastAsia" w:cs="Times New Roman"/>
                <w:b w:val="0"/>
                <w:bCs w:val="0"/>
                <w:color w:val="auto"/>
                <w:sz w:val="24"/>
                <w:szCs w:val="24"/>
                <w:highlight w:val="none"/>
                <w:lang w:val="en-US" w:eastAsia="zh-CN"/>
              </w:rPr>
              <w:t>04</w:t>
            </w:r>
            <w:r>
              <w:rPr>
                <w:rFonts w:hint="eastAsia" w:ascii="Times New Roman" w:hAnsi="Times New Roman" w:eastAsia="宋体" w:cs="Times New Roman"/>
                <w:b w:val="0"/>
                <w:bCs w:val="0"/>
                <w:color w:val="auto"/>
                <w:sz w:val="24"/>
                <w:szCs w:val="24"/>
                <w:highlight w:val="none"/>
                <w:lang w:val="en-US" w:eastAsia="zh-CN"/>
              </w:rPr>
              <w:t>日</w:t>
            </w:r>
            <w:r>
              <w:rPr>
                <w:rFonts w:hint="default" w:ascii="Times New Roman" w:hAnsi="Times New Roman" w:eastAsia="宋体" w:cs="Times New Roman"/>
                <w:b w:val="0"/>
                <w:bCs w:val="0"/>
                <w:color w:val="auto"/>
                <w:sz w:val="24"/>
                <w:szCs w:val="24"/>
                <w:highlight w:val="none"/>
                <w:lang w:val="en-US" w:eastAsia="zh-CN"/>
              </w:rPr>
              <w:t>对</w:t>
            </w:r>
            <w:r>
              <w:rPr>
                <w:rFonts w:hint="eastAsia" w:ascii="Times New Roman" w:hAnsi="Times New Roman" w:eastAsia="宋体" w:cs="Times New Roman"/>
                <w:b w:val="0"/>
                <w:bCs w:val="0"/>
                <w:color w:val="auto"/>
                <w:sz w:val="24"/>
                <w:szCs w:val="24"/>
                <w:highlight w:val="none"/>
                <w:lang w:val="en-US" w:eastAsia="zh-CN"/>
              </w:rPr>
              <w:t>项目所在区域</w:t>
            </w:r>
            <w:r>
              <w:rPr>
                <w:rFonts w:hint="eastAsia" w:cs="Times New Roman"/>
                <w:b w:val="0"/>
                <w:bCs w:val="0"/>
                <w:color w:val="auto"/>
                <w:sz w:val="24"/>
                <w:szCs w:val="24"/>
                <w:highlight w:val="none"/>
                <w:lang w:val="en-US" w:eastAsia="zh-CN"/>
              </w:rPr>
              <w:t>石溪</w:t>
            </w:r>
            <w:r>
              <w:rPr>
                <w:rFonts w:hint="eastAsia" w:ascii="Times New Roman" w:hAnsi="Times New Roman" w:eastAsia="宋体" w:cs="Times New Roman"/>
                <w:b w:val="0"/>
                <w:bCs w:val="0"/>
                <w:color w:val="auto"/>
                <w:sz w:val="24"/>
                <w:szCs w:val="24"/>
                <w:highlight w:val="none"/>
                <w:lang w:val="en-US" w:eastAsia="zh-CN"/>
              </w:rPr>
              <w:t>村</w:t>
            </w:r>
            <w:r>
              <w:rPr>
                <w:rFonts w:hint="default" w:ascii="Times New Roman" w:hAnsi="Times New Roman" w:eastAsia="宋体" w:cs="Times New Roman"/>
                <w:b w:val="0"/>
                <w:bCs w:val="0"/>
                <w:color w:val="auto"/>
                <w:sz w:val="24"/>
                <w:szCs w:val="24"/>
                <w:highlight w:val="none"/>
                <w:lang w:val="en-US" w:eastAsia="zh-CN"/>
              </w:rPr>
              <w:t>点位TSP现状</w:t>
            </w:r>
            <w:r>
              <w:rPr>
                <w:rFonts w:hint="eastAsia" w:ascii="Times New Roman" w:hAnsi="Times New Roman" w:eastAsia="宋体" w:cs="Times New Roman"/>
                <w:b w:val="0"/>
                <w:bCs w:val="0"/>
                <w:color w:val="auto"/>
                <w:sz w:val="24"/>
                <w:szCs w:val="24"/>
                <w:highlight w:val="none"/>
                <w:lang w:val="en-US" w:eastAsia="zh-CN"/>
              </w:rPr>
              <w:t>监测数据（</w:t>
            </w:r>
            <w:r>
              <w:rPr>
                <w:rFonts w:hint="default" w:ascii="Times New Roman" w:hAnsi="Times New Roman" w:eastAsia="宋体" w:cs="Times New Roman"/>
                <w:b w:val="0"/>
                <w:bCs w:val="0"/>
                <w:color w:val="auto"/>
                <w:sz w:val="24"/>
                <w:szCs w:val="24"/>
                <w:highlight w:val="none"/>
                <w:lang w:val="en-US" w:eastAsia="zh-CN"/>
              </w:rPr>
              <w:t>检测报告编号：</w:t>
            </w:r>
            <w:r>
              <w:rPr>
                <w:rFonts w:hint="eastAsia"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w:t>
            </w:r>
            <w:r>
              <w:rPr>
                <w:rFonts w:hint="eastAsia" w:ascii="Times New Roman" w:hAnsi="Times New Roman" w:eastAsia="宋体"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监测点位于本项目</w:t>
            </w:r>
            <w:r>
              <w:rPr>
                <w:rFonts w:hint="eastAsia" w:ascii="Times New Roman" w:hAnsi="Times New Roman" w:eastAsia="宋体" w:cs="Times New Roman"/>
                <w:b w:val="0"/>
                <w:bCs w:val="0"/>
                <w:color w:val="auto"/>
                <w:sz w:val="24"/>
                <w:szCs w:val="24"/>
                <w:highlight w:val="none"/>
                <w:lang w:val="en-US" w:eastAsia="zh-CN"/>
              </w:rPr>
              <w:t>厂区西</w:t>
            </w:r>
            <w:r>
              <w:rPr>
                <w:rFonts w:hint="eastAsia" w:cs="Times New Roman"/>
                <w:b w:val="0"/>
                <w:bCs w:val="0"/>
                <w:color w:val="auto"/>
                <w:sz w:val="24"/>
                <w:szCs w:val="24"/>
                <w:highlight w:val="none"/>
                <w:lang w:val="en-US" w:eastAsia="zh-CN"/>
              </w:rPr>
              <w:t>北</w:t>
            </w:r>
            <w:r>
              <w:rPr>
                <w:rFonts w:hint="eastAsia" w:ascii="Times New Roman" w:hAnsi="Times New Roman" w:eastAsia="宋体" w:cs="Times New Roman"/>
                <w:b w:val="0"/>
                <w:bCs w:val="0"/>
                <w:color w:val="auto"/>
                <w:sz w:val="24"/>
                <w:szCs w:val="24"/>
                <w:highlight w:val="none"/>
                <w:lang w:val="en-US" w:eastAsia="zh-CN"/>
              </w:rPr>
              <w:t>侧约</w:t>
            </w:r>
            <w:r>
              <w:rPr>
                <w:rFonts w:hint="eastAsia" w:cs="Times New Roman"/>
                <w:b w:val="0"/>
                <w:bCs w:val="0"/>
                <w:color w:val="auto"/>
                <w:sz w:val="24"/>
                <w:szCs w:val="24"/>
                <w:highlight w:val="none"/>
                <w:lang w:val="en-US" w:eastAsia="zh-CN"/>
              </w:rPr>
              <w:t>321</w:t>
            </w:r>
            <w:r>
              <w:rPr>
                <w:rFonts w:hint="eastAsia" w:ascii="Times New Roman" w:hAnsi="Times New Roman" w:eastAsia="宋体" w:cs="Times New Roman"/>
                <w:b w:val="0"/>
                <w:bCs w:val="0"/>
                <w:color w:val="auto"/>
                <w:sz w:val="24"/>
                <w:szCs w:val="24"/>
                <w:highlight w:val="none"/>
                <w:lang w:val="en-US" w:eastAsia="zh-CN"/>
              </w:rPr>
              <w:t>m</w:t>
            </w:r>
            <w:r>
              <w:rPr>
                <w:rFonts w:hint="eastAsia" w:cs="Times New Roman"/>
                <w:b w:val="0"/>
                <w:bCs w:val="0"/>
                <w:color w:val="auto"/>
                <w:sz w:val="24"/>
                <w:szCs w:val="24"/>
                <w:highlight w:val="none"/>
                <w:lang w:val="en-US" w:eastAsia="zh-CN"/>
              </w:rPr>
              <w:t>处的石溪村居民区内</w:t>
            </w:r>
            <w:r>
              <w:rPr>
                <w:rFonts w:hint="default" w:ascii="Times New Roman" w:hAnsi="Times New Roman" w:eastAsia="宋体" w:cs="Times New Roman"/>
                <w:b w:val="0"/>
                <w:bCs w:val="0"/>
                <w:color w:val="auto"/>
                <w:sz w:val="24"/>
                <w:szCs w:val="24"/>
                <w:highlight w:val="none"/>
                <w:lang w:val="en-US" w:eastAsia="zh-CN"/>
              </w:rPr>
              <w:t>，符合《建设项目环境影响报告表编制技术指南（污染影响类）</w:t>
            </w:r>
            <w:r>
              <w:rPr>
                <w:rFonts w:hint="eastAsia" w:cs="Times New Roman"/>
                <w:b w:val="0"/>
                <w:bCs w:val="0"/>
                <w:color w:val="auto"/>
                <w:sz w:val="24"/>
                <w:szCs w:val="24"/>
                <w:highlight w:val="none"/>
                <w:lang w:val="en-US" w:eastAsia="zh-CN"/>
              </w:rPr>
              <w:t>（试行）》</w:t>
            </w:r>
            <w:r>
              <w:rPr>
                <w:rFonts w:hint="default" w:ascii="Times New Roman" w:hAnsi="Times New Roman" w:eastAsia="宋体" w:cs="Times New Roman"/>
                <w:b w:val="0"/>
                <w:bCs w:val="0"/>
                <w:color w:val="auto"/>
                <w:sz w:val="24"/>
                <w:szCs w:val="24"/>
                <w:highlight w:val="none"/>
                <w:lang w:val="en-US" w:eastAsia="zh-CN"/>
              </w:rPr>
              <w:t>中“排放国家、地方环境空气质量标准中有标准限值要求的特征污染物时，引用建设项目周边5千米范围内近3年的现有监测数据”要求</w:t>
            </w:r>
            <w:r>
              <w:rPr>
                <w:rFonts w:hint="eastAsia" w:ascii="Times New Roman" w:hAnsi="Times New Roman" w:eastAsia="宋体" w:cs="Times New Roman"/>
                <w:b w:val="0"/>
                <w:bCs w:val="0"/>
                <w:color w:val="auto"/>
                <w:sz w:val="24"/>
                <w:szCs w:val="24"/>
                <w:highlight w:val="none"/>
                <w:lang w:val="en-US" w:eastAsia="zh-CN"/>
              </w:rPr>
              <w:t>，因此</w:t>
            </w:r>
            <w:r>
              <w:rPr>
                <w:rFonts w:hint="default" w:ascii="Times New Roman" w:hAnsi="Times New Roman" w:eastAsia="宋体" w:cs="Times New Roman"/>
                <w:b w:val="0"/>
                <w:bCs w:val="0"/>
                <w:color w:val="auto"/>
                <w:sz w:val="24"/>
                <w:szCs w:val="24"/>
                <w:highlight w:val="none"/>
                <w:lang w:val="en-US" w:eastAsia="zh-CN"/>
              </w:rPr>
              <w:t>可作为本项目所在区域</w:t>
            </w:r>
            <w:r>
              <w:rPr>
                <w:rFonts w:hint="eastAsia" w:ascii="Times New Roman" w:hAnsi="Times New Roman" w:eastAsia="宋体" w:cs="Times New Roman"/>
                <w:b w:val="0"/>
                <w:bCs w:val="0"/>
                <w:color w:val="auto"/>
                <w:sz w:val="24"/>
                <w:szCs w:val="24"/>
                <w:highlight w:val="none"/>
                <w:lang w:val="en-US" w:eastAsia="zh-CN"/>
              </w:rPr>
              <w:t>TSP</w:t>
            </w:r>
            <w:r>
              <w:rPr>
                <w:rFonts w:hint="default" w:ascii="Times New Roman" w:hAnsi="Times New Roman" w:eastAsia="宋体" w:cs="Times New Roman"/>
                <w:b w:val="0"/>
                <w:bCs w:val="0"/>
                <w:color w:val="auto"/>
                <w:sz w:val="24"/>
                <w:szCs w:val="24"/>
                <w:highlight w:val="none"/>
                <w:lang w:val="en-US" w:eastAsia="zh-CN"/>
              </w:rPr>
              <w:t>环境空气质量现状的参考。</w:t>
            </w:r>
          </w:p>
          <w:p w14:paraId="59D02573">
            <w:pPr>
              <w:pStyle w:val="3"/>
              <w:bidi w:val="0"/>
              <w:rPr>
                <w:rFonts w:hint="default"/>
                <w:color w:val="auto"/>
              </w:rPr>
            </w:pPr>
            <w:r>
              <w:rPr>
                <w:rFonts w:hint="default"/>
                <w:color w:val="auto"/>
              </w:rPr>
              <w:t>3.2水环境质量现状</w:t>
            </w:r>
          </w:p>
          <w:p w14:paraId="3D67B5B6">
            <w:pPr>
              <w:pStyle w:val="4"/>
              <w:bidi w:val="0"/>
              <w:rPr>
                <w:color w:val="auto"/>
              </w:rPr>
            </w:pPr>
            <w:r>
              <w:rPr>
                <w:color w:val="auto"/>
              </w:rPr>
              <w:t>3.2.1地表水功能区划</w:t>
            </w:r>
          </w:p>
          <w:p w14:paraId="5CD528A4">
            <w:pPr>
              <w:bidi w:val="0"/>
              <w:rPr>
                <w:color w:val="auto"/>
              </w:rPr>
            </w:pPr>
            <w:r>
              <w:rPr>
                <w:color w:val="auto"/>
              </w:rPr>
              <w:t>⑴水环境</w:t>
            </w:r>
          </w:p>
          <w:p w14:paraId="3212A45F">
            <w:pPr>
              <w:bidi w:val="0"/>
              <w:rPr>
                <w:rFonts w:ascii="Times New Roman" w:hAnsi="Times New Roman" w:eastAsia="宋体" w:cs="Times New Roman"/>
                <w:color w:val="auto"/>
              </w:rPr>
            </w:pPr>
            <w:r>
              <w:rPr>
                <w:rFonts w:hint="default"/>
                <w:color w:val="auto"/>
                <w:lang w:eastAsia="zh-CN"/>
              </w:rPr>
              <w:t>项目周边水域为南侧的南厝河，主要水环境功能为农业用水；根据福建省人民政府准《福州市地表水环境功能区划定方案》</w:t>
            </w:r>
            <w:r>
              <w:rPr>
                <w:rFonts w:hint="default"/>
                <w:color w:val="auto"/>
                <w:lang w:val="en-US" w:eastAsia="zh-CN"/>
              </w:rPr>
              <w:t>(</w:t>
            </w:r>
            <w:r>
              <w:rPr>
                <w:rFonts w:hint="default"/>
                <w:color w:val="auto"/>
                <w:lang w:eastAsia="zh-CN"/>
              </w:rPr>
              <w:t>闽政文[2006]133号</w:t>
            </w:r>
            <w:r>
              <w:rPr>
                <w:rFonts w:hint="default"/>
                <w:color w:val="auto"/>
                <w:lang w:val="en-US" w:eastAsia="zh-CN"/>
              </w:rPr>
              <w:t>)规定，</w:t>
            </w:r>
            <w:r>
              <w:rPr>
                <w:rFonts w:hint="default"/>
                <w:color w:val="auto"/>
                <w:lang w:eastAsia="zh-CN"/>
              </w:rPr>
              <w:t>附表1、附表2表中未提到的福州市辖区范围内的其他河流、河段及湖库执行Ⅲ类标准，因此，项目周边南厝河水质执行《地表水环境质量标准》(GB3838-2002)中Ⅲ类水质标准，</w:t>
            </w:r>
            <w:r>
              <w:rPr>
                <w:color w:val="auto"/>
              </w:rPr>
              <w:t>详见表3.2-1。</w:t>
            </w:r>
          </w:p>
          <w:p w14:paraId="0EFF3202">
            <w:pPr>
              <w:pStyle w:val="33"/>
              <w:bidi w:val="0"/>
              <w:rPr>
                <w:rFonts w:eastAsia="黑体"/>
                <w:color w:val="auto"/>
                <w:sz w:val="24"/>
                <w:szCs w:val="24"/>
              </w:rPr>
            </w:pPr>
            <w:r>
              <w:rPr>
                <w:color w:val="auto"/>
                <w:sz w:val="24"/>
                <w:szCs w:val="24"/>
              </w:rPr>
              <w:t>表3.2-1 地表水环境质量标准(GB3838-2002)(摘录) 单位：mg/L(pH除外)</w:t>
            </w:r>
          </w:p>
          <w:tbl>
            <w:tblPr>
              <w:tblStyle w:val="20"/>
              <w:tblW w:w="0" w:type="auto"/>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28" w:type="dxa"/>
                <w:bottom w:w="0" w:type="dxa"/>
                <w:right w:w="28" w:type="dxa"/>
              </w:tblCellMar>
            </w:tblPr>
            <w:tblGrid>
              <w:gridCol w:w="947"/>
              <w:gridCol w:w="2424"/>
              <w:gridCol w:w="1248"/>
              <w:gridCol w:w="1209"/>
              <w:gridCol w:w="1168"/>
              <w:gridCol w:w="1170"/>
            </w:tblGrid>
            <w:tr w14:paraId="3CBBA46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atLeast"/>
                <w:jc w:val="center"/>
              </w:trPr>
              <w:tc>
                <w:tcPr>
                  <w:tcW w:w="947" w:type="dxa"/>
                  <w:shd w:val="clear" w:color="auto" w:fill="auto"/>
                  <w:noWrap w:val="0"/>
                  <w:vAlign w:val="center"/>
                </w:tcPr>
                <w:p w14:paraId="3C49D725">
                  <w:pPr>
                    <w:pStyle w:val="28"/>
                    <w:bidi w:val="0"/>
                    <w:rPr>
                      <w:color w:val="auto"/>
                    </w:rPr>
                  </w:pPr>
                  <w:r>
                    <w:rPr>
                      <w:color w:val="auto"/>
                    </w:rPr>
                    <w:t>序号</w:t>
                  </w:r>
                </w:p>
              </w:tc>
              <w:tc>
                <w:tcPr>
                  <w:tcW w:w="2424" w:type="dxa"/>
                  <w:shd w:val="clear" w:color="auto" w:fill="auto"/>
                  <w:noWrap w:val="0"/>
                  <w:vAlign w:val="center"/>
                </w:tcPr>
                <w:p w14:paraId="0B324824">
                  <w:pPr>
                    <w:pStyle w:val="28"/>
                    <w:bidi w:val="0"/>
                    <w:rPr>
                      <w:color w:val="auto"/>
                    </w:rPr>
                  </w:pPr>
                  <w:r>
                    <w:rPr>
                      <w:color w:val="auto"/>
                    </w:rPr>
                    <w:t>项目</w:t>
                  </w:r>
                </w:p>
              </w:tc>
              <w:tc>
                <w:tcPr>
                  <w:tcW w:w="1248" w:type="dxa"/>
                  <w:shd w:val="clear" w:color="auto" w:fill="auto"/>
                  <w:noWrap w:val="0"/>
                  <w:vAlign w:val="center"/>
                </w:tcPr>
                <w:p w14:paraId="04BBE80A">
                  <w:pPr>
                    <w:pStyle w:val="28"/>
                    <w:bidi w:val="0"/>
                    <w:rPr>
                      <w:color w:val="auto"/>
                    </w:rPr>
                  </w:pPr>
                  <w:r>
                    <w:rPr>
                      <w:color w:val="auto"/>
                    </w:rPr>
                    <w:t>Ⅱ类</w:t>
                  </w:r>
                </w:p>
              </w:tc>
              <w:tc>
                <w:tcPr>
                  <w:tcW w:w="1209" w:type="dxa"/>
                  <w:shd w:val="clear" w:color="auto" w:fill="BEBEBE" w:themeFill="background1" w:themeFillShade="BF"/>
                  <w:noWrap w:val="0"/>
                  <w:vAlign w:val="center"/>
                </w:tcPr>
                <w:p w14:paraId="43377474">
                  <w:pPr>
                    <w:pStyle w:val="28"/>
                    <w:bidi w:val="0"/>
                    <w:rPr>
                      <w:color w:val="auto"/>
                      <w:highlight w:val="none"/>
                    </w:rPr>
                  </w:pPr>
                  <w:r>
                    <w:rPr>
                      <w:color w:val="auto"/>
                      <w:highlight w:val="none"/>
                    </w:rPr>
                    <w:t>Ⅲ类</w:t>
                  </w:r>
                </w:p>
              </w:tc>
              <w:tc>
                <w:tcPr>
                  <w:tcW w:w="1168" w:type="dxa"/>
                  <w:shd w:val="clear" w:color="auto" w:fill="FFFFFF"/>
                  <w:noWrap w:val="0"/>
                  <w:vAlign w:val="center"/>
                </w:tcPr>
                <w:p w14:paraId="32FE09EB">
                  <w:pPr>
                    <w:pStyle w:val="28"/>
                    <w:bidi w:val="0"/>
                    <w:rPr>
                      <w:color w:val="auto"/>
                    </w:rPr>
                  </w:pPr>
                  <w:r>
                    <w:rPr>
                      <w:color w:val="auto"/>
                    </w:rPr>
                    <w:t>Ⅳ类</w:t>
                  </w:r>
                </w:p>
              </w:tc>
              <w:tc>
                <w:tcPr>
                  <w:tcW w:w="1170" w:type="dxa"/>
                  <w:noWrap w:val="0"/>
                  <w:vAlign w:val="center"/>
                </w:tcPr>
                <w:p w14:paraId="0BA66508">
                  <w:pPr>
                    <w:pStyle w:val="28"/>
                    <w:bidi w:val="0"/>
                    <w:rPr>
                      <w:color w:val="auto"/>
                    </w:rPr>
                  </w:pPr>
                  <w:r>
                    <w:rPr>
                      <w:color w:val="auto"/>
                    </w:rPr>
                    <w:t>Ⅴ类</w:t>
                  </w:r>
                </w:p>
              </w:tc>
            </w:tr>
            <w:tr w14:paraId="3A8CBEC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atLeast"/>
                <w:jc w:val="center"/>
              </w:trPr>
              <w:tc>
                <w:tcPr>
                  <w:tcW w:w="947" w:type="dxa"/>
                  <w:shd w:val="clear" w:color="auto" w:fill="auto"/>
                  <w:noWrap w:val="0"/>
                  <w:vAlign w:val="center"/>
                </w:tcPr>
                <w:p w14:paraId="0BEAF446">
                  <w:pPr>
                    <w:pStyle w:val="28"/>
                    <w:bidi w:val="0"/>
                    <w:rPr>
                      <w:color w:val="auto"/>
                    </w:rPr>
                  </w:pPr>
                  <w:r>
                    <w:rPr>
                      <w:color w:val="auto"/>
                    </w:rPr>
                    <w:t>1</w:t>
                  </w:r>
                </w:p>
              </w:tc>
              <w:tc>
                <w:tcPr>
                  <w:tcW w:w="2424" w:type="dxa"/>
                  <w:shd w:val="clear" w:color="auto" w:fill="auto"/>
                  <w:noWrap w:val="0"/>
                  <w:vAlign w:val="center"/>
                </w:tcPr>
                <w:p w14:paraId="54F4E7AF">
                  <w:pPr>
                    <w:pStyle w:val="28"/>
                    <w:bidi w:val="0"/>
                    <w:rPr>
                      <w:color w:val="auto"/>
                    </w:rPr>
                  </w:pPr>
                  <w:r>
                    <w:rPr>
                      <w:color w:val="auto"/>
                    </w:rPr>
                    <w:t>pH(无量纲)</w:t>
                  </w:r>
                </w:p>
              </w:tc>
              <w:tc>
                <w:tcPr>
                  <w:tcW w:w="4795" w:type="dxa"/>
                  <w:gridSpan w:val="4"/>
                  <w:shd w:val="clear" w:color="auto" w:fill="BEBEBE" w:themeFill="background1" w:themeFillShade="BF"/>
                  <w:noWrap w:val="0"/>
                  <w:vAlign w:val="center"/>
                </w:tcPr>
                <w:p w14:paraId="556185B2">
                  <w:pPr>
                    <w:pStyle w:val="28"/>
                    <w:bidi w:val="0"/>
                    <w:rPr>
                      <w:color w:val="auto"/>
                      <w:highlight w:val="none"/>
                    </w:rPr>
                  </w:pPr>
                  <w:r>
                    <w:rPr>
                      <w:color w:val="auto"/>
                      <w:highlight w:val="none"/>
                    </w:rPr>
                    <w:t>6～9</w:t>
                  </w:r>
                </w:p>
              </w:tc>
            </w:tr>
            <w:tr w14:paraId="34358A2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atLeast"/>
                <w:jc w:val="center"/>
              </w:trPr>
              <w:tc>
                <w:tcPr>
                  <w:tcW w:w="947" w:type="dxa"/>
                  <w:shd w:val="clear" w:color="auto" w:fill="auto"/>
                  <w:noWrap w:val="0"/>
                  <w:vAlign w:val="center"/>
                </w:tcPr>
                <w:p w14:paraId="0981F59D">
                  <w:pPr>
                    <w:pStyle w:val="28"/>
                    <w:bidi w:val="0"/>
                    <w:rPr>
                      <w:color w:val="auto"/>
                    </w:rPr>
                  </w:pPr>
                  <w:r>
                    <w:rPr>
                      <w:color w:val="auto"/>
                    </w:rPr>
                    <w:t>2</w:t>
                  </w:r>
                </w:p>
              </w:tc>
              <w:tc>
                <w:tcPr>
                  <w:tcW w:w="2424" w:type="dxa"/>
                  <w:shd w:val="clear" w:color="auto" w:fill="auto"/>
                  <w:noWrap w:val="0"/>
                  <w:vAlign w:val="center"/>
                </w:tcPr>
                <w:p w14:paraId="1F48A3F3">
                  <w:pPr>
                    <w:pStyle w:val="28"/>
                    <w:bidi w:val="0"/>
                    <w:rPr>
                      <w:color w:val="auto"/>
                    </w:rPr>
                  </w:pPr>
                  <w:r>
                    <w:rPr>
                      <w:color w:val="auto"/>
                    </w:rPr>
                    <w:t>COD</w:t>
                  </w:r>
                  <w:r>
                    <w:rPr>
                      <w:color w:val="auto"/>
                      <w:vertAlign w:val="subscript"/>
                    </w:rPr>
                    <w:t>Mn</w:t>
                  </w:r>
                  <w:r>
                    <w:rPr>
                      <w:color w:val="auto"/>
                    </w:rPr>
                    <w:t>≤</w:t>
                  </w:r>
                </w:p>
              </w:tc>
              <w:tc>
                <w:tcPr>
                  <w:tcW w:w="1248" w:type="dxa"/>
                  <w:tcBorders>
                    <w:right w:val="single" w:color="auto" w:sz="4" w:space="0"/>
                  </w:tcBorders>
                  <w:shd w:val="clear" w:color="auto" w:fill="auto"/>
                  <w:noWrap w:val="0"/>
                  <w:vAlign w:val="center"/>
                </w:tcPr>
                <w:p w14:paraId="260DA922">
                  <w:pPr>
                    <w:pStyle w:val="28"/>
                    <w:bidi w:val="0"/>
                    <w:rPr>
                      <w:color w:val="auto"/>
                    </w:rPr>
                  </w:pPr>
                  <w:r>
                    <w:rPr>
                      <w:color w:val="auto"/>
                    </w:rPr>
                    <w:t>4</w:t>
                  </w:r>
                </w:p>
              </w:tc>
              <w:tc>
                <w:tcPr>
                  <w:tcW w:w="1209" w:type="dxa"/>
                  <w:tcBorders>
                    <w:left w:val="single" w:color="auto" w:sz="4" w:space="0"/>
                    <w:right w:val="single" w:color="auto" w:sz="4" w:space="0"/>
                  </w:tcBorders>
                  <w:shd w:val="clear" w:color="auto" w:fill="BEBEBE" w:themeFill="background1" w:themeFillShade="BF"/>
                  <w:noWrap w:val="0"/>
                  <w:vAlign w:val="center"/>
                </w:tcPr>
                <w:p w14:paraId="70C7357A">
                  <w:pPr>
                    <w:pStyle w:val="28"/>
                    <w:bidi w:val="0"/>
                    <w:rPr>
                      <w:color w:val="auto"/>
                      <w:highlight w:val="none"/>
                    </w:rPr>
                  </w:pPr>
                  <w:r>
                    <w:rPr>
                      <w:color w:val="auto"/>
                      <w:highlight w:val="none"/>
                    </w:rPr>
                    <w:t>6</w:t>
                  </w:r>
                </w:p>
              </w:tc>
              <w:tc>
                <w:tcPr>
                  <w:tcW w:w="1168" w:type="dxa"/>
                  <w:tcBorders>
                    <w:left w:val="single" w:color="auto" w:sz="4" w:space="0"/>
                    <w:right w:val="single" w:color="auto" w:sz="4" w:space="0"/>
                  </w:tcBorders>
                  <w:shd w:val="clear" w:color="auto" w:fill="FFFFFF"/>
                  <w:noWrap w:val="0"/>
                  <w:vAlign w:val="center"/>
                </w:tcPr>
                <w:p w14:paraId="28A3FBCE">
                  <w:pPr>
                    <w:pStyle w:val="28"/>
                    <w:bidi w:val="0"/>
                    <w:rPr>
                      <w:color w:val="auto"/>
                    </w:rPr>
                  </w:pPr>
                  <w:r>
                    <w:rPr>
                      <w:color w:val="auto"/>
                    </w:rPr>
                    <w:t>10</w:t>
                  </w:r>
                </w:p>
              </w:tc>
              <w:tc>
                <w:tcPr>
                  <w:tcW w:w="1170" w:type="dxa"/>
                  <w:tcBorders>
                    <w:left w:val="single" w:color="auto" w:sz="4" w:space="0"/>
                  </w:tcBorders>
                  <w:noWrap w:val="0"/>
                  <w:vAlign w:val="center"/>
                </w:tcPr>
                <w:p w14:paraId="4E1024FE">
                  <w:pPr>
                    <w:pStyle w:val="28"/>
                    <w:bidi w:val="0"/>
                    <w:rPr>
                      <w:color w:val="auto"/>
                    </w:rPr>
                  </w:pPr>
                  <w:r>
                    <w:rPr>
                      <w:color w:val="auto"/>
                    </w:rPr>
                    <w:t>15</w:t>
                  </w:r>
                </w:p>
              </w:tc>
            </w:tr>
            <w:tr w14:paraId="54921F8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atLeast"/>
                <w:jc w:val="center"/>
              </w:trPr>
              <w:tc>
                <w:tcPr>
                  <w:tcW w:w="947" w:type="dxa"/>
                  <w:shd w:val="clear" w:color="auto" w:fill="auto"/>
                  <w:noWrap w:val="0"/>
                  <w:vAlign w:val="center"/>
                </w:tcPr>
                <w:p w14:paraId="75029DEB">
                  <w:pPr>
                    <w:pStyle w:val="28"/>
                    <w:bidi w:val="0"/>
                    <w:rPr>
                      <w:color w:val="auto"/>
                    </w:rPr>
                  </w:pPr>
                  <w:r>
                    <w:rPr>
                      <w:color w:val="auto"/>
                    </w:rPr>
                    <w:t>3</w:t>
                  </w:r>
                </w:p>
              </w:tc>
              <w:tc>
                <w:tcPr>
                  <w:tcW w:w="2424" w:type="dxa"/>
                  <w:shd w:val="clear" w:color="auto" w:fill="auto"/>
                  <w:noWrap w:val="0"/>
                  <w:vAlign w:val="center"/>
                </w:tcPr>
                <w:p w14:paraId="4B745C51">
                  <w:pPr>
                    <w:pStyle w:val="28"/>
                    <w:bidi w:val="0"/>
                    <w:rPr>
                      <w:color w:val="auto"/>
                    </w:rPr>
                  </w:pPr>
                  <w:r>
                    <w:rPr>
                      <w:color w:val="auto"/>
                    </w:rPr>
                    <w:t>DO</w:t>
                  </w:r>
                  <w:r>
                    <w:rPr>
                      <w:rFonts w:hint="eastAsia"/>
                      <w:color w:val="auto"/>
                    </w:rPr>
                    <w:t>≥</w:t>
                  </w:r>
                </w:p>
              </w:tc>
              <w:tc>
                <w:tcPr>
                  <w:tcW w:w="1248" w:type="dxa"/>
                  <w:shd w:val="clear" w:color="auto" w:fill="auto"/>
                  <w:noWrap w:val="0"/>
                  <w:vAlign w:val="center"/>
                </w:tcPr>
                <w:p w14:paraId="23D427E8">
                  <w:pPr>
                    <w:pStyle w:val="28"/>
                    <w:bidi w:val="0"/>
                    <w:rPr>
                      <w:color w:val="auto"/>
                    </w:rPr>
                  </w:pPr>
                  <w:r>
                    <w:rPr>
                      <w:color w:val="auto"/>
                    </w:rPr>
                    <w:t>6</w:t>
                  </w:r>
                </w:p>
              </w:tc>
              <w:tc>
                <w:tcPr>
                  <w:tcW w:w="1209" w:type="dxa"/>
                  <w:shd w:val="clear" w:color="auto" w:fill="BEBEBE" w:themeFill="background1" w:themeFillShade="BF"/>
                  <w:noWrap w:val="0"/>
                  <w:vAlign w:val="center"/>
                </w:tcPr>
                <w:p w14:paraId="6DB7E65A">
                  <w:pPr>
                    <w:pStyle w:val="28"/>
                    <w:bidi w:val="0"/>
                    <w:rPr>
                      <w:color w:val="auto"/>
                      <w:highlight w:val="none"/>
                    </w:rPr>
                  </w:pPr>
                  <w:r>
                    <w:rPr>
                      <w:color w:val="auto"/>
                      <w:highlight w:val="none"/>
                    </w:rPr>
                    <w:t>5</w:t>
                  </w:r>
                </w:p>
              </w:tc>
              <w:tc>
                <w:tcPr>
                  <w:tcW w:w="1168" w:type="dxa"/>
                  <w:shd w:val="clear" w:color="auto" w:fill="FFFFFF"/>
                  <w:noWrap w:val="0"/>
                  <w:vAlign w:val="center"/>
                </w:tcPr>
                <w:p w14:paraId="0AB14830">
                  <w:pPr>
                    <w:pStyle w:val="28"/>
                    <w:bidi w:val="0"/>
                    <w:rPr>
                      <w:color w:val="auto"/>
                    </w:rPr>
                  </w:pPr>
                  <w:r>
                    <w:rPr>
                      <w:color w:val="auto"/>
                    </w:rPr>
                    <w:t>3</w:t>
                  </w:r>
                </w:p>
              </w:tc>
              <w:tc>
                <w:tcPr>
                  <w:tcW w:w="1170" w:type="dxa"/>
                  <w:noWrap w:val="0"/>
                  <w:vAlign w:val="center"/>
                </w:tcPr>
                <w:p w14:paraId="0CB8896F">
                  <w:pPr>
                    <w:pStyle w:val="28"/>
                    <w:bidi w:val="0"/>
                    <w:rPr>
                      <w:color w:val="auto"/>
                    </w:rPr>
                  </w:pPr>
                  <w:r>
                    <w:rPr>
                      <w:color w:val="auto"/>
                    </w:rPr>
                    <w:t>2</w:t>
                  </w:r>
                </w:p>
              </w:tc>
            </w:tr>
            <w:tr w14:paraId="7BE867E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atLeast"/>
                <w:jc w:val="center"/>
              </w:trPr>
              <w:tc>
                <w:tcPr>
                  <w:tcW w:w="947" w:type="dxa"/>
                  <w:shd w:val="clear" w:color="auto" w:fill="auto"/>
                  <w:noWrap w:val="0"/>
                  <w:vAlign w:val="center"/>
                </w:tcPr>
                <w:p w14:paraId="06F6D9E7">
                  <w:pPr>
                    <w:pStyle w:val="28"/>
                    <w:bidi w:val="0"/>
                    <w:rPr>
                      <w:color w:val="auto"/>
                    </w:rPr>
                  </w:pPr>
                  <w:r>
                    <w:rPr>
                      <w:color w:val="auto"/>
                    </w:rPr>
                    <w:t>4</w:t>
                  </w:r>
                </w:p>
              </w:tc>
              <w:tc>
                <w:tcPr>
                  <w:tcW w:w="2424" w:type="dxa"/>
                  <w:shd w:val="clear" w:color="auto" w:fill="auto"/>
                  <w:noWrap w:val="0"/>
                  <w:vAlign w:val="center"/>
                </w:tcPr>
                <w:p w14:paraId="666A21E0">
                  <w:pPr>
                    <w:pStyle w:val="28"/>
                    <w:bidi w:val="0"/>
                    <w:rPr>
                      <w:color w:val="auto"/>
                    </w:rPr>
                  </w:pPr>
                  <w:r>
                    <w:rPr>
                      <w:color w:val="auto"/>
                    </w:rPr>
                    <w:t>NH</w:t>
                  </w:r>
                  <w:r>
                    <w:rPr>
                      <w:color w:val="auto"/>
                      <w:vertAlign w:val="subscript"/>
                    </w:rPr>
                    <w:t>3</w:t>
                  </w:r>
                  <w:r>
                    <w:rPr>
                      <w:color w:val="auto"/>
                    </w:rPr>
                    <w:t>-N≤</w:t>
                  </w:r>
                </w:p>
              </w:tc>
              <w:tc>
                <w:tcPr>
                  <w:tcW w:w="1248" w:type="dxa"/>
                  <w:shd w:val="clear" w:color="auto" w:fill="auto"/>
                  <w:noWrap w:val="0"/>
                  <w:vAlign w:val="center"/>
                </w:tcPr>
                <w:p w14:paraId="1163EC13">
                  <w:pPr>
                    <w:pStyle w:val="28"/>
                    <w:bidi w:val="0"/>
                    <w:rPr>
                      <w:color w:val="auto"/>
                    </w:rPr>
                  </w:pPr>
                  <w:r>
                    <w:rPr>
                      <w:color w:val="auto"/>
                    </w:rPr>
                    <w:t>0.5</w:t>
                  </w:r>
                </w:p>
              </w:tc>
              <w:tc>
                <w:tcPr>
                  <w:tcW w:w="1209" w:type="dxa"/>
                  <w:shd w:val="clear" w:color="auto" w:fill="BEBEBE" w:themeFill="background1" w:themeFillShade="BF"/>
                  <w:noWrap w:val="0"/>
                  <w:vAlign w:val="center"/>
                </w:tcPr>
                <w:p w14:paraId="40EBD943">
                  <w:pPr>
                    <w:pStyle w:val="28"/>
                    <w:bidi w:val="0"/>
                    <w:rPr>
                      <w:color w:val="auto"/>
                      <w:highlight w:val="none"/>
                    </w:rPr>
                  </w:pPr>
                  <w:r>
                    <w:rPr>
                      <w:color w:val="auto"/>
                      <w:highlight w:val="none"/>
                    </w:rPr>
                    <w:t>1.0</w:t>
                  </w:r>
                </w:p>
              </w:tc>
              <w:tc>
                <w:tcPr>
                  <w:tcW w:w="1168" w:type="dxa"/>
                  <w:shd w:val="clear" w:color="auto" w:fill="FFFFFF"/>
                  <w:noWrap w:val="0"/>
                  <w:vAlign w:val="center"/>
                </w:tcPr>
                <w:p w14:paraId="0C1E36F4">
                  <w:pPr>
                    <w:pStyle w:val="28"/>
                    <w:bidi w:val="0"/>
                    <w:rPr>
                      <w:color w:val="auto"/>
                    </w:rPr>
                  </w:pPr>
                  <w:r>
                    <w:rPr>
                      <w:color w:val="auto"/>
                    </w:rPr>
                    <w:t>1.5</w:t>
                  </w:r>
                </w:p>
              </w:tc>
              <w:tc>
                <w:tcPr>
                  <w:tcW w:w="1170" w:type="dxa"/>
                  <w:noWrap w:val="0"/>
                  <w:vAlign w:val="center"/>
                </w:tcPr>
                <w:p w14:paraId="7CD781AB">
                  <w:pPr>
                    <w:pStyle w:val="28"/>
                    <w:bidi w:val="0"/>
                    <w:rPr>
                      <w:color w:val="auto"/>
                    </w:rPr>
                  </w:pPr>
                  <w:r>
                    <w:rPr>
                      <w:color w:val="auto"/>
                    </w:rPr>
                    <w:t>2.0</w:t>
                  </w:r>
                </w:p>
              </w:tc>
            </w:tr>
            <w:tr w14:paraId="0F36D44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atLeast"/>
                <w:jc w:val="center"/>
              </w:trPr>
              <w:tc>
                <w:tcPr>
                  <w:tcW w:w="947" w:type="dxa"/>
                  <w:shd w:val="clear" w:color="auto" w:fill="auto"/>
                  <w:noWrap w:val="0"/>
                  <w:vAlign w:val="center"/>
                </w:tcPr>
                <w:p w14:paraId="3B459CB9">
                  <w:pPr>
                    <w:pStyle w:val="28"/>
                    <w:bidi w:val="0"/>
                    <w:rPr>
                      <w:color w:val="auto"/>
                    </w:rPr>
                  </w:pPr>
                  <w:r>
                    <w:rPr>
                      <w:color w:val="auto"/>
                    </w:rPr>
                    <w:t>5</w:t>
                  </w:r>
                </w:p>
              </w:tc>
              <w:tc>
                <w:tcPr>
                  <w:tcW w:w="2424" w:type="dxa"/>
                  <w:shd w:val="clear" w:color="auto" w:fill="auto"/>
                  <w:noWrap w:val="0"/>
                  <w:vAlign w:val="center"/>
                </w:tcPr>
                <w:p w14:paraId="0E522BA3">
                  <w:pPr>
                    <w:pStyle w:val="28"/>
                    <w:bidi w:val="0"/>
                    <w:rPr>
                      <w:color w:val="auto"/>
                    </w:rPr>
                  </w:pPr>
                  <w:r>
                    <w:rPr>
                      <w:color w:val="auto"/>
                    </w:rPr>
                    <w:t>BOD</w:t>
                  </w:r>
                  <w:r>
                    <w:rPr>
                      <w:color w:val="auto"/>
                      <w:vertAlign w:val="subscript"/>
                    </w:rPr>
                    <w:t>5</w:t>
                  </w:r>
                  <w:r>
                    <w:rPr>
                      <w:color w:val="auto"/>
                    </w:rPr>
                    <w:t>≤</w:t>
                  </w:r>
                </w:p>
              </w:tc>
              <w:tc>
                <w:tcPr>
                  <w:tcW w:w="1248" w:type="dxa"/>
                  <w:shd w:val="clear" w:color="auto" w:fill="auto"/>
                  <w:noWrap w:val="0"/>
                  <w:vAlign w:val="center"/>
                </w:tcPr>
                <w:p w14:paraId="50F1E842">
                  <w:pPr>
                    <w:pStyle w:val="28"/>
                    <w:bidi w:val="0"/>
                    <w:rPr>
                      <w:color w:val="auto"/>
                    </w:rPr>
                  </w:pPr>
                  <w:r>
                    <w:rPr>
                      <w:color w:val="auto"/>
                    </w:rPr>
                    <w:t>3</w:t>
                  </w:r>
                </w:p>
              </w:tc>
              <w:tc>
                <w:tcPr>
                  <w:tcW w:w="1209" w:type="dxa"/>
                  <w:shd w:val="clear" w:color="auto" w:fill="BEBEBE" w:themeFill="background1" w:themeFillShade="BF"/>
                  <w:noWrap w:val="0"/>
                  <w:vAlign w:val="center"/>
                </w:tcPr>
                <w:p w14:paraId="0BC6349C">
                  <w:pPr>
                    <w:pStyle w:val="28"/>
                    <w:bidi w:val="0"/>
                    <w:rPr>
                      <w:color w:val="auto"/>
                      <w:highlight w:val="none"/>
                    </w:rPr>
                  </w:pPr>
                  <w:r>
                    <w:rPr>
                      <w:color w:val="auto"/>
                      <w:highlight w:val="none"/>
                    </w:rPr>
                    <w:t>4</w:t>
                  </w:r>
                </w:p>
              </w:tc>
              <w:tc>
                <w:tcPr>
                  <w:tcW w:w="1168" w:type="dxa"/>
                  <w:shd w:val="clear" w:color="auto" w:fill="FFFFFF"/>
                  <w:noWrap w:val="0"/>
                  <w:vAlign w:val="center"/>
                </w:tcPr>
                <w:p w14:paraId="6AFACFC4">
                  <w:pPr>
                    <w:pStyle w:val="28"/>
                    <w:bidi w:val="0"/>
                    <w:rPr>
                      <w:color w:val="auto"/>
                    </w:rPr>
                  </w:pPr>
                  <w:r>
                    <w:rPr>
                      <w:color w:val="auto"/>
                    </w:rPr>
                    <w:t>6</w:t>
                  </w:r>
                </w:p>
              </w:tc>
              <w:tc>
                <w:tcPr>
                  <w:tcW w:w="1170" w:type="dxa"/>
                  <w:noWrap w:val="0"/>
                  <w:vAlign w:val="center"/>
                </w:tcPr>
                <w:p w14:paraId="636BBA87">
                  <w:pPr>
                    <w:pStyle w:val="28"/>
                    <w:bidi w:val="0"/>
                    <w:rPr>
                      <w:color w:val="auto"/>
                    </w:rPr>
                  </w:pPr>
                  <w:r>
                    <w:rPr>
                      <w:color w:val="auto"/>
                    </w:rPr>
                    <w:t>10</w:t>
                  </w:r>
                </w:p>
              </w:tc>
            </w:tr>
            <w:tr w14:paraId="26B9210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atLeast"/>
                <w:jc w:val="center"/>
              </w:trPr>
              <w:tc>
                <w:tcPr>
                  <w:tcW w:w="947" w:type="dxa"/>
                  <w:shd w:val="clear" w:color="auto" w:fill="auto"/>
                  <w:noWrap w:val="0"/>
                  <w:vAlign w:val="center"/>
                </w:tcPr>
                <w:p w14:paraId="6C451878">
                  <w:pPr>
                    <w:pStyle w:val="28"/>
                    <w:bidi w:val="0"/>
                    <w:rPr>
                      <w:color w:val="auto"/>
                    </w:rPr>
                  </w:pPr>
                  <w:r>
                    <w:rPr>
                      <w:rFonts w:hint="eastAsia"/>
                      <w:color w:val="auto"/>
                    </w:rPr>
                    <w:t>6</w:t>
                  </w:r>
                </w:p>
              </w:tc>
              <w:tc>
                <w:tcPr>
                  <w:tcW w:w="2424" w:type="dxa"/>
                  <w:shd w:val="clear" w:color="auto" w:fill="auto"/>
                  <w:noWrap w:val="0"/>
                  <w:vAlign w:val="center"/>
                </w:tcPr>
                <w:p w14:paraId="029ABC27">
                  <w:pPr>
                    <w:pStyle w:val="28"/>
                    <w:bidi w:val="0"/>
                    <w:rPr>
                      <w:color w:val="auto"/>
                    </w:rPr>
                  </w:pPr>
                  <w:r>
                    <w:rPr>
                      <w:rFonts w:hint="eastAsia"/>
                      <w:color w:val="auto"/>
                    </w:rPr>
                    <w:t>TP</w:t>
                  </w:r>
                  <w:r>
                    <w:rPr>
                      <w:color w:val="auto"/>
                    </w:rPr>
                    <w:t>≤</w:t>
                  </w:r>
                </w:p>
              </w:tc>
              <w:tc>
                <w:tcPr>
                  <w:tcW w:w="1248" w:type="dxa"/>
                  <w:shd w:val="clear" w:color="auto" w:fill="auto"/>
                  <w:noWrap w:val="0"/>
                  <w:vAlign w:val="center"/>
                </w:tcPr>
                <w:p w14:paraId="04FE66F0">
                  <w:pPr>
                    <w:pStyle w:val="28"/>
                    <w:bidi w:val="0"/>
                    <w:rPr>
                      <w:rFonts w:hint="eastAsia"/>
                      <w:color w:val="auto"/>
                      <w:lang w:eastAsia="zh-CN"/>
                    </w:rPr>
                  </w:pPr>
                  <w:r>
                    <w:rPr>
                      <w:rFonts w:hint="eastAsia"/>
                      <w:color w:val="auto"/>
                    </w:rPr>
                    <w:t>0.</w:t>
                  </w:r>
                  <w:r>
                    <w:rPr>
                      <w:rFonts w:hint="eastAsia"/>
                      <w:color w:val="auto"/>
                      <w:lang w:val="en-US" w:eastAsia="zh-CN"/>
                    </w:rPr>
                    <w:t>1</w:t>
                  </w:r>
                </w:p>
              </w:tc>
              <w:tc>
                <w:tcPr>
                  <w:tcW w:w="1209" w:type="dxa"/>
                  <w:shd w:val="clear" w:color="auto" w:fill="BEBEBE" w:themeFill="background1" w:themeFillShade="BF"/>
                  <w:noWrap w:val="0"/>
                  <w:vAlign w:val="center"/>
                </w:tcPr>
                <w:p w14:paraId="14D6DEC4">
                  <w:pPr>
                    <w:pStyle w:val="28"/>
                    <w:bidi w:val="0"/>
                    <w:rPr>
                      <w:color w:val="auto"/>
                      <w:highlight w:val="none"/>
                    </w:rPr>
                  </w:pPr>
                  <w:r>
                    <w:rPr>
                      <w:rFonts w:hint="eastAsia"/>
                      <w:color w:val="auto"/>
                      <w:highlight w:val="none"/>
                    </w:rPr>
                    <w:t>0.2</w:t>
                  </w:r>
                </w:p>
              </w:tc>
              <w:tc>
                <w:tcPr>
                  <w:tcW w:w="1168" w:type="dxa"/>
                  <w:shd w:val="clear" w:color="auto" w:fill="FFFFFF"/>
                  <w:noWrap w:val="0"/>
                  <w:vAlign w:val="center"/>
                </w:tcPr>
                <w:p w14:paraId="2614CB97">
                  <w:pPr>
                    <w:pStyle w:val="28"/>
                    <w:bidi w:val="0"/>
                    <w:rPr>
                      <w:color w:val="auto"/>
                    </w:rPr>
                  </w:pPr>
                  <w:r>
                    <w:rPr>
                      <w:rFonts w:hint="eastAsia"/>
                      <w:color w:val="auto"/>
                    </w:rPr>
                    <w:t>0.3</w:t>
                  </w:r>
                </w:p>
              </w:tc>
              <w:tc>
                <w:tcPr>
                  <w:tcW w:w="1170" w:type="dxa"/>
                  <w:noWrap w:val="0"/>
                  <w:vAlign w:val="center"/>
                </w:tcPr>
                <w:p w14:paraId="6F3B93E8">
                  <w:pPr>
                    <w:pStyle w:val="28"/>
                    <w:bidi w:val="0"/>
                    <w:rPr>
                      <w:color w:val="auto"/>
                    </w:rPr>
                  </w:pPr>
                  <w:r>
                    <w:rPr>
                      <w:rFonts w:hint="eastAsia"/>
                      <w:color w:val="auto"/>
                    </w:rPr>
                    <w:t>0.4</w:t>
                  </w:r>
                </w:p>
              </w:tc>
            </w:tr>
          </w:tbl>
          <w:p w14:paraId="10FAD50E">
            <w:pPr>
              <w:pStyle w:val="4"/>
              <w:bidi w:val="0"/>
              <w:rPr>
                <w:rFonts w:hint="default"/>
                <w:color w:val="auto"/>
              </w:rPr>
            </w:pPr>
            <w:r>
              <w:rPr>
                <w:rFonts w:hint="default"/>
                <w:color w:val="auto"/>
              </w:rPr>
              <w:t>3.2.</w:t>
            </w:r>
            <w:r>
              <w:rPr>
                <w:rFonts w:hint="default"/>
                <w:color w:val="auto"/>
                <w:lang w:val="en-US" w:eastAsia="zh-CN"/>
              </w:rPr>
              <w:t>2</w:t>
            </w:r>
            <w:r>
              <w:rPr>
                <w:rFonts w:hint="default"/>
                <w:color w:val="auto"/>
              </w:rPr>
              <w:t>水环境质量现状</w:t>
            </w:r>
          </w:p>
          <w:p w14:paraId="3EBD7A7A">
            <w:pPr>
              <w:numPr>
                <w:ilvl w:val="0"/>
                <w:numId w:val="0"/>
              </w:numPr>
              <w:ind w:left="480"/>
              <w:rPr>
                <w:rFonts w:hint="default" w:ascii="Times New Roman" w:hAnsi="Times New Roman" w:eastAsia="宋体" w:cs="Times New Roman"/>
                <w:b/>
                <w:bCs/>
                <w:color w:val="auto"/>
                <w:sz w:val="24"/>
                <w:szCs w:val="24"/>
              </w:rPr>
            </w:pPr>
            <w:r>
              <w:rPr>
                <w:rFonts w:hint="eastAsia" w:ascii="Times New Roman" w:hAnsi="Times New Roman" w:eastAsia="宋体" w:cs="Times New Roman"/>
                <w:b/>
                <w:bCs/>
                <w:color w:val="auto"/>
                <w:sz w:val="24"/>
                <w:szCs w:val="24"/>
                <w:lang w:eastAsia="zh-CN"/>
              </w:rPr>
              <w:t>（</w:t>
            </w:r>
            <w:r>
              <w:rPr>
                <w:rFonts w:hint="eastAsia" w:ascii="Times New Roman" w:hAnsi="Times New Roman" w:eastAsia="宋体" w:cs="Times New Roman"/>
                <w:b/>
                <w:bCs/>
                <w:color w:val="auto"/>
                <w:sz w:val="24"/>
                <w:szCs w:val="24"/>
                <w:lang w:val="en-US" w:eastAsia="zh-CN"/>
              </w:rPr>
              <w:t>1</w:t>
            </w:r>
            <w:r>
              <w:rPr>
                <w:rFonts w:hint="eastAsia" w:ascii="Times New Roman" w:hAnsi="Times New Roman" w:eastAsia="宋体" w:cs="Times New Roman"/>
                <w:b/>
                <w:bCs/>
                <w:color w:val="auto"/>
                <w:sz w:val="24"/>
                <w:szCs w:val="24"/>
                <w:lang w:eastAsia="zh-CN"/>
              </w:rPr>
              <w:t>）地表水</w:t>
            </w:r>
            <w:r>
              <w:rPr>
                <w:rFonts w:hint="default" w:ascii="Times New Roman" w:hAnsi="Times New Roman" w:eastAsia="宋体" w:cs="Times New Roman"/>
                <w:b/>
                <w:bCs/>
                <w:color w:val="auto"/>
                <w:sz w:val="24"/>
                <w:szCs w:val="24"/>
              </w:rPr>
              <w:t>水质现状调查</w:t>
            </w:r>
          </w:p>
          <w:p w14:paraId="08E3498E">
            <w:pPr>
              <w:autoSpaceDE w:val="0"/>
              <w:autoSpaceDN w:val="0"/>
              <w:spacing w:line="360" w:lineRule="auto"/>
              <w:ind w:firstLine="480" w:firstLineChars="200"/>
              <w:textAlignment w:val="bottom"/>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为了解建设项目区域水环境质量现状，本评价引用</w:t>
            </w:r>
            <w:r>
              <w:rPr>
                <w:rFonts w:hint="eastAsia" w:cs="Times New Roman"/>
                <w:color w:val="auto"/>
                <w:sz w:val="24"/>
                <w:szCs w:val="24"/>
                <w:lang w:val="en-US" w:eastAsia="zh-CN"/>
              </w:rPr>
              <w:t>福建省生态环境厅</w:t>
            </w:r>
            <w:r>
              <w:rPr>
                <w:rFonts w:hint="eastAsia" w:ascii="Times New Roman" w:hAnsi="Times New Roman" w:eastAsia="宋体" w:cs="Times New Roman"/>
                <w:color w:val="auto"/>
                <w:sz w:val="24"/>
                <w:szCs w:val="24"/>
                <w:lang w:val="en-US" w:eastAsia="zh-CN"/>
              </w:rPr>
              <w:t>发布的《福建省流域水环境质量状况202</w:t>
            </w:r>
            <w:r>
              <w:rPr>
                <w:rFonts w:hint="eastAsia" w:cs="Times New Roman"/>
                <w:color w:val="auto"/>
                <w:sz w:val="24"/>
                <w:szCs w:val="24"/>
                <w:lang w:val="en-US" w:eastAsia="zh-CN"/>
              </w:rPr>
              <w:t>4</w:t>
            </w:r>
            <w:r>
              <w:rPr>
                <w:rFonts w:hint="eastAsia" w:ascii="Times New Roman" w:hAnsi="Times New Roman" w:eastAsia="宋体" w:cs="Times New Roman"/>
                <w:color w:val="auto"/>
                <w:sz w:val="24"/>
                <w:szCs w:val="24"/>
                <w:lang w:val="en-US" w:eastAsia="zh-CN"/>
              </w:rPr>
              <w:t>年》：2024年，全省主要流域总体水质为优，国控断面Ⅰ～Ⅲ类水质比例100％,Ⅰ～Ⅱ类水质比例77.1％；国控及省控断面Ⅰ～Ⅲ类水质比例99.7％，其中Ⅰ～Ⅱ类水质比例80.0％，各类水质比例如下：Ⅰ类占2.4％，Ⅱ类占77.6％，Ⅲ类占19.7％，Ⅳ类占0.3％，无Ⅴ类和劣Ⅴ类水。（</w:t>
            </w:r>
            <w:r>
              <w:rPr>
                <w:rFonts w:hint="eastAsia" w:ascii="Times New Roman" w:hAnsi="Times New Roman" w:eastAsia="宋体" w:cs="Times New Roman"/>
                <w:color w:val="auto"/>
                <w:sz w:val="24"/>
                <w:szCs w:val="24"/>
                <w:highlight w:val="none"/>
                <w:lang w:val="en-US" w:eastAsia="zh-CN"/>
              </w:rPr>
              <w:t>详见附图</w:t>
            </w:r>
            <w:r>
              <w:rPr>
                <w:rFonts w:hint="eastAsia" w:cs="Times New Roman"/>
                <w:color w:val="auto"/>
                <w:sz w:val="24"/>
                <w:szCs w:val="24"/>
                <w:highlight w:val="none"/>
                <w:lang w:val="en-US" w:eastAsia="zh-CN"/>
              </w:rPr>
              <w:t>十二</w:t>
            </w:r>
            <w:r>
              <w:rPr>
                <w:rFonts w:hint="eastAsia" w:ascii="Times New Roman" w:hAnsi="Times New Roman" w:eastAsia="宋体" w:cs="Times New Roman"/>
                <w:color w:val="auto"/>
                <w:sz w:val="24"/>
                <w:szCs w:val="24"/>
                <w:lang w:val="en-US" w:eastAsia="zh-CN"/>
              </w:rPr>
              <w:t>）。</w:t>
            </w:r>
          </w:p>
          <w:p w14:paraId="1BDA2F48">
            <w:pPr>
              <w:numPr>
                <w:ilvl w:val="0"/>
                <w:numId w:val="0"/>
              </w:numPr>
              <w:autoSpaceDE w:val="0"/>
              <w:autoSpaceDN w:val="0"/>
              <w:spacing w:line="360" w:lineRule="auto"/>
              <w:ind w:left="0" w:leftChars="0" w:firstLine="482" w:firstLineChars="200"/>
              <w:textAlignment w:val="bottom"/>
              <w:rPr>
                <w:rFonts w:hint="default" w:cs="Times New Roman"/>
                <w:color w:val="auto"/>
                <w:sz w:val="24"/>
                <w:szCs w:val="24"/>
                <w:highlight w:val="none"/>
                <w:lang w:val="en-US" w:eastAsia="zh-CN"/>
              </w:rPr>
            </w:pPr>
            <w:r>
              <w:rPr>
                <w:rFonts w:hint="default" w:ascii="Times New Roman" w:hAnsi="Times New Roman" w:eastAsia="宋体" w:cs="Times New Roman"/>
                <w:b/>
                <w:bCs/>
                <w:color w:val="auto"/>
                <w:kern w:val="2"/>
                <w:sz w:val="24"/>
                <w:szCs w:val="24"/>
                <w:lang w:val="en-US" w:eastAsia="zh-CN" w:bidi="ar-SA"/>
              </w:rPr>
              <w:t>（</w:t>
            </w:r>
            <w:r>
              <w:rPr>
                <w:rFonts w:hint="eastAsia" w:cs="Times New Roman"/>
                <w:b/>
                <w:bCs/>
                <w:color w:val="auto"/>
                <w:kern w:val="2"/>
                <w:sz w:val="24"/>
                <w:szCs w:val="24"/>
                <w:lang w:val="en-US" w:eastAsia="zh-CN" w:bidi="ar-SA"/>
              </w:rPr>
              <w:t>2</w:t>
            </w:r>
            <w:r>
              <w:rPr>
                <w:rFonts w:hint="default" w:ascii="Times New Roman" w:hAnsi="Times New Roman" w:eastAsia="宋体" w:cs="Times New Roman"/>
                <w:b/>
                <w:bCs/>
                <w:color w:val="auto"/>
                <w:kern w:val="2"/>
                <w:sz w:val="24"/>
                <w:szCs w:val="24"/>
                <w:lang w:val="en-US" w:eastAsia="zh-CN" w:bidi="ar-SA"/>
              </w:rPr>
              <w:t>）</w:t>
            </w:r>
            <w:r>
              <w:rPr>
                <w:rFonts w:hint="eastAsia" w:cs="Times New Roman"/>
                <w:b/>
                <w:bCs/>
                <w:color w:val="auto"/>
                <w:sz w:val="24"/>
                <w:szCs w:val="24"/>
                <w:highlight w:val="none"/>
                <w:lang w:val="en-US" w:eastAsia="zh-CN"/>
              </w:rPr>
              <w:t>海水水质现状调查</w:t>
            </w:r>
          </w:p>
          <w:p w14:paraId="22A06AE3">
            <w:pPr>
              <w:autoSpaceDE w:val="0"/>
              <w:autoSpaceDN w:val="0"/>
              <w:spacing w:line="360" w:lineRule="auto"/>
              <w:ind w:firstLine="480" w:firstLineChars="200"/>
              <w:textAlignment w:val="bottom"/>
              <w:rPr>
                <w:rFonts w:hint="eastAsia" w:ascii="Times New Roman" w:hAnsi="Times New Roman" w:eastAsia="宋体" w:cs="Times New Roman"/>
                <w:color w:val="auto"/>
                <w:sz w:val="24"/>
                <w:szCs w:val="24"/>
                <w:lang w:val="en-US" w:eastAsia="zh-CN"/>
              </w:rPr>
            </w:pPr>
            <w:r>
              <w:rPr>
                <w:rFonts w:hint="eastAsia" w:cs="Times New Roman"/>
                <w:color w:val="auto"/>
                <w:sz w:val="24"/>
                <w:szCs w:val="24"/>
                <w:highlight w:val="none"/>
                <w:lang w:val="en-US" w:eastAsia="zh-CN"/>
              </w:rPr>
              <w:t>根据福建省生态环境厅发布的</w:t>
            </w:r>
            <w:r>
              <w:rPr>
                <w:rFonts w:hint="eastAsia" w:ascii="Times New Roman" w:hAnsi="Times New Roman" w:eastAsia="宋体" w:cs="Times New Roman"/>
                <w:color w:val="auto"/>
                <w:sz w:val="24"/>
                <w:szCs w:val="24"/>
                <w:lang w:val="en-US" w:eastAsia="zh-CN"/>
              </w:rPr>
              <w:t>《福建省近岸海域水质状况》：2024年1-11月，全省近岸海域水质状况如下：按照面积法评价，国控点位优良（一、二类）水质比例92.6%，各类水质比例如下：一类占72.7％，二类占19.9％，三类占2.8％，四类占3.1％，劣四类占1.5％；国省控点位优良（一、二类）水质比例为92.4%。按照点位法评价，国控点位优良（一、二类）水质比例85.2%，国省控点位优良（一、二类）水质比例为81.3%。（详见附图</w:t>
            </w:r>
            <w:r>
              <w:rPr>
                <w:rFonts w:hint="eastAsia" w:cs="Times New Roman"/>
                <w:color w:val="auto"/>
                <w:sz w:val="24"/>
                <w:szCs w:val="24"/>
                <w:lang w:val="en-US" w:eastAsia="zh-CN"/>
              </w:rPr>
              <w:t>十三</w:t>
            </w:r>
            <w:r>
              <w:rPr>
                <w:rFonts w:hint="eastAsia" w:ascii="Times New Roman" w:hAnsi="Times New Roman" w:eastAsia="宋体" w:cs="Times New Roman"/>
                <w:color w:val="auto"/>
                <w:sz w:val="24"/>
                <w:szCs w:val="24"/>
                <w:lang w:val="en-US" w:eastAsia="zh-CN"/>
              </w:rPr>
              <w:t>）。</w:t>
            </w:r>
          </w:p>
          <w:p w14:paraId="28D2FB74">
            <w:pPr>
              <w:autoSpaceDE w:val="0"/>
              <w:autoSpaceDN w:val="0"/>
              <w:spacing w:line="360" w:lineRule="auto"/>
              <w:ind w:firstLine="480" w:firstLineChars="200"/>
              <w:textAlignment w:val="bottom"/>
              <w:rPr>
                <w:rFonts w:hint="default" w:ascii="Times New Roman" w:hAnsi="Times New Roman" w:eastAsia="宋体" w:cs="Times New Roman"/>
                <w:color w:val="auto"/>
                <w:sz w:val="24"/>
                <w:szCs w:val="24"/>
                <w:highlight w:val="yellow"/>
                <w:lang w:val="en-US" w:eastAsia="zh-CN"/>
              </w:rPr>
            </w:pPr>
            <w:r>
              <w:rPr>
                <w:rFonts w:hint="eastAsia" w:ascii="Times New Roman" w:hAnsi="Times New Roman" w:eastAsia="宋体" w:cs="Times New Roman"/>
                <w:color w:val="auto"/>
                <w:sz w:val="24"/>
                <w:szCs w:val="24"/>
                <w:highlight w:val="none"/>
                <w:lang w:eastAsia="zh-CN"/>
              </w:rPr>
              <w:t>本项目</w:t>
            </w:r>
            <w:r>
              <w:rPr>
                <w:rFonts w:hint="eastAsia" w:ascii="Times New Roman" w:hAnsi="Times New Roman" w:eastAsia="宋体" w:cs="Times New Roman"/>
                <w:color w:val="auto"/>
                <w:sz w:val="24"/>
                <w:szCs w:val="24"/>
                <w:highlight w:val="none"/>
                <w:lang w:val="en-US" w:eastAsia="zh-CN"/>
              </w:rPr>
              <w:t>设备清洗废水、地面冲洗废水、</w:t>
            </w:r>
            <w:r>
              <w:rPr>
                <w:rFonts w:hint="eastAsia" w:cs="Times New Roman"/>
                <w:color w:val="auto"/>
                <w:sz w:val="24"/>
                <w:szCs w:val="24"/>
                <w:highlight w:val="none"/>
                <w:lang w:val="en-US" w:eastAsia="zh-CN"/>
              </w:rPr>
              <w:t>试验清洗废水、收集初期雨水</w:t>
            </w:r>
            <w:r>
              <w:rPr>
                <w:rFonts w:hint="eastAsia" w:ascii="Times New Roman" w:hAnsi="Times New Roman" w:eastAsia="宋体" w:cs="Times New Roman"/>
                <w:color w:val="auto"/>
                <w:sz w:val="24"/>
                <w:szCs w:val="24"/>
                <w:highlight w:val="none"/>
                <w:lang w:val="en-US" w:eastAsia="zh-CN"/>
              </w:rPr>
              <w:t>经生产废水处理系统处理后</w:t>
            </w:r>
            <w:r>
              <w:rPr>
                <w:rFonts w:hint="eastAsia" w:ascii="Times New Roman" w:hAnsi="Times New Roman" w:eastAsia="宋体" w:cs="Times New Roman"/>
                <w:color w:val="auto"/>
                <w:sz w:val="24"/>
                <w:szCs w:val="24"/>
                <w:highlight w:val="none"/>
                <w:lang w:eastAsia="zh-CN"/>
              </w:rPr>
              <w:t>全部回用，不外排；</w:t>
            </w:r>
            <w:r>
              <w:rPr>
                <w:rFonts w:hint="eastAsia" w:cs="Times New Roman"/>
                <w:color w:val="auto"/>
                <w:sz w:val="24"/>
                <w:szCs w:val="24"/>
                <w:highlight w:val="none"/>
                <w:lang w:val="en-US" w:eastAsia="zh-CN"/>
              </w:rPr>
              <w:t>厂区职工</w:t>
            </w:r>
            <w:r>
              <w:rPr>
                <w:rFonts w:hint="eastAsia" w:ascii="Times New Roman" w:hAnsi="Times New Roman" w:eastAsia="宋体" w:cs="Times New Roman"/>
                <w:color w:val="auto"/>
                <w:sz w:val="24"/>
                <w:szCs w:val="24"/>
                <w:highlight w:val="none"/>
                <w:lang w:eastAsia="zh-CN"/>
              </w:rPr>
              <w:t>生活污水</w:t>
            </w:r>
            <w:r>
              <w:rPr>
                <w:rFonts w:hint="eastAsia" w:cs="Times New Roman"/>
                <w:color w:val="auto"/>
                <w:sz w:val="24"/>
                <w:szCs w:val="24"/>
                <w:highlight w:val="none"/>
                <w:lang w:val="en-US" w:eastAsia="zh-CN"/>
              </w:rPr>
              <w:t>纳入</w:t>
            </w:r>
            <w:r>
              <w:rPr>
                <w:rFonts w:hint="eastAsia" w:ascii="Times New Roman" w:hAnsi="Times New Roman" w:eastAsia="宋体" w:cs="Times New Roman"/>
                <w:color w:val="auto"/>
                <w:sz w:val="24"/>
                <w:szCs w:val="24"/>
                <w:highlight w:val="none"/>
                <w:lang w:eastAsia="zh-CN"/>
              </w:rPr>
              <w:t>厂区化粪池</w:t>
            </w:r>
            <w:r>
              <w:rPr>
                <w:rFonts w:hint="eastAsia" w:cs="Times New Roman"/>
                <w:color w:val="auto"/>
                <w:sz w:val="24"/>
                <w:szCs w:val="24"/>
                <w:highlight w:val="none"/>
                <w:lang w:val="en-US" w:eastAsia="zh-CN"/>
              </w:rPr>
              <w:t>+一体化污水处理设施</w:t>
            </w:r>
            <w:r>
              <w:rPr>
                <w:rFonts w:hint="eastAsia" w:ascii="Times New Roman" w:hAnsi="Times New Roman" w:eastAsia="宋体" w:cs="Times New Roman"/>
                <w:color w:val="auto"/>
                <w:sz w:val="24"/>
                <w:szCs w:val="24"/>
                <w:highlight w:val="none"/>
                <w:lang w:eastAsia="zh-CN"/>
              </w:rPr>
              <w:t>处理，</w:t>
            </w:r>
            <w:r>
              <w:rPr>
                <w:rFonts w:hint="eastAsia" w:cs="Times New Roman"/>
                <w:color w:val="auto"/>
                <w:sz w:val="24"/>
                <w:szCs w:val="24"/>
                <w:highlight w:val="none"/>
                <w:lang w:val="en-US" w:eastAsia="zh-CN"/>
              </w:rPr>
              <w:t>近期回用于厂区绿化灌溉</w:t>
            </w:r>
            <w:r>
              <w:rPr>
                <w:rFonts w:hint="eastAsia" w:ascii="Times New Roman" w:hAnsi="Times New Roman" w:eastAsia="宋体" w:cs="Times New Roman"/>
                <w:color w:val="auto"/>
                <w:sz w:val="24"/>
                <w:szCs w:val="24"/>
                <w:highlight w:val="none"/>
                <w:lang w:eastAsia="zh-CN"/>
              </w:rPr>
              <w:t>，远期待项目周边市政污水管网及相关配套设施建成后，统一接入当地市政污水处理系统排放处理</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项目周期内所产生废水均不外排</w:t>
            </w:r>
            <w:r>
              <w:rPr>
                <w:rFonts w:hint="eastAsia" w:ascii="Times New Roman" w:hAnsi="Times New Roman" w:eastAsia="宋体" w:cs="Times New Roman"/>
                <w:color w:val="auto"/>
                <w:sz w:val="24"/>
                <w:szCs w:val="24"/>
                <w:highlight w:val="none"/>
                <w:lang w:eastAsia="zh-CN"/>
              </w:rPr>
              <w:t>入周边地表水体。几乎不会改变周边水环境质量现状。</w:t>
            </w:r>
          </w:p>
          <w:p w14:paraId="289935BF">
            <w:pPr>
              <w:autoSpaceDE w:val="0"/>
              <w:autoSpaceDN w:val="0"/>
              <w:spacing w:line="360" w:lineRule="auto"/>
              <w:ind w:firstLine="480" w:firstLineChars="200"/>
              <w:textAlignment w:val="bottom"/>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eastAsia="zh-CN"/>
              </w:rPr>
              <w:t>（</w:t>
            </w:r>
            <w:r>
              <w:rPr>
                <w:rFonts w:hint="eastAsia" w:cs="Times New Roman"/>
                <w:color w:val="auto"/>
                <w:sz w:val="24"/>
                <w:szCs w:val="24"/>
                <w:highlight w:val="none"/>
                <w:lang w:val="en-US" w:eastAsia="zh-CN"/>
              </w:rPr>
              <w:t>3</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引用资料的有效性分析</w:t>
            </w:r>
          </w:p>
          <w:p w14:paraId="2473CB85">
            <w:pPr>
              <w:autoSpaceDE w:val="0"/>
              <w:autoSpaceDN w:val="0"/>
              <w:spacing w:line="360" w:lineRule="auto"/>
              <w:ind w:firstLine="480" w:firstLineChars="200"/>
              <w:textAlignment w:val="bottom"/>
              <w:rPr>
                <w:rFonts w:ascii="Times New Roman" w:hAnsi="Times New Roman" w:eastAsia="宋体"/>
                <w:color w:val="auto"/>
                <w:sz w:val="24"/>
                <w:szCs w:val="24"/>
              </w:rPr>
            </w:pPr>
            <w:r>
              <w:rPr>
                <w:rFonts w:hint="default" w:ascii="Times New Roman" w:hAnsi="Times New Roman" w:eastAsia="宋体" w:cs="Times New Roman"/>
                <w:color w:val="auto"/>
                <w:sz w:val="24"/>
                <w:szCs w:val="24"/>
                <w:highlight w:val="none"/>
              </w:rPr>
              <w:t>根据《建设项目环境影响报告表编制技术指南</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污染影响类</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试行</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环办环评〔2020〕33号</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的要求</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地表水环境区域环境质量现状引用与建设项目距离近的有效数据，包括近3年的规划环境影响评价的监测数据，所在流域控制单元内国家、地方控制断面监测数据，生态环境主管部门发布的水环境质量数据或地表水达标情况的结论</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本次</w:t>
            </w:r>
            <w:r>
              <w:rPr>
                <w:rFonts w:ascii="Times New Roman" w:hAnsi="Times New Roman" w:eastAsia="宋体"/>
                <w:color w:val="auto"/>
                <w:sz w:val="24"/>
                <w:szCs w:val="24"/>
              </w:rPr>
              <w:t>评价选取</w:t>
            </w:r>
            <w:r>
              <w:rPr>
                <w:rFonts w:hint="eastAsia" w:ascii="Times New Roman" w:hAnsi="Times New Roman" w:eastAsia="宋体"/>
                <w:color w:val="auto"/>
                <w:sz w:val="24"/>
                <w:szCs w:val="24"/>
                <w:lang w:val="en-US" w:eastAsia="zh-CN"/>
              </w:rPr>
              <w:t>福建省生态环境厅发布的</w:t>
            </w:r>
            <w:r>
              <w:rPr>
                <w:rFonts w:ascii="Times New Roman" w:hAnsi="Times New Roman" w:eastAsia="宋体"/>
                <w:color w:val="auto"/>
                <w:sz w:val="24"/>
                <w:szCs w:val="24"/>
              </w:rPr>
              <w:t>水环境</w:t>
            </w:r>
            <w:r>
              <w:rPr>
                <w:rFonts w:hint="eastAsia" w:ascii="Times New Roman" w:hAnsi="Times New Roman" w:eastAsia="宋体"/>
                <w:color w:val="auto"/>
                <w:sz w:val="24"/>
                <w:szCs w:val="24"/>
                <w:lang w:val="en-US" w:eastAsia="zh-CN"/>
              </w:rPr>
              <w:t>质量状况</w:t>
            </w:r>
            <w:r>
              <w:rPr>
                <w:rFonts w:ascii="Times New Roman" w:hAnsi="Times New Roman" w:eastAsia="宋体"/>
                <w:color w:val="auto"/>
                <w:sz w:val="24"/>
                <w:szCs w:val="24"/>
              </w:rPr>
              <w:t>，符合《建设项目环境影响报告表编制技术指南</w:t>
            </w:r>
            <w:r>
              <w:rPr>
                <w:rFonts w:hint="eastAsia" w:ascii="Times New Roman" w:hAnsi="Times New Roman" w:eastAsia="宋体"/>
                <w:color w:val="auto"/>
                <w:sz w:val="24"/>
                <w:szCs w:val="24"/>
              </w:rPr>
              <w:t>(</w:t>
            </w:r>
            <w:r>
              <w:rPr>
                <w:rFonts w:ascii="Times New Roman" w:hAnsi="Times New Roman" w:eastAsia="宋体"/>
                <w:color w:val="auto"/>
                <w:sz w:val="24"/>
                <w:szCs w:val="24"/>
              </w:rPr>
              <w:t>污染影响类</w:t>
            </w:r>
            <w:r>
              <w:rPr>
                <w:rFonts w:hint="eastAsia" w:ascii="Times New Roman" w:hAnsi="Times New Roman" w:eastAsia="宋体"/>
                <w:color w:val="auto"/>
                <w:sz w:val="24"/>
                <w:szCs w:val="24"/>
              </w:rPr>
              <w:t>)(</w:t>
            </w:r>
            <w:r>
              <w:rPr>
                <w:rFonts w:ascii="Times New Roman" w:hAnsi="Times New Roman" w:eastAsia="宋体"/>
                <w:color w:val="auto"/>
                <w:sz w:val="24"/>
                <w:szCs w:val="24"/>
              </w:rPr>
              <w:t>试行</w:t>
            </w:r>
            <w:r>
              <w:rPr>
                <w:rFonts w:hint="eastAsia" w:ascii="Times New Roman" w:hAnsi="Times New Roman" w:eastAsia="宋体"/>
                <w:color w:val="auto"/>
                <w:sz w:val="24"/>
                <w:szCs w:val="24"/>
              </w:rPr>
              <w:t>)</w:t>
            </w:r>
            <w:r>
              <w:rPr>
                <w:rFonts w:ascii="Times New Roman" w:hAnsi="Times New Roman" w:eastAsia="宋体"/>
                <w:color w:val="auto"/>
                <w:sz w:val="24"/>
                <w:szCs w:val="24"/>
              </w:rPr>
              <w:t>》</w:t>
            </w:r>
            <w:r>
              <w:rPr>
                <w:rFonts w:hint="eastAsia" w:ascii="Times New Roman" w:hAnsi="Times New Roman" w:eastAsia="宋体"/>
                <w:color w:val="auto"/>
                <w:sz w:val="24"/>
                <w:szCs w:val="24"/>
              </w:rPr>
              <w:t>(</w:t>
            </w:r>
            <w:r>
              <w:rPr>
                <w:rFonts w:ascii="Times New Roman" w:hAnsi="Times New Roman" w:eastAsia="宋体"/>
                <w:color w:val="auto"/>
                <w:sz w:val="24"/>
                <w:szCs w:val="24"/>
              </w:rPr>
              <w:t>环办环评〔2020〕33号</w:t>
            </w:r>
            <w:r>
              <w:rPr>
                <w:rFonts w:hint="eastAsia" w:ascii="Times New Roman" w:hAnsi="Times New Roman" w:eastAsia="宋体"/>
                <w:color w:val="auto"/>
                <w:sz w:val="24"/>
                <w:szCs w:val="24"/>
              </w:rPr>
              <w:t>)的</w:t>
            </w:r>
            <w:r>
              <w:rPr>
                <w:rFonts w:ascii="Times New Roman" w:hAnsi="Times New Roman" w:eastAsia="宋体"/>
                <w:color w:val="auto"/>
                <w:sz w:val="24"/>
                <w:szCs w:val="24"/>
              </w:rPr>
              <w:t>要求。</w:t>
            </w:r>
          </w:p>
          <w:p w14:paraId="68D3A2DC">
            <w:pPr>
              <w:pStyle w:val="3"/>
              <w:bidi w:val="0"/>
              <w:rPr>
                <w:rFonts w:hint="default"/>
                <w:color w:val="auto"/>
              </w:rPr>
            </w:pPr>
            <w:r>
              <w:rPr>
                <w:rFonts w:hint="default"/>
                <w:color w:val="auto"/>
              </w:rPr>
              <w:t>3.3声环境质量现状</w:t>
            </w:r>
          </w:p>
          <w:p w14:paraId="20906494">
            <w:pPr>
              <w:pStyle w:val="4"/>
              <w:bidi w:val="0"/>
              <w:rPr>
                <w:rFonts w:hint="default"/>
                <w:color w:val="auto"/>
              </w:rPr>
            </w:pPr>
            <w:r>
              <w:rPr>
                <w:rFonts w:hint="default"/>
                <w:color w:val="auto"/>
              </w:rPr>
              <w:t>3.3.1声环境功能区</w:t>
            </w:r>
          </w:p>
          <w:p w14:paraId="7527F4CC">
            <w:pPr>
              <w:autoSpaceDE w:val="0"/>
              <w:autoSpaceDN w:val="0"/>
              <w:spacing w:line="360" w:lineRule="auto"/>
              <w:ind w:firstLine="480" w:firstLineChars="200"/>
              <w:textAlignment w:val="bottom"/>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highlight w:val="none"/>
                <w:lang w:eastAsia="zh-CN"/>
              </w:rPr>
              <w:t>本项目选址于</w:t>
            </w:r>
            <w:r>
              <w:rPr>
                <w:rFonts w:hint="eastAsia" w:ascii="Times New Roman" w:hAnsi="Times New Roman" w:eastAsia="宋体" w:cs="Times New Roman"/>
                <w:color w:val="auto"/>
                <w:sz w:val="24"/>
                <w:szCs w:val="24"/>
                <w:lang w:eastAsia="zh-CN"/>
              </w:rPr>
              <w:t>福建省福州市</w:t>
            </w:r>
            <w:r>
              <w:rPr>
                <w:rFonts w:hint="eastAsia" w:cs="Times New Roman"/>
                <w:color w:val="auto"/>
                <w:sz w:val="24"/>
                <w:szCs w:val="24"/>
                <w:lang w:val="en-US" w:eastAsia="zh-CN"/>
              </w:rPr>
              <w:t>福清市海口镇南厝村</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lang w:val="en-US" w:eastAsia="zh-CN"/>
              </w:rPr>
              <w:t>所在区域属于</w:t>
            </w:r>
            <w:r>
              <w:rPr>
                <w:rFonts w:hint="default" w:ascii="Times New Roman" w:hAnsi="Times New Roman" w:eastAsia="宋体" w:cs="Times New Roman"/>
                <w:color w:val="auto"/>
                <w:sz w:val="24"/>
                <w:szCs w:val="24"/>
              </w:rPr>
              <w:t>居住、商业、工业混杂</w:t>
            </w:r>
            <w:r>
              <w:rPr>
                <w:rFonts w:hint="eastAsia" w:ascii="Times New Roman" w:hAnsi="Times New Roman" w:eastAsia="宋体" w:cs="Times New Roman"/>
                <w:color w:val="auto"/>
                <w:sz w:val="24"/>
                <w:szCs w:val="24"/>
                <w:lang w:val="en-US" w:eastAsia="zh-CN"/>
              </w:rPr>
              <w:t>区域</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zh-CN" w:eastAsia="zh-CN"/>
              </w:rPr>
              <w:t>根据</w:t>
            </w:r>
            <w:r>
              <w:rPr>
                <w:rFonts w:hint="eastAsia"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zh-CN" w:eastAsia="zh-CN"/>
              </w:rPr>
              <w:t>声环境功能区划分技术规范》(GB/T15190-2014)</w:t>
            </w:r>
            <w:r>
              <w:rPr>
                <w:rFonts w:hint="eastAsia" w:ascii="Times New Roman" w:hAnsi="Times New Roman" w:eastAsia="宋体" w:cs="Times New Roman"/>
                <w:color w:val="auto"/>
                <w:sz w:val="24"/>
                <w:szCs w:val="24"/>
                <w:lang w:val="en-US" w:eastAsia="zh-CN"/>
              </w:rPr>
              <w:t>等可知</w:t>
            </w:r>
            <w:r>
              <w:rPr>
                <w:rFonts w:hint="eastAsia" w:ascii="Times New Roman" w:hAnsi="Times New Roman" w:eastAsia="宋体" w:cs="Times New Roman"/>
                <w:color w:val="auto"/>
                <w:sz w:val="24"/>
                <w:szCs w:val="24"/>
                <w:lang w:val="zh-CN" w:eastAsia="zh-CN"/>
              </w:rPr>
              <w:t>，</w:t>
            </w:r>
            <w:r>
              <w:rPr>
                <w:rFonts w:hint="default" w:ascii="Times New Roman" w:hAnsi="Times New Roman" w:eastAsia="宋体" w:cs="Times New Roman"/>
                <w:color w:val="auto"/>
                <w:sz w:val="24"/>
                <w:szCs w:val="24"/>
                <w:lang w:val="zh-CN" w:eastAsia="zh-CN"/>
              </w:rPr>
              <w:t>声环境功能区划为</w:t>
            </w: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val="zh-CN" w:eastAsia="zh-CN"/>
              </w:rPr>
              <w:t>类区</w:t>
            </w:r>
            <w:r>
              <w:rPr>
                <w:rFonts w:hint="eastAsia" w:ascii="Times New Roman" w:hAnsi="Times New Roman" w:eastAsia="宋体" w:cs="Times New Roman"/>
                <w:color w:val="auto"/>
                <w:sz w:val="24"/>
                <w:szCs w:val="24"/>
                <w:lang w:val="zh-CN" w:eastAsia="zh-CN"/>
              </w:rPr>
              <w:t>，</w:t>
            </w:r>
            <w:r>
              <w:rPr>
                <w:rFonts w:hint="default" w:ascii="Times New Roman" w:hAnsi="Times New Roman" w:eastAsia="宋体" w:cs="Times New Roman"/>
                <w:color w:val="auto"/>
                <w:sz w:val="24"/>
                <w:szCs w:val="24"/>
              </w:rPr>
              <w:t>声环境功能执行《声环境质量标准》</w:t>
            </w:r>
            <w:r>
              <w:rPr>
                <w:rFonts w:hint="default"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rPr>
              <w:t>GB3096-2008</w:t>
            </w:r>
            <w:r>
              <w:rPr>
                <w:rFonts w:hint="default"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rPr>
              <w:t>2类标准</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详见表3.</w:t>
            </w:r>
            <w:r>
              <w:rPr>
                <w:rFonts w:hint="eastAsia" w:ascii="Times New Roman" w:hAnsi="Times New Roman" w:eastAsia="宋体" w:cs="Times New Roman"/>
                <w:color w:val="auto"/>
                <w:sz w:val="24"/>
                <w:szCs w:val="24"/>
                <w:lang w:val="en-US" w:eastAsia="zh-CN"/>
              </w:rPr>
              <w:t>3-1。项目距离西北侧S11福厦高速53m，距离东北侧228国道大真线130m</w:t>
            </w:r>
            <w:r>
              <w:rPr>
                <w:rFonts w:hint="eastAsia" w:cs="Times New Roman"/>
                <w:color w:val="auto"/>
                <w:sz w:val="24"/>
                <w:szCs w:val="24"/>
                <w:lang w:val="en-US" w:eastAsia="zh-CN"/>
              </w:rPr>
              <w:t>且</w:t>
            </w:r>
            <w:r>
              <w:rPr>
                <w:rFonts w:hint="eastAsia" w:ascii="Times New Roman" w:hAnsi="Times New Roman" w:eastAsia="宋体" w:cs="Times New Roman"/>
                <w:color w:val="auto"/>
                <w:sz w:val="24"/>
                <w:szCs w:val="24"/>
                <w:lang w:val="en-US" w:eastAsia="zh-CN"/>
              </w:rPr>
              <w:t>不临228国道一侧，不在</w:t>
            </w:r>
            <w:r>
              <w:rPr>
                <w:rFonts w:hint="default" w:ascii="Times New Roman" w:hAnsi="Times New Roman" w:eastAsia="宋体" w:cs="Times New Roman"/>
                <w:color w:val="auto"/>
                <w:sz w:val="24"/>
                <w:szCs w:val="24"/>
              </w:rPr>
              <w:t>《声环境质量标准》</w:t>
            </w:r>
            <w:r>
              <w:rPr>
                <w:rFonts w:hint="default"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rPr>
              <w:t>GB3096-2008</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与《声环境功能区划分技术规范》（GB/T 15190-2014）中所规定的4a</w:t>
            </w:r>
            <w:r>
              <w:rPr>
                <w:rFonts w:hint="default" w:ascii="Times New Roman" w:hAnsi="Times New Roman" w:eastAsia="宋体" w:cs="Times New Roman"/>
                <w:color w:val="auto"/>
                <w:sz w:val="24"/>
                <w:szCs w:val="24"/>
              </w:rPr>
              <w:t>类标准</w:t>
            </w:r>
            <w:r>
              <w:rPr>
                <w:rFonts w:hint="eastAsia" w:ascii="Times New Roman" w:hAnsi="Times New Roman" w:eastAsia="宋体" w:cs="Times New Roman"/>
                <w:color w:val="auto"/>
                <w:sz w:val="24"/>
                <w:szCs w:val="24"/>
                <w:lang w:val="en-US" w:eastAsia="zh-CN"/>
              </w:rPr>
              <w:t>范围内</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因此，不执行4a</w:t>
            </w:r>
            <w:r>
              <w:rPr>
                <w:rFonts w:hint="default" w:ascii="Times New Roman" w:hAnsi="Times New Roman" w:eastAsia="宋体" w:cs="Times New Roman"/>
                <w:color w:val="auto"/>
                <w:sz w:val="24"/>
                <w:szCs w:val="24"/>
              </w:rPr>
              <w:t>类</w:t>
            </w:r>
            <w:r>
              <w:rPr>
                <w:rFonts w:hint="eastAsia" w:ascii="Times New Roman" w:hAnsi="Times New Roman" w:eastAsia="宋体" w:cs="Times New Roman"/>
                <w:color w:val="auto"/>
                <w:sz w:val="24"/>
                <w:szCs w:val="24"/>
                <w:lang w:val="en-US" w:eastAsia="zh-CN"/>
              </w:rPr>
              <w:t>声环境</w:t>
            </w:r>
            <w:r>
              <w:rPr>
                <w:rFonts w:hint="default" w:ascii="Times New Roman" w:hAnsi="Times New Roman" w:eastAsia="宋体" w:cs="Times New Roman"/>
                <w:color w:val="auto"/>
                <w:sz w:val="24"/>
                <w:szCs w:val="24"/>
              </w:rPr>
              <w:t>标准</w:t>
            </w:r>
            <w:r>
              <w:rPr>
                <w:rFonts w:hint="eastAsia" w:ascii="Times New Roman" w:hAnsi="Times New Roman" w:eastAsia="宋体" w:cs="Times New Roman"/>
                <w:color w:val="auto"/>
                <w:sz w:val="24"/>
                <w:szCs w:val="24"/>
                <w:lang w:eastAsia="zh-CN"/>
              </w:rPr>
              <w:t>。</w:t>
            </w:r>
          </w:p>
          <w:p w14:paraId="79DC1577">
            <w:pPr>
              <w:pStyle w:val="33"/>
              <w:bidi w:val="0"/>
              <w:rPr>
                <w:color w:val="auto"/>
                <w:sz w:val="24"/>
                <w:szCs w:val="24"/>
              </w:rPr>
            </w:pPr>
            <w:r>
              <w:rPr>
                <w:color w:val="auto"/>
                <w:sz w:val="24"/>
                <w:szCs w:val="24"/>
              </w:rPr>
              <w:t>表3.3-1 《声环境质量标准》(GB3096-2008)(摘录)</w:t>
            </w:r>
          </w:p>
          <w:tbl>
            <w:tblPr>
              <w:tblStyle w:val="20"/>
              <w:tblW w:w="0" w:type="auto"/>
              <w:jc w:val="center"/>
              <w:tblBorders>
                <w:top w:val="none" w:color="auto" w:sz="0" w:space="0"/>
                <w:left w:val="none" w:color="auto" w:sz="0" w:space="0"/>
                <w:bottom w:val="none" w:color="auto" w:sz="0"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817"/>
              <w:gridCol w:w="5014"/>
              <w:gridCol w:w="1071"/>
              <w:gridCol w:w="1260"/>
            </w:tblGrid>
            <w:tr w14:paraId="26B1CD82">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817" w:type="dxa"/>
                  <w:vMerge w:val="restart"/>
                  <w:tcBorders>
                    <w:top w:val="single" w:color="000000" w:sz="12" w:space="0"/>
                    <w:left w:val="nil"/>
                    <w:bottom w:val="single" w:color="000000" w:sz="6" w:space="0"/>
                    <w:right w:val="single" w:color="000000" w:sz="4" w:space="0"/>
                  </w:tcBorders>
                  <w:noWrap w:val="0"/>
                  <w:vAlign w:val="center"/>
                </w:tcPr>
                <w:p w14:paraId="6A315ECB">
                  <w:pPr>
                    <w:pStyle w:val="28"/>
                    <w:bidi w:val="0"/>
                    <w:rPr>
                      <w:color w:val="auto"/>
                    </w:rPr>
                  </w:pPr>
                  <w:r>
                    <w:rPr>
                      <w:color w:val="auto"/>
                    </w:rPr>
                    <w:t>标准类别</w:t>
                  </w:r>
                </w:p>
              </w:tc>
              <w:tc>
                <w:tcPr>
                  <w:tcW w:w="5014" w:type="dxa"/>
                  <w:vMerge w:val="restart"/>
                  <w:tcBorders>
                    <w:top w:val="single" w:color="000000" w:sz="12" w:space="0"/>
                    <w:left w:val="single" w:color="000000" w:sz="4" w:space="0"/>
                    <w:bottom w:val="single" w:color="000000" w:sz="6" w:space="0"/>
                    <w:right w:val="single" w:color="000000" w:sz="4" w:space="0"/>
                  </w:tcBorders>
                  <w:noWrap w:val="0"/>
                  <w:vAlign w:val="center"/>
                </w:tcPr>
                <w:p w14:paraId="3F3D2871">
                  <w:pPr>
                    <w:pStyle w:val="28"/>
                    <w:bidi w:val="0"/>
                    <w:rPr>
                      <w:color w:val="auto"/>
                    </w:rPr>
                  </w:pPr>
                  <w:r>
                    <w:rPr>
                      <w:color w:val="auto"/>
                    </w:rPr>
                    <w:t>适用区域</w:t>
                  </w:r>
                </w:p>
              </w:tc>
              <w:tc>
                <w:tcPr>
                  <w:tcW w:w="2331" w:type="dxa"/>
                  <w:gridSpan w:val="2"/>
                  <w:tcBorders>
                    <w:top w:val="single" w:color="000000" w:sz="12" w:space="0"/>
                    <w:left w:val="single" w:color="000000" w:sz="4" w:space="0"/>
                    <w:bottom w:val="single" w:color="000000" w:sz="6" w:space="0"/>
                    <w:right w:val="nil"/>
                  </w:tcBorders>
                  <w:noWrap w:val="0"/>
                  <w:vAlign w:val="center"/>
                </w:tcPr>
                <w:p w14:paraId="43E7E23E">
                  <w:pPr>
                    <w:pStyle w:val="28"/>
                    <w:bidi w:val="0"/>
                    <w:rPr>
                      <w:color w:val="auto"/>
                    </w:rPr>
                  </w:pPr>
                  <w:r>
                    <w:rPr>
                      <w:color w:val="auto"/>
                    </w:rPr>
                    <w:t>等效声级Leq(dB(A))</w:t>
                  </w:r>
                </w:p>
              </w:tc>
            </w:tr>
            <w:tr w14:paraId="4BB6C7B6">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817" w:type="dxa"/>
                  <w:vMerge w:val="continue"/>
                  <w:tcBorders>
                    <w:top w:val="single" w:color="000000" w:sz="6" w:space="0"/>
                    <w:left w:val="nil"/>
                    <w:bottom w:val="single" w:color="000000" w:sz="6" w:space="0"/>
                    <w:right w:val="single" w:color="000000" w:sz="4" w:space="0"/>
                  </w:tcBorders>
                  <w:noWrap w:val="0"/>
                  <w:vAlign w:val="center"/>
                </w:tcPr>
                <w:p w14:paraId="1D36C839">
                  <w:pPr>
                    <w:pStyle w:val="28"/>
                    <w:bidi w:val="0"/>
                    <w:rPr>
                      <w:color w:val="auto"/>
                    </w:rPr>
                  </w:pPr>
                </w:p>
              </w:tc>
              <w:tc>
                <w:tcPr>
                  <w:tcW w:w="5014" w:type="dxa"/>
                  <w:vMerge w:val="continue"/>
                  <w:tcBorders>
                    <w:top w:val="single" w:color="000000" w:sz="6" w:space="0"/>
                    <w:left w:val="single" w:color="000000" w:sz="4" w:space="0"/>
                    <w:bottom w:val="single" w:color="000000" w:sz="6" w:space="0"/>
                    <w:right w:val="single" w:color="000000" w:sz="4" w:space="0"/>
                  </w:tcBorders>
                  <w:noWrap w:val="0"/>
                  <w:vAlign w:val="center"/>
                </w:tcPr>
                <w:p w14:paraId="30E7DDF1">
                  <w:pPr>
                    <w:pStyle w:val="28"/>
                    <w:bidi w:val="0"/>
                    <w:rPr>
                      <w:color w:val="auto"/>
                    </w:rPr>
                  </w:pPr>
                </w:p>
              </w:tc>
              <w:tc>
                <w:tcPr>
                  <w:tcW w:w="1071" w:type="dxa"/>
                  <w:tcBorders>
                    <w:top w:val="single" w:color="000000" w:sz="6" w:space="0"/>
                    <w:left w:val="single" w:color="000000" w:sz="4" w:space="0"/>
                    <w:bottom w:val="single" w:color="000000" w:sz="6" w:space="0"/>
                    <w:right w:val="single" w:color="auto" w:sz="4" w:space="0"/>
                  </w:tcBorders>
                  <w:noWrap w:val="0"/>
                  <w:vAlign w:val="center"/>
                </w:tcPr>
                <w:p w14:paraId="5917C108">
                  <w:pPr>
                    <w:pStyle w:val="28"/>
                    <w:bidi w:val="0"/>
                    <w:rPr>
                      <w:color w:val="auto"/>
                    </w:rPr>
                  </w:pPr>
                  <w:r>
                    <w:rPr>
                      <w:color w:val="auto"/>
                    </w:rPr>
                    <w:t>昼间</w:t>
                  </w:r>
                </w:p>
              </w:tc>
              <w:tc>
                <w:tcPr>
                  <w:tcW w:w="1260" w:type="dxa"/>
                  <w:tcBorders>
                    <w:top w:val="single" w:color="000000" w:sz="6" w:space="0"/>
                    <w:left w:val="single" w:color="auto" w:sz="4" w:space="0"/>
                    <w:bottom w:val="single" w:color="000000" w:sz="6" w:space="0"/>
                    <w:right w:val="nil"/>
                  </w:tcBorders>
                  <w:noWrap w:val="0"/>
                  <w:vAlign w:val="center"/>
                </w:tcPr>
                <w:p w14:paraId="5DCC60AE">
                  <w:pPr>
                    <w:pStyle w:val="28"/>
                    <w:bidi w:val="0"/>
                    <w:rPr>
                      <w:rFonts w:hint="eastAsia"/>
                      <w:color w:val="auto"/>
                    </w:rPr>
                  </w:pPr>
                  <w:r>
                    <w:rPr>
                      <w:rFonts w:hint="eastAsia"/>
                      <w:color w:val="auto"/>
                    </w:rPr>
                    <w:t>夜间</w:t>
                  </w:r>
                </w:p>
              </w:tc>
            </w:tr>
            <w:tr w14:paraId="6DA2AB85">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817" w:type="dxa"/>
                  <w:tcBorders>
                    <w:top w:val="single" w:color="000000" w:sz="6" w:space="0"/>
                    <w:left w:val="nil"/>
                    <w:bottom w:val="single" w:color="000000" w:sz="12" w:space="0"/>
                    <w:right w:val="single" w:color="000000" w:sz="4" w:space="0"/>
                  </w:tcBorders>
                  <w:noWrap w:val="0"/>
                  <w:vAlign w:val="center"/>
                </w:tcPr>
                <w:p w14:paraId="3D7AA629">
                  <w:pPr>
                    <w:pStyle w:val="28"/>
                    <w:bidi w:val="0"/>
                    <w:rPr>
                      <w:rFonts w:hint="eastAsia"/>
                      <w:color w:val="auto"/>
                      <w:lang w:eastAsia="zh-CN"/>
                    </w:rPr>
                  </w:pPr>
                  <w:r>
                    <w:rPr>
                      <w:rFonts w:hint="eastAsia"/>
                      <w:color w:val="auto"/>
                      <w:lang w:val="en-US" w:eastAsia="zh-CN"/>
                    </w:rPr>
                    <w:t>2</w:t>
                  </w:r>
                </w:p>
              </w:tc>
              <w:tc>
                <w:tcPr>
                  <w:tcW w:w="5014" w:type="dxa"/>
                  <w:tcBorders>
                    <w:top w:val="single" w:color="000000" w:sz="6" w:space="0"/>
                    <w:left w:val="single" w:color="000000" w:sz="4" w:space="0"/>
                    <w:bottom w:val="single" w:color="000000" w:sz="12" w:space="0"/>
                    <w:right w:val="single" w:color="000000" w:sz="4" w:space="0"/>
                  </w:tcBorders>
                  <w:noWrap w:val="0"/>
                  <w:vAlign w:val="center"/>
                </w:tcPr>
                <w:p w14:paraId="163E4A04">
                  <w:pPr>
                    <w:pStyle w:val="28"/>
                    <w:bidi w:val="0"/>
                    <w:rPr>
                      <w:rFonts w:hint="default"/>
                      <w:color w:val="auto"/>
                    </w:rPr>
                  </w:pPr>
                  <w:r>
                    <w:rPr>
                      <w:rFonts w:hint="default"/>
                      <w:color w:val="auto"/>
                    </w:rPr>
                    <w:t>指以商业金融、集市贸易为主要功能，或者居住、</w:t>
                  </w:r>
                </w:p>
                <w:p w14:paraId="5FA9DB59">
                  <w:pPr>
                    <w:pStyle w:val="28"/>
                    <w:bidi w:val="0"/>
                    <w:rPr>
                      <w:color w:val="auto"/>
                    </w:rPr>
                  </w:pPr>
                  <w:r>
                    <w:rPr>
                      <w:rFonts w:hint="default"/>
                      <w:color w:val="auto"/>
                    </w:rPr>
                    <w:t>商业、工业混杂，需要维护住宅安静的区域</w:t>
                  </w:r>
                </w:p>
              </w:tc>
              <w:tc>
                <w:tcPr>
                  <w:tcW w:w="1071" w:type="dxa"/>
                  <w:tcBorders>
                    <w:top w:val="single" w:color="000000" w:sz="6" w:space="0"/>
                    <w:left w:val="single" w:color="000000" w:sz="4" w:space="0"/>
                    <w:bottom w:val="single" w:color="000000" w:sz="12" w:space="0"/>
                    <w:right w:val="single" w:color="auto" w:sz="4" w:space="0"/>
                  </w:tcBorders>
                  <w:noWrap w:val="0"/>
                  <w:vAlign w:val="center"/>
                </w:tcPr>
                <w:p w14:paraId="6D13E4E4">
                  <w:pPr>
                    <w:pStyle w:val="28"/>
                    <w:bidi w:val="0"/>
                    <w:rPr>
                      <w:rFonts w:hint="eastAsia"/>
                      <w:color w:val="auto"/>
                    </w:rPr>
                  </w:pPr>
                  <w:r>
                    <w:rPr>
                      <w:rFonts w:hint="default"/>
                      <w:color w:val="auto"/>
                    </w:rPr>
                    <w:t>≤60</w:t>
                  </w:r>
                </w:p>
              </w:tc>
              <w:tc>
                <w:tcPr>
                  <w:tcW w:w="1260" w:type="dxa"/>
                  <w:tcBorders>
                    <w:top w:val="single" w:color="000000" w:sz="6" w:space="0"/>
                    <w:left w:val="single" w:color="auto" w:sz="4" w:space="0"/>
                    <w:bottom w:val="single" w:color="000000" w:sz="12" w:space="0"/>
                    <w:right w:val="nil"/>
                  </w:tcBorders>
                  <w:noWrap w:val="0"/>
                  <w:vAlign w:val="center"/>
                </w:tcPr>
                <w:p w14:paraId="694D1E0B">
                  <w:pPr>
                    <w:pStyle w:val="28"/>
                    <w:bidi w:val="0"/>
                    <w:rPr>
                      <w:rFonts w:hint="default"/>
                      <w:color w:val="auto"/>
                      <w:lang w:val="en-US" w:eastAsia="zh-CN"/>
                    </w:rPr>
                  </w:pPr>
                  <w:r>
                    <w:rPr>
                      <w:rFonts w:hint="default"/>
                      <w:color w:val="auto"/>
                    </w:rPr>
                    <w:t>≤</w:t>
                  </w:r>
                  <w:r>
                    <w:rPr>
                      <w:rFonts w:hint="eastAsia"/>
                      <w:color w:val="auto"/>
                      <w:lang w:val="en-US" w:eastAsia="zh-CN"/>
                    </w:rPr>
                    <w:t>50</w:t>
                  </w:r>
                </w:p>
              </w:tc>
            </w:tr>
          </w:tbl>
          <w:p w14:paraId="7C8DB607">
            <w:pPr>
              <w:pStyle w:val="4"/>
              <w:bidi w:val="0"/>
              <w:rPr>
                <w:rFonts w:hint="default"/>
                <w:color w:val="auto"/>
              </w:rPr>
            </w:pPr>
            <w:r>
              <w:rPr>
                <w:rFonts w:hint="default"/>
                <w:color w:val="auto"/>
              </w:rPr>
              <w:t>3.3.2声环境质量现状</w:t>
            </w:r>
          </w:p>
          <w:p w14:paraId="4C5D7E2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微软雅黑"/>
                <w:b w:val="0"/>
                <w:bCs w:val="0"/>
                <w:i w:val="0"/>
                <w:iCs w:val="0"/>
                <w:caps w:val="0"/>
                <w:color w:val="auto"/>
                <w:spacing w:val="0"/>
                <w:sz w:val="24"/>
                <w:szCs w:val="24"/>
                <w:lang w:val="en-US" w:eastAsia="zh-CN"/>
              </w:rPr>
            </w:pPr>
            <w:r>
              <w:rPr>
                <w:rFonts w:hint="default" w:ascii="Times New Roman" w:hAnsi="Times New Roman" w:eastAsia="宋体" w:cs="Times New Roman"/>
                <w:color w:val="auto"/>
                <w:sz w:val="24"/>
                <w:szCs w:val="24"/>
                <w:highlight w:val="none"/>
                <w:lang w:val="zh-CN" w:eastAsia="zh-CN"/>
              </w:rPr>
              <w:t>根据《建设项目环境影响报告表编制技术指南</w:t>
            </w:r>
            <w:r>
              <w:rPr>
                <w:rFonts w:hint="eastAsia" w:ascii="Times New Roman" w:hAnsi="Times New Roman" w:eastAsia="宋体" w:cs="Times New Roman"/>
                <w:color w:val="auto"/>
                <w:sz w:val="24"/>
                <w:szCs w:val="24"/>
                <w:highlight w:val="none"/>
                <w:lang w:val="zh-CN" w:eastAsia="zh-CN"/>
              </w:rPr>
              <w:t>（</w:t>
            </w:r>
            <w:r>
              <w:rPr>
                <w:rFonts w:hint="default" w:ascii="Times New Roman" w:hAnsi="Times New Roman" w:eastAsia="宋体" w:cs="Times New Roman"/>
                <w:color w:val="auto"/>
                <w:sz w:val="24"/>
                <w:szCs w:val="24"/>
                <w:highlight w:val="none"/>
                <w:lang w:val="zh-CN" w:eastAsia="zh-CN"/>
              </w:rPr>
              <w:t>污染影响类</w:t>
            </w:r>
            <w:r>
              <w:rPr>
                <w:rFonts w:hint="eastAsia" w:ascii="Times New Roman" w:hAnsi="Times New Roman" w:eastAsia="宋体" w:cs="Times New Roman"/>
                <w:color w:val="auto"/>
                <w:sz w:val="24"/>
                <w:szCs w:val="24"/>
                <w:highlight w:val="none"/>
                <w:lang w:val="zh-CN" w:eastAsia="zh-CN"/>
              </w:rPr>
              <w:t>）（</w:t>
            </w:r>
            <w:r>
              <w:rPr>
                <w:rFonts w:hint="default" w:ascii="Times New Roman" w:hAnsi="Times New Roman" w:eastAsia="宋体" w:cs="Times New Roman"/>
                <w:color w:val="auto"/>
                <w:sz w:val="24"/>
                <w:szCs w:val="24"/>
                <w:highlight w:val="none"/>
                <w:lang w:val="zh-CN" w:eastAsia="zh-CN"/>
              </w:rPr>
              <w:t>试行</w:t>
            </w:r>
            <w:r>
              <w:rPr>
                <w:rFonts w:hint="eastAsia" w:ascii="Times New Roman" w:hAnsi="Times New Roman" w:eastAsia="宋体" w:cs="Times New Roman"/>
                <w:color w:val="auto"/>
                <w:sz w:val="24"/>
                <w:szCs w:val="24"/>
                <w:highlight w:val="none"/>
                <w:lang w:val="zh-CN" w:eastAsia="zh-CN"/>
              </w:rPr>
              <w:t>）</w:t>
            </w:r>
            <w:r>
              <w:rPr>
                <w:rFonts w:hint="default" w:ascii="Times New Roman" w:hAnsi="Times New Roman" w:eastAsia="宋体" w:cs="Times New Roman"/>
                <w:color w:val="auto"/>
                <w:sz w:val="24"/>
                <w:szCs w:val="24"/>
                <w:highlight w:val="none"/>
                <w:lang w:val="zh-CN" w:eastAsia="zh-CN"/>
              </w:rPr>
              <w:t>》</w:t>
            </w:r>
            <w:r>
              <w:rPr>
                <w:rFonts w:hint="eastAsia" w:ascii="Times New Roman" w:hAnsi="Times New Roman" w:eastAsia="宋体" w:cs="Times New Roman"/>
                <w:color w:val="auto"/>
                <w:sz w:val="24"/>
                <w:szCs w:val="24"/>
                <w:highlight w:val="none"/>
                <w:lang w:val="zh-CN" w:eastAsia="zh-CN"/>
              </w:rPr>
              <w:t>（</w:t>
            </w:r>
            <w:r>
              <w:rPr>
                <w:rFonts w:hint="default" w:ascii="Times New Roman" w:hAnsi="Times New Roman" w:eastAsia="宋体" w:cs="Times New Roman"/>
                <w:color w:val="auto"/>
                <w:sz w:val="24"/>
                <w:szCs w:val="24"/>
                <w:highlight w:val="none"/>
                <w:lang w:val="zh-CN" w:eastAsia="zh-CN"/>
              </w:rPr>
              <w:t>环办环评〔2020〕33号</w:t>
            </w:r>
            <w:r>
              <w:rPr>
                <w:rFonts w:hint="eastAsia" w:ascii="Times New Roman" w:hAnsi="Times New Roman" w:eastAsia="宋体" w:cs="Times New Roman"/>
                <w:color w:val="auto"/>
                <w:sz w:val="24"/>
                <w:szCs w:val="24"/>
                <w:highlight w:val="none"/>
                <w:lang w:val="zh-CN" w:eastAsia="zh-CN"/>
              </w:rPr>
              <w:t>）</w:t>
            </w:r>
            <w:r>
              <w:rPr>
                <w:rFonts w:hint="default" w:ascii="Times New Roman" w:hAnsi="Times New Roman" w:eastAsia="宋体" w:cs="Times New Roman"/>
                <w:color w:val="auto"/>
                <w:sz w:val="24"/>
                <w:szCs w:val="24"/>
                <w:highlight w:val="none"/>
                <w:lang w:val="zh-CN" w:eastAsia="zh-CN"/>
              </w:rPr>
              <w:t>的要求</w:t>
            </w:r>
            <w:r>
              <w:rPr>
                <w:rFonts w:hint="eastAsia" w:ascii="Times New Roman" w:hAnsi="Times New Roman" w:eastAsia="宋体" w:cs="Times New Roman"/>
                <w:color w:val="auto"/>
                <w:sz w:val="24"/>
                <w:szCs w:val="24"/>
                <w:highlight w:val="none"/>
                <w:lang w:val="zh-CN" w:eastAsia="zh-CN"/>
              </w:rPr>
              <w:t>：厂界外周边50米范围内存在声环境保护目标的建设项目，应监测保护目标声环境质量现状并评价达标情况。</w:t>
            </w:r>
            <w:r>
              <w:rPr>
                <w:rFonts w:hint="eastAsia" w:ascii="Times New Roman" w:hAnsi="Times New Roman" w:eastAsia="宋体" w:cs="Times New Roman"/>
                <w:b/>
                <w:bCs/>
                <w:color w:val="auto"/>
                <w:sz w:val="24"/>
                <w:szCs w:val="24"/>
                <w:highlight w:val="none"/>
                <w:lang w:val="en-US" w:eastAsia="zh-CN"/>
              </w:rPr>
              <w:t>根据环境影响评价网（</w:t>
            </w:r>
            <w:r>
              <w:rPr>
                <w:rFonts w:hint="default" w:ascii="Times New Roman" w:hAnsi="Times New Roman" w:eastAsia="宋体" w:cs="Times New Roman"/>
                <w:b/>
                <w:bCs/>
                <w:color w:val="auto"/>
                <w:sz w:val="24"/>
                <w:szCs w:val="24"/>
                <w:highlight w:val="none"/>
                <w:lang w:val="zh-CN" w:eastAsia="zh-CN"/>
              </w:rPr>
              <w:t>生态环境部环境工程评估中心</w:t>
            </w:r>
            <w:r>
              <w:rPr>
                <w:rFonts w:hint="eastAsia" w:ascii="Times New Roman" w:hAnsi="Times New Roman" w:eastAsia="宋体" w:cs="Times New Roman"/>
                <w:b/>
                <w:bCs/>
                <w:color w:val="auto"/>
                <w:sz w:val="24"/>
                <w:szCs w:val="24"/>
                <w:highlight w:val="none"/>
                <w:lang w:val="zh-CN" w:eastAsia="zh-CN"/>
              </w:rPr>
              <w:t>）</w:t>
            </w:r>
            <w:r>
              <w:rPr>
                <w:rFonts w:hint="eastAsia" w:ascii="Times New Roman" w:hAnsi="Times New Roman" w:eastAsia="宋体" w:cs="Times New Roman"/>
                <w:b/>
                <w:bCs/>
                <w:color w:val="auto"/>
                <w:sz w:val="24"/>
                <w:szCs w:val="24"/>
                <w:highlight w:val="none"/>
                <w:lang w:val="en-US" w:eastAsia="zh-CN"/>
              </w:rPr>
              <w:t>关于</w:t>
            </w:r>
            <w:r>
              <w:rPr>
                <w:rFonts w:hint="eastAsia" w:ascii="Times New Roman" w:hAnsi="Times New Roman" w:eastAsia="宋体" w:cs="Times New Roman"/>
                <w:b/>
                <w:bCs/>
                <w:color w:val="auto"/>
                <w:sz w:val="24"/>
                <w:szCs w:val="24"/>
                <w:highlight w:val="none"/>
                <w:lang w:val="zh-CN" w:eastAsia="zh-CN"/>
              </w:rPr>
              <w:t>《建设项目环境影响报告表》内容、格式及编制技术指南常见问题解答，</w:t>
            </w:r>
            <w:r>
              <w:rPr>
                <w:rFonts w:hint="eastAsia" w:ascii="Times New Roman" w:hAnsi="Times New Roman" w:eastAsia="宋体" w:cs="Times New Roman"/>
                <w:color w:val="auto"/>
                <w:sz w:val="24"/>
                <w:szCs w:val="24"/>
                <w:highlight w:val="none"/>
                <w:lang w:val="zh-CN" w:eastAsia="zh-CN"/>
              </w:rPr>
              <w:t>厂界外周边</w:t>
            </w:r>
            <w:r>
              <w:rPr>
                <w:rFonts w:hint="eastAsia" w:ascii="Times New Roman" w:hAnsi="Times New Roman" w:eastAsia="宋体" w:cs="Times New Roman"/>
                <w:color w:val="auto"/>
                <w:sz w:val="24"/>
                <w:szCs w:val="24"/>
                <w:highlight w:val="none"/>
                <w:lang w:val="en-US" w:eastAsia="zh-CN"/>
              </w:rPr>
              <w:t>50</w:t>
            </w:r>
            <w:r>
              <w:rPr>
                <w:rFonts w:hint="eastAsia" w:ascii="Times New Roman" w:hAnsi="Times New Roman" w:eastAsia="宋体" w:cs="Times New Roman"/>
                <w:color w:val="auto"/>
                <w:sz w:val="24"/>
                <w:szCs w:val="24"/>
                <w:highlight w:val="none"/>
                <w:lang w:val="zh-CN" w:eastAsia="zh-CN"/>
              </w:rPr>
              <w:t>米范围内存在声环境保护目标的建设项目，应监测声环境质量现状，监测点位为声环境保护目标处。</w:t>
            </w:r>
            <w:r>
              <w:rPr>
                <w:rFonts w:hint="eastAsia" w:ascii="Times New Roman" w:hAnsi="Times New Roman" w:eastAsia="宋体" w:cs="Times New Roman"/>
                <w:b/>
                <w:bCs/>
                <w:color w:val="auto"/>
                <w:sz w:val="24"/>
                <w:szCs w:val="24"/>
                <w:highlight w:val="none"/>
                <w:lang w:val="zh-CN" w:eastAsia="zh-CN"/>
              </w:rPr>
              <w:t>厂界外周边</w:t>
            </w:r>
            <w:r>
              <w:rPr>
                <w:rFonts w:hint="eastAsia" w:ascii="Times New Roman" w:hAnsi="Times New Roman" w:eastAsia="宋体" w:cs="Times New Roman"/>
                <w:b/>
                <w:bCs/>
                <w:color w:val="auto"/>
                <w:sz w:val="24"/>
                <w:szCs w:val="24"/>
                <w:highlight w:val="none"/>
                <w:lang w:val="en-US" w:eastAsia="zh-CN"/>
              </w:rPr>
              <w:t>50</w:t>
            </w:r>
            <w:r>
              <w:rPr>
                <w:rFonts w:hint="eastAsia" w:ascii="Times New Roman" w:hAnsi="Times New Roman" w:eastAsia="宋体" w:cs="Times New Roman"/>
                <w:b/>
                <w:bCs/>
                <w:color w:val="auto"/>
                <w:sz w:val="24"/>
                <w:szCs w:val="24"/>
                <w:highlight w:val="none"/>
                <w:lang w:val="zh-CN" w:eastAsia="zh-CN"/>
              </w:rPr>
              <w:t>米范围内无声环境保护目标的建设项目，不再要求提供声环境质量现状监测数据。</w:t>
            </w:r>
            <w:r>
              <w:rPr>
                <w:rFonts w:hint="eastAsia" w:ascii="Times New Roman" w:hAnsi="Times New Roman" w:eastAsia="宋体" w:cs="Times New Roman"/>
                <w:color w:val="auto"/>
                <w:sz w:val="24"/>
                <w:szCs w:val="24"/>
                <w:highlight w:val="none"/>
                <w:lang w:val="en-US" w:eastAsia="zh-CN"/>
              </w:rPr>
              <w:t>根据现场调查，项目厂界外50m范围内无声环境保护目标，因此，本评价不进行</w:t>
            </w:r>
            <w:r>
              <w:rPr>
                <w:rFonts w:hint="eastAsia" w:ascii="Times New Roman" w:hAnsi="Times New Roman" w:eastAsia="宋体" w:cs="Times New Roman"/>
                <w:color w:val="auto"/>
                <w:sz w:val="24"/>
                <w:szCs w:val="24"/>
                <w:highlight w:val="none"/>
                <w:lang w:val="zh-CN" w:eastAsia="zh-CN"/>
              </w:rPr>
              <w:t>声环境质量现状监测。</w:t>
            </w:r>
          </w:p>
          <w:p w14:paraId="4B5A406F">
            <w:pPr>
              <w:pStyle w:val="3"/>
              <w:bidi w:val="0"/>
              <w:rPr>
                <w:rFonts w:hint="default"/>
                <w:color w:val="auto"/>
              </w:rPr>
            </w:pPr>
            <w:r>
              <w:rPr>
                <w:rFonts w:hint="default"/>
                <w:color w:val="auto"/>
              </w:rPr>
              <w:t>3.</w:t>
            </w:r>
            <w:r>
              <w:rPr>
                <w:rFonts w:hint="default"/>
                <w:color w:val="auto"/>
                <w:lang w:val="en-US" w:eastAsia="zh-CN"/>
              </w:rPr>
              <w:t>4</w:t>
            </w:r>
            <w:r>
              <w:rPr>
                <w:rFonts w:hint="default"/>
                <w:color w:val="auto"/>
              </w:rPr>
              <w:t xml:space="preserve"> 生态环境现状调查</w:t>
            </w:r>
          </w:p>
          <w:p w14:paraId="61AA4FF6">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9"/>
              <w:rPr>
                <w:rFonts w:hint="default" w:ascii="Times New Roman" w:hAnsi="Times New Roman" w:eastAsia="宋体" w:cs="Times New Roman"/>
                <w:color w:val="auto"/>
                <w:sz w:val="24"/>
                <w:szCs w:val="24"/>
                <w:highlight w:val="none"/>
                <w:lang w:val="zh-CN"/>
              </w:rPr>
            </w:pPr>
            <w:r>
              <w:rPr>
                <w:rFonts w:hint="default" w:ascii="Times New Roman" w:hAnsi="Times New Roman" w:eastAsia="宋体" w:cs="Times New Roman"/>
                <w:color w:val="auto"/>
                <w:kern w:val="0"/>
                <w:sz w:val="24"/>
                <w:szCs w:val="24"/>
                <w:highlight w:val="none"/>
              </w:rPr>
              <w:t>根据</w:t>
            </w:r>
            <w:r>
              <w:rPr>
                <w:rFonts w:hint="eastAsia" w:cs="Times New Roman"/>
                <w:color w:val="auto"/>
                <w:kern w:val="0"/>
                <w:sz w:val="24"/>
                <w:szCs w:val="24"/>
                <w:highlight w:val="none"/>
                <w:lang w:eastAsia="zh-CN"/>
              </w:rPr>
              <w:t>现场勘察，项目用地为未建设空地，地表主要为砂土和杂草，中部有硬化道路，</w:t>
            </w:r>
            <w:r>
              <w:rPr>
                <w:rFonts w:hint="default" w:ascii="Times New Roman" w:hAnsi="Times New Roman" w:eastAsia="宋体" w:cs="Times New Roman"/>
                <w:color w:val="auto"/>
                <w:sz w:val="24"/>
                <w:szCs w:val="24"/>
                <w:highlight w:val="none"/>
                <w:lang w:val="zh-CN"/>
              </w:rPr>
              <w:t>用地</w:t>
            </w:r>
            <w:r>
              <w:rPr>
                <w:rFonts w:hint="eastAsia" w:ascii="Times New Roman" w:hAnsi="Times New Roman" w:eastAsia="宋体" w:cs="Times New Roman"/>
                <w:color w:val="auto"/>
                <w:sz w:val="24"/>
                <w:szCs w:val="24"/>
                <w:highlight w:val="none"/>
                <w:lang w:val="zh-CN"/>
              </w:rPr>
              <w:t>周边</w:t>
            </w:r>
            <w:r>
              <w:rPr>
                <w:rFonts w:hint="default" w:ascii="Times New Roman" w:hAnsi="Times New Roman" w:eastAsia="宋体" w:cs="Times New Roman"/>
                <w:color w:val="auto"/>
                <w:sz w:val="24"/>
                <w:szCs w:val="24"/>
                <w:highlight w:val="none"/>
                <w:lang w:val="zh-CN"/>
              </w:rPr>
              <w:t>以道路、工业企业</w:t>
            </w:r>
            <w:r>
              <w:rPr>
                <w:rFonts w:hint="default" w:ascii="Times New Roman" w:hAnsi="Times New Roman" w:eastAsia="宋体" w:cs="Times New Roman"/>
                <w:color w:val="auto"/>
                <w:sz w:val="24"/>
                <w:szCs w:val="24"/>
                <w:highlight w:val="none"/>
                <w:lang w:val="zh-CN" w:eastAsia="zh-CN"/>
              </w:rPr>
              <w:t>等为主，</w:t>
            </w:r>
            <w:r>
              <w:rPr>
                <w:rFonts w:hint="default" w:ascii="Times New Roman" w:hAnsi="Times New Roman" w:eastAsia="宋体" w:cs="Times New Roman"/>
                <w:color w:val="auto"/>
                <w:sz w:val="24"/>
                <w:szCs w:val="24"/>
                <w:highlight w:val="none"/>
                <w:lang w:val="zh-CN"/>
              </w:rPr>
              <w:t>项目评价区域主要植被为草坪、行道树等景观树种</w:t>
            </w:r>
            <w:r>
              <w:rPr>
                <w:rFonts w:hint="default" w:ascii="Times New Roman" w:hAnsi="Times New Roman" w:eastAsia="宋体" w:cs="Times New Roman"/>
                <w:color w:val="auto"/>
                <w:sz w:val="24"/>
                <w:szCs w:val="24"/>
                <w:highlight w:val="none"/>
                <w:lang w:val="zh-CN" w:eastAsia="zh-CN"/>
              </w:rPr>
              <w:t>，</w:t>
            </w:r>
            <w:r>
              <w:rPr>
                <w:rFonts w:hint="default" w:ascii="Times New Roman" w:hAnsi="Times New Roman" w:eastAsia="宋体" w:cs="Times New Roman"/>
                <w:color w:val="auto"/>
                <w:sz w:val="24"/>
                <w:szCs w:val="24"/>
                <w:highlight w:val="none"/>
                <w:lang w:val="zh-CN"/>
              </w:rPr>
              <w:t>主要动物为常见的蛙类、鸟类和昆虫类等，评价区域内无珍稀濒危物种、自然保护区、风景名胜区等生态敏感目标，调查区域也未发现国家重点保护的野生动植物等</w:t>
            </w:r>
            <w:r>
              <w:rPr>
                <w:rFonts w:hint="default" w:ascii="Times New Roman" w:hAnsi="Times New Roman" w:eastAsia="宋体" w:cs="Times New Roman"/>
                <w:color w:val="auto"/>
                <w:sz w:val="24"/>
                <w:szCs w:val="24"/>
                <w:highlight w:val="none"/>
                <w:lang w:val="zh-CN" w:eastAsia="zh-CN"/>
              </w:rPr>
              <w:t>，因此，</w:t>
            </w:r>
            <w:r>
              <w:rPr>
                <w:rFonts w:hint="default" w:ascii="Times New Roman" w:hAnsi="Times New Roman" w:eastAsia="宋体" w:cs="Times New Roman"/>
                <w:color w:val="auto"/>
                <w:sz w:val="24"/>
                <w:szCs w:val="24"/>
                <w:highlight w:val="none"/>
                <w:lang w:val="zh-CN"/>
              </w:rPr>
              <w:t>本环评</w:t>
            </w:r>
            <w:r>
              <w:rPr>
                <w:rFonts w:hint="default" w:ascii="Times New Roman" w:hAnsi="Times New Roman" w:eastAsia="宋体" w:cs="Times New Roman"/>
                <w:color w:val="auto"/>
                <w:sz w:val="24"/>
                <w:szCs w:val="24"/>
                <w:highlight w:val="none"/>
                <w:lang w:val="zh-CN" w:eastAsia="zh-CN"/>
              </w:rPr>
              <w:t>不对</w:t>
            </w:r>
            <w:r>
              <w:rPr>
                <w:rFonts w:hint="default" w:ascii="Times New Roman" w:hAnsi="Times New Roman" w:eastAsia="宋体" w:cs="Times New Roman"/>
                <w:color w:val="auto"/>
                <w:sz w:val="24"/>
                <w:szCs w:val="24"/>
                <w:highlight w:val="none"/>
                <w:lang w:val="zh-CN"/>
              </w:rPr>
              <w:t>生态环境现状进行评价</w:t>
            </w:r>
            <w:r>
              <w:rPr>
                <w:rFonts w:hint="default" w:ascii="Times New Roman" w:hAnsi="Times New Roman" w:eastAsia="宋体" w:cs="Times New Roman"/>
                <w:color w:val="auto"/>
                <w:sz w:val="24"/>
                <w:szCs w:val="24"/>
                <w:highlight w:val="none"/>
                <w:lang w:val="zh-CN" w:eastAsia="zh-CN"/>
              </w:rPr>
              <w:t>。</w:t>
            </w:r>
          </w:p>
          <w:p w14:paraId="0C36A54A">
            <w:pPr>
              <w:pStyle w:val="3"/>
              <w:bidi w:val="0"/>
              <w:rPr>
                <w:rFonts w:hint="default"/>
                <w:color w:val="auto"/>
              </w:rPr>
            </w:pPr>
            <w:r>
              <w:rPr>
                <w:rFonts w:hint="default"/>
                <w:color w:val="auto"/>
              </w:rPr>
              <w:t>3.5地下水</w:t>
            </w:r>
            <w:r>
              <w:rPr>
                <w:rFonts w:hint="default"/>
                <w:color w:val="auto"/>
                <w:lang w:eastAsia="zh-CN"/>
              </w:rPr>
              <w:t>、土壤</w:t>
            </w:r>
            <w:r>
              <w:rPr>
                <w:rFonts w:hint="default"/>
                <w:color w:val="auto"/>
              </w:rPr>
              <w:t>环境质量现状</w:t>
            </w:r>
          </w:p>
          <w:p w14:paraId="0D7B451D">
            <w:pPr>
              <w:adjustRightInd w:val="0"/>
              <w:snapToGrid w:val="0"/>
              <w:spacing w:line="360" w:lineRule="auto"/>
              <w:ind w:firstLine="480" w:firstLineChars="200"/>
              <w:rPr>
                <w:rFonts w:hint="eastAsia" w:ascii="Times New Roman" w:hAnsi="Times New Roman" w:eastAsia="宋体" w:cs="Times New Roman"/>
                <w:color w:val="auto"/>
                <w:kern w:val="0"/>
                <w:sz w:val="24"/>
                <w:szCs w:val="24"/>
                <w:lang w:eastAsia="zh-CN"/>
              </w:rPr>
            </w:pPr>
            <w:r>
              <w:rPr>
                <w:rFonts w:hint="default" w:ascii="Times New Roman" w:hAnsi="Times New Roman" w:eastAsia="宋体" w:cs="Times New Roman"/>
                <w:color w:val="auto"/>
                <w:kern w:val="0"/>
                <w:sz w:val="24"/>
                <w:szCs w:val="24"/>
              </w:rPr>
              <w:t>根据《建设项目环境影响报告表编制技术指南</w:t>
            </w:r>
            <w:r>
              <w:rPr>
                <w:rFonts w:hint="eastAsia" w:ascii="Times New Roman" w:hAnsi="Times New Roman" w:eastAsia="宋体" w:cs="Times New Roman"/>
                <w:color w:val="auto"/>
                <w:kern w:val="0"/>
                <w:sz w:val="24"/>
                <w:szCs w:val="24"/>
                <w:lang w:val="en-US" w:eastAsia="zh-CN"/>
              </w:rPr>
              <w:t>(</w:t>
            </w:r>
            <w:r>
              <w:rPr>
                <w:rFonts w:hint="default" w:ascii="Times New Roman" w:hAnsi="Times New Roman" w:eastAsia="宋体" w:cs="Times New Roman"/>
                <w:color w:val="auto"/>
                <w:kern w:val="0"/>
                <w:sz w:val="24"/>
                <w:szCs w:val="24"/>
              </w:rPr>
              <w:t>污染影响类</w:t>
            </w:r>
            <w:r>
              <w:rPr>
                <w:rFonts w:hint="eastAsia" w:ascii="Times New Roman" w:hAnsi="Times New Roman" w:eastAsia="宋体" w:cs="Times New Roman"/>
                <w:color w:val="auto"/>
                <w:kern w:val="0"/>
                <w:sz w:val="24"/>
                <w:szCs w:val="24"/>
                <w:lang w:val="en-US" w:eastAsia="zh-CN"/>
              </w:rPr>
              <w:t>)（</w:t>
            </w:r>
            <w:r>
              <w:rPr>
                <w:rFonts w:hint="default" w:ascii="Times New Roman" w:hAnsi="Times New Roman" w:eastAsia="宋体" w:cs="Times New Roman"/>
                <w:color w:val="auto"/>
                <w:kern w:val="0"/>
                <w:sz w:val="24"/>
                <w:szCs w:val="24"/>
              </w:rPr>
              <w:t>试行</w:t>
            </w:r>
            <w:r>
              <w:rPr>
                <w:rFonts w:hint="eastAsia" w:ascii="Times New Roman" w:hAnsi="Times New Roman" w:eastAsia="宋体" w:cs="Times New Roman"/>
                <w:color w:val="auto"/>
                <w:kern w:val="0"/>
                <w:sz w:val="24"/>
                <w:szCs w:val="24"/>
                <w:lang w:val="en-US" w:eastAsia="zh-CN"/>
              </w:rPr>
              <w:t>)</w:t>
            </w:r>
            <w:r>
              <w:rPr>
                <w:rFonts w:hint="default" w:ascii="Times New Roman" w:hAnsi="Times New Roman" w:eastAsia="宋体" w:cs="Times New Roman"/>
                <w:color w:val="auto"/>
                <w:kern w:val="0"/>
                <w:sz w:val="24"/>
                <w:szCs w:val="24"/>
              </w:rPr>
              <w:t>》</w:t>
            </w:r>
            <w:r>
              <w:rPr>
                <w:rFonts w:hint="eastAsia" w:ascii="Times New Roman" w:hAnsi="Times New Roman" w:eastAsia="宋体" w:cs="Times New Roman"/>
                <w:color w:val="auto"/>
                <w:kern w:val="0"/>
                <w:sz w:val="24"/>
                <w:szCs w:val="24"/>
                <w:lang w:val="en-US" w:eastAsia="zh-CN"/>
              </w:rPr>
              <w:t>(</w:t>
            </w:r>
            <w:r>
              <w:rPr>
                <w:rFonts w:hint="default" w:ascii="Times New Roman" w:hAnsi="Times New Roman" w:eastAsia="宋体" w:cs="Times New Roman"/>
                <w:color w:val="auto"/>
                <w:kern w:val="0"/>
                <w:sz w:val="24"/>
                <w:szCs w:val="24"/>
              </w:rPr>
              <w:t>环办环评〔2020〕33号</w:t>
            </w:r>
            <w:r>
              <w:rPr>
                <w:rFonts w:hint="eastAsia" w:ascii="Times New Roman" w:hAnsi="Times New Roman" w:eastAsia="宋体" w:cs="Times New Roman"/>
                <w:color w:val="auto"/>
                <w:kern w:val="0"/>
                <w:sz w:val="24"/>
                <w:szCs w:val="24"/>
                <w:lang w:val="en-US" w:eastAsia="zh-CN"/>
              </w:rPr>
              <w:t>)</w:t>
            </w:r>
            <w:r>
              <w:rPr>
                <w:rFonts w:hint="eastAsia" w:ascii="Times New Roman" w:hAnsi="Times New Roman" w:eastAsia="宋体" w:cs="Times New Roman"/>
                <w:color w:val="auto"/>
                <w:kern w:val="0"/>
                <w:sz w:val="24"/>
                <w:szCs w:val="24"/>
                <w:lang w:eastAsia="zh-CN"/>
              </w:rPr>
              <w:t>规定，“原则上不开展环境质量现状调查。建设项目存在土壤、地下水环境污染途径的，应结合污染源、保护目标分布情况开展现状调查以留作背景值”。</w:t>
            </w:r>
          </w:p>
          <w:p w14:paraId="1632D527">
            <w:pPr>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w:t>
            </w:r>
            <w:r>
              <w:rPr>
                <w:rFonts w:hint="eastAsia" w:ascii="Times New Roman" w:hAnsi="Times New Roman" w:eastAsia="宋体" w:cs="Times New Roman"/>
                <w:color w:val="auto"/>
                <w:sz w:val="24"/>
                <w:szCs w:val="24"/>
                <w:highlight w:val="none"/>
                <w:lang w:val="en-US" w:eastAsia="zh-CN"/>
              </w:rPr>
              <w:t>现场勘查</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项目周边以</w:t>
            </w:r>
            <w:r>
              <w:rPr>
                <w:rFonts w:hint="default" w:ascii="Times New Roman" w:hAnsi="Times New Roman" w:eastAsia="宋体" w:cs="Times New Roman"/>
                <w:color w:val="auto"/>
                <w:sz w:val="24"/>
                <w:szCs w:val="24"/>
                <w:highlight w:val="none"/>
                <w:lang w:val="zh-CN"/>
              </w:rPr>
              <w:t>城市道路、</w:t>
            </w:r>
            <w:r>
              <w:rPr>
                <w:rFonts w:hint="eastAsia" w:ascii="Times New Roman" w:hAnsi="Times New Roman" w:eastAsia="宋体" w:cs="Times New Roman"/>
                <w:color w:val="auto"/>
                <w:sz w:val="24"/>
                <w:szCs w:val="24"/>
                <w:highlight w:val="none"/>
                <w:lang w:val="zh-CN"/>
              </w:rPr>
              <w:t>工业</w:t>
            </w:r>
            <w:r>
              <w:rPr>
                <w:rFonts w:hint="default" w:ascii="Times New Roman" w:hAnsi="Times New Roman" w:eastAsia="宋体" w:cs="Times New Roman"/>
                <w:color w:val="auto"/>
                <w:sz w:val="24"/>
                <w:szCs w:val="24"/>
                <w:highlight w:val="none"/>
                <w:lang w:val="zh-CN"/>
              </w:rPr>
              <w:t>企业</w:t>
            </w:r>
            <w:r>
              <w:rPr>
                <w:rFonts w:hint="eastAsia" w:ascii="Times New Roman" w:hAnsi="Times New Roman" w:eastAsia="宋体" w:cs="Times New Roman"/>
                <w:color w:val="auto"/>
                <w:sz w:val="24"/>
                <w:szCs w:val="24"/>
                <w:highlight w:val="none"/>
                <w:lang w:val="zh-CN" w:eastAsia="zh-CN"/>
              </w:rPr>
              <w:t>为主</w:t>
            </w:r>
            <w:r>
              <w:rPr>
                <w:rFonts w:hint="eastAsia" w:ascii="Times New Roman" w:hAnsi="Times New Roman" w:eastAsia="宋体" w:cs="Times New Roman"/>
                <w:color w:val="auto"/>
                <w:sz w:val="24"/>
                <w:szCs w:val="24"/>
                <w:highlight w:val="none"/>
                <w:lang w:val="en-US" w:eastAsia="zh-CN"/>
              </w:rPr>
              <w:t>，项目周边地下水、土壤环境相对不敏感，采取有效的防渗措施后，项目对地下水、土壤环境影响很小，因此，本评价不对项目地下水、土壤环境质量进行补充监测。</w:t>
            </w:r>
          </w:p>
        </w:tc>
      </w:tr>
      <w:tr w14:paraId="60BA07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577" w:hRule="atLeast"/>
          <w:jc w:val="center"/>
        </w:trPr>
        <w:tc>
          <w:tcPr>
            <w:tcW w:w="680" w:type="dxa"/>
            <w:noWrap w:val="0"/>
            <w:vAlign w:val="center"/>
          </w:tcPr>
          <w:p w14:paraId="769074C1">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环境</w:t>
            </w:r>
          </w:p>
          <w:p w14:paraId="33A8C180">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保护</w:t>
            </w:r>
          </w:p>
          <w:p w14:paraId="0D78B8C0">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rPr>
              <w:t>目标</w:t>
            </w:r>
          </w:p>
        </w:tc>
        <w:tc>
          <w:tcPr>
            <w:tcW w:w="8310" w:type="dxa"/>
            <w:noWrap w:val="0"/>
            <w:vAlign w:val="center"/>
          </w:tcPr>
          <w:p w14:paraId="4250710C">
            <w:pPr>
              <w:pStyle w:val="3"/>
              <w:bidi w:val="0"/>
              <w:rPr>
                <w:rFonts w:hint="default"/>
                <w:color w:val="auto"/>
              </w:rPr>
            </w:pPr>
            <w:r>
              <w:rPr>
                <w:rFonts w:hint="default"/>
                <w:color w:val="auto"/>
                <w:lang w:val="en-US" w:eastAsia="zh-CN"/>
              </w:rPr>
              <w:t>3.</w:t>
            </w:r>
            <w:r>
              <w:rPr>
                <w:rFonts w:hint="eastAsia"/>
                <w:color w:val="auto"/>
                <w:lang w:val="en-US" w:eastAsia="zh-CN"/>
              </w:rPr>
              <w:t>6</w:t>
            </w:r>
            <w:r>
              <w:rPr>
                <w:rFonts w:hint="default"/>
                <w:color w:val="auto"/>
                <w:lang w:val="en-US" w:eastAsia="zh-CN"/>
              </w:rPr>
              <w:t xml:space="preserve"> </w:t>
            </w:r>
            <w:r>
              <w:rPr>
                <w:rFonts w:hint="default"/>
                <w:color w:val="auto"/>
              </w:rPr>
              <w:t>环境保护目标</w:t>
            </w:r>
          </w:p>
          <w:p w14:paraId="45518866">
            <w:pPr>
              <w:adjustRightInd w:val="0"/>
              <w:snapToGrid w:val="0"/>
              <w:spacing w:line="360" w:lineRule="auto"/>
              <w:ind w:firstLine="480" w:firstLineChars="200"/>
              <w:rPr>
                <w:rFonts w:hint="default" w:ascii="Times New Roman" w:hAnsi="Times New Roman" w:eastAsia="宋体" w:cs="Times New Roman"/>
                <w:color w:val="auto"/>
                <w:kern w:val="0"/>
                <w:sz w:val="24"/>
                <w:szCs w:val="24"/>
              </w:rPr>
            </w:pPr>
            <w:r>
              <w:rPr>
                <w:rFonts w:hint="default" w:ascii="Times New Roman" w:hAnsi="Times New Roman" w:eastAsia="宋体" w:cs="Times New Roman"/>
                <w:color w:val="auto"/>
                <w:kern w:val="0"/>
                <w:sz w:val="24"/>
                <w:szCs w:val="24"/>
              </w:rPr>
              <w:t>根据《建设项目环境影响报告表编制技术指南</w:t>
            </w:r>
            <w:r>
              <w:rPr>
                <w:rFonts w:hint="default" w:ascii="Times New Roman" w:hAnsi="Times New Roman" w:eastAsia="宋体" w:cs="Times New Roman"/>
                <w:color w:val="auto"/>
                <w:kern w:val="0"/>
                <w:sz w:val="24"/>
                <w:szCs w:val="24"/>
                <w:lang w:val="en-US" w:eastAsia="zh-CN"/>
              </w:rPr>
              <w:t>(</w:t>
            </w:r>
            <w:r>
              <w:rPr>
                <w:rFonts w:hint="default" w:ascii="Times New Roman" w:hAnsi="Times New Roman" w:eastAsia="宋体" w:cs="Times New Roman"/>
                <w:color w:val="auto"/>
                <w:kern w:val="0"/>
                <w:sz w:val="24"/>
                <w:szCs w:val="24"/>
              </w:rPr>
              <w:t>污染影响类</w:t>
            </w:r>
            <w:r>
              <w:rPr>
                <w:rFonts w:hint="default" w:ascii="Times New Roman" w:hAnsi="Times New Roman" w:eastAsia="宋体" w:cs="Times New Roman"/>
                <w:color w:val="auto"/>
                <w:kern w:val="0"/>
                <w:sz w:val="24"/>
                <w:szCs w:val="24"/>
                <w:lang w:val="en-US" w:eastAsia="zh-CN"/>
              </w:rPr>
              <w:t>)(</w:t>
            </w:r>
            <w:r>
              <w:rPr>
                <w:rFonts w:hint="default" w:ascii="Times New Roman" w:hAnsi="Times New Roman" w:eastAsia="宋体" w:cs="Times New Roman"/>
                <w:color w:val="auto"/>
                <w:kern w:val="0"/>
                <w:sz w:val="24"/>
                <w:szCs w:val="24"/>
              </w:rPr>
              <w:t>试行</w:t>
            </w:r>
            <w:r>
              <w:rPr>
                <w:rFonts w:hint="default" w:ascii="Times New Roman" w:hAnsi="Times New Roman" w:eastAsia="宋体" w:cs="Times New Roman"/>
                <w:color w:val="auto"/>
                <w:kern w:val="0"/>
                <w:sz w:val="24"/>
                <w:szCs w:val="24"/>
                <w:lang w:val="en-US" w:eastAsia="zh-CN"/>
              </w:rPr>
              <w:t>)</w:t>
            </w:r>
            <w:r>
              <w:rPr>
                <w:rFonts w:hint="default" w:ascii="Times New Roman" w:hAnsi="Times New Roman" w:eastAsia="宋体" w:cs="Times New Roman"/>
                <w:color w:val="auto"/>
                <w:kern w:val="0"/>
                <w:sz w:val="24"/>
                <w:szCs w:val="24"/>
              </w:rPr>
              <w:t>》</w:t>
            </w:r>
            <w:r>
              <w:rPr>
                <w:rFonts w:hint="default" w:ascii="Times New Roman" w:hAnsi="Times New Roman" w:eastAsia="宋体" w:cs="Times New Roman"/>
                <w:color w:val="auto"/>
                <w:kern w:val="0"/>
                <w:sz w:val="24"/>
                <w:szCs w:val="24"/>
                <w:lang w:val="en-US" w:eastAsia="zh-CN"/>
              </w:rPr>
              <w:t>(</w:t>
            </w:r>
            <w:r>
              <w:rPr>
                <w:rFonts w:hint="default" w:ascii="Times New Roman" w:hAnsi="Times New Roman" w:eastAsia="宋体" w:cs="Times New Roman"/>
                <w:color w:val="auto"/>
                <w:kern w:val="0"/>
                <w:sz w:val="24"/>
                <w:szCs w:val="24"/>
              </w:rPr>
              <w:t>环办环评〔2020〕33号</w:t>
            </w:r>
            <w:r>
              <w:rPr>
                <w:rFonts w:hint="default" w:ascii="Times New Roman" w:hAnsi="Times New Roman" w:eastAsia="宋体" w:cs="Times New Roman"/>
                <w:color w:val="auto"/>
                <w:kern w:val="0"/>
                <w:sz w:val="24"/>
                <w:szCs w:val="24"/>
                <w:lang w:val="en-US" w:eastAsia="zh-CN"/>
              </w:rPr>
              <w:t>)</w:t>
            </w:r>
            <w:r>
              <w:rPr>
                <w:rFonts w:hint="default" w:ascii="Times New Roman" w:hAnsi="Times New Roman" w:eastAsia="宋体" w:cs="Times New Roman"/>
                <w:color w:val="auto"/>
                <w:kern w:val="0"/>
                <w:sz w:val="24"/>
                <w:szCs w:val="24"/>
              </w:rPr>
              <w:t>要求以及对项目周边环境的调查，项目</w:t>
            </w:r>
            <w:r>
              <w:rPr>
                <w:rFonts w:hint="default" w:ascii="Times New Roman" w:hAnsi="Times New Roman" w:eastAsia="宋体" w:cs="Times New Roman"/>
                <w:color w:val="auto"/>
                <w:kern w:val="0"/>
                <w:sz w:val="24"/>
                <w:szCs w:val="24"/>
                <w:lang w:val="en-US" w:eastAsia="zh-CN"/>
              </w:rPr>
              <w:t>大气环境</w:t>
            </w:r>
            <w:r>
              <w:rPr>
                <w:rFonts w:hint="eastAsia" w:ascii="Times New Roman" w:hAnsi="Times New Roman" w:eastAsia="宋体" w:cs="Times New Roman"/>
                <w:color w:val="auto"/>
                <w:kern w:val="0"/>
                <w:sz w:val="24"/>
                <w:szCs w:val="24"/>
                <w:lang w:val="en-US" w:eastAsia="zh-CN"/>
              </w:rPr>
              <w:t>(厂界外500m)</w:t>
            </w:r>
            <w:r>
              <w:rPr>
                <w:rFonts w:hint="default" w:ascii="Times New Roman" w:hAnsi="Times New Roman" w:eastAsia="宋体" w:cs="Times New Roman"/>
                <w:color w:val="auto"/>
                <w:kern w:val="0"/>
                <w:sz w:val="24"/>
                <w:szCs w:val="24"/>
                <w:lang w:val="en-US" w:eastAsia="zh-CN"/>
              </w:rPr>
              <w:t>、地表水环境、声环境</w:t>
            </w:r>
            <w:r>
              <w:rPr>
                <w:rFonts w:hint="eastAsia" w:ascii="Times New Roman" w:hAnsi="Times New Roman" w:eastAsia="宋体" w:cs="Times New Roman"/>
                <w:color w:val="auto"/>
                <w:kern w:val="0"/>
                <w:sz w:val="24"/>
                <w:szCs w:val="24"/>
                <w:lang w:val="en-US" w:eastAsia="zh-CN"/>
              </w:rPr>
              <w:t>(厂界外50m)、地下水环境(厂界外500m)等环境保护目标</w:t>
            </w:r>
            <w:r>
              <w:rPr>
                <w:rFonts w:hint="default" w:ascii="Times New Roman" w:hAnsi="Times New Roman" w:eastAsia="宋体" w:cs="Times New Roman"/>
                <w:color w:val="auto"/>
                <w:kern w:val="0"/>
                <w:sz w:val="24"/>
                <w:szCs w:val="24"/>
              </w:rPr>
              <w:t>见表3.</w:t>
            </w:r>
            <w:r>
              <w:rPr>
                <w:rFonts w:hint="eastAsia" w:ascii="Times New Roman" w:hAnsi="Times New Roman" w:eastAsia="宋体" w:cs="Times New Roman"/>
                <w:color w:val="auto"/>
                <w:kern w:val="0"/>
                <w:sz w:val="24"/>
                <w:szCs w:val="24"/>
                <w:lang w:val="en-US" w:eastAsia="zh-CN"/>
              </w:rPr>
              <w:t>6-1</w:t>
            </w:r>
            <w:r>
              <w:rPr>
                <w:rFonts w:hint="default" w:ascii="Times New Roman" w:hAnsi="Times New Roman" w:eastAsia="宋体" w:cs="Times New Roman"/>
                <w:color w:val="auto"/>
                <w:kern w:val="0"/>
                <w:sz w:val="24"/>
                <w:szCs w:val="24"/>
              </w:rPr>
              <w:t>和附图</w:t>
            </w:r>
            <w:r>
              <w:rPr>
                <w:rFonts w:hint="eastAsia" w:cs="Times New Roman"/>
                <w:color w:val="auto"/>
                <w:kern w:val="0"/>
                <w:sz w:val="24"/>
                <w:szCs w:val="24"/>
                <w:lang w:val="en-US" w:eastAsia="zh-CN"/>
              </w:rPr>
              <w:t>二</w:t>
            </w:r>
            <w:r>
              <w:rPr>
                <w:rFonts w:hint="default" w:ascii="Times New Roman" w:hAnsi="Times New Roman" w:eastAsia="宋体" w:cs="Times New Roman"/>
                <w:color w:val="auto"/>
                <w:kern w:val="0"/>
                <w:sz w:val="24"/>
                <w:szCs w:val="24"/>
              </w:rPr>
              <w:t>。</w:t>
            </w:r>
          </w:p>
          <w:p w14:paraId="1F5BF23D">
            <w:pPr>
              <w:pStyle w:val="33"/>
              <w:bidi w:val="0"/>
              <w:rPr>
                <w:rFonts w:hint="default"/>
                <w:color w:val="auto"/>
                <w:sz w:val="24"/>
              </w:rPr>
            </w:pPr>
            <w:r>
              <w:rPr>
                <w:rFonts w:hint="default"/>
                <w:color w:val="auto"/>
                <w:sz w:val="24"/>
              </w:rPr>
              <w:t>表</w:t>
            </w:r>
            <w:r>
              <w:rPr>
                <w:rFonts w:hint="eastAsia"/>
                <w:color w:val="auto"/>
                <w:sz w:val="24"/>
                <w:lang w:val="en-US" w:eastAsia="zh-CN"/>
              </w:rPr>
              <w:t xml:space="preserve">3.6-1 </w:t>
            </w:r>
            <w:r>
              <w:rPr>
                <w:rFonts w:hint="default"/>
                <w:color w:val="auto"/>
                <w:sz w:val="24"/>
              </w:rPr>
              <w:t>环境保护目标一览表</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78"/>
              <w:gridCol w:w="1415"/>
              <w:gridCol w:w="1760"/>
              <w:gridCol w:w="1908"/>
              <w:gridCol w:w="2654"/>
            </w:tblGrid>
            <w:tr w14:paraId="0251A4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0" w:type="pct"/>
                  <w:noWrap w:val="0"/>
                  <w:vAlign w:val="center"/>
                </w:tcPr>
                <w:p w14:paraId="3625D5B0">
                  <w:pPr>
                    <w:pStyle w:val="28"/>
                    <w:bidi w:val="0"/>
                    <w:rPr>
                      <w:rFonts w:hint="default"/>
                      <w:b/>
                      <w:bCs/>
                      <w:color w:val="auto"/>
                    </w:rPr>
                  </w:pPr>
                  <w:r>
                    <w:rPr>
                      <w:rFonts w:hint="default"/>
                      <w:b/>
                      <w:bCs/>
                      <w:color w:val="auto"/>
                    </w:rPr>
                    <w:t>环境</w:t>
                  </w:r>
                </w:p>
                <w:p w14:paraId="2F5D652F">
                  <w:pPr>
                    <w:pStyle w:val="28"/>
                    <w:bidi w:val="0"/>
                    <w:rPr>
                      <w:rFonts w:hint="default"/>
                      <w:b/>
                      <w:bCs/>
                      <w:color w:val="auto"/>
                    </w:rPr>
                  </w:pPr>
                  <w:r>
                    <w:rPr>
                      <w:rFonts w:hint="default"/>
                      <w:b/>
                      <w:bCs/>
                      <w:color w:val="auto"/>
                    </w:rPr>
                    <w:t>要素</w:t>
                  </w:r>
                </w:p>
              </w:tc>
              <w:tc>
                <w:tcPr>
                  <w:tcW w:w="821" w:type="pct"/>
                  <w:noWrap w:val="0"/>
                  <w:vAlign w:val="center"/>
                </w:tcPr>
                <w:p w14:paraId="086D3FA7">
                  <w:pPr>
                    <w:pStyle w:val="28"/>
                    <w:bidi w:val="0"/>
                    <w:rPr>
                      <w:rFonts w:hint="default"/>
                      <w:b/>
                      <w:bCs/>
                      <w:color w:val="auto"/>
                    </w:rPr>
                  </w:pPr>
                  <w:r>
                    <w:rPr>
                      <w:rFonts w:hint="default"/>
                      <w:b/>
                      <w:bCs/>
                      <w:color w:val="auto"/>
                    </w:rPr>
                    <w:t>环境保护对象名称</w:t>
                  </w:r>
                </w:p>
              </w:tc>
              <w:tc>
                <w:tcPr>
                  <w:tcW w:w="1021" w:type="pct"/>
                  <w:noWrap w:val="0"/>
                  <w:vAlign w:val="center"/>
                </w:tcPr>
                <w:p w14:paraId="3C8F0EF2">
                  <w:pPr>
                    <w:pStyle w:val="28"/>
                    <w:bidi w:val="0"/>
                    <w:rPr>
                      <w:rFonts w:hint="default"/>
                      <w:b/>
                      <w:bCs/>
                      <w:color w:val="auto"/>
                    </w:rPr>
                  </w:pPr>
                  <w:r>
                    <w:rPr>
                      <w:rFonts w:hint="default"/>
                      <w:b/>
                      <w:bCs/>
                      <w:color w:val="auto"/>
                    </w:rPr>
                    <w:t>相对项目的方位和最近距离</w:t>
                  </w:r>
                </w:p>
              </w:tc>
              <w:tc>
                <w:tcPr>
                  <w:tcW w:w="1107" w:type="pct"/>
                  <w:noWrap w:val="0"/>
                  <w:vAlign w:val="center"/>
                </w:tcPr>
                <w:p w14:paraId="12988785">
                  <w:pPr>
                    <w:pStyle w:val="28"/>
                    <w:bidi w:val="0"/>
                    <w:rPr>
                      <w:rFonts w:hint="default"/>
                      <w:b/>
                      <w:bCs/>
                      <w:color w:val="auto"/>
                    </w:rPr>
                  </w:pPr>
                  <w:r>
                    <w:rPr>
                      <w:rFonts w:hint="default"/>
                      <w:b/>
                      <w:bCs/>
                      <w:color w:val="auto"/>
                    </w:rPr>
                    <w:t>目标规模</w:t>
                  </w:r>
                </w:p>
              </w:tc>
              <w:tc>
                <w:tcPr>
                  <w:tcW w:w="1539" w:type="pct"/>
                  <w:noWrap w:val="0"/>
                  <w:vAlign w:val="center"/>
                </w:tcPr>
                <w:p w14:paraId="4BAF8847">
                  <w:pPr>
                    <w:pStyle w:val="28"/>
                    <w:bidi w:val="0"/>
                    <w:rPr>
                      <w:rFonts w:hint="default"/>
                      <w:b/>
                      <w:bCs/>
                      <w:color w:val="auto"/>
                    </w:rPr>
                  </w:pPr>
                  <w:r>
                    <w:rPr>
                      <w:rFonts w:hint="default"/>
                      <w:b/>
                      <w:bCs/>
                      <w:color w:val="auto"/>
                    </w:rPr>
                    <w:t>环境功能</w:t>
                  </w:r>
                </w:p>
              </w:tc>
            </w:tr>
            <w:tr w14:paraId="32CB64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0" w:type="pct"/>
                  <w:noWrap w:val="0"/>
                  <w:vAlign w:val="center"/>
                </w:tcPr>
                <w:p w14:paraId="78A30497">
                  <w:pPr>
                    <w:pStyle w:val="28"/>
                    <w:bidi w:val="0"/>
                    <w:rPr>
                      <w:rFonts w:hint="default"/>
                      <w:color w:val="auto"/>
                    </w:rPr>
                  </w:pPr>
                  <w:r>
                    <w:rPr>
                      <w:rFonts w:hint="default"/>
                      <w:color w:val="auto"/>
                    </w:rPr>
                    <w:t>环境</w:t>
                  </w:r>
                </w:p>
                <w:p w14:paraId="1D5EC863">
                  <w:pPr>
                    <w:pStyle w:val="28"/>
                    <w:bidi w:val="0"/>
                    <w:rPr>
                      <w:rFonts w:hint="default"/>
                      <w:color w:val="auto"/>
                    </w:rPr>
                  </w:pPr>
                  <w:r>
                    <w:rPr>
                      <w:rFonts w:hint="default"/>
                      <w:color w:val="auto"/>
                    </w:rPr>
                    <w:t>空气</w:t>
                  </w:r>
                </w:p>
              </w:tc>
              <w:tc>
                <w:tcPr>
                  <w:tcW w:w="821" w:type="pct"/>
                  <w:noWrap w:val="0"/>
                  <w:vAlign w:val="center"/>
                </w:tcPr>
                <w:p w14:paraId="58B4044E">
                  <w:pPr>
                    <w:pStyle w:val="28"/>
                    <w:bidi w:val="0"/>
                    <w:rPr>
                      <w:rFonts w:hint="default"/>
                      <w:color w:val="auto"/>
                      <w:lang w:val="en-US" w:eastAsia="zh-CN"/>
                    </w:rPr>
                  </w:pPr>
                  <w:r>
                    <w:rPr>
                      <w:rFonts w:hint="eastAsia"/>
                      <w:color w:val="auto"/>
                      <w:lang w:val="en-US" w:eastAsia="zh-CN"/>
                    </w:rPr>
                    <w:t>石溪村</w:t>
                  </w:r>
                </w:p>
              </w:tc>
              <w:tc>
                <w:tcPr>
                  <w:tcW w:w="1021" w:type="pct"/>
                  <w:noWrap w:val="0"/>
                  <w:vAlign w:val="center"/>
                </w:tcPr>
                <w:p w14:paraId="64300599">
                  <w:pPr>
                    <w:pStyle w:val="28"/>
                    <w:bidi w:val="0"/>
                    <w:rPr>
                      <w:rFonts w:hint="default"/>
                      <w:color w:val="auto"/>
                    </w:rPr>
                  </w:pPr>
                  <w:r>
                    <w:rPr>
                      <w:rFonts w:hint="eastAsia"/>
                      <w:color w:val="auto"/>
                      <w:lang w:val="en-US" w:eastAsia="zh-CN"/>
                    </w:rPr>
                    <w:t>西</w:t>
                  </w:r>
                  <w:r>
                    <w:rPr>
                      <w:rFonts w:hint="default"/>
                      <w:color w:val="auto"/>
                      <w:lang w:val="en-US" w:eastAsia="zh-CN"/>
                    </w:rPr>
                    <w:t>侧</w:t>
                  </w:r>
                  <w:r>
                    <w:rPr>
                      <w:rFonts w:hint="eastAsia"/>
                      <w:color w:val="auto"/>
                      <w:highlight w:val="none"/>
                      <w:lang w:val="en-US" w:eastAsia="zh-CN"/>
                    </w:rPr>
                    <w:t>260</w:t>
                  </w:r>
                  <w:r>
                    <w:rPr>
                      <w:rFonts w:hint="default"/>
                      <w:color w:val="auto"/>
                      <w:highlight w:val="none"/>
                      <w:lang w:val="en-US" w:eastAsia="zh-CN"/>
                    </w:rPr>
                    <w:t>m</w:t>
                  </w:r>
                </w:p>
              </w:tc>
              <w:tc>
                <w:tcPr>
                  <w:tcW w:w="1107" w:type="pct"/>
                  <w:noWrap w:val="0"/>
                  <w:vAlign w:val="center"/>
                </w:tcPr>
                <w:p w14:paraId="13156735">
                  <w:pPr>
                    <w:pStyle w:val="28"/>
                    <w:bidi w:val="0"/>
                    <w:rPr>
                      <w:rFonts w:hint="default"/>
                      <w:color w:val="auto"/>
                      <w:lang w:val="en-US" w:eastAsia="zh-CN"/>
                    </w:rPr>
                  </w:pPr>
                  <w:r>
                    <w:rPr>
                      <w:rFonts w:hint="eastAsia"/>
                      <w:color w:val="auto"/>
                      <w:lang w:val="en-US" w:eastAsia="zh-CN"/>
                    </w:rPr>
                    <w:t>约35户/125人（500m范围内）</w:t>
                  </w:r>
                </w:p>
              </w:tc>
              <w:tc>
                <w:tcPr>
                  <w:tcW w:w="1539" w:type="pct"/>
                  <w:noWrap w:val="0"/>
                  <w:vAlign w:val="center"/>
                </w:tcPr>
                <w:p w14:paraId="35380C71">
                  <w:pPr>
                    <w:pStyle w:val="28"/>
                    <w:bidi w:val="0"/>
                    <w:rPr>
                      <w:rFonts w:hint="default"/>
                      <w:color w:val="auto"/>
                    </w:rPr>
                  </w:pPr>
                  <w:r>
                    <w:rPr>
                      <w:rFonts w:hint="default"/>
                      <w:color w:val="auto"/>
                    </w:rPr>
                    <w:t>《环境空气质量标准》(GB3095</w:t>
                  </w:r>
                  <w:r>
                    <w:rPr>
                      <w:rFonts w:hint="eastAsia"/>
                      <w:color w:val="auto"/>
                      <w:lang w:val="en-US" w:eastAsia="zh-CN"/>
                    </w:rPr>
                    <w:t xml:space="preserve"> </w:t>
                  </w:r>
                  <w:r>
                    <w:rPr>
                      <w:rFonts w:hint="default"/>
                      <w:color w:val="auto"/>
                    </w:rPr>
                    <w:t>-2012)及其修改单二级标准</w:t>
                  </w:r>
                </w:p>
              </w:tc>
            </w:tr>
            <w:tr w14:paraId="3258F0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0" w:type="pct"/>
                  <w:noWrap w:val="0"/>
                  <w:vAlign w:val="center"/>
                </w:tcPr>
                <w:p w14:paraId="6727AA7E">
                  <w:pPr>
                    <w:pStyle w:val="28"/>
                    <w:bidi w:val="0"/>
                    <w:rPr>
                      <w:rFonts w:hint="default"/>
                      <w:color w:val="auto"/>
                    </w:rPr>
                  </w:pPr>
                  <w:r>
                    <w:rPr>
                      <w:rFonts w:hint="default"/>
                      <w:color w:val="auto"/>
                    </w:rPr>
                    <w:t>地表水</w:t>
                  </w:r>
                </w:p>
              </w:tc>
              <w:tc>
                <w:tcPr>
                  <w:tcW w:w="821" w:type="pct"/>
                  <w:noWrap w:val="0"/>
                  <w:vAlign w:val="center"/>
                </w:tcPr>
                <w:p w14:paraId="5BB85694">
                  <w:pPr>
                    <w:pStyle w:val="28"/>
                    <w:bidi w:val="0"/>
                    <w:rPr>
                      <w:rFonts w:hint="default"/>
                      <w:color w:val="auto"/>
                      <w:lang w:val="en-US" w:eastAsia="zh-CN"/>
                    </w:rPr>
                  </w:pPr>
                  <w:r>
                    <w:rPr>
                      <w:rFonts w:hint="default"/>
                      <w:color w:val="auto"/>
                      <w:lang w:eastAsia="zh-CN"/>
                    </w:rPr>
                    <w:t>南厝河</w:t>
                  </w:r>
                </w:p>
              </w:tc>
              <w:tc>
                <w:tcPr>
                  <w:tcW w:w="1021" w:type="pct"/>
                  <w:noWrap w:val="0"/>
                  <w:vAlign w:val="center"/>
                </w:tcPr>
                <w:p w14:paraId="35AB500C">
                  <w:pPr>
                    <w:pStyle w:val="28"/>
                    <w:bidi w:val="0"/>
                    <w:rPr>
                      <w:rFonts w:hint="eastAsia"/>
                      <w:color w:val="auto"/>
                      <w:lang w:val="en-US" w:eastAsia="zh-CN"/>
                    </w:rPr>
                  </w:pPr>
                  <w:r>
                    <w:rPr>
                      <w:rFonts w:hint="eastAsia"/>
                      <w:color w:val="auto"/>
                      <w:lang w:val="en-US" w:eastAsia="zh-CN"/>
                    </w:rPr>
                    <w:t>南侧5m</w:t>
                  </w:r>
                </w:p>
              </w:tc>
              <w:tc>
                <w:tcPr>
                  <w:tcW w:w="1107" w:type="pct"/>
                  <w:noWrap w:val="0"/>
                  <w:vAlign w:val="center"/>
                </w:tcPr>
                <w:p w14:paraId="1D0D0792">
                  <w:pPr>
                    <w:pStyle w:val="28"/>
                    <w:bidi w:val="0"/>
                    <w:rPr>
                      <w:rFonts w:hint="default"/>
                      <w:color w:val="auto"/>
                      <w:lang w:val="en-US" w:eastAsia="zh-CN"/>
                    </w:rPr>
                  </w:pPr>
                  <w:r>
                    <w:rPr>
                      <w:rFonts w:hint="eastAsia"/>
                      <w:color w:val="auto"/>
                      <w:lang w:val="en-US" w:eastAsia="zh-CN"/>
                    </w:rPr>
                    <w:t>小型河流，河宽5-20m之间</w:t>
                  </w:r>
                </w:p>
              </w:tc>
              <w:tc>
                <w:tcPr>
                  <w:tcW w:w="1539" w:type="pct"/>
                  <w:noWrap w:val="0"/>
                  <w:vAlign w:val="center"/>
                </w:tcPr>
                <w:p w14:paraId="5E7E9DFF">
                  <w:pPr>
                    <w:pStyle w:val="28"/>
                    <w:bidi w:val="0"/>
                    <w:rPr>
                      <w:rFonts w:hint="eastAsia"/>
                      <w:color w:val="auto"/>
                      <w:lang w:val="en-US" w:eastAsia="zh-CN"/>
                    </w:rPr>
                  </w:pPr>
                  <w:r>
                    <w:rPr>
                      <w:rFonts w:hint="eastAsia"/>
                      <w:color w:val="auto"/>
                      <w:lang w:val="en-US" w:eastAsia="zh-CN"/>
                    </w:rPr>
                    <w:t>《地表水环境质量标准》（GB3838-2002）中Ⅲ类标准</w:t>
                  </w:r>
                </w:p>
              </w:tc>
            </w:tr>
            <w:tr w14:paraId="2299F8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0" w:type="pct"/>
                  <w:noWrap w:val="0"/>
                  <w:vAlign w:val="center"/>
                </w:tcPr>
                <w:p w14:paraId="25F28F5B">
                  <w:pPr>
                    <w:pStyle w:val="28"/>
                    <w:bidi w:val="0"/>
                    <w:rPr>
                      <w:rFonts w:hint="default"/>
                      <w:color w:val="auto"/>
                    </w:rPr>
                  </w:pPr>
                  <w:r>
                    <w:rPr>
                      <w:rFonts w:hint="default"/>
                      <w:color w:val="auto"/>
                    </w:rPr>
                    <w:t>声环境</w:t>
                  </w:r>
                </w:p>
              </w:tc>
              <w:tc>
                <w:tcPr>
                  <w:tcW w:w="4489" w:type="pct"/>
                  <w:gridSpan w:val="4"/>
                  <w:noWrap w:val="0"/>
                  <w:vAlign w:val="center"/>
                </w:tcPr>
                <w:p w14:paraId="5A29961B">
                  <w:pPr>
                    <w:pStyle w:val="28"/>
                    <w:bidi w:val="0"/>
                    <w:rPr>
                      <w:rFonts w:hint="default"/>
                      <w:color w:val="auto"/>
                    </w:rPr>
                  </w:pPr>
                  <w:r>
                    <w:rPr>
                      <w:rFonts w:hint="default"/>
                      <w:color w:val="auto"/>
                      <w:lang w:val="en-US" w:eastAsia="zh-CN"/>
                    </w:rPr>
                    <w:t>项目厂界外50m范围内无声环境保护目标</w:t>
                  </w:r>
                </w:p>
              </w:tc>
            </w:tr>
            <w:tr w14:paraId="51F700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10" w:type="pct"/>
                  <w:noWrap w:val="0"/>
                  <w:vAlign w:val="center"/>
                </w:tcPr>
                <w:p w14:paraId="1062B77D">
                  <w:pPr>
                    <w:pStyle w:val="28"/>
                    <w:bidi w:val="0"/>
                    <w:rPr>
                      <w:rFonts w:hint="default"/>
                      <w:color w:val="auto"/>
                    </w:rPr>
                  </w:pPr>
                  <w:r>
                    <w:rPr>
                      <w:rFonts w:hint="default"/>
                      <w:color w:val="auto"/>
                    </w:rPr>
                    <w:t>地下水</w:t>
                  </w:r>
                </w:p>
              </w:tc>
              <w:tc>
                <w:tcPr>
                  <w:tcW w:w="4489" w:type="pct"/>
                  <w:gridSpan w:val="4"/>
                  <w:noWrap w:val="0"/>
                  <w:vAlign w:val="center"/>
                </w:tcPr>
                <w:p w14:paraId="12C62B85">
                  <w:pPr>
                    <w:pStyle w:val="28"/>
                    <w:bidi w:val="0"/>
                    <w:rPr>
                      <w:rFonts w:hint="default"/>
                      <w:color w:val="auto"/>
                    </w:rPr>
                  </w:pPr>
                  <w:r>
                    <w:rPr>
                      <w:rFonts w:hint="default"/>
                      <w:color w:val="auto"/>
                    </w:rPr>
                    <w:t>项目厂界外500</w:t>
                  </w:r>
                  <w:r>
                    <w:rPr>
                      <w:rFonts w:hint="default"/>
                      <w:color w:val="auto"/>
                      <w:lang w:val="en-US" w:eastAsia="zh-CN"/>
                    </w:rPr>
                    <w:t>m</w:t>
                  </w:r>
                  <w:r>
                    <w:rPr>
                      <w:rFonts w:hint="default"/>
                      <w:color w:val="auto"/>
                    </w:rPr>
                    <w:t>范围内无地下水集中式饮用水水源和热水、矿泉水、温泉等特殊地下水资源</w:t>
                  </w:r>
                </w:p>
              </w:tc>
            </w:tr>
          </w:tbl>
          <w:p w14:paraId="1A275CA9">
            <w:pPr>
              <w:adjustRightInd w:val="0"/>
              <w:snapToGrid w:val="0"/>
              <w:spacing w:line="360" w:lineRule="auto"/>
              <w:ind w:firstLine="480" w:firstLineChars="200"/>
              <w:rPr>
                <w:rFonts w:hint="default" w:ascii="Times New Roman" w:hAnsi="Times New Roman" w:eastAsia="宋体"/>
                <w:color w:val="auto"/>
              </w:rPr>
            </w:pPr>
          </w:p>
        </w:tc>
      </w:tr>
      <w:tr w14:paraId="30728F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0" w:type="dxa"/>
            <w:noWrap w:val="0"/>
            <w:tcMar>
              <w:left w:w="28" w:type="dxa"/>
              <w:right w:w="28" w:type="dxa"/>
            </w:tcMar>
            <w:vAlign w:val="center"/>
          </w:tcPr>
          <w:p w14:paraId="5E2B52A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rPr>
            </w:pPr>
            <w:r>
              <w:rPr>
                <w:rFonts w:hint="default"/>
                <w:color w:val="auto"/>
              </w:rPr>
              <w:t>污染</w:t>
            </w:r>
          </w:p>
          <w:p w14:paraId="53EF498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rPr>
            </w:pPr>
            <w:r>
              <w:rPr>
                <w:rFonts w:hint="default"/>
                <w:color w:val="auto"/>
              </w:rPr>
              <w:t>物排</w:t>
            </w:r>
          </w:p>
          <w:p w14:paraId="29C5A4B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rPr>
            </w:pPr>
            <w:r>
              <w:rPr>
                <w:rFonts w:hint="default"/>
                <w:color w:val="auto"/>
              </w:rPr>
              <w:t>放控</w:t>
            </w:r>
          </w:p>
          <w:p w14:paraId="3A6DF66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color w:val="auto"/>
              </w:rPr>
            </w:pPr>
            <w:r>
              <w:rPr>
                <w:rFonts w:hint="default"/>
                <w:color w:val="auto"/>
              </w:rPr>
              <w:t>制标</w:t>
            </w:r>
          </w:p>
          <w:p w14:paraId="38FF4CB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Cs w:val="21"/>
              </w:rPr>
            </w:pPr>
            <w:r>
              <w:rPr>
                <w:rFonts w:hint="default"/>
                <w:color w:val="auto"/>
              </w:rPr>
              <w:t>准</w:t>
            </w:r>
          </w:p>
        </w:tc>
        <w:tc>
          <w:tcPr>
            <w:tcW w:w="8310" w:type="dxa"/>
            <w:noWrap w:val="0"/>
            <w:vAlign w:val="center"/>
          </w:tcPr>
          <w:p w14:paraId="6D8D23E8">
            <w:pPr>
              <w:pStyle w:val="3"/>
              <w:bidi w:val="0"/>
              <w:rPr>
                <w:rFonts w:hint="default"/>
                <w:color w:val="auto"/>
                <w:lang w:val="en-US" w:eastAsia="zh-CN"/>
              </w:rPr>
            </w:pPr>
            <w:r>
              <w:rPr>
                <w:rFonts w:hint="default"/>
                <w:color w:val="auto"/>
                <w:lang w:val="en-US" w:eastAsia="zh-CN"/>
              </w:rPr>
              <w:t>3.</w:t>
            </w:r>
            <w:r>
              <w:rPr>
                <w:rFonts w:hint="eastAsia"/>
                <w:color w:val="auto"/>
                <w:lang w:val="en-US" w:eastAsia="zh-CN"/>
              </w:rPr>
              <w:t>7</w:t>
            </w:r>
            <w:r>
              <w:rPr>
                <w:rFonts w:hint="default"/>
                <w:color w:val="auto"/>
                <w:lang w:val="en-US" w:eastAsia="zh-CN"/>
              </w:rPr>
              <w:t xml:space="preserve"> 污染物排放标准</w:t>
            </w:r>
          </w:p>
          <w:p w14:paraId="6452469B">
            <w:pPr>
              <w:pStyle w:val="4"/>
              <w:bidi w:val="0"/>
              <w:rPr>
                <w:rFonts w:hint="default"/>
                <w:color w:val="auto"/>
              </w:rPr>
            </w:pPr>
            <w:r>
              <w:rPr>
                <w:rFonts w:hint="default"/>
                <w:color w:val="auto"/>
              </w:rPr>
              <w:t>3.</w:t>
            </w:r>
            <w:r>
              <w:rPr>
                <w:rFonts w:hint="eastAsia"/>
                <w:color w:val="auto"/>
                <w:lang w:val="en-US" w:eastAsia="zh-CN"/>
              </w:rPr>
              <w:t>7</w:t>
            </w:r>
            <w:r>
              <w:rPr>
                <w:rFonts w:hint="default"/>
                <w:color w:val="auto"/>
                <w:lang w:val="en-US" w:eastAsia="zh-CN"/>
              </w:rPr>
              <w:t xml:space="preserve">.1 </w:t>
            </w:r>
            <w:r>
              <w:rPr>
                <w:rFonts w:hint="default"/>
                <w:color w:val="auto"/>
              </w:rPr>
              <w:t>水污染物</w:t>
            </w:r>
            <w:r>
              <w:rPr>
                <w:rFonts w:hint="default"/>
                <w:color w:val="auto"/>
                <w:lang w:val="en-US" w:eastAsia="zh-CN"/>
              </w:rPr>
              <w:t>排放标准</w:t>
            </w:r>
          </w:p>
          <w:p w14:paraId="6AA9F19A">
            <w:pPr>
              <w:bidi w:val="0"/>
              <w:rPr>
                <w:rFonts w:hint="default"/>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rFonts w:hint="default"/>
                <w:color w:val="auto"/>
              </w:rPr>
              <w:t>项目</w:t>
            </w:r>
            <w:r>
              <w:rPr>
                <w:rFonts w:hint="default"/>
                <w:color w:val="auto"/>
                <w:lang w:eastAsia="zh-CN"/>
              </w:rPr>
              <w:t>水污染物</w:t>
            </w:r>
            <w:r>
              <w:rPr>
                <w:rFonts w:hint="default"/>
                <w:color w:val="auto"/>
              </w:rPr>
              <w:t>排放标准</w:t>
            </w:r>
          </w:p>
          <w:p w14:paraId="47B6D306">
            <w:pPr>
              <w:bidi w:val="0"/>
              <w:rPr>
                <w:rFonts w:hint="default"/>
                <w:color w:val="auto"/>
                <w:lang w:val="en-US" w:eastAsia="zh-CN"/>
              </w:rPr>
            </w:pPr>
            <w:r>
              <w:rPr>
                <w:rFonts w:hint="default"/>
                <w:color w:val="auto"/>
                <w:lang w:val="en-US" w:eastAsia="zh-CN"/>
              </w:rPr>
              <w:t>①</w:t>
            </w:r>
            <w:r>
              <w:rPr>
                <w:rFonts w:hint="eastAsia"/>
                <w:color w:val="auto"/>
                <w:lang w:val="en-US" w:eastAsia="zh-CN"/>
              </w:rPr>
              <w:t>施工期</w:t>
            </w:r>
          </w:p>
          <w:p w14:paraId="117A0A93">
            <w:pPr>
              <w:bidi w:val="0"/>
              <w:rPr>
                <w:rFonts w:hint="eastAsia"/>
                <w:color w:val="auto"/>
                <w:lang w:eastAsia="zh-CN"/>
              </w:rPr>
            </w:pPr>
            <w:r>
              <w:rPr>
                <w:color w:val="auto"/>
              </w:rPr>
              <w:t>施工期设临时隔油沉淀池，</w:t>
            </w:r>
            <w:r>
              <w:rPr>
                <w:rFonts w:hint="eastAsia"/>
                <w:color w:val="auto"/>
                <w:lang w:eastAsia="zh-CN"/>
              </w:rPr>
              <w:t>施工废水</w:t>
            </w:r>
            <w:r>
              <w:rPr>
                <w:color w:val="auto"/>
              </w:rPr>
              <w:t>经隔油沉淀处理后全部回用场地洒水抑尘和</w:t>
            </w:r>
            <w:r>
              <w:rPr>
                <w:rFonts w:hint="eastAsia"/>
                <w:color w:val="auto"/>
                <w:lang w:eastAsia="zh-CN"/>
              </w:rPr>
              <w:t>施工</w:t>
            </w:r>
            <w:r>
              <w:rPr>
                <w:color w:val="auto"/>
              </w:rPr>
              <w:t>，不外排。本项目</w:t>
            </w:r>
            <w:r>
              <w:rPr>
                <w:rFonts w:hint="eastAsia"/>
                <w:color w:val="auto"/>
                <w:lang w:eastAsia="zh-CN"/>
              </w:rPr>
              <w:t>施工人员租用周边民房，依托区域现有污水处理系统和排水系统，因此不另行设置排放标准。</w:t>
            </w:r>
          </w:p>
          <w:p w14:paraId="5ACE9DFD">
            <w:pPr>
              <w:bidi w:val="0"/>
              <w:rPr>
                <w:rFonts w:hint="default"/>
                <w:color w:val="auto"/>
                <w:lang w:val="en-US" w:eastAsia="zh-CN"/>
              </w:rPr>
            </w:pPr>
            <w:r>
              <w:rPr>
                <w:rFonts w:hint="default"/>
                <w:color w:val="auto"/>
                <w:lang w:val="en-US" w:eastAsia="zh-CN"/>
              </w:rPr>
              <w:t>②</w:t>
            </w:r>
            <w:r>
              <w:rPr>
                <w:rFonts w:hint="eastAsia"/>
                <w:color w:val="auto"/>
                <w:lang w:val="en-US" w:eastAsia="zh-CN"/>
              </w:rPr>
              <w:t>运营期</w:t>
            </w:r>
          </w:p>
          <w:p w14:paraId="1B5E6D6D">
            <w:pPr>
              <w:bidi w:val="0"/>
              <w:rPr>
                <w:rFonts w:hint="eastAsia"/>
                <w:color w:val="auto"/>
                <w:lang w:val="en-US" w:eastAsia="zh-CN"/>
              </w:rPr>
            </w:pPr>
            <w:r>
              <w:rPr>
                <w:rFonts w:hint="default"/>
                <w:color w:val="auto"/>
                <w:lang w:val="en-US" w:eastAsia="zh-CN"/>
              </w:rPr>
              <w:t>本项目设备清洗废水、</w:t>
            </w:r>
            <w:r>
              <w:rPr>
                <w:rFonts w:hint="eastAsia"/>
                <w:color w:val="auto"/>
                <w:lang w:val="en-US" w:eastAsia="zh-CN"/>
              </w:rPr>
              <w:t>生产区</w:t>
            </w:r>
            <w:r>
              <w:rPr>
                <w:rFonts w:hint="default"/>
                <w:color w:val="auto"/>
                <w:lang w:val="en-US" w:eastAsia="zh-CN"/>
              </w:rPr>
              <w:t>地面冲洗废水、</w:t>
            </w:r>
            <w:r>
              <w:rPr>
                <w:rFonts w:hint="eastAsia"/>
                <w:color w:val="auto"/>
                <w:lang w:val="en-US" w:eastAsia="zh-CN"/>
              </w:rPr>
              <w:t>试验清洗废水、洗砂用水等</w:t>
            </w:r>
            <w:r>
              <w:rPr>
                <w:rFonts w:hint="default"/>
                <w:color w:val="auto"/>
                <w:lang w:val="en-US" w:eastAsia="zh-CN"/>
              </w:rPr>
              <w:t>经生产废水处理系统处理后全部回用，不外排；</w:t>
            </w:r>
            <w:r>
              <w:rPr>
                <w:rFonts w:hint="eastAsia"/>
                <w:color w:val="auto"/>
                <w:lang w:val="en-US" w:eastAsia="zh-CN"/>
              </w:rPr>
              <w:t>厂区职工的</w:t>
            </w:r>
            <w:r>
              <w:rPr>
                <w:rFonts w:hint="default"/>
                <w:color w:val="auto"/>
                <w:lang w:val="en-US" w:eastAsia="zh-CN"/>
              </w:rPr>
              <w:t>生活污水</w:t>
            </w:r>
            <w:r>
              <w:rPr>
                <w:rFonts w:hint="eastAsia"/>
                <w:color w:val="auto"/>
                <w:highlight w:val="none"/>
                <w:lang w:val="en-US" w:eastAsia="zh-CN"/>
              </w:rPr>
              <w:t>经</w:t>
            </w:r>
            <w:r>
              <w:rPr>
                <w:rFonts w:hint="default"/>
                <w:color w:val="auto"/>
                <w:highlight w:val="none"/>
                <w:lang w:val="en-US" w:eastAsia="zh-CN"/>
              </w:rPr>
              <w:t>厂区</w:t>
            </w:r>
            <w:r>
              <w:rPr>
                <w:rFonts w:hint="eastAsia"/>
                <w:color w:val="auto"/>
                <w:highlight w:val="none"/>
                <w:lang w:val="en-US" w:eastAsia="zh-CN"/>
              </w:rPr>
              <w:t>1#宿舍楼南侧的</w:t>
            </w:r>
            <w:r>
              <w:rPr>
                <w:rFonts w:hint="default"/>
                <w:color w:val="auto"/>
                <w:highlight w:val="none"/>
                <w:lang w:val="en-US" w:eastAsia="zh-CN"/>
              </w:rPr>
              <w:t>化粪池</w:t>
            </w:r>
            <w:r>
              <w:rPr>
                <w:rFonts w:hint="eastAsia"/>
                <w:color w:val="auto"/>
                <w:highlight w:val="none"/>
                <w:lang w:val="en-US" w:eastAsia="zh-CN"/>
              </w:rPr>
              <w:t>+一体化污水处理设施</w:t>
            </w:r>
            <w:r>
              <w:rPr>
                <w:rFonts w:hint="default"/>
                <w:color w:val="auto"/>
                <w:highlight w:val="none"/>
                <w:lang w:val="en-US" w:eastAsia="zh-CN"/>
              </w:rPr>
              <w:t>处理</w:t>
            </w:r>
            <w:r>
              <w:rPr>
                <w:rFonts w:hint="eastAsia"/>
                <w:color w:val="auto"/>
                <w:highlight w:val="none"/>
                <w:lang w:val="en-US" w:eastAsia="zh-CN"/>
              </w:rPr>
              <w:t>后</w:t>
            </w:r>
            <w:r>
              <w:rPr>
                <w:rFonts w:hint="default"/>
                <w:color w:val="auto"/>
                <w:highlight w:val="none"/>
                <w:lang w:val="en-US" w:eastAsia="zh-CN"/>
              </w:rPr>
              <w:t>，</w:t>
            </w:r>
            <w:r>
              <w:rPr>
                <w:rFonts w:hint="eastAsia"/>
                <w:color w:val="auto"/>
                <w:highlight w:val="none"/>
                <w:lang w:val="en-US" w:eastAsia="zh-CN"/>
              </w:rPr>
              <w:t>尾水近期用于厂区内部的绿化灌溉</w:t>
            </w:r>
            <w:r>
              <w:rPr>
                <w:rFonts w:hint="default"/>
                <w:color w:val="auto"/>
                <w:lang w:val="en-US" w:eastAsia="zh-CN"/>
              </w:rPr>
              <w:t>，远期待项目周边市政污水管网及相关配套设施建成后，</w:t>
            </w:r>
            <w:r>
              <w:rPr>
                <w:rFonts w:hint="eastAsia"/>
                <w:color w:val="auto"/>
                <w:lang w:val="en-US" w:eastAsia="zh-CN"/>
              </w:rPr>
              <w:t>再</w:t>
            </w:r>
            <w:r>
              <w:rPr>
                <w:rFonts w:hint="default"/>
                <w:color w:val="auto"/>
                <w:lang w:val="en-US" w:eastAsia="zh-CN"/>
              </w:rPr>
              <w:t>统一接入当地市政污水处理系统处理。</w:t>
            </w:r>
            <w:r>
              <w:rPr>
                <w:rFonts w:hint="eastAsia"/>
                <w:color w:val="auto"/>
                <w:lang w:val="en-US" w:eastAsia="zh-CN"/>
              </w:rPr>
              <w:t>项目周期内，处理后的生活污水尾水均不外排。</w:t>
            </w:r>
            <w:bookmarkStart w:id="19" w:name="_Toc490031198"/>
            <w:bookmarkStart w:id="20" w:name="_Toc7698"/>
            <w:bookmarkStart w:id="21" w:name="_Toc492278611"/>
            <w:bookmarkStart w:id="22" w:name="_Toc461002554"/>
            <w:r>
              <w:rPr>
                <w:rFonts w:hint="eastAsia"/>
                <w:color w:val="auto"/>
                <w:lang w:val="en-US" w:eastAsia="zh-CN"/>
              </w:rPr>
              <w:t>生活污水尾水近期满足</w:t>
            </w:r>
            <w:r>
              <w:rPr>
                <w:rFonts w:hint="eastAsia"/>
                <w:color w:val="auto"/>
                <w:lang w:val="en-GB" w:eastAsia="zh-CN"/>
              </w:rPr>
              <w:t>《城市污水再生利用 绿地灌溉水质》（GB/T25499-2010）</w:t>
            </w:r>
            <w:r>
              <w:rPr>
                <w:rFonts w:hint="eastAsia"/>
                <w:color w:val="auto"/>
                <w:lang w:val="en-US" w:eastAsia="zh-CN"/>
              </w:rPr>
              <w:t>相关水质要求，可用于绿化浇灌的使用场景，远期生活污水尾水满足《污水综合排放标准》（GB8978-1996）表4的相关指标三级标准要求。</w:t>
            </w:r>
          </w:p>
          <w:p w14:paraId="106B4A2A">
            <w:pPr>
              <w:pStyle w:val="33"/>
              <w:bidi w:val="0"/>
              <w:rPr>
                <w:rFonts w:hint="eastAsia" w:ascii="Times New Roman" w:hAnsi="Times New Roman" w:eastAsia="宋体" w:cs="Times New Roman"/>
                <w:color w:val="auto"/>
                <w:sz w:val="24"/>
                <w:szCs w:val="24"/>
                <w:lang w:val="en-US" w:eastAsia="zh-CN"/>
              </w:rPr>
            </w:pPr>
            <w:r>
              <w:rPr>
                <w:rFonts w:ascii="Times New Roman" w:hAnsi="Times New Roman" w:eastAsia="宋体" w:cs="Times New Roman"/>
                <w:color w:val="auto"/>
                <w:sz w:val="24"/>
                <w:szCs w:val="24"/>
              </w:rPr>
              <w:t>表</w:t>
            </w:r>
            <w:r>
              <w:rPr>
                <w:rFonts w:hint="eastAsia" w:ascii="Times New Roman" w:hAnsi="Times New Roman" w:eastAsia="宋体" w:cs="Times New Roman"/>
                <w:color w:val="auto"/>
                <w:sz w:val="24"/>
                <w:szCs w:val="24"/>
                <w:lang w:val="en-US" w:eastAsia="zh-CN"/>
              </w:rPr>
              <w:t>3.7-1</w:t>
            </w:r>
            <w:r>
              <w:rPr>
                <w:rFonts w:ascii="Times New Roman" w:hAnsi="Times New Roman" w:eastAsia="宋体" w:cs="Times New Roman"/>
                <w:color w:val="auto"/>
                <w:sz w:val="24"/>
                <w:szCs w:val="24"/>
              </w:rPr>
              <w:t xml:space="preserve">  项目</w:t>
            </w:r>
            <w:r>
              <w:rPr>
                <w:rFonts w:hint="eastAsia" w:ascii="Times New Roman" w:hAnsi="Times New Roman" w:eastAsia="宋体" w:cs="Times New Roman"/>
                <w:color w:val="auto"/>
                <w:sz w:val="24"/>
                <w:szCs w:val="24"/>
                <w:lang w:val="en-US" w:eastAsia="zh-CN"/>
              </w:rPr>
              <w:t>生活污水</w:t>
            </w:r>
            <w:r>
              <w:rPr>
                <w:rFonts w:hint="eastAsia" w:ascii="Times New Roman" w:hAnsi="Times New Roman" w:eastAsia="宋体" w:cs="Times New Roman"/>
                <w:color w:val="auto"/>
                <w:sz w:val="24"/>
                <w:szCs w:val="24"/>
                <w:lang w:eastAsia="zh-CN"/>
              </w:rPr>
              <w:t>回用标准</w:t>
            </w:r>
            <w:r>
              <w:rPr>
                <w:rFonts w:ascii="Times New Roman" w:hAnsi="Times New Roman" w:eastAsia="宋体" w:cs="Times New Roman"/>
                <w:color w:val="auto"/>
                <w:sz w:val="24"/>
                <w:szCs w:val="24"/>
              </w:rPr>
              <w:t>限值一览表</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10"/>
              <w:gridCol w:w="3509"/>
              <w:gridCol w:w="3396"/>
            </w:tblGrid>
            <w:tr w14:paraId="3EA7E0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2" w:type="pct"/>
                  <w:noWrap w:val="0"/>
                  <w:vAlign w:val="center"/>
                </w:tcPr>
                <w:p w14:paraId="63F52A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18"/>
                      <w:sz w:val="21"/>
                      <w:szCs w:val="21"/>
                      <w:highlight w:val="none"/>
                    </w:rPr>
                  </w:pPr>
                  <w:r>
                    <w:rPr>
                      <w:rFonts w:hint="default" w:ascii="Times New Roman" w:hAnsi="Times New Roman" w:eastAsia="宋体" w:cs="Times New Roman"/>
                      <w:b w:val="0"/>
                      <w:bCs w:val="0"/>
                      <w:color w:val="auto"/>
                      <w:kern w:val="18"/>
                      <w:sz w:val="21"/>
                      <w:szCs w:val="21"/>
                      <w:highlight w:val="none"/>
                    </w:rPr>
                    <w:t>污染物名称</w:t>
                  </w:r>
                </w:p>
              </w:tc>
              <w:tc>
                <w:tcPr>
                  <w:tcW w:w="2036" w:type="pct"/>
                  <w:noWrap w:val="0"/>
                  <w:vAlign w:val="center"/>
                </w:tcPr>
                <w:p w14:paraId="334D90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18"/>
                      <w:sz w:val="21"/>
                      <w:szCs w:val="21"/>
                      <w:highlight w:val="none"/>
                    </w:rPr>
                  </w:pPr>
                  <w:r>
                    <w:rPr>
                      <w:rFonts w:hint="eastAsia"/>
                      <w:color w:val="auto"/>
                      <w:sz w:val="21"/>
                      <w:szCs w:val="21"/>
                      <w:lang w:val="en-GB" w:eastAsia="zh-CN"/>
                    </w:rPr>
                    <w:t>GB/T25499-2010绿地灌溉水质</w:t>
                  </w:r>
                </w:p>
              </w:tc>
              <w:tc>
                <w:tcPr>
                  <w:tcW w:w="1970" w:type="pct"/>
                  <w:noWrap w:val="0"/>
                  <w:vAlign w:val="center"/>
                </w:tcPr>
                <w:p w14:paraId="51F766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lang w:val="en-GB" w:eastAsia="zh-CN"/>
                    </w:rPr>
                  </w:pPr>
                  <w:r>
                    <w:rPr>
                      <w:rFonts w:hint="eastAsia"/>
                      <w:color w:val="auto"/>
                      <w:sz w:val="21"/>
                      <w:szCs w:val="21"/>
                      <w:lang w:val="en-US" w:eastAsia="zh-CN"/>
                    </w:rPr>
                    <w:t>GB8978-1996污水综合排放标准</w:t>
                  </w:r>
                </w:p>
              </w:tc>
            </w:tr>
            <w:tr w14:paraId="7F49FF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2" w:type="pct"/>
                  <w:noWrap w:val="0"/>
                  <w:vAlign w:val="center"/>
                </w:tcPr>
                <w:p w14:paraId="1731B8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18"/>
                      <w:sz w:val="21"/>
                      <w:szCs w:val="21"/>
                      <w:highlight w:val="none"/>
                    </w:rPr>
                  </w:pPr>
                  <w:r>
                    <w:rPr>
                      <w:rFonts w:hint="default" w:ascii="Times New Roman" w:hAnsi="Times New Roman" w:eastAsia="宋体" w:cs="Times New Roman"/>
                      <w:color w:val="auto"/>
                      <w:kern w:val="18"/>
                      <w:sz w:val="21"/>
                      <w:szCs w:val="21"/>
                      <w:highlight w:val="none"/>
                    </w:rPr>
                    <w:t>COD</w:t>
                  </w:r>
                </w:p>
              </w:tc>
              <w:tc>
                <w:tcPr>
                  <w:tcW w:w="2036" w:type="pct"/>
                  <w:noWrap w:val="0"/>
                  <w:vAlign w:val="center"/>
                </w:tcPr>
                <w:p w14:paraId="646D14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18"/>
                      <w:sz w:val="21"/>
                      <w:szCs w:val="21"/>
                      <w:highlight w:val="none"/>
                      <w:lang w:val="en-US" w:eastAsia="zh-CN"/>
                    </w:rPr>
                  </w:pPr>
                  <w:r>
                    <w:rPr>
                      <w:rFonts w:hint="eastAsia" w:ascii="Times New Roman" w:hAnsi="Times New Roman" w:eastAsia="宋体" w:cs="Times New Roman"/>
                      <w:b w:val="0"/>
                      <w:bCs w:val="0"/>
                      <w:color w:val="auto"/>
                      <w:kern w:val="18"/>
                      <w:sz w:val="21"/>
                      <w:szCs w:val="21"/>
                      <w:highlight w:val="none"/>
                      <w:lang w:val="en-US" w:eastAsia="zh-CN"/>
                    </w:rPr>
                    <w:t>/</w:t>
                  </w:r>
                </w:p>
              </w:tc>
              <w:tc>
                <w:tcPr>
                  <w:tcW w:w="1970" w:type="pct"/>
                  <w:noWrap w:val="0"/>
                  <w:vAlign w:val="center"/>
                </w:tcPr>
                <w:p w14:paraId="670837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18"/>
                      <w:sz w:val="21"/>
                      <w:szCs w:val="21"/>
                      <w:highlight w:val="none"/>
                      <w:lang w:val="en-US" w:eastAsia="zh-CN"/>
                    </w:rPr>
                  </w:pPr>
                  <w:r>
                    <w:rPr>
                      <w:rFonts w:hint="eastAsia" w:cs="Times New Roman"/>
                      <w:b w:val="0"/>
                      <w:bCs w:val="0"/>
                      <w:color w:val="auto"/>
                      <w:kern w:val="18"/>
                      <w:sz w:val="21"/>
                      <w:szCs w:val="21"/>
                      <w:highlight w:val="none"/>
                      <w:lang w:val="en-US" w:eastAsia="zh-CN"/>
                    </w:rPr>
                    <w:t>500</w:t>
                  </w:r>
                </w:p>
              </w:tc>
            </w:tr>
            <w:tr w14:paraId="573B90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2" w:type="pct"/>
                  <w:noWrap w:val="0"/>
                  <w:vAlign w:val="center"/>
                </w:tcPr>
                <w:p w14:paraId="733500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18"/>
                      <w:sz w:val="21"/>
                      <w:szCs w:val="21"/>
                      <w:highlight w:val="none"/>
                    </w:rPr>
                  </w:pPr>
                  <w:r>
                    <w:rPr>
                      <w:rFonts w:hint="default" w:ascii="Times New Roman" w:hAnsi="Times New Roman" w:eastAsia="宋体" w:cs="Times New Roman"/>
                      <w:color w:val="auto"/>
                      <w:kern w:val="18"/>
                      <w:sz w:val="21"/>
                      <w:szCs w:val="21"/>
                      <w:highlight w:val="none"/>
                    </w:rPr>
                    <w:t>NH</w:t>
                  </w:r>
                  <w:r>
                    <w:rPr>
                      <w:rFonts w:hint="default" w:ascii="Times New Roman" w:hAnsi="Times New Roman" w:eastAsia="宋体" w:cs="Times New Roman"/>
                      <w:color w:val="auto"/>
                      <w:kern w:val="18"/>
                      <w:sz w:val="21"/>
                      <w:szCs w:val="21"/>
                      <w:highlight w:val="none"/>
                      <w:vertAlign w:val="subscript"/>
                    </w:rPr>
                    <w:t>3</w:t>
                  </w:r>
                  <w:r>
                    <w:rPr>
                      <w:rFonts w:hint="default" w:ascii="Times New Roman" w:hAnsi="Times New Roman" w:eastAsia="宋体" w:cs="Times New Roman"/>
                      <w:color w:val="auto"/>
                      <w:kern w:val="18"/>
                      <w:sz w:val="21"/>
                      <w:szCs w:val="21"/>
                      <w:highlight w:val="none"/>
                    </w:rPr>
                    <w:t>-N</w:t>
                  </w:r>
                </w:p>
              </w:tc>
              <w:tc>
                <w:tcPr>
                  <w:tcW w:w="2036" w:type="pct"/>
                  <w:noWrap w:val="0"/>
                  <w:vAlign w:val="center"/>
                </w:tcPr>
                <w:p w14:paraId="7B58C0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18"/>
                      <w:sz w:val="21"/>
                      <w:szCs w:val="21"/>
                      <w:highlight w:val="none"/>
                      <w:lang w:val="en-US" w:eastAsia="zh-CN"/>
                    </w:rPr>
                  </w:pPr>
                  <w:r>
                    <w:rPr>
                      <w:rFonts w:hint="eastAsia" w:ascii="Times New Roman" w:hAnsi="Times New Roman" w:eastAsia="宋体" w:cs="Times New Roman"/>
                      <w:b w:val="0"/>
                      <w:bCs w:val="0"/>
                      <w:color w:val="auto"/>
                      <w:kern w:val="18"/>
                      <w:sz w:val="21"/>
                      <w:szCs w:val="21"/>
                      <w:highlight w:val="none"/>
                      <w:lang w:val="en-US" w:eastAsia="zh-CN"/>
                    </w:rPr>
                    <w:t>≤20</w:t>
                  </w:r>
                </w:p>
              </w:tc>
              <w:tc>
                <w:tcPr>
                  <w:tcW w:w="1970" w:type="pct"/>
                  <w:noWrap w:val="0"/>
                  <w:vAlign w:val="center"/>
                </w:tcPr>
                <w:p w14:paraId="299CDCE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18"/>
                      <w:sz w:val="21"/>
                      <w:szCs w:val="21"/>
                      <w:highlight w:val="none"/>
                      <w:lang w:val="en-US" w:eastAsia="zh-CN"/>
                    </w:rPr>
                  </w:pPr>
                  <w:r>
                    <w:rPr>
                      <w:rFonts w:hint="eastAsia" w:cs="Times New Roman"/>
                      <w:b w:val="0"/>
                      <w:bCs w:val="0"/>
                      <w:color w:val="auto"/>
                      <w:kern w:val="18"/>
                      <w:sz w:val="21"/>
                      <w:szCs w:val="21"/>
                      <w:highlight w:val="none"/>
                      <w:lang w:val="en-US" w:eastAsia="zh-CN"/>
                    </w:rPr>
                    <w:t>/</w:t>
                  </w:r>
                </w:p>
              </w:tc>
            </w:tr>
            <w:tr w14:paraId="6FC95B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2" w:type="pct"/>
                  <w:noWrap w:val="0"/>
                  <w:vAlign w:val="center"/>
                </w:tcPr>
                <w:p w14:paraId="2E1823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18"/>
                      <w:sz w:val="21"/>
                      <w:szCs w:val="21"/>
                      <w:highlight w:val="none"/>
                      <w:lang w:val="en-US" w:eastAsia="zh-CN"/>
                    </w:rPr>
                  </w:pPr>
                  <w:r>
                    <w:rPr>
                      <w:rFonts w:hint="default"/>
                      <w:color w:val="auto"/>
                      <w:sz w:val="21"/>
                      <w:szCs w:val="21"/>
                      <w:lang w:val="en-US" w:eastAsia="zh-CN"/>
                    </w:rPr>
                    <w:t>BOD</w:t>
                  </w:r>
                  <w:r>
                    <w:rPr>
                      <w:rFonts w:hint="default"/>
                      <w:color w:val="auto"/>
                      <w:sz w:val="21"/>
                      <w:szCs w:val="21"/>
                      <w:highlight w:val="none"/>
                      <w:vertAlign w:val="subscript"/>
                      <w:lang w:val="en-US" w:eastAsia="zh-CN"/>
                    </w:rPr>
                    <w:t>5</w:t>
                  </w:r>
                </w:p>
              </w:tc>
              <w:tc>
                <w:tcPr>
                  <w:tcW w:w="2036" w:type="pct"/>
                  <w:noWrap w:val="0"/>
                  <w:vAlign w:val="center"/>
                </w:tcPr>
                <w:p w14:paraId="6DE70E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18"/>
                      <w:sz w:val="21"/>
                      <w:szCs w:val="21"/>
                      <w:highlight w:val="none"/>
                      <w:lang w:val="en-US" w:eastAsia="zh-CN"/>
                    </w:rPr>
                  </w:pPr>
                  <w:r>
                    <w:rPr>
                      <w:rFonts w:hint="eastAsia" w:ascii="Times New Roman" w:hAnsi="Times New Roman" w:eastAsia="宋体" w:cs="Times New Roman"/>
                      <w:b w:val="0"/>
                      <w:bCs w:val="0"/>
                      <w:color w:val="auto"/>
                      <w:kern w:val="18"/>
                      <w:sz w:val="21"/>
                      <w:szCs w:val="21"/>
                      <w:highlight w:val="none"/>
                      <w:lang w:val="en-US" w:eastAsia="zh-CN"/>
                    </w:rPr>
                    <w:t>≤20</w:t>
                  </w:r>
                </w:p>
              </w:tc>
              <w:tc>
                <w:tcPr>
                  <w:tcW w:w="1970" w:type="pct"/>
                  <w:noWrap w:val="0"/>
                  <w:vAlign w:val="center"/>
                </w:tcPr>
                <w:p w14:paraId="288905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18"/>
                      <w:sz w:val="21"/>
                      <w:szCs w:val="21"/>
                      <w:highlight w:val="none"/>
                      <w:lang w:val="en-US" w:eastAsia="zh-CN"/>
                    </w:rPr>
                  </w:pPr>
                  <w:r>
                    <w:rPr>
                      <w:rFonts w:hint="eastAsia" w:cs="Times New Roman"/>
                      <w:b w:val="0"/>
                      <w:bCs w:val="0"/>
                      <w:color w:val="auto"/>
                      <w:kern w:val="18"/>
                      <w:sz w:val="21"/>
                      <w:szCs w:val="21"/>
                      <w:highlight w:val="none"/>
                      <w:lang w:val="en-US" w:eastAsia="zh-CN"/>
                    </w:rPr>
                    <w:t>300</w:t>
                  </w:r>
                </w:p>
              </w:tc>
            </w:tr>
            <w:tr w14:paraId="18F2FA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2" w:type="pct"/>
                  <w:noWrap w:val="0"/>
                  <w:vAlign w:val="center"/>
                </w:tcPr>
                <w:p w14:paraId="5381E4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18"/>
                      <w:sz w:val="21"/>
                      <w:szCs w:val="21"/>
                      <w:highlight w:val="none"/>
                    </w:rPr>
                  </w:pPr>
                  <w:r>
                    <w:rPr>
                      <w:rFonts w:hint="default" w:ascii="Times New Roman" w:hAnsi="Times New Roman" w:eastAsia="宋体" w:cs="Times New Roman"/>
                      <w:color w:val="auto"/>
                      <w:kern w:val="18"/>
                      <w:sz w:val="21"/>
                      <w:szCs w:val="21"/>
                      <w:highlight w:val="none"/>
                    </w:rPr>
                    <w:t>pH</w:t>
                  </w:r>
                </w:p>
              </w:tc>
              <w:tc>
                <w:tcPr>
                  <w:tcW w:w="2036" w:type="pct"/>
                  <w:noWrap w:val="0"/>
                  <w:vAlign w:val="center"/>
                </w:tcPr>
                <w:p w14:paraId="4C5F4ED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18"/>
                      <w:sz w:val="21"/>
                      <w:szCs w:val="21"/>
                      <w:highlight w:val="none"/>
                      <w:lang w:val="en-US" w:eastAsia="zh-CN"/>
                    </w:rPr>
                  </w:pPr>
                  <w:r>
                    <w:rPr>
                      <w:rFonts w:hint="eastAsia" w:ascii="Times New Roman" w:hAnsi="Times New Roman" w:eastAsia="宋体" w:cs="Times New Roman"/>
                      <w:b w:val="0"/>
                      <w:bCs w:val="0"/>
                      <w:color w:val="auto"/>
                      <w:kern w:val="18"/>
                      <w:sz w:val="21"/>
                      <w:szCs w:val="21"/>
                      <w:highlight w:val="none"/>
                      <w:lang w:val="en-US" w:eastAsia="zh-CN"/>
                    </w:rPr>
                    <w:t>6.0~9.0</w:t>
                  </w:r>
                </w:p>
              </w:tc>
              <w:tc>
                <w:tcPr>
                  <w:tcW w:w="1970" w:type="pct"/>
                  <w:noWrap w:val="0"/>
                  <w:vAlign w:val="center"/>
                </w:tcPr>
                <w:p w14:paraId="544242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b w:val="0"/>
                      <w:bCs w:val="0"/>
                      <w:color w:val="auto"/>
                      <w:kern w:val="18"/>
                      <w:sz w:val="21"/>
                      <w:szCs w:val="21"/>
                      <w:highlight w:val="none"/>
                      <w:lang w:val="en-US" w:eastAsia="zh-CN"/>
                    </w:rPr>
                  </w:pPr>
                  <w:r>
                    <w:rPr>
                      <w:rFonts w:hint="eastAsia" w:ascii="Times New Roman" w:hAnsi="Times New Roman" w:eastAsia="宋体" w:cs="Times New Roman"/>
                      <w:b w:val="0"/>
                      <w:bCs w:val="0"/>
                      <w:color w:val="auto"/>
                      <w:kern w:val="18"/>
                      <w:sz w:val="21"/>
                      <w:szCs w:val="21"/>
                      <w:highlight w:val="none"/>
                      <w:lang w:val="en-US" w:eastAsia="zh-CN"/>
                    </w:rPr>
                    <w:t>6.0~9.0</w:t>
                  </w:r>
                </w:p>
              </w:tc>
            </w:tr>
            <w:tr w14:paraId="7CD7F1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92" w:type="pct"/>
                  <w:noWrap w:val="0"/>
                  <w:vAlign w:val="center"/>
                </w:tcPr>
                <w:p w14:paraId="3EB4DC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18"/>
                      <w:sz w:val="21"/>
                      <w:szCs w:val="21"/>
                      <w:highlight w:val="none"/>
                    </w:rPr>
                  </w:pPr>
                  <w:r>
                    <w:rPr>
                      <w:rFonts w:hint="default" w:ascii="Times New Roman" w:hAnsi="Times New Roman" w:eastAsia="宋体" w:cs="Times New Roman"/>
                      <w:color w:val="auto"/>
                      <w:kern w:val="18"/>
                      <w:sz w:val="21"/>
                      <w:szCs w:val="21"/>
                      <w:highlight w:val="none"/>
                    </w:rPr>
                    <w:t>SS</w:t>
                  </w:r>
                </w:p>
              </w:tc>
              <w:tc>
                <w:tcPr>
                  <w:tcW w:w="2036" w:type="pct"/>
                  <w:noWrap w:val="0"/>
                  <w:vAlign w:val="center"/>
                </w:tcPr>
                <w:p w14:paraId="6B2F40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18"/>
                      <w:sz w:val="21"/>
                      <w:szCs w:val="21"/>
                      <w:highlight w:val="none"/>
                      <w:lang w:val="en-US" w:eastAsia="zh-CN"/>
                    </w:rPr>
                  </w:pPr>
                  <w:r>
                    <w:rPr>
                      <w:rFonts w:hint="eastAsia" w:ascii="Times New Roman" w:hAnsi="Times New Roman" w:eastAsia="宋体" w:cs="Times New Roman"/>
                      <w:b w:val="0"/>
                      <w:bCs w:val="0"/>
                      <w:color w:val="auto"/>
                      <w:kern w:val="18"/>
                      <w:sz w:val="21"/>
                      <w:szCs w:val="21"/>
                      <w:highlight w:val="none"/>
                      <w:lang w:val="en-US" w:eastAsia="zh-CN"/>
                    </w:rPr>
                    <w:t>/</w:t>
                  </w:r>
                </w:p>
              </w:tc>
              <w:tc>
                <w:tcPr>
                  <w:tcW w:w="1970" w:type="pct"/>
                  <w:noWrap w:val="0"/>
                  <w:vAlign w:val="center"/>
                </w:tcPr>
                <w:p w14:paraId="629C2A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18"/>
                      <w:sz w:val="21"/>
                      <w:szCs w:val="21"/>
                      <w:highlight w:val="none"/>
                      <w:lang w:val="en-US" w:eastAsia="zh-CN"/>
                    </w:rPr>
                  </w:pPr>
                  <w:r>
                    <w:rPr>
                      <w:rFonts w:hint="eastAsia" w:cs="Times New Roman"/>
                      <w:b w:val="0"/>
                      <w:bCs w:val="0"/>
                      <w:color w:val="auto"/>
                      <w:kern w:val="18"/>
                      <w:sz w:val="21"/>
                      <w:szCs w:val="21"/>
                      <w:highlight w:val="none"/>
                      <w:lang w:val="en-US" w:eastAsia="zh-CN"/>
                    </w:rPr>
                    <w:t>400</w:t>
                  </w:r>
                </w:p>
              </w:tc>
            </w:tr>
            <w:bookmarkEnd w:id="19"/>
            <w:bookmarkEnd w:id="20"/>
            <w:bookmarkEnd w:id="21"/>
            <w:bookmarkEnd w:id="22"/>
          </w:tbl>
          <w:p w14:paraId="5A299ED5">
            <w:pPr>
              <w:pStyle w:val="4"/>
              <w:bidi w:val="0"/>
              <w:rPr>
                <w:rFonts w:hint="default"/>
                <w:color w:val="auto"/>
              </w:rPr>
            </w:pPr>
            <w:r>
              <w:rPr>
                <w:rFonts w:hint="default"/>
                <w:color w:val="auto"/>
              </w:rPr>
              <w:t>3.</w:t>
            </w:r>
            <w:r>
              <w:rPr>
                <w:rFonts w:hint="eastAsia"/>
                <w:color w:val="auto"/>
                <w:lang w:val="en-US" w:eastAsia="zh-CN"/>
              </w:rPr>
              <w:t>7</w:t>
            </w:r>
            <w:r>
              <w:rPr>
                <w:rFonts w:hint="default"/>
                <w:color w:val="auto"/>
                <w:lang w:val="en-US" w:eastAsia="zh-CN"/>
              </w:rPr>
              <w:t>.2 大气</w:t>
            </w:r>
            <w:r>
              <w:rPr>
                <w:rFonts w:hint="default"/>
                <w:color w:val="auto"/>
              </w:rPr>
              <w:t>污染物</w:t>
            </w:r>
            <w:r>
              <w:rPr>
                <w:rFonts w:hint="default"/>
                <w:color w:val="auto"/>
                <w:lang w:val="en-US" w:eastAsia="zh-CN"/>
              </w:rPr>
              <w:t>排放标准</w:t>
            </w:r>
          </w:p>
          <w:p w14:paraId="13D265E7">
            <w:pPr>
              <w:bidi w:val="0"/>
              <w:rPr>
                <w:rFonts w:hint="eastAsia"/>
                <w:b/>
                <w:bCs/>
                <w:color w:val="auto"/>
                <w:lang w:eastAsia="zh-CN"/>
              </w:rPr>
            </w:pPr>
            <w:r>
              <w:rPr>
                <w:rFonts w:hint="eastAsia"/>
                <w:b/>
                <w:bCs/>
                <w:color w:val="auto"/>
                <w:lang w:eastAsia="zh-CN"/>
              </w:rPr>
              <w:t>（</w:t>
            </w:r>
            <w:r>
              <w:rPr>
                <w:rFonts w:hint="eastAsia"/>
                <w:b/>
                <w:bCs/>
                <w:color w:val="auto"/>
                <w:lang w:val="en-US" w:eastAsia="zh-CN"/>
              </w:rPr>
              <w:t>1</w:t>
            </w:r>
            <w:r>
              <w:rPr>
                <w:rFonts w:hint="eastAsia"/>
                <w:b/>
                <w:bCs/>
                <w:color w:val="auto"/>
                <w:lang w:eastAsia="zh-CN"/>
              </w:rPr>
              <w:t>）施工期</w:t>
            </w:r>
          </w:p>
          <w:p w14:paraId="7808A479">
            <w:pPr>
              <w:bidi w:val="0"/>
              <w:rPr>
                <w:color w:val="auto"/>
              </w:rPr>
            </w:pPr>
            <w:r>
              <w:rPr>
                <w:rFonts w:hint="eastAsia"/>
                <w:color w:val="auto"/>
              </w:rPr>
              <w:t>项目施工扬尘排放执行《大气污染物综合排放标准》（GB16297-1996）表2中的无组织排放监控浓度限值，详见表3.</w:t>
            </w:r>
            <w:r>
              <w:rPr>
                <w:rFonts w:hint="eastAsia"/>
                <w:color w:val="auto"/>
                <w:lang w:val="en-US" w:eastAsia="zh-CN"/>
              </w:rPr>
              <w:t>7-2</w:t>
            </w:r>
            <w:r>
              <w:rPr>
                <w:rFonts w:hint="eastAsia"/>
                <w:color w:val="auto"/>
              </w:rPr>
              <w:t>。</w:t>
            </w:r>
          </w:p>
          <w:p w14:paraId="053D3C52">
            <w:pPr>
              <w:pStyle w:val="33"/>
              <w:bidi w:val="0"/>
              <w:rPr>
                <w:color w:val="auto"/>
                <w:sz w:val="24"/>
                <w:szCs w:val="24"/>
              </w:rPr>
            </w:pPr>
            <w:r>
              <w:rPr>
                <w:color w:val="auto"/>
                <w:sz w:val="24"/>
                <w:szCs w:val="24"/>
              </w:rPr>
              <w:t>表</w:t>
            </w:r>
            <w:r>
              <w:rPr>
                <w:rFonts w:hint="eastAsia"/>
                <w:color w:val="auto"/>
                <w:sz w:val="24"/>
                <w:szCs w:val="24"/>
              </w:rPr>
              <w:t>3.</w:t>
            </w:r>
            <w:r>
              <w:rPr>
                <w:rFonts w:hint="eastAsia"/>
                <w:color w:val="auto"/>
                <w:sz w:val="24"/>
                <w:szCs w:val="24"/>
                <w:lang w:val="en-US" w:eastAsia="zh-CN"/>
              </w:rPr>
              <w:t>7</w:t>
            </w:r>
            <w:r>
              <w:rPr>
                <w:rFonts w:hint="eastAsia"/>
                <w:color w:val="auto"/>
                <w:sz w:val="24"/>
                <w:szCs w:val="24"/>
              </w:rPr>
              <w:t>-</w:t>
            </w:r>
            <w:r>
              <w:rPr>
                <w:rFonts w:hint="eastAsia"/>
                <w:color w:val="auto"/>
                <w:sz w:val="24"/>
                <w:szCs w:val="24"/>
                <w:lang w:val="en-US" w:eastAsia="zh-CN"/>
              </w:rPr>
              <w:t>2</w:t>
            </w:r>
            <w:r>
              <w:rPr>
                <w:rFonts w:hint="eastAsia"/>
                <w:color w:val="auto"/>
                <w:sz w:val="24"/>
                <w:szCs w:val="24"/>
              </w:rPr>
              <w:t xml:space="preserve"> </w:t>
            </w:r>
            <w:r>
              <w:rPr>
                <w:color w:val="auto"/>
                <w:sz w:val="24"/>
                <w:szCs w:val="24"/>
              </w:rPr>
              <w:t>《大气污染物综合排放标准》(GB16297-1996)表2 (摘录)</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15"/>
              <w:gridCol w:w="2414"/>
              <w:gridCol w:w="4186"/>
            </w:tblGrid>
            <w:tr w14:paraId="5B05FD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9" w:type="pct"/>
                  <w:noWrap w:val="0"/>
                  <w:vAlign w:val="center"/>
                </w:tcPr>
                <w:p w14:paraId="354DBB41">
                  <w:pPr>
                    <w:pStyle w:val="33"/>
                    <w:bidi w:val="0"/>
                    <w:rPr>
                      <w:color w:val="auto"/>
                    </w:rPr>
                  </w:pPr>
                  <w:r>
                    <w:rPr>
                      <w:color w:val="auto"/>
                    </w:rPr>
                    <w:t>污染物名称</w:t>
                  </w:r>
                </w:p>
              </w:tc>
              <w:tc>
                <w:tcPr>
                  <w:tcW w:w="1401" w:type="pct"/>
                  <w:noWrap w:val="0"/>
                  <w:vAlign w:val="center"/>
                </w:tcPr>
                <w:p w14:paraId="1D2B4619">
                  <w:pPr>
                    <w:pStyle w:val="33"/>
                    <w:bidi w:val="0"/>
                    <w:rPr>
                      <w:color w:val="auto"/>
                    </w:rPr>
                  </w:pPr>
                  <w:r>
                    <w:rPr>
                      <w:color w:val="auto"/>
                    </w:rPr>
                    <w:t>无组织排放监控点</w:t>
                  </w:r>
                </w:p>
              </w:tc>
              <w:tc>
                <w:tcPr>
                  <w:tcW w:w="2429" w:type="pct"/>
                  <w:noWrap w:val="0"/>
                  <w:vAlign w:val="center"/>
                </w:tcPr>
                <w:p w14:paraId="20E7D853">
                  <w:pPr>
                    <w:pStyle w:val="33"/>
                    <w:bidi w:val="0"/>
                    <w:rPr>
                      <w:color w:val="auto"/>
                    </w:rPr>
                  </w:pPr>
                  <w:r>
                    <w:rPr>
                      <w:color w:val="auto"/>
                    </w:rPr>
                    <w:t>无组织排放监控浓度限值(mg/m</w:t>
                  </w:r>
                  <w:r>
                    <w:rPr>
                      <w:color w:val="auto"/>
                      <w:vertAlign w:val="superscript"/>
                    </w:rPr>
                    <w:t>3</w:t>
                  </w:r>
                  <w:r>
                    <w:rPr>
                      <w:color w:val="auto"/>
                    </w:rPr>
                    <w:t>)</w:t>
                  </w:r>
                </w:p>
              </w:tc>
            </w:tr>
            <w:tr w14:paraId="28F20F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9" w:type="pct"/>
                  <w:noWrap w:val="0"/>
                  <w:vAlign w:val="center"/>
                </w:tcPr>
                <w:p w14:paraId="569994DB">
                  <w:pPr>
                    <w:pStyle w:val="28"/>
                    <w:bidi w:val="0"/>
                    <w:rPr>
                      <w:color w:val="auto"/>
                    </w:rPr>
                  </w:pPr>
                  <w:r>
                    <w:rPr>
                      <w:color w:val="auto"/>
                    </w:rPr>
                    <w:t>颗粒物</w:t>
                  </w:r>
                </w:p>
              </w:tc>
              <w:tc>
                <w:tcPr>
                  <w:tcW w:w="1401" w:type="pct"/>
                  <w:noWrap w:val="0"/>
                  <w:vAlign w:val="center"/>
                </w:tcPr>
                <w:p w14:paraId="753EEC24">
                  <w:pPr>
                    <w:pStyle w:val="28"/>
                    <w:bidi w:val="0"/>
                    <w:rPr>
                      <w:color w:val="auto"/>
                    </w:rPr>
                  </w:pPr>
                  <w:r>
                    <w:rPr>
                      <w:color w:val="auto"/>
                    </w:rPr>
                    <w:t>周界外浓度最高点</w:t>
                  </w:r>
                </w:p>
              </w:tc>
              <w:tc>
                <w:tcPr>
                  <w:tcW w:w="2429" w:type="pct"/>
                  <w:noWrap w:val="0"/>
                  <w:vAlign w:val="center"/>
                </w:tcPr>
                <w:p w14:paraId="28CE77D7">
                  <w:pPr>
                    <w:pStyle w:val="28"/>
                    <w:bidi w:val="0"/>
                    <w:rPr>
                      <w:color w:val="auto"/>
                    </w:rPr>
                  </w:pPr>
                  <w:r>
                    <w:rPr>
                      <w:color w:val="auto"/>
                    </w:rPr>
                    <w:t>1.0</w:t>
                  </w:r>
                </w:p>
              </w:tc>
            </w:tr>
          </w:tbl>
          <w:p w14:paraId="6C07829F">
            <w:pPr>
              <w:keepNext w:val="0"/>
              <w:keepLines w:val="0"/>
              <w:pageBreakBefore w:val="0"/>
              <w:widowControl w:val="0"/>
              <w:kinsoku/>
              <w:wordWrap/>
              <w:overflowPunct/>
              <w:topLinePunct w:val="0"/>
              <w:autoSpaceDE/>
              <w:autoSpaceDN/>
              <w:bidi w:val="0"/>
              <w:adjustRightInd/>
              <w:snapToGrid/>
              <w:spacing w:before="157" w:beforeLines="50"/>
              <w:textAlignment w:val="auto"/>
              <w:rPr>
                <w:rFonts w:hint="eastAsia"/>
                <w:b/>
                <w:bCs/>
                <w:color w:val="auto"/>
                <w:lang w:eastAsia="zh-CN"/>
              </w:rPr>
            </w:pPr>
            <w:r>
              <w:rPr>
                <w:rFonts w:hint="eastAsia"/>
                <w:b/>
                <w:bCs/>
                <w:color w:val="auto"/>
                <w:lang w:eastAsia="zh-CN"/>
              </w:rPr>
              <w:t>（</w:t>
            </w:r>
            <w:r>
              <w:rPr>
                <w:rFonts w:hint="eastAsia"/>
                <w:b/>
                <w:bCs/>
                <w:color w:val="auto"/>
                <w:lang w:val="en-US" w:eastAsia="zh-CN"/>
              </w:rPr>
              <w:t>2</w:t>
            </w:r>
            <w:r>
              <w:rPr>
                <w:rFonts w:hint="eastAsia"/>
                <w:b/>
                <w:bCs/>
                <w:color w:val="auto"/>
                <w:lang w:eastAsia="zh-CN"/>
              </w:rPr>
              <w:t>）运营期</w:t>
            </w:r>
          </w:p>
          <w:p w14:paraId="30A6E313">
            <w:pPr>
              <w:bidi w:val="0"/>
              <w:rPr>
                <w:rFonts w:hint="eastAsia"/>
                <w:color w:val="auto"/>
                <w:highlight w:val="none"/>
                <w:lang w:eastAsia="zh-CN"/>
              </w:rPr>
            </w:pPr>
            <w:r>
              <w:rPr>
                <w:rFonts w:hint="eastAsia"/>
                <w:color w:val="auto"/>
                <w:highlight w:val="none"/>
                <w:lang w:val="en-US" w:eastAsia="zh-CN"/>
              </w:rPr>
              <w:t>本项目主要从事预拌混凝土、预制砼结构件以及</w:t>
            </w:r>
            <w:r>
              <w:rPr>
                <w:rFonts w:hint="eastAsia"/>
                <w:highlight w:val="none"/>
                <w:lang w:val="en-US" w:eastAsia="zh-CN"/>
              </w:rPr>
              <w:t>建筑垃圾回收利用生产（主要</w:t>
            </w:r>
            <w:r>
              <w:rPr>
                <w:rFonts w:hint="eastAsia"/>
                <w:color w:val="auto"/>
                <w:lang w:val="en-US" w:eastAsia="zh-CN"/>
              </w:rPr>
              <w:t>原料来源于项目周边区域的工程渣土、拆除建筑垃圾（不含装修垃圾或二装垃圾），</w:t>
            </w:r>
            <w:r>
              <w:rPr>
                <w:rFonts w:hint="eastAsia"/>
                <w:highlight w:val="none"/>
                <w:lang w:val="en-US" w:eastAsia="zh-CN"/>
              </w:rPr>
              <w:t>以建设项目地基开挖过程中产生的石方料生产机制砂和碎石，产品用于预拌混凝土生产，不外售）</w:t>
            </w:r>
            <w:r>
              <w:rPr>
                <w:rFonts w:hint="eastAsia"/>
                <w:color w:val="auto"/>
                <w:highlight w:val="none"/>
                <w:lang w:val="en-US" w:eastAsia="zh-CN"/>
              </w:rPr>
              <w:t>的生产</w:t>
            </w:r>
            <w:r>
              <w:rPr>
                <w:rFonts w:hint="eastAsia"/>
                <w:color w:val="auto"/>
                <w:highlight w:val="none"/>
                <w:lang w:eastAsia="zh-CN"/>
              </w:rPr>
              <w:t>，</w:t>
            </w:r>
            <w:r>
              <w:rPr>
                <w:rFonts w:hint="eastAsia"/>
                <w:color w:val="auto"/>
                <w:highlight w:val="none"/>
                <w:lang w:val="en-US" w:eastAsia="zh-CN"/>
              </w:rPr>
              <w:t>项目生产过程中的工艺废气主要以颗粒物的形式排放，其中</w:t>
            </w:r>
            <w:r>
              <w:rPr>
                <w:rFonts w:hint="eastAsia"/>
                <w:lang w:val="en-US" w:eastAsia="zh-CN"/>
              </w:rPr>
              <w:t>石方卸料和砂石堆放扬尘</w:t>
            </w:r>
            <w:r>
              <w:rPr>
                <w:rFonts w:hint="eastAsia"/>
                <w:color w:val="auto"/>
                <w:highlight w:val="none"/>
                <w:lang w:eastAsia="zh-CN"/>
              </w:rPr>
              <w:t>、运输车辆扬尘、搅拌粉尘、焊接烟尘经治理后无组织排放；粉料仓呼吸尘经各仓配套除尘器处理后无组织排放，</w:t>
            </w:r>
            <w:r>
              <w:rPr>
                <w:rFonts w:hint="eastAsia"/>
                <w:color w:val="auto"/>
                <w:highlight w:val="none"/>
                <w:lang w:val="en-US" w:eastAsia="zh-CN"/>
              </w:rPr>
              <w:t>建筑垃圾回收的破碎、筛分粉尘经厂内集气罩收集后经覆膜式布袋除尘器处理后由1根15m高排气筒排放，其余未被收集到的破碎筛分粉尘经治理后无组织排放</w:t>
            </w:r>
            <w:r>
              <w:rPr>
                <w:rFonts w:hint="eastAsia"/>
                <w:color w:val="auto"/>
                <w:highlight w:val="none"/>
                <w:lang w:eastAsia="zh-CN"/>
              </w:rPr>
              <w:t>。</w:t>
            </w:r>
          </w:p>
          <w:p w14:paraId="4E939D28">
            <w:pPr>
              <w:bidi w:val="0"/>
              <w:rPr>
                <w:rFonts w:hint="eastAsia"/>
                <w:color w:val="auto"/>
                <w:highlight w:val="none"/>
                <w:lang w:eastAsia="zh-CN"/>
              </w:rPr>
            </w:pPr>
            <w:r>
              <w:rPr>
                <w:rFonts w:hint="eastAsia" w:ascii="Times New Roman" w:hAnsi="Times New Roman" w:eastAsia="宋体"/>
                <w:b w:val="0"/>
                <w:bCs w:val="0"/>
                <w:color w:val="auto"/>
                <w:sz w:val="24"/>
                <w:shd w:val="clear" w:color="auto" w:fill="FFFFFF"/>
                <w:lang w:eastAsia="zh-CN"/>
              </w:rPr>
              <w:t>根据《福建省环保厅关于水泥工业大气污染物排放标准执行有关事项的通知》（闽环保科〔2014〕12号），本项目属于该通知中第2类新建企业（2014年3月1日后环境影响评价文件通过审批的新、改、扩建项目），根据该通知要求：“新建企业中，第2类执行GB4915-2013表2规定的限值。</w:t>
            </w:r>
            <w:r>
              <w:rPr>
                <w:rFonts w:hint="eastAsia"/>
                <w:b w:val="0"/>
                <w:bCs w:val="0"/>
                <w:color w:val="auto"/>
                <w:sz w:val="24"/>
                <w:shd w:val="clear" w:color="auto" w:fill="FFFFFF"/>
                <w:lang w:eastAsia="zh-CN"/>
              </w:rPr>
              <w:t>”“</w:t>
            </w:r>
            <w:r>
              <w:rPr>
                <w:rFonts w:hint="eastAsia" w:ascii="Times New Roman" w:hAnsi="Times New Roman" w:eastAsia="宋体"/>
                <w:b w:val="0"/>
                <w:bCs w:val="0"/>
                <w:color w:val="auto"/>
                <w:sz w:val="24"/>
                <w:shd w:val="clear" w:color="auto" w:fill="FFFFFF"/>
                <w:lang w:eastAsia="zh-CN"/>
              </w:rPr>
              <w:t>所有企业作业场所的无组织排放限值执行DB35/1311-2013的相关规定</w:t>
            </w:r>
            <w:r>
              <w:rPr>
                <w:rFonts w:hint="eastAsia"/>
                <w:b w:val="0"/>
                <w:bCs w:val="0"/>
                <w:color w:val="auto"/>
                <w:sz w:val="24"/>
                <w:shd w:val="clear" w:color="auto" w:fill="FFFFFF"/>
                <w:lang w:eastAsia="zh-CN"/>
              </w:rPr>
              <w:t>”“</w:t>
            </w:r>
            <w:r>
              <w:rPr>
                <w:rFonts w:hint="eastAsia" w:ascii="Times New Roman" w:hAnsi="Times New Roman" w:eastAsia="宋体"/>
                <w:b w:val="0"/>
                <w:bCs w:val="0"/>
                <w:color w:val="auto"/>
                <w:sz w:val="24"/>
                <w:shd w:val="clear" w:color="auto" w:fill="FFFFFF"/>
                <w:lang w:eastAsia="zh-CN"/>
              </w:rPr>
              <w:t>新建企业自</w:t>
            </w:r>
            <w:r>
              <w:rPr>
                <w:rFonts w:hint="eastAsia" w:ascii="Times New Roman" w:hAnsi="Times New Roman" w:eastAsia="宋体"/>
                <w:b w:val="0"/>
                <w:bCs w:val="0"/>
                <w:color w:val="auto"/>
                <w:sz w:val="24"/>
                <w:shd w:val="clear" w:color="auto" w:fill="FFFFFF"/>
                <w:lang w:val="en-US" w:eastAsia="zh-CN"/>
              </w:rPr>
              <w:t>2014年3月1日1起，应同时符合DB35/1311-2013和GB4915-2013的有关规定要求</w:t>
            </w:r>
            <w:r>
              <w:rPr>
                <w:rFonts w:hint="eastAsia" w:ascii="Times New Roman" w:hAnsi="Times New Roman" w:eastAsia="宋体"/>
                <w:b w:val="0"/>
                <w:bCs w:val="0"/>
                <w:color w:val="auto"/>
                <w:sz w:val="24"/>
                <w:shd w:val="clear" w:color="auto" w:fill="FFFFFF"/>
                <w:lang w:eastAsia="zh-CN"/>
              </w:rPr>
              <w:t>”，因此，项目无组织颗粒物排放执行《水泥工业大气污染物排放标准》（DB35/1311-2013）表3排放限值</w:t>
            </w:r>
            <w:r>
              <w:rPr>
                <w:rFonts w:hint="eastAsia"/>
                <w:color w:val="auto"/>
                <w:highlight w:val="none"/>
                <w:lang w:eastAsia="zh-CN"/>
              </w:rPr>
              <w:t>，详见表</w:t>
            </w:r>
            <w:r>
              <w:rPr>
                <w:rFonts w:hint="eastAsia"/>
                <w:color w:val="auto"/>
                <w:highlight w:val="none"/>
                <w:lang w:val="en-US" w:eastAsia="zh-CN"/>
              </w:rPr>
              <w:t>3.7-3</w:t>
            </w:r>
            <w:r>
              <w:rPr>
                <w:rFonts w:hint="eastAsia"/>
                <w:color w:val="auto"/>
                <w:highlight w:val="none"/>
                <w:lang w:eastAsia="zh-CN"/>
              </w:rPr>
              <w:t>。</w:t>
            </w:r>
          </w:p>
          <w:p w14:paraId="42747D25">
            <w:pPr>
              <w:pStyle w:val="33"/>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textAlignment w:val="auto"/>
              <w:rPr>
                <w:rFonts w:hint="eastAsia"/>
                <w:color w:val="auto"/>
                <w:sz w:val="24"/>
                <w:szCs w:val="24"/>
                <w:lang w:val="en-US" w:eastAsia="zh-CN"/>
              </w:rPr>
            </w:pPr>
            <w:r>
              <w:rPr>
                <w:color w:val="auto"/>
                <w:sz w:val="24"/>
                <w:szCs w:val="24"/>
              </w:rPr>
              <w:t>表</w:t>
            </w:r>
            <w:r>
              <w:rPr>
                <w:rFonts w:hint="eastAsia"/>
                <w:color w:val="auto"/>
                <w:sz w:val="24"/>
                <w:szCs w:val="24"/>
              </w:rPr>
              <w:t>3.</w:t>
            </w:r>
            <w:r>
              <w:rPr>
                <w:rFonts w:hint="eastAsia"/>
                <w:color w:val="auto"/>
                <w:sz w:val="24"/>
                <w:szCs w:val="24"/>
                <w:lang w:val="en-US" w:eastAsia="zh-CN"/>
              </w:rPr>
              <w:t>7-3 《水泥工业大气污染物排放标准》（DB35/1311-2013）表3摘录</w:t>
            </w:r>
          </w:p>
          <w:tbl>
            <w:tblPr>
              <w:tblStyle w:val="2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70"/>
              <w:gridCol w:w="2871"/>
              <w:gridCol w:w="2874"/>
            </w:tblGrid>
            <w:tr w14:paraId="4B3AC6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tcBorders>
                    <w:tl2br w:val="nil"/>
                    <w:tr2bl w:val="nil"/>
                  </w:tcBorders>
                  <w:noWrap w:val="0"/>
                  <w:vAlign w:val="center"/>
                </w:tcPr>
                <w:p w14:paraId="1AA156AF">
                  <w:pPr>
                    <w:pStyle w:val="33"/>
                    <w:bidi w:val="0"/>
                    <w:rPr>
                      <w:rFonts w:hint="eastAsia"/>
                      <w:color w:val="auto"/>
                      <w:lang w:eastAsia="zh-CN"/>
                    </w:rPr>
                  </w:pPr>
                  <w:r>
                    <w:rPr>
                      <w:rFonts w:hint="eastAsia"/>
                      <w:color w:val="auto"/>
                      <w:lang w:eastAsia="zh-CN"/>
                    </w:rPr>
                    <w:t>作业场所</w:t>
                  </w:r>
                </w:p>
              </w:tc>
              <w:tc>
                <w:tcPr>
                  <w:tcW w:w="1666" w:type="pct"/>
                  <w:tcBorders>
                    <w:tl2br w:val="nil"/>
                    <w:tr2bl w:val="nil"/>
                  </w:tcBorders>
                  <w:noWrap w:val="0"/>
                  <w:vAlign w:val="center"/>
                </w:tcPr>
                <w:p w14:paraId="3DFEF6DB">
                  <w:pPr>
                    <w:pStyle w:val="33"/>
                    <w:bidi w:val="0"/>
                    <w:rPr>
                      <w:rFonts w:hint="eastAsia"/>
                      <w:color w:val="auto"/>
                      <w:lang w:eastAsia="zh-CN"/>
                    </w:rPr>
                  </w:pPr>
                  <w:r>
                    <w:rPr>
                      <w:rFonts w:hint="eastAsia"/>
                      <w:color w:val="auto"/>
                      <w:lang w:eastAsia="zh-CN"/>
                    </w:rPr>
                    <w:t>颗粒物无组织排放监控点</w:t>
                  </w:r>
                </w:p>
              </w:tc>
              <w:tc>
                <w:tcPr>
                  <w:tcW w:w="1667" w:type="pct"/>
                  <w:tcBorders>
                    <w:tl2br w:val="nil"/>
                    <w:tr2bl w:val="nil"/>
                  </w:tcBorders>
                  <w:noWrap w:val="0"/>
                  <w:vAlign w:val="center"/>
                </w:tcPr>
                <w:p w14:paraId="24F6F8AE">
                  <w:pPr>
                    <w:pStyle w:val="33"/>
                    <w:bidi w:val="0"/>
                    <w:rPr>
                      <w:rFonts w:hint="default"/>
                      <w:color w:val="auto"/>
                      <w:lang w:val="en-US" w:eastAsia="zh-CN"/>
                    </w:rPr>
                  </w:pPr>
                  <w:r>
                    <w:rPr>
                      <w:rFonts w:hint="eastAsia"/>
                      <w:color w:val="auto"/>
                      <w:lang w:eastAsia="zh-CN"/>
                    </w:rPr>
                    <w:t>浓度限值</w:t>
                  </w:r>
                  <w:r>
                    <w:rPr>
                      <w:rFonts w:hint="eastAsia"/>
                      <w:color w:val="auto"/>
                      <w:lang w:val="en-US" w:eastAsia="zh-CN"/>
                    </w:rPr>
                    <w:t>*mg/m</w:t>
                  </w:r>
                  <w:r>
                    <w:rPr>
                      <w:rFonts w:hint="eastAsia"/>
                      <w:color w:val="auto"/>
                      <w:vertAlign w:val="superscript"/>
                      <w:lang w:val="en-US" w:eastAsia="zh-CN"/>
                    </w:rPr>
                    <w:t>3</w:t>
                  </w:r>
                </w:p>
              </w:tc>
            </w:tr>
            <w:tr w14:paraId="2833A5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6" w:type="pct"/>
                  <w:tcBorders>
                    <w:tl2br w:val="nil"/>
                    <w:tr2bl w:val="nil"/>
                  </w:tcBorders>
                  <w:noWrap w:val="0"/>
                  <w:vAlign w:val="center"/>
                </w:tcPr>
                <w:p w14:paraId="51B9E6E6">
                  <w:pPr>
                    <w:pStyle w:val="28"/>
                    <w:bidi w:val="0"/>
                    <w:rPr>
                      <w:rFonts w:hint="eastAsia"/>
                      <w:color w:val="auto"/>
                      <w:lang w:val="en-US" w:eastAsia="zh-CN"/>
                    </w:rPr>
                  </w:pPr>
                  <w:r>
                    <w:rPr>
                      <w:rFonts w:hint="eastAsia"/>
                      <w:color w:val="auto"/>
                      <w:lang w:val="en-US" w:eastAsia="zh-CN"/>
                    </w:rPr>
                    <w:t>水泥制造（含粉磨站）、水泥制品厂、散装水泥中转站</w:t>
                  </w:r>
                </w:p>
              </w:tc>
              <w:tc>
                <w:tcPr>
                  <w:tcW w:w="1666" w:type="pct"/>
                  <w:tcBorders>
                    <w:tl2br w:val="nil"/>
                    <w:tr2bl w:val="nil"/>
                  </w:tcBorders>
                  <w:noWrap w:val="0"/>
                  <w:vAlign w:val="center"/>
                </w:tcPr>
                <w:p w14:paraId="68781B59">
                  <w:pPr>
                    <w:pStyle w:val="28"/>
                    <w:bidi w:val="0"/>
                    <w:rPr>
                      <w:rFonts w:hint="eastAsia"/>
                      <w:color w:val="auto"/>
                      <w:lang w:val="en-US" w:eastAsia="zh-CN"/>
                    </w:rPr>
                  </w:pPr>
                  <w:r>
                    <w:rPr>
                      <w:rFonts w:hint="eastAsia"/>
                      <w:color w:val="auto"/>
                      <w:lang w:eastAsia="zh-CN"/>
                    </w:rPr>
                    <w:t>厂界外</w:t>
                  </w:r>
                  <w:r>
                    <w:rPr>
                      <w:rFonts w:hint="eastAsia"/>
                      <w:color w:val="auto"/>
                      <w:lang w:val="en-US" w:eastAsia="zh-CN"/>
                    </w:rPr>
                    <w:t>20m处</w:t>
                  </w:r>
                </w:p>
              </w:tc>
              <w:tc>
                <w:tcPr>
                  <w:tcW w:w="1667" w:type="pct"/>
                  <w:tcBorders>
                    <w:tl2br w:val="nil"/>
                    <w:tr2bl w:val="nil"/>
                  </w:tcBorders>
                  <w:noWrap w:val="0"/>
                  <w:vAlign w:val="center"/>
                </w:tcPr>
                <w:p w14:paraId="3F108587">
                  <w:pPr>
                    <w:pStyle w:val="28"/>
                    <w:bidi w:val="0"/>
                    <w:rPr>
                      <w:rFonts w:hint="default"/>
                      <w:color w:val="auto"/>
                      <w:lang w:val="en-US" w:eastAsia="zh-CN"/>
                    </w:rPr>
                  </w:pPr>
                  <w:r>
                    <w:rPr>
                      <w:rFonts w:hint="eastAsia"/>
                      <w:color w:val="auto"/>
                      <w:lang w:val="en-US" w:eastAsia="zh-CN"/>
                    </w:rPr>
                    <w:t>0.5（扣除参考值）</w:t>
                  </w:r>
                </w:p>
              </w:tc>
            </w:tr>
            <w:tr w14:paraId="40C6A0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3"/>
                  <w:tcBorders>
                    <w:tl2br w:val="nil"/>
                    <w:tr2bl w:val="nil"/>
                  </w:tcBorders>
                  <w:noWrap w:val="0"/>
                  <w:vAlign w:val="center"/>
                </w:tcPr>
                <w:p w14:paraId="67077326">
                  <w:pPr>
                    <w:pStyle w:val="28"/>
                    <w:bidi w:val="0"/>
                    <w:jc w:val="both"/>
                    <w:rPr>
                      <w:rFonts w:hint="default" w:ascii="Times New Roman" w:hAnsi="Times New Roman" w:eastAsia="宋体" w:cs="Times New Roman"/>
                      <w:color w:val="auto"/>
                      <w:kern w:val="0"/>
                      <w:szCs w:val="21"/>
                      <w:lang w:val="en-US" w:eastAsia="zh-CN" w:bidi="ar"/>
                    </w:rPr>
                  </w:pPr>
                  <w:r>
                    <w:rPr>
                      <w:rFonts w:hint="eastAsia"/>
                      <w:color w:val="auto"/>
                      <w:lang w:val="en-US" w:eastAsia="zh-CN"/>
                    </w:rPr>
                    <w:t>*指监控点处总悬浮颗粒物（TSP）1小时浓度值。</w:t>
                  </w:r>
                </w:p>
              </w:tc>
            </w:tr>
          </w:tbl>
          <w:p w14:paraId="732712C4">
            <w:pPr>
              <w:keepNext w:val="0"/>
              <w:keepLines w:val="0"/>
              <w:pageBreakBefore w:val="0"/>
              <w:widowControl w:val="0"/>
              <w:kinsoku/>
              <w:wordWrap/>
              <w:overflowPunct/>
              <w:topLinePunct w:val="0"/>
              <w:autoSpaceDE/>
              <w:autoSpaceDN/>
              <w:bidi w:val="0"/>
              <w:adjustRightInd/>
              <w:snapToGrid/>
              <w:spacing w:before="157" w:beforeLines="50"/>
              <w:textAlignment w:val="auto"/>
              <w:rPr>
                <w:rFonts w:hint="eastAsia" w:ascii="Times New Roman" w:hAnsi="Times New Roman" w:eastAsia="宋体" w:cs="Times New Roman"/>
                <w:b w:val="0"/>
                <w:bCs w:val="0"/>
                <w:color w:val="auto"/>
                <w:sz w:val="24"/>
                <w:shd w:val="clear" w:color="auto" w:fill="FFFFFF"/>
                <w:lang w:val="en-US" w:eastAsia="zh-CN"/>
              </w:rPr>
            </w:pPr>
            <w:r>
              <w:rPr>
                <w:rFonts w:hint="eastAsia" w:ascii="Times New Roman" w:hAnsi="Times New Roman" w:eastAsia="宋体" w:cs="Times New Roman"/>
                <w:b w:val="0"/>
                <w:bCs w:val="0"/>
                <w:color w:val="auto"/>
                <w:sz w:val="24"/>
                <w:shd w:val="clear" w:color="auto" w:fill="FFFFFF"/>
                <w:lang w:eastAsia="zh-CN"/>
              </w:rPr>
              <w:t>项目有组织颗粒物排放执行《</w:t>
            </w:r>
            <w:r>
              <w:rPr>
                <w:rFonts w:hint="eastAsia" w:ascii="Times New Roman" w:hAnsi="Times New Roman" w:eastAsia="宋体" w:cs="Times New Roman"/>
                <w:b w:val="0"/>
                <w:bCs w:val="0"/>
                <w:color w:val="auto"/>
                <w:sz w:val="24"/>
                <w:shd w:val="clear" w:color="auto" w:fill="FFFFFF"/>
                <w:lang w:val="en-US" w:eastAsia="zh-CN"/>
              </w:rPr>
              <w:t>大气污染物综合排放标准</w:t>
            </w:r>
            <w:r>
              <w:rPr>
                <w:rFonts w:hint="eastAsia" w:ascii="Times New Roman" w:hAnsi="Times New Roman" w:eastAsia="宋体" w:cs="Times New Roman"/>
                <w:b w:val="0"/>
                <w:bCs w:val="0"/>
                <w:color w:val="auto"/>
                <w:sz w:val="24"/>
                <w:shd w:val="clear" w:color="auto" w:fill="FFFFFF"/>
                <w:lang w:eastAsia="zh-CN"/>
              </w:rPr>
              <w:t>》（GB1</w:t>
            </w:r>
            <w:r>
              <w:rPr>
                <w:rFonts w:hint="eastAsia" w:ascii="Times New Roman" w:hAnsi="Times New Roman" w:eastAsia="宋体" w:cs="Times New Roman"/>
                <w:b w:val="0"/>
                <w:bCs w:val="0"/>
                <w:color w:val="auto"/>
                <w:sz w:val="24"/>
                <w:shd w:val="clear" w:color="auto" w:fill="FFFFFF"/>
                <w:lang w:val="en-US" w:eastAsia="zh-CN"/>
              </w:rPr>
              <w:t>6297</w:t>
            </w:r>
            <w:r>
              <w:rPr>
                <w:rFonts w:hint="eastAsia" w:ascii="Times New Roman" w:hAnsi="Times New Roman" w:eastAsia="宋体" w:cs="Times New Roman"/>
                <w:b w:val="0"/>
                <w:bCs w:val="0"/>
                <w:color w:val="auto"/>
                <w:sz w:val="24"/>
                <w:shd w:val="clear" w:color="auto" w:fill="FFFFFF"/>
                <w:lang w:eastAsia="zh-CN"/>
              </w:rPr>
              <w:t>-</w:t>
            </w:r>
            <w:r>
              <w:rPr>
                <w:rFonts w:hint="eastAsia" w:ascii="Times New Roman" w:hAnsi="Times New Roman" w:eastAsia="宋体" w:cs="Times New Roman"/>
                <w:b w:val="0"/>
                <w:bCs w:val="0"/>
                <w:color w:val="auto"/>
                <w:sz w:val="24"/>
                <w:shd w:val="clear" w:color="auto" w:fill="FFFFFF"/>
                <w:lang w:val="en-US" w:eastAsia="zh-CN"/>
              </w:rPr>
              <w:t>1996</w:t>
            </w:r>
            <w:r>
              <w:rPr>
                <w:rFonts w:hint="eastAsia" w:ascii="Times New Roman" w:hAnsi="Times New Roman" w:eastAsia="宋体" w:cs="Times New Roman"/>
                <w:b w:val="0"/>
                <w:bCs w:val="0"/>
                <w:color w:val="auto"/>
                <w:sz w:val="24"/>
                <w:shd w:val="clear" w:color="auto" w:fill="FFFFFF"/>
                <w:lang w:eastAsia="zh-CN"/>
              </w:rPr>
              <w:t>）表2</w:t>
            </w:r>
            <w:r>
              <w:rPr>
                <w:rFonts w:hint="eastAsia" w:ascii="Times New Roman" w:hAnsi="Times New Roman" w:eastAsia="宋体" w:cs="Times New Roman"/>
                <w:b w:val="0"/>
                <w:bCs w:val="0"/>
                <w:color w:val="auto"/>
                <w:sz w:val="24"/>
                <w:shd w:val="clear" w:color="auto" w:fill="FFFFFF"/>
                <w:lang w:val="en-US" w:eastAsia="zh-CN"/>
              </w:rPr>
              <w:t>新污染源大气污染物排放限值</w:t>
            </w:r>
            <w:r>
              <w:rPr>
                <w:rFonts w:hint="eastAsia" w:ascii="Times New Roman" w:hAnsi="Times New Roman" w:eastAsia="宋体" w:cs="Times New Roman"/>
                <w:b w:val="0"/>
                <w:bCs w:val="0"/>
                <w:color w:val="auto"/>
                <w:sz w:val="24"/>
                <w:shd w:val="clear" w:color="auto" w:fill="FFFFFF"/>
                <w:lang w:eastAsia="zh-CN"/>
              </w:rPr>
              <w:t>，详见表3.7-</w:t>
            </w:r>
            <w:r>
              <w:rPr>
                <w:rFonts w:hint="eastAsia" w:ascii="Times New Roman" w:hAnsi="Times New Roman" w:eastAsia="宋体" w:cs="Times New Roman"/>
                <w:b w:val="0"/>
                <w:bCs w:val="0"/>
                <w:color w:val="auto"/>
                <w:sz w:val="24"/>
                <w:shd w:val="clear" w:color="auto" w:fill="FFFFFF"/>
                <w:lang w:val="en-US" w:eastAsia="zh-CN"/>
              </w:rPr>
              <w:t>4，排气筒高度根据</w:t>
            </w:r>
            <w:r>
              <w:rPr>
                <w:rFonts w:hint="eastAsia" w:ascii="Times New Roman" w:hAnsi="Times New Roman" w:eastAsia="宋体" w:cs="Times New Roman"/>
                <w:b w:val="0"/>
                <w:bCs w:val="0"/>
                <w:color w:val="auto"/>
                <w:sz w:val="24"/>
                <w:shd w:val="clear" w:color="auto" w:fill="FFFFFF"/>
                <w:lang w:eastAsia="zh-CN"/>
              </w:rPr>
              <w:t>《水泥工业大气污染物排放标准》</w:t>
            </w:r>
            <w:r>
              <w:rPr>
                <w:rFonts w:hint="eastAsia" w:ascii="Times New Roman" w:hAnsi="Times New Roman" w:eastAsia="宋体" w:cs="Times New Roman"/>
                <w:b w:val="0"/>
                <w:bCs w:val="0"/>
                <w:color w:val="auto"/>
                <w:sz w:val="24"/>
                <w:shd w:val="clear" w:color="auto" w:fill="FFFFFF"/>
                <w:lang w:val="en-US" w:eastAsia="zh-CN"/>
              </w:rPr>
              <w:t>DB35/1311-2013中要求“除提升输送、储库下小仓的除尘设施外，生产设备排气筒（含车间排气筒）一律不得低于15m，并应高出本体建筑物3m以上”，因此</w:t>
            </w:r>
            <w:r>
              <w:rPr>
                <w:rFonts w:hint="eastAsia" w:cs="Times New Roman"/>
                <w:b w:val="0"/>
                <w:bCs w:val="0"/>
                <w:color w:val="auto"/>
                <w:sz w:val="24"/>
                <w:shd w:val="clear" w:color="auto" w:fill="FFFFFF"/>
                <w:lang w:val="en-US" w:eastAsia="zh-CN"/>
              </w:rPr>
              <w:t>3#物料库</w:t>
            </w:r>
            <w:r>
              <w:rPr>
                <w:rFonts w:hint="eastAsia" w:ascii="Times New Roman" w:hAnsi="Times New Roman" w:eastAsia="宋体" w:cs="Times New Roman"/>
                <w:b w:val="0"/>
                <w:bCs w:val="0"/>
                <w:color w:val="auto"/>
                <w:sz w:val="24"/>
                <w:shd w:val="clear" w:color="auto" w:fill="FFFFFF"/>
                <w:lang w:val="en-US" w:eastAsia="zh-CN"/>
              </w:rPr>
              <w:t>排气筒DA001高度按15m设计。</w:t>
            </w:r>
          </w:p>
          <w:p w14:paraId="48A64B4B">
            <w:pPr>
              <w:pStyle w:val="33"/>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textAlignment w:val="auto"/>
              <w:rPr>
                <w:rFonts w:hint="eastAsia"/>
                <w:lang w:val="en-US" w:eastAsia="zh-CN"/>
              </w:rPr>
            </w:pPr>
            <w:r>
              <w:t>表</w:t>
            </w:r>
            <w:r>
              <w:rPr>
                <w:rFonts w:hint="eastAsia"/>
              </w:rPr>
              <w:t>3.</w:t>
            </w:r>
            <w:r>
              <w:rPr>
                <w:rFonts w:hint="eastAsia"/>
                <w:lang w:val="en-US" w:eastAsia="zh-CN"/>
              </w:rPr>
              <w:t>7-4 《</w:t>
            </w:r>
            <w:r>
              <w:rPr>
                <w:rFonts w:hint="eastAsia"/>
                <w:highlight w:val="none"/>
                <w:lang w:val="en-US" w:eastAsia="zh-CN"/>
              </w:rPr>
              <w:t>大气污染物综合排放标准</w:t>
            </w:r>
            <w:r>
              <w:rPr>
                <w:rFonts w:hint="eastAsia"/>
                <w:lang w:val="en-US" w:eastAsia="zh-CN"/>
              </w:rPr>
              <w:t>》（GB16297-1996）表2摘录</w:t>
            </w:r>
          </w:p>
          <w:tbl>
            <w:tblPr>
              <w:tblStyle w:val="20"/>
              <w:tblW w:w="8658"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783"/>
              <w:gridCol w:w="1442"/>
              <w:gridCol w:w="1654"/>
              <w:gridCol w:w="1532"/>
              <w:gridCol w:w="3247"/>
            </w:tblGrid>
            <w:tr w14:paraId="276C105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2" w:hRule="atLeast"/>
              </w:trPr>
              <w:tc>
                <w:tcPr>
                  <w:tcW w:w="783" w:type="dxa"/>
                  <w:vMerge w:val="restart"/>
                  <w:noWrap w:val="0"/>
                  <w:tcMar>
                    <w:top w:w="15" w:type="dxa"/>
                    <w:left w:w="15" w:type="dxa"/>
                    <w:right w:w="15" w:type="dxa"/>
                  </w:tcMar>
                  <w:vAlign w:val="center"/>
                </w:tcPr>
                <w:p w14:paraId="49050569">
                  <w:pPr>
                    <w:pStyle w:val="28"/>
                    <w:rPr>
                      <w:rFonts w:hint="default"/>
                      <w:lang w:val="en-US" w:eastAsia="zh-CN"/>
                    </w:rPr>
                  </w:pPr>
                  <w:r>
                    <w:rPr>
                      <w:rFonts w:hint="eastAsia"/>
                      <w:lang w:val="en-US" w:eastAsia="zh-CN"/>
                    </w:rPr>
                    <w:t>污染物</w:t>
                  </w:r>
                </w:p>
              </w:tc>
              <w:tc>
                <w:tcPr>
                  <w:tcW w:w="1442" w:type="dxa"/>
                  <w:vMerge w:val="restart"/>
                  <w:noWrap w:val="0"/>
                  <w:tcMar>
                    <w:top w:w="15" w:type="dxa"/>
                    <w:left w:w="15" w:type="dxa"/>
                    <w:right w:w="15" w:type="dxa"/>
                  </w:tcMar>
                  <w:vAlign w:val="center"/>
                </w:tcPr>
                <w:p w14:paraId="2D9FD792">
                  <w:pPr>
                    <w:pStyle w:val="28"/>
                    <w:rPr>
                      <w:rFonts w:hint="default"/>
                      <w:lang w:val="en-US" w:eastAsia="zh-CN"/>
                    </w:rPr>
                  </w:pPr>
                  <w:r>
                    <w:rPr>
                      <w:rFonts w:hint="eastAsia"/>
                      <w:lang w:val="en-US" w:eastAsia="zh-CN"/>
                    </w:rPr>
                    <w:t>最高允许排放浓度mg/m</w:t>
                  </w:r>
                  <w:r>
                    <w:rPr>
                      <w:rFonts w:hint="eastAsia"/>
                      <w:vertAlign w:val="superscript"/>
                      <w:lang w:val="en-US" w:eastAsia="zh-CN"/>
                    </w:rPr>
                    <w:t>3</w:t>
                  </w:r>
                </w:p>
              </w:tc>
              <w:tc>
                <w:tcPr>
                  <w:tcW w:w="3186" w:type="dxa"/>
                  <w:gridSpan w:val="2"/>
                  <w:noWrap w:val="0"/>
                  <w:tcMar>
                    <w:top w:w="15" w:type="dxa"/>
                    <w:left w:w="15" w:type="dxa"/>
                    <w:right w:w="15" w:type="dxa"/>
                  </w:tcMar>
                  <w:vAlign w:val="center"/>
                </w:tcPr>
                <w:p w14:paraId="79BE3348">
                  <w:pPr>
                    <w:pStyle w:val="28"/>
                    <w:rPr>
                      <w:rFonts w:hint="eastAsia"/>
                      <w:lang w:eastAsia="zh-CN"/>
                    </w:rPr>
                  </w:pPr>
                  <w:r>
                    <w:rPr>
                      <w:rFonts w:hint="eastAsia"/>
                      <w:lang w:eastAsia="zh-CN"/>
                    </w:rPr>
                    <w:t>最高允许排放速率</w:t>
                  </w:r>
                </w:p>
              </w:tc>
              <w:tc>
                <w:tcPr>
                  <w:tcW w:w="3247" w:type="dxa"/>
                  <w:vMerge w:val="restart"/>
                  <w:noWrap w:val="0"/>
                  <w:tcMar>
                    <w:top w:w="15" w:type="dxa"/>
                    <w:left w:w="15" w:type="dxa"/>
                    <w:right w:w="15" w:type="dxa"/>
                  </w:tcMar>
                  <w:vAlign w:val="center"/>
                </w:tcPr>
                <w:p w14:paraId="1E04D441">
                  <w:pPr>
                    <w:pStyle w:val="28"/>
                  </w:pPr>
                  <w:r>
                    <w:t>标准</w:t>
                  </w:r>
                  <w:r>
                    <w:rPr>
                      <w:rFonts w:hint="eastAsia"/>
                    </w:rPr>
                    <w:t>来源</w:t>
                  </w:r>
                </w:p>
              </w:tc>
            </w:tr>
            <w:tr w14:paraId="08A5EB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2" w:hRule="atLeast"/>
              </w:trPr>
              <w:tc>
                <w:tcPr>
                  <w:tcW w:w="783" w:type="dxa"/>
                  <w:vMerge w:val="continue"/>
                  <w:noWrap w:val="0"/>
                  <w:tcMar>
                    <w:top w:w="15" w:type="dxa"/>
                    <w:left w:w="15" w:type="dxa"/>
                    <w:right w:w="15" w:type="dxa"/>
                  </w:tcMar>
                  <w:vAlign w:val="center"/>
                </w:tcPr>
                <w:p w14:paraId="7337CCF8">
                  <w:pPr>
                    <w:pStyle w:val="28"/>
                    <w:bidi w:val="0"/>
                  </w:pPr>
                </w:p>
              </w:tc>
              <w:tc>
                <w:tcPr>
                  <w:tcW w:w="1442" w:type="dxa"/>
                  <w:vMerge w:val="continue"/>
                  <w:noWrap w:val="0"/>
                  <w:tcMar>
                    <w:top w:w="15" w:type="dxa"/>
                    <w:left w:w="15" w:type="dxa"/>
                    <w:right w:w="15" w:type="dxa"/>
                  </w:tcMar>
                  <w:vAlign w:val="center"/>
                </w:tcPr>
                <w:p w14:paraId="10BAB3FB">
                  <w:pPr>
                    <w:pStyle w:val="28"/>
                    <w:bidi w:val="0"/>
                  </w:pPr>
                </w:p>
              </w:tc>
              <w:tc>
                <w:tcPr>
                  <w:tcW w:w="1654" w:type="dxa"/>
                  <w:noWrap w:val="0"/>
                  <w:tcMar>
                    <w:top w:w="15" w:type="dxa"/>
                    <w:left w:w="15" w:type="dxa"/>
                    <w:right w:w="15" w:type="dxa"/>
                  </w:tcMar>
                  <w:vAlign w:val="center"/>
                </w:tcPr>
                <w:p w14:paraId="1EE79CF1">
                  <w:pPr>
                    <w:pStyle w:val="28"/>
                    <w:rPr>
                      <w:rFonts w:hint="eastAsia"/>
                      <w:lang w:val="en-US" w:eastAsia="zh-CN"/>
                    </w:rPr>
                  </w:pPr>
                  <w:r>
                    <w:rPr>
                      <w:rFonts w:hint="eastAsia"/>
                      <w:lang w:val="en-US" w:eastAsia="zh-CN"/>
                    </w:rPr>
                    <w:t>排气筒高度</w:t>
                  </w:r>
                </w:p>
                <w:p w14:paraId="573C0550">
                  <w:pPr>
                    <w:pStyle w:val="28"/>
                    <w:rPr>
                      <w:rFonts w:hint="eastAsia"/>
                      <w:lang w:eastAsia="zh-CN"/>
                    </w:rPr>
                  </w:pPr>
                  <w:r>
                    <w:rPr>
                      <w:rFonts w:hint="eastAsia"/>
                      <w:lang w:val="en-US" w:eastAsia="zh-CN"/>
                    </w:rPr>
                    <w:t>m</w:t>
                  </w:r>
                </w:p>
              </w:tc>
              <w:tc>
                <w:tcPr>
                  <w:tcW w:w="1532" w:type="dxa"/>
                  <w:noWrap w:val="0"/>
                  <w:tcMar>
                    <w:top w:w="15" w:type="dxa"/>
                    <w:left w:w="15" w:type="dxa"/>
                    <w:right w:w="15" w:type="dxa"/>
                  </w:tcMar>
                  <w:vAlign w:val="center"/>
                </w:tcPr>
                <w:p w14:paraId="0BE372DB">
                  <w:pPr>
                    <w:pStyle w:val="28"/>
                    <w:rPr>
                      <w:rFonts w:hint="eastAsia"/>
                      <w:lang w:val="en-US" w:eastAsia="zh-CN"/>
                    </w:rPr>
                  </w:pPr>
                  <w:r>
                    <w:rPr>
                      <w:rFonts w:hint="eastAsia"/>
                      <w:lang w:val="en-US" w:eastAsia="zh-CN"/>
                    </w:rPr>
                    <w:t>二级</w:t>
                  </w:r>
                </w:p>
                <w:p w14:paraId="5FC26BBB">
                  <w:pPr>
                    <w:pStyle w:val="28"/>
                    <w:rPr>
                      <w:rFonts w:hint="eastAsia"/>
                      <w:lang w:val="en-US" w:eastAsia="zh-CN"/>
                    </w:rPr>
                  </w:pPr>
                  <w:r>
                    <w:rPr>
                      <w:rFonts w:hint="eastAsia"/>
                      <w:lang w:val="en-US" w:eastAsia="zh-CN"/>
                    </w:rPr>
                    <w:t>kg/h</w:t>
                  </w:r>
                </w:p>
              </w:tc>
              <w:tc>
                <w:tcPr>
                  <w:tcW w:w="3247" w:type="dxa"/>
                  <w:vMerge w:val="continue"/>
                  <w:noWrap w:val="0"/>
                  <w:tcMar>
                    <w:top w:w="15" w:type="dxa"/>
                    <w:left w:w="15" w:type="dxa"/>
                    <w:right w:w="15" w:type="dxa"/>
                  </w:tcMar>
                  <w:vAlign w:val="center"/>
                </w:tcPr>
                <w:p w14:paraId="2B164D33">
                  <w:pPr>
                    <w:pStyle w:val="28"/>
                    <w:bidi w:val="0"/>
                  </w:pPr>
                </w:p>
              </w:tc>
            </w:tr>
            <w:tr w14:paraId="74D2B8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34" w:hRule="atLeast"/>
              </w:trPr>
              <w:tc>
                <w:tcPr>
                  <w:tcW w:w="783" w:type="dxa"/>
                  <w:noWrap w:val="0"/>
                  <w:tcMar>
                    <w:top w:w="15" w:type="dxa"/>
                    <w:left w:w="15" w:type="dxa"/>
                    <w:right w:w="15" w:type="dxa"/>
                  </w:tcMar>
                  <w:vAlign w:val="center"/>
                </w:tcPr>
                <w:p w14:paraId="22700D90">
                  <w:pPr>
                    <w:pStyle w:val="28"/>
                    <w:bidi w:val="0"/>
                    <w:rPr>
                      <w:rFonts w:hint="eastAsia"/>
                      <w:lang w:val="en-US" w:eastAsia="zh-CN"/>
                    </w:rPr>
                  </w:pPr>
                  <w:r>
                    <w:rPr>
                      <w:rFonts w:hint="eastAsia"/>
                      <w:lang w:val="en-US" w:eastAsia="zh-CN"/>
                    </w:rPr>
                    <w:t>颗粒物</w:t>
                  </w:r>
                </w:p>
              </w:tc>
              <w:tc>
                <w:tcPr>
                  <w:tcW w:w="1442" w:type="dxa"/>
                  <w:noWrap w:val="0"/>
                  <w:tcMar>
                    <w:top w:w="15" w:type="dxa"/>
                    <w:left w:w="15" w:type="dxa"/>
                    <w:right w:w="15" w:type="dxa"/>
                  </w:tcMar>
                  <w:vAlign w:val="center"/>
                </w:tcPr>
                <w:p w14:paraId="61DE2B8F">
                  <w:pPr>
                    <w:pStyle w:val="28"/>
                    <w:bidi w:val="0"/>
                    <w:rPr>
                      <w:rFonts w:hint="eastAsia"/>
                      <w:lang w:val="en-US" w:eastAsia="zh-CN"/>
                    </w:rPr>
                  </w:pPr>
                  <w:r>
                    <w:rPr>
                      <w:rFonts w:hint="eastAsia"/>
                      <w:lang w:val="en-US" w:eastAsia="zh-CN"/>
                    </w:rPr>
                    <w:t>120</w:t>
                  </w:r>
                </w:p>
              </w:tc>
              <w:tc>
                <w:tcPr>
                  <w:tcW w:w="1654" w:type="dxa"/>
                  <w:noWrap w:val="0"/>
                  <w:tcMar>
                    <w:top w:w="15" w:type="dxa"/>
                    <w:left w:w="15" w:type="dxa"/>
                    <w:right w:w="15" w:type="dxa"/>
                  </w:tcMar>
                  <w:vAlign w:val="center"/>
                </w:tcPr>
                <w:p w14:paraId="7F992514">
                  <w:pPr>
                    <w:pStyle w:val="28"/>
                    <w:bidi w:val="0"/>
                    <w:rPr>
                      <w:rFonts w:hint="default"/>
                      <w:lang w:val="en-US" w:eastAsia="zh-CN"/>
                    </w:rPr>
                  </w:pPr>
                  <w:r>
                    <w:rPr>
                      <w:rFonts w:hint="eastAsia"/>
                      <w:lang w:val="en-US" w:eastAsia="zh-CN"/>
                    </w:rPr>
                    <w:t>15</w:t>
                  </w:r>
                </w:p>
              </w:tc>
              <w:tc>
                <w:tcPr>
                  <w:tcW w:w="1532" w:type="dxa"/>
                  <w:noWrap w:val="0"/>
                  <w:tcMar>
                    <w:top w:w="15" w:type="dxa"/>
                    <w:left w:w="15" w:type="dxa"/>
                    <w:right w:w="15" w:type="dxa"/>
                  </w:tcMar>
                  <w:vAlign w:val="center"/>
                </w:tcPr>
                <w:p w14:paraId="6EC46FC5">
                  <w:pPr>
                    <w:pStyle w:val="28"/>
                    <w:bidi w:val="0"/>
                    <w:rPr>
                      <w:rFonts w:hint="default"/>
                      <w:lang w:val="en-US" w:eastAsia="zh-CN"/>
                    </w:rPr>
                  </w:pPr>
                  <w:r>
                    <w:rPr>
                      <w:rFonts w:hint="eastAsia"/>
                      <w:lang w:val="en-US" w:eastAsia="zh-CN"/>
                    </w:rPr>
                    <w:t>3.5</w:t>
                  </w:r>
                </w:p>
              </w:tc>
              <w:tc>
                <w:tcPr>
                  <w:tcW w:w="3247" w:type="dxa"/>
                  <w:noWrap w:val="0"/>
                  <w:tcMar>
                    <w:top w:w="15" w:type="dxa"/>
                    <w:left w:w="15" w:type="dxa"/>
                    <w:right w:w="15" w:type="dxa"/>
                  </w:tcMar>
                  <w:vAlign w:val="center"/>
                </w:tcPr>
                <w:p w14:paraId="2E6C4216">
                  <w:pPr>
                    <w:pStyle w:val="28"/>
                    <w:bidi w:val="0"/>
                    <w:rPr>
                      <w:rFonts w:hint="default"/>
                      <w:lang w:val="en-US" w:eastAsia="zh-CN"/>
                    </w:rPr>
                  </w:pPr>
                  <w:r>
                    <w:rPr>
                      <w:rFonts w:hint="eastAsia"/>
                      <w:highlight w:val="none"/>
                      <w:lang w:eastAsia="zh-CN"/>
                    </w:rPr>
                    <w:t>《</w:t>
                  </w:r>
                  <w:r>
                    <w:rPr>
                      <w:rFonts w:hint="eastAsia"/>
                      <w:highlight w:val="none"/>
                      <w:lang w:val="en-US" w:eastAsia="zh-CN"/>
                    </w:rPr>
                    <w:t>大气污染物综合排放标准</w:t>
                  </w:r>
                  <w:r>
                    <w:rPr>
                      <w:rFonts w:hint="eastAsia"/>
                      <w:highlight w:val="none"/>
                      <w:lang w:eastAsia="zh-CN"/>
                    </w:rPr>
                    <w:t>》（GB1</w:t>
                  </w:r>
                  <w:r>
                    <w:rPr>
                      <w:rFonts w:hint="eastAsia"/>
                      <w:highlight w:val="none"/>
                      <w:lang w:val="en-US" w:eastAsia="zh-CN"/>
                    </w:rPr>
                    <w:t>6297</w:t>
                  </w:r>
                  <w:r>
                    <w:rPr>
                      <w:rFonts w:hint="eastAsia"/>
                      <w:highlight w:val="none"/>
                      <w:lang w:eastAsia="zh-CN"/>
                    </w:rPr>
                    <w:t>-</w:t>
                  </w:r>
                  <w:r>
                    <w:rPr>
                      <w:rFonts w:hint="eastAsia"/>
                      <w:highlight w:val="none"/>
                      <w:lang w:val="en-US" w:eastAsia="zh-CN"/>
                    </w:rPr>
                    <w:t>1996</w:t>
                  </w:r>
                  <w:r>
                    <w:rPr>
                      <w:rFonts w:hint="eastAsia"/>
                      <w:highlight w:val="none"/>
                      <w:lang w:eastAsia="zh-CN"/>
                    </w:rPr>
                    <w:t>）</w:t>
                  </w:r>
                  <w:r>
                    <w:rPr>
                      <w:rFonts w:hint="default"/>
                      <w:lang w:val="en-US" w:eastAsia="zh-CN"/>
                    </w:rPr>
                    <w:t>表</w:t>
                  </w:r>
                  <w:r>
                    <w:rPr>
                      <w:rFonts w:hint="eastAsia"/>
                      <w:lang w:val="en-US" w:eastAsia="zh-CN"/>
                    </w:rPr>
                    <w:t>2</w:t>
                  </w:r>
                  <w:r>
                    <w:rPr>
                      <w:rFonts w:hint="default"/>
                      <w:lang w:val="en-US" w:eastAsia="zh-CN"/>
                    </w:rPr>
                    <w:t>排放限值</w:t>
                  </w:r>
                </w:p>
              </w:tc>
            </w:tr>
          </w:tbl>
          <w:p w14:paraId="30B83A27">
            <w:pPr>
              <w:pStyle w:val="4"/>
              <w:bidi w:val="0"/>
              <w:rPr>
                <w:rFonts w:hint="default"/>
                <w:color w:val="auto"/>
              </w:rPr>
            </w:pPr>
            <w:r>
              <w:rPr>
                <w:rFonts w:hint="default"/>
                <w:color w:val="auto"/>
                <w:lang w:val="en-US" w:eastAsia="zh-CN"/>
              </w:rPr>
              <w:t>3.</w:t>
            </w:r>
            <w:r>
              <w:rPr>
                <w:rFonts w:hint="eastAsia"/>
                <w:color w:val="auto"/>
                <w:lang w:val="en-US" w:eastAsia="zh-CN"/>
              </w:rPr>
              <w:t>7</w:t>
            </w:r>
            <w:r>
              <w:rPr>
                <w:rFonts w:hint="default"/>
                <w:color w:val="auto"/>
                <w:lang w:val="en-US" w:eastAsia="zh-CN"/>
              </w:rPr>
              <w:t>.3</w:t>
            </w:r>
            <w:r>
              <w:rPr>
                <w:rFonts w:hint="default"/>
                <w:color w:val="auto"/>
              </w:rPr>
              <w:t>厂界噪声</w:t>
            </w:r>
          </w:p>
          <w:p w14:paraId="7879C173">
            <w:pPr>
              <w:bidi w:val="0"/>
              <w:rPr>
                <w:rFonts w:hint="default"/>
                <w:b/>
                <w:bCs/>
                <w:color w:val="auto"/>
                <w:lang w:val="en-US" w:eastAsia="zh-CN"/>
              </w:rPr>
            </w:pPr>
            <w:r>
              <w:rPr>
                <w:rFonts w:hint="eastAsia"/>
                <w:b/>
                <w:bCs/>
                <w:color w:val="auto"/>
                <w:lang w:eastAsia="zh-CN"/>
              </w:rPr>
              <w:t>（</w:t>
            </w:r>
            <w:r>
              <w:rPr>
                <w:rFonts w:hint="eastAsia"/>
                <w:b/>
                <w:bCs/>
                <w:color w:val="auto"/>
                <w:lang w:val="en-US" w:eastAsia="zh-CN"/>
              </w:rPr>
              <w:t>1</w:t>
            </w:r>
            <w:r>
              <w:rPr>
                <w:rFonts w:hint="eastAsia"/>
                <w:b/>
                <w:bCs/>
                <w:color w:val="auto"/>
                <w:lang w:eastAsia="zh-CN"/>
              </w:rPr>
              <w:t>）</w:t>
            </w:r>
            <w:r>
              <w:rPr>
                <w:rFonts w:hint="eastAsia"/>
                <w:b/>
                <w:bCs/>
                <w:color w:val="auto"/>
                <w:lang w:val="en-US" w:eastAsia="zh-CN"/>
              </w:rPr>
              <w:t>施工期</w:t>
            </w:r>
          </w:p>
          <w:p w14:paraId="618FFCD2">
            <w:pPr>
              <w:bidi w:val="0"/>
              <w:rPr>
                <w:rFonts w:hint="default"/>
                <w:color w:val="auto"/>
              </w:rPr>
            </w:pPr>
            <w:r>
              <w:rPr>
                <w:rFonts w:hint="default"/>
                <w:color w:val="auto"/>
              </w:rPr>
              <w:t>项目施工期场界噪声执行《建筑施工场界环境噪声排放标准》(GB12523-2011)表1排放限值，详见表</w:t>
            </w:r>
            <w:r>
              <w:rPr>
                <w:rFonts w:hint="default"/>
                <w:color w:val="auto"/>
                <w:highlight w:val="none"/>
                <w:lang w:val="en-US" w:eastAsia="zh-CN"/>
              </w:rPr>
              <w:t>3</w:t>
            </w:r>
            <w:r>
              <w:rPr>
                <w:rFonts w:hint="default"/>
                <w:color w:val="auto"/>
                <w:highlight w:val="none"/>
              </w:rPr>
              <w:t>.</w:t>
            </w:r>
            <w:r>
              <w:rPr>
                <w:rFonts w:hint="eastAsia"/>
                <w:color w:val="auto"/>
                <w:highlight w:val="none"/>
                <w:lang w:val="en-US" w:eastAsia="zh-CN"/>
              </w:rPr>
              <w:t>7</w:t>
            </w:r>
            <w:r>
              <w:rPr>
                <w:rFonts w:hint="default"/>
                <w:color w:val="auto"/>
                <w:highlight w:val="none"/>
              </w:rPr>
              <w:t>-</w:t>
            </w:r>
            <w:r>
              <w:rPr>
                <w:rFonts w:hint="eastAsia"/>
                <w:color w:val="auto"/>
                <w:highlight w:val="none"/>
                <w:lang w:val="en-US" w:eastAsia="zh-CN"/>
              </w:rPr>
              <w:t>4</w:t>
            </w:r>
            <w:r>
              <w:rPr>
                <w:rFonts w:hint="default"/>
                <w:color w:val="auto"/>
                <w:highlight w:val="none"/>
              </w:rPr>
              <w:t>。</w:t>
            </w:r>
          </w:p>
          <w:p w14:paraId="18CAC6E9">
            <w:pPr>
              <w:pStyle w:val="33"/>
              <w:bidi w:val="0"/>
              <w:rPr>
                <w:rFonts w:hint="default"/>
                <w:color w:val="auto"/>
                <w:sz w:val="24"/>
                <w:szCs w:val="24"/>
              </w:rPr>
            </w:pPr>
            <w:r>
              <w:rPr>
                <w:rFonts w:hint="default"/>
                <w:color w:val="auto"/>
                <w:sz w:val="24"/>
                <w:szCs w:val="24"/>
              </w:rPr>
              <w:t>表3</w:t>
            </w:r>
            <w:r>
              <w:rPr>
                <w:rFonts w:hint="eastAsia"/>
                <w:color w:val="auto"/>
                <w:sz w:val="24"/>
                <w:szCs w:val="24"/>
                <w:lang w:val="en-US" w:eastAsia="zh-CN"/>
              </w:rPr>
              <w:t>.7-4</w:t>
            </w:r>
            <w:r>
              <w:rPr>
                <w:rFonts w:hint="default"/>
                <w:color w:val="auto"/>
                <w:sz w:val="24"/>
                <w:szCs w:val="24"/>
              </w:rPr>
              <w:t xml:space="preserve"> 《建筑施工场界环境噪声排放标准》(GB12523-2011)(摘录)</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441"/>
              <w:gridCol w:w="4174"/>
            </w:tblGrid>
            <w:tr w14:paraId="56621DB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7" w:hRule="atLeast"/>
                <w:jc w:val="center"/>
              </w:trPr>
              <w:tc>
                <w:tcPr>
                  <w:tcW w:w="2577" w:type="pct"/>
                  <w:noWrap w:val="0"/>
                  <w:vAlign w:val="center"/>
                </w:tcPr>
                <w:p w14:paraId="4FAC5E0F">
                  <w:pPr>
                    <w:pStyle w:val="33"/>
                    <w:bidi w:val="0"/>
                    <w:rPr>
                      <w:rFonts w:hint="default"/>
                      <w:color w:val="auto"/>
                    </w:rPr>
                  </w:pPr>
                  <w:r>
                    <w:rPr>
                      <w:rFonts w:hint="default"/>
                      <w:color w:val="auto"/>
                    </w:rPr>
                    <w:t>昼间[dB(A)]</w:t>
                  </w:r>
                </w:p>
              </w:tc>
              <w:tc>
                <w:tcPr>
                  <w:tcW w:w="2422" w:type="pct"/>
                  <w:noWrap w:val="0"/>
                  <w:vAlign w:val="center"/>
                </w:tcPr>
                <w:p w14:paraId="63F9DF5D">
                  <w:pPr>
                    <w:pStyle w:val="33"/>
                    <w:bidi w:val="0"/>
                    <w:rPr>
                      <w:rFonts w:hint="default"/>
                      <w:color w:val="auto"/>
                    </w:rPr>
                  </w:pPr>
                  <w:r>
                    <w:rPr>
                      <w:rFonts w:hint="default"/>
                      <w:color w:val="auto"/>
                    </w:rPr>
                    <w:t>夜间[dB(A)]</w:t>
                  </w:r>
                </w:p>
              </w:tc>
            </w:tr>
            <w:tr w14:paraId="267ECF9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577" w:type="pct"/>
                  <w:noWrap w:val="0"/>
                  <w:vAlign w:val="center"/>
                </w:tcPr>
                <w:p w14:paraId="042786FE">
                  <w:pPr>
                    <w:pStyle w:val="28"/>
                    <w:bidi w:val="0"/>
                    <w:rPr>
                      <w:rFonts w:hint="default"/>
                      <w:color w:val="auto"/>
                    </w:rPr>
                  </w:pPr>
                  <w:r>
                    <w:rPr>
                      <w:rFonts w:hint="default"/>
                      <w:color w:val="auto"/>
                    </w:rPr>
                    <w:t>70</w:t>
                  </w:r>
                </w:p>
              </w:tc>
              <w:tc>
                <w:tcPr>
                  <w:tcW w:w="2422" w:type="pct"/>
                  <w:noWrap w:val="0"/>
                  <w:vAlign w:val="center"/>
                </w:tcPr>
                <w:p w14:paraId="033797A3">
                  <w:pPr>
                    <w:pStyle w:val="28"/>
                    <w:bidi w:val="0"/>
                    <w:rPr>
                      <w:rFonts w:hint="default"/>
                      <w:color w:val="auto"/>
                    </w:rPr>
                  </w:pPr>
                  <w:r>
                    <w:rPr>
                      <w:rFonts w:hint="default"/>
                      <w:color w:val="auto"/>
                    </w:rPr>
                    <w:t>55</w:t>
                  </w:r>
                </w:p>
              </w:tc>
            </w:tr>
          </w:tbl>
          <w:p w14:paraId="737F502F">
            <w:pPr>
              <w:keepNext w:val="0"/>
              <w:keepLines w:val="0"/>
              <w:pageBreakBefore w:val="0"/>
              <w:widowControl w:val="0"/>
              <w:kinsoku/>
              <w:wordWrap/>
              <w:overflowPunct/>
              <w:topLinePunct w:val="0"/>
              <w:autoSpaceDE/>
              <w:autoSpaceDN/>
              <w:bidi w:val="0"/>
              <w:adjustRightInd/>
              <w:snapToGrid/>
              <w:spacing w:before="157" w:beforeLines="50"/>
              <w:textAlignment w:val="auto"/>
              <w:rPr>
                <w:rFonts w:hint="default"/>
                <w:color w:val="auto"/>
                <w:lang w:val="en-US"/>
              </w:rPr>
            </w:pPr>
            <w:r>
              <w:rPr>
                <w:rFonts w:hint="default"/>
                <w:color w:val="auto"/>
              </w:rPr>
              <w:t>项目运营期</w:t>
            </w:r>
            <w:r>
              <w:rPr>
                <w:rFonts w:hint="eastAsia"/>
                <w:color w:val="auto"/>
                <w:lang w:eastAsia="zh-CN"/>
              </w:rPr>
              <w:t>夜间不生产，昼间</w:t>
            </w:r>
            <w:r>
              <w:rPr>
                <w:rFonts w:hint="default"/>
                <w:color w:val="auto"/>
              </w:rPr>
              <w:t>厂界噪声执行《工业企业厂界环境噪声排放标准》(GB12348-2008)中</w:t>
            </w:r>
            <w:r>
              <w:rPr>
                <w:rFonts w:hint="eastAsia"/>
                <w:color w:val="auto"/>
                <w:lang w:val="en-US" w:eastAsia="zh-CN"/>
              </w:rPr>
              <w:t>2</w:t>
            </w:r>
            <w:r>
              <w:rPr>
                <w:rFonts w:hint="default"/>
                <w:color w:val="auto"/>
                <w:lang w:val="en-US" w:eastAsia="zh-CN"/>
              </w:rPr>
              <w:t>类</w:t>
            </w:r>
            <w:r>
              <w:rPr>
                <w:rFonts w:hint="eastAsia"/>
                <w:color w:val="auto"/>
                <w:lang w:val="en-US" w:eastAsia="zh-CN"/>
              </w:rPr>
              <w:t>标准。</w:t>
            </w:r>
          </w:p>
          <w:p w14:paraId="60059B4C">
            <w:pPr>
              <w:pStyle w:val="33"/>
              <w:bidi w:val="0"/>
              <w:rPr>
                <w:rFonts w:hint="default"/>
                <w:color w:val="auto"/>
                <w:sz w:val="24"/>
                <w:szCs w:val="24"/>
              </w:rPr>
            </w:pPr>
            <w:r>
              <w:rPr>
                <w:rFonts w:hint="default"/>
                <w:color w:val="auto"/>
                <w:sz w:val="24"/>
                <w:szCs w:val="24"/>
              </w:rPr>
              <w:t>表3.</w:t>
            </w:r>
            <w:r>
              <w:rPr>
                <w:rFonts w:hint="eastAsia"/>
                <w:color w:val="auto"/>
                <w:sz w:val="24"/>
                <w:szCs w:val="24"/>
                <w:lang w:val="en-US" w:eastAsia="zh-CN"/>
              </w:rPr>
              <w:t xml:space="preserve">7-5 </w:t>
            </w:r>
            <w:r>
              <w:rPr>
                <w:rFonts w:hint="default"/>
                <w:color w:val="auto"/>
                <w:sz w:val="24"/>
                <w:szCs w:val="24"/>
              </w:rPr>
              <w:t>《工业企业厂界环境噪声排放标准》(GB12348-2008)表1(摘录)</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331"/>
              <w:gridCol w:w="2130"/>
              <w:gridCol w:w="2154"/>
            </w:tblGrid>
            <w:tr w14:paraId="170EE4B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513" w:type="pct"/>
                  <w:tcBorders>
                    <w:tl2br w:val="single" w:color="auto" w:sz="2" w:space="0"/>
                  </w:tcBorders>
                  <w:noWrap w:val="0"/>
                  <w:vAlign w:val="center"/>
                </w:tcPr>
                <w:p w14:paraId="7AB7C6CD">
                  <w:pPr>
                    <w:pStyle w:val="33"/>
                    <w:bidi w:val="0"/>
                    <w:jc w:val="right"/>
                    <w:rPr>
                      <w:rFonts w:hint="default"/>
                      <w:color w:val="auto"/>
                    </w:rPr>
                  </w:pPr>
                  <w:r>
                    <w:rPr>
                      <w:rFonts w:hint="default"/>
                      <w:color w:val="auto"/>
                    </w:rPr>
                    <w:t>时段</w:t>
                  </w:r>
                </w:p>
                <w:p w14:paraId="393599C7">
                  <w:pPr>
                    <w:pStyle w:val="33"/>
                    <w:bidi w:val="0"/>
                    <w:jc w:val="left"/>
                    <w:rPr>
                      <w:rFonts w:hint="default"/>
                      <w:color w:val="auto"/>
                    </w:rPr>
                  </w:pPr>
                  <w:r>
                    <w:rPr>
                      <w:rFonts w:hint="default"/>
                      <w:color w:val="auto"/>
                    </w:rPr>
                    <w:t>厂界外声环境功能区类别</w:t>
                  </w:r>
                </w:p>
              </w:tc>
              <w:tc>
                <w:tcPr>
                  <w:tcW w:w="1236" w:type="pct"/>
                  <w:tcBorders>
                    <w:right w:val="single" w:color="auto" w:sz="4" w:space="0"/>
                  </w:tcBorders>
                  <w:noWrap w:val="0"/>
                  <w:vAlign w:val="center"/>
                </w:tcPr>
                <w:p w14:paraId="7470298C">
                  <w:pPr>
                    <w:pStyle w:val="33"/>
                    <w:bidi w:val="0"/>
                    <w:rPr>
                      <w:rFonts w:hint="default"/>
                      <w:color w:val="auto"/>
                    </w:rPr>
                  </w:pPr>
                  <w:r>
                    <w:rPr>
                      <w:rFonts w:hint="default"/>
                      <w:color w:val="auto"/>
                    </w:rPr>
                    <w:t>昼 间</w:t>
                  </w:r>
                </w:p>
              </w:tc>
              <w:tc>
                <w:tcPr>
                  <w:tcW w:w="1249" w:type="pct"/>
                  <w:noWrap w:val="0"/>
                  <w:vAlign w:val="center"/>
                </w:tcPr>
                <w:p w14:paraId="66D4BB60">
                  <w:pPr>
                    <w:pStyle w:val="33"/>
                    <w:bidi w:val="0"/>
                    <w:rPr>
                      <w:rFonts w:hint="default"/>
                      <w:color w:val="auto"/>
                    </w:rPr>
                  </w:pPr>
                  <w:r>
                    <w:rPr>
                      <w:rFonts w:hint="default"/>
                      <w:color w:val="auto"/>
                    </w:rPr>
                    <w:t>单 位</w:t>
                  </w:r>
                </w:p>
              </w:tc>
            </w:tr>
            <w:tr w14:paraId="75B4A85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513" w:type="pct"/>
                  <w:noWrap w:val="0"/>
                  <w:vAlign w:val="center"/>
                </w:tcPr>
                <w:p w14:paraId="39FE9C90">
                  <w:pPr>
                    <w:pStyle w:val="28"/>
                    <w:bidi w:val="0"/>
                    <w:rPr>
                      <w:rFonts w:hint="default"/>
                      <w:color w:val="auto"/>
                    </w:rPr>
                  </w:pPr>
                  <w:r>
                    <w:rPr>
                      <w:rFonts w:hint="eastAsia"/>
                      <w:color w:val="auto"/>
                      <w:lang w:val="en-US" w:eastAsia="zh-CN"/>
                    </w:rPr>
                    <w:t>2</w:t>
                  </w:r>
                  <w:r>
                    <w:rPr>
                      <w:rFonts w:hint="default"/>
                      <w:color w:val="auto"/>
                    </w:rPr>
                    <w:t>类</w:t>
                  </w:r>
                </w:p>
              </w:tc>
              <w:tc>
                <w:tcPr>
                  <w:tcW w:w="1236" w:type="pct"/>
                  <w:tcBorders>
                    <w:right w:val="single" w:color="auto" w:sz="4" w:space="0"/>
                  </w:tcBorders>
                  <w:noWrap w:val="0"/>
                  <w:vAlign w:val="center"/>
                </w:tcPr>
                <w:p w14:paraId="4F7305B6">
                  <w:pPr>
                    <w:pStyle w:val="28"/>
                    <w:bidi w:val="0"/>
                    <w:rPr>
                      <w:rFonts w:hint="default"/>
                      <w:color w:val="auto"/>
                      <w:lang w:val="en-US" w:eastAsia="zh-CN"/>
                    </w:rPr>
                  </w:pPr>
                  <w:r>
                    <w:rPr>
                      <w:rFonts w:hint="default"/>
                      <w:color w:val="auto"/>
                    </w:rPr>
                    <w:t>≤</w:t>
                  </w:r>
                  <w:r>
                    <w:rPr>
                      <w:rFonts w:hint="eastAsia"/>
                      <w:color w:val="auto"/>
                      <w:lang w:val="en-US" w:eastAsia="zh-CN"/>
                    </w:rPr>
                    <w:t>60</w:t>
                  </w:r>
                </w:p>
              </w:tc>
              <w:tc>
                <w:tcPr>
                  <w:tcW w:w="1249" w:type="pct"/>
                  <w:noWrap w:val="0"/>
                  <w:vAlign w:val="center"/>
                </w:tcPr>
                <w:p w14:paraId="6FDE165F">
                  <w:pPr>
                    <w:pStyle w:val="28"/>
                    <w:bidi w:val="0"/>
                    <w:rPr>
                      <w:rFonts w:hint="default"/>
                      <w:color w:val="auto"/>
                    </w:rPr>
                  </w:pPr>
                  <w:r>
                    <w:rPr>
                      <w:rFonts w:hint="default"/>
                      <w:color w:val="auto"/>
                    </w:rPr>
                    <w:t>dB(A)</w:t>
                  </w:r>
                </w:p>
              </w:tc>
            </w:tr>
          </w:tbl>
          <w:p w14:paraId="188DBD1C">
            <w:pPr>
              <w:pStyle w:val="4"/>
              <w:bidi w:val="0"/>
              <w:rPr>
                <w:rFonts w:hint="default"/>
                <w:color w:val="auto"/>
              </w:rPr>
            </w:pPr>
            <w:r>
              <w:rPr>
                <w:rFonts w:hint="default"/>
                <w:color w:val="auto"/>
                <w:lang w:val="en-US" w:eastAsia="zh-CN"/>
              </w:rPr>
              <w:t>3.</w:t>
            </w:r>
            <w:r>
              <w:rPr>
                <w:rFonts w:hint="eastAsia"/>
                <w:color w:val="auto"/>
                <w:lang w:val="en-US" w:eastAsia="zh-CN"/>
              </w:rPr>
              <w:t>7</w:t>
            </w:r>
            <w:r>
              <w:rPr>
                <w:rFonts w:hint="default"/>
                <w:color w:val="auto"/>
                <w:lang w:val="en-US" w:eastAsia="zh-CN"/>
              </w:rPr>
              <w:t xml:space="preserve">.4 </w:t>
            </w:r>
            <w:r>
              <w:rPr>
                <w:rFonts w:hint="default"/>
                <w:color w:val="auto"/>
              </w:rPr>
              <w:t>固体废物</w:t>
            </w:r>
          </w:p>
          <w:p w14:paraId="0291746E">
            <w:pPr>
              <w:bidi w:val="0"/>
              <w:rPr>
                <w:rFonts w:hint="default" w:ascii="Times New Roman" w:hAnsi="Times New Roman" w:eastAsia="宋体" w:cs="Times New Roman"/>
                <w:color w:val="auto"/>
                <w:kern w:val="0"/>
                <w:szCs w:val="21"/>
              </w:rPr>
            </w:pPr>
            <w:r>
              <w:rPr>
                <w:rFonts w:hint="default"/>
                <w:color w:val="auto"/>
              </w:rPr>
              <w:t>运营期项目内产生的</w:t>
            </w:r>
            <w:r>
              <w:rPr>
                <w:rFonts w:hint="default"/>
                <w:color w:val="auto"/>
                <w:lang w:eastAsia="zh-CN"/>
              </w:rPr>
              <w:t>一般工业固废</w:t>
            </w:r>
            <w:r>
              <w:rPr>
                <w:rFonts w:hint="eastAsia"/>
                <w:color w:val="auto"/>
                <w:lang w:val="en-US" w:eastAsia="zh-CN"/>
              </w:rPr>
              <w:t>贮存</w:t>
            </w:r>
            <w:r>
              <w:rPr>
                <w:rFonts w:hint="default"/>
                <w:color w:val="auto"/>
                <w:lang w:eastAsia="zh-CN"/>
              </w:rPr>
              <w:t>应</w:t>
            </w:r>
            <w:r>
              <w:rPr>
                <w:rFonts w:hint="default"/>
                <w:color w:val="auto"/>
              </w:rPr>
              <w:t>按照</w:t>
            </w:r>
            <w:r>
              <w:rPr>
                <w:rFonts w:hint="eastAsia"/>
                <w:color w:val="auto"/>
                <w:lang w:eastAsia="zh-CN"/>
              </w:rPr>
              <w:t>《一般工业固体废物贮存和填埋污染控制标准》(GB18599-2020)要求</w:t>
            </w:r>
            <w:r>
              <w:rPr>
                <w:rFonts w:hint="default"/>
                <w:color w:val="auto"/>
              </w:rPr>
              <w:t>进行</w:t>
            </w:r>
            <w:r>
              <w:rPr>
                <w:rFonts w:hint="eastAsia"/>
                <w:color w:val="auto"/>
                <w:lang w:eastAsia="zh-CN"/>
              </w:rPr>
              <w:t>；</w:t>
            </w:r>
            <w:r>
              <w:rPr>
                <w:rFonts w:hint="default"/>
                <w:color w:val="auto"/>
              </w:rPr>
              <w:t>危险废物</w:t>
            </w:r>
            <w:r>
              <w:rPr>
                <w:rFonts w:hint="eastAsia"/>
                <w:color w:val="auto"/>
                <w:lang w:val="en-US" w:eastAsia="zh-CN"/>
              </w:rPr>
              <w:t>贮存</w:t>
            </w:r>
            <w:r>
              <w:rPr>
                <w:rFonts w:hint="default"/>
                <w:color w:val="auto"/>
              </w:rPr>
              <w:t>应按照</w:t>
            </w:r>
            <w:r>
              <w:rPr>
                <w:rFonts w:hint="eastAsia"/>
                <w:color w:val="auto"/>
                <w:lang w:val="en-US" w:eastAsia="zh-CN"/>
              </w:rPr>
              <w:t>《危险废物贮存污染控制标准》(GB18597-2023)要求</w:t>
            </w:r>
            <w:r>
              <w:rPr>
                <w:rFonts w:hint="default"/>
                <w:color w:val="auto"/>
              </w:rPr>
              <w:t>进行</w:t>
            </w:r>
            <w:r>
              <w:rPr>
                <w:rFonts w:hint="eastAsia"/>
                <w:color w:val="auto"/>
                <w:lang w:eastAsia="zh-CN"/>
              </w:rPr>
              <w:t>，</w:t>
            </w:r>
            <w:r>
              <w:rPr>
                <w:rFonts w:hint="eastAsia"/>
                <w:color w:val="auto"/>
                <w:lang w:val="en-US" w:eastAsia="zh-CN"/>
              </w:rPr>
              <w:t>危险废物识别标志按照《危险废物识别标志设置技术规范》(HJ 1276-2022)要求进行</w:t>
            </w:r>
            <w:r>
              <w:rPr>
                <w:rFonts w:hint="default"/>
                <w:color w:val="auto"/>
                <w:lang w:val="en-US" w:eastAsia="zh-CN"/>
              </w:rPr>
              <w:t>设置</w:t>
            </w:r>
            <w:r>
              <w:rPr>
                <w:rFonts w:hint="eastAsia"/>
                <w:color w:val="auto"/>
                <w:lang w:eastAsia="zh-CN"/>
              </w:rPr>
              <w:t>，</w:t>
            </w:r>
            <w:r>
              <w:rPr>
                <w:rFonts w:hint="eastAsia"/>
                <w:color w:val="auto"/>
                <w:lang w:val="en-US" w:eastAsia="zh-CN"/>
              </w:rPr>
              <w:t>危险废物转移按照《危险废物转移管理办法》要求进行；项</w:t>
            </w:r>
            <w:r>
              <w:rPr>
                <w:rFonts w:hint="default"/>
                <w:color w:val="auto"/>
              </w:rPr>
              <w:t>目生活垃圾</w:t>
            </w:r>
            <w:r>
              <w:rPr>
                <w:rFonts w:hint="default"/>
                <w:color w:val="auto"/>
                <w:lang w:val="en-US" w:eastAsia="zh-CN"/>
              </w:rPr>
              <w:t>参照</w:t>
            </w:r>
            <w:r>
              <w:rPr>
                <w:rFonts w:hint="default"/>
                <w:color w:val="auto"/>
              </w:rPr>
              <w:t>《城市环境卫生设施规划规范》</w:t>
            </w:r>
            <w:r>
              <w:rPr>
                <w:rFonts w:hint="default"/>
                <w:color w:val="auto"/>
                <w:lang w:val="en-US" w:eastAsia="zh-CN"/>
              </w:rPr>
              <w:t>(</w:t>
            </w:r>
            <w:r>
              <w:rPr>
                <w:rFonts w:hint="default"/>
                <w:color w:val="auto"/>
              </w:rPr>
              <w:t>GB50337-2018</w:t>
            </w:r>
            <w:r>
              <w:rPr>
                <w:rFonts w:hint="default"/>
                <w:color w:val="auto"/>
                <w:lang w:val="en-US" w:eastAsia="zh-CN"/>
              </w:rPr>
              <w:t>)</w:t>
            </w:r>
            <w:r>
              <w:rPr>
                <w:rFonts w:hint="default"/>
                <w:color w:val="auto"/>
              </w:rPr>
              <w:t>中的要求进行综合利用和处置</w:t>
            </w:r>
            <w:r>
              <w:rPr>
                <w:rFonts w:hint="default"/>
                <w:color w:val="auto"/>
                <w:lang w:eastAsia="zh-CN"/>
              </w:rPr>
              <w:t>。</w:t>
            </w:r>
          </w:p>
        </w:tc>
      </w:tr>
      <w:tr w14:paraId="7A30D0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25" w:hRule="atLeast"/>
          <w:jc w:val="center"/>
        </w:trPr>
        <w:tc>
          <w:tcPr>
            <w:tcW w:w="680" w:type="dxa"/>
            <w:noWrap w:val="0"/>
            <w:vAlign w:val="center"/>
          </w:tcPr>
          <w:p w14:paraId="4F993A9A">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总量</w:t>
            </w:r>
          </w:p>
          <w:p w14:paraId="0E84BFA1">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控制</w:t>
            </w:r>
          </w:p>
          <w:p w14:paraId="6B33EAAF">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Cs w:val="21"/>
                <w:highlight w:val="none"/>
              </w:rPr>
              <w:t>指标</w:t>
            </w:r>
          </w:p>
        </w:tc>
        <w:tc>
          <w:tcPr>
            <w:tcW w:w="8310" w:type="dxa"/>
            <w:noWrap w:val="0"/>
            <w:vAlign w:val="center"/>
          </w:tcPr>
          <w:p w14:paraId="6C0FA709">
            <w:pPr>
              <w:pStyle w:val="3"/>
              <w:bidi w:val="0"/>
              <w:rPr>
                <w:rFonts w:hint="default"/>
                <w:color w:val="auto"/>
                <w:lang w:val="en-US" w:eastAsia="zh-CN"/>
              </w:rPr>
            </w:pPr>
            <w:r>
              <w:rPr>
                <w:rFonts w:hint="eastAsia"/>
                <w:color w:val="auto"/>
                <w:lang w:val="en-US" w:eastAsia="zh-CN"/>
              </w:rPr>
              <w:t>3.8 总量控制指标</w:t>
            </w:r>
          </w:p>
          <w:p w14:paraId="41E77920">
            <w:pPr>
              <w:pStyle w:val="4"/>
              <w:bidi w:val="0"/>
              <w:rPr>
                <w:rFonts w:hint="default"/>
                <w:color w:val="auto"/>
                <w:lang w:val="en-US" w:eastAsia="zh-CN"/>
              </w:rPr>
            </w:pPr>
            <w:r>
              <w:rPr>
                <w:rFonts w:hint="eastAsia"/>
                <w:color w:val="auto"/>
                <w:lang w:val="en-US" w:eastAsia="zh-CN"/>
              </w:rPr>
              <w:t>3.8.1 总量控制指标</w:t>
            </w:r>
          </w:p>
          <w:p w14:paraId="20799C91">
            <w:pPr>
              <w:bidi w:val="0"/>
              <w:rPr>
                <w:rFonts w:hint="eastAsia"/>
                <w:color w:val="auto"/>
                <w:lang w:val="en-US" w:eastAsia="zh-CN"/>
              </w:rPr>
            </w:pPr>
            <w:r>
              <w:rPr>
                <w:rFonts w:hint="default"/>
                <w:color w:val="auto"/>
                <w:lang w:val="en-GB"/>
              </w:rPr>
              <w:t>根据《福建省建设项目主要污染物排放总量指标管理办法</w:t>
            </w:r>
            <w:r>
              <w:rPr>
                <w:rFonts w:hint="eastAsia"/>
                <w:color w:val="auto"/>
                <w:lang w:val="en-GB" w:eastAsia="zh-CN"/>
              </w:rPr>
              <w:t>（</w:t>
            </w:r>
            <w:r>
              <w:rPr>
                <w:rFonts w:hint="default"/>
                <w:color w:val="auto"/>
                <w:lang w:val="en-GB"/>
              </w:rPr>
              <w:t>试行</w:t>
            </w:r>
            <w:r>
              <w:rPr>
                <w:rFonts w:hint="eastAsia"/>
                <w:color w:val="auto"/>
                <w:lang w:val="en-GB" w:eastAsia="zh-CN"/>
              </w:rPr>
              <w:t>）</w:t>
            </w:r>
            <w:r>
              <w:rPr>
                <w:rFonts w:hint="default"/>
                <w:color w:val="auto"/>
                <w:lang w:val="en-GB"/>
              </w:rPr>
              <w:t>的通知》</w:t>
            </w:r>
            <w:r>
              <w:rPr>
                <w:rFonts w:hint="eastAsia"/>
                <w:color w:val="auto"/>
                <w:lang w:val="en-GB" w:eastAsia="zh-CN"/>
              </w:rPr>
              <w:t>（</w:t>
            </w:r>
            <w:r>
              <w:rPr>
                <w:rFonts w:hint="default"/>
                <w:color w:val="auto"/>
                <w:lang w:val="en-GB"/>
              </w:rPr>
              <w:t>闽环发</w:t>
            </w:r>
            <w:r>
              <w:rPr>
                <w:rFonts w:hint="eastAsia"/>
                <w:color w:val="auto"/>
                <w:lang w:val="en-GB" w:eastAsia="zh-CN"/>
              </w:rPr>
              <w:t>〔</w:t>
            </w:r>
            <w:r>
              <w:rPr>
                <w:rFonts w:hint="default"/>
                <w:color w:val="auto"/>
                <w:lang w:val="en-GB"/>
              </w:rPr>
              <w:t>2014</w:t>
            </w:r>
            <w:r>
              <w:rPr>
                <w:rFonts w:hint="eastAsia"/>
                <w:color w:val="auto"/>
                <w:lang w:val="en-GB" w:eastAsia="zh-CN"/>
              </w:rPr>
              <w:t>〕</w:t>
            </w:r>
            <w:r>
              <w:rPr>
                <w:rFonts w:hint="default"/>
                <w:color w:val="auto"/>
                <w:lang w:val="en-GB"/>
              </w:rPr>
              <w:t>13号</w:t>
            </w:r>
            <w:r>
              <w:rPr>
                <w:rFonts w:hint="eastAsia"/>
                <w:color w:val="auto"/>
                <w:lang w:val="en-GB" w:eastAsia="zh-CN"/>
              </w:rPr>
              <w:t>）</w:t>
            </w:r>
            <w:r>
              <w:rPr>
                <w:rFonts w:hint="default"/>
                <w:color w:val="auto"/>
                <w:lang w:val="en-GB"/>
              </w:rPr>
              <w:t>、《福建省关于全面实施排污权有偿使用和交易工作的意见》</w:t>
            </w:r>
            <w:r>
              <w:rPr>
                <w:rFonts w:hint="eastAsia"/>
                <w:color w:val="auto"/>
                <w:lang w:val="en-GB" w:eastAsia="zh-CN"/>
              </w:rPr>
              <w:t>（</w:t>
            </w:r>
            <w:r>
              <w:rPr>
                <w:rFonts w:hint="default"/>
                <w:color w:val="auto"/>
                <w:lang w:val="en-GB"/>
              </w:rPr>
              <w:t>政2016号54号</w:t>
            </w:r>
            <w:r>
              <w:rPr>
                <w:rFonts w:hint="eastAsia"/>
                <w:color w:val="auto"/>
                <w:lang w:val="en-GB" w:eastAsia="zh-CN"/>
              </w:rPr>
              <w:t>）</w:t>
            </w:r>
            <w:r>
              <w:rPr>
                <w:rFonts w:hint="eastAsia"/>
                <w:color w:val="auto"/>
                <w:lang w:val="en-US" w:eastAsia="zh-CN"/>
              </w:rPr>
              <w:t>等文件要求，</w:t>
            </w:r>
            <w:r>
              <w:rPr>
                <w:rFonts w:hint="default"/>
                <w:color w:val="auto"/>
                <w:lang w:val="en-GB"/>
              </w:rPr>
              <w:t>现阶段</w:t>
            </w:r>
            <w:r>
              <w:rPr>
                <w:rFonts w:hint="eastAsia"/>
                <w:color w:val="auto"/>
                <w:lang w:val="en-US" w:eastAsia="zh-CN"/>
              </w:rPr>
              <w:t>福建省主要污染物排放总量指标为COD、NH</w:t>
            </w:r>
            <w:r>
              <w:rPr>
                <w:rFonts w:hint="eastAsia"/>
                <w:color w:val="auto"/>
                <w:vertAlign w:val="subscript"/>
                <w:lang w:val="en-US" w:eastAsia="zh-CN"/>
              </w:rPr>
              <w:t>3</w:t>
            </w:r>
            <w:r>
              <w:rPr>
                <w:rFonts w:hint="eastAsia"/>
                <w:color w:val="auto"/>
                <w:lang w:val="en-US" w:eastAsia="zh-CN"/>
              </w:rPr>
              <w:t>-N、SO</w:t>
            </w:r>
            <w:r>
              <w:rPr>
                <w:rFonts w:hint="eastAsia"/>
                <w:color w:val="auto"/>
                <w:vertAlign w:val="subscript"/>
                <w:lang w:val="en-US" w:eastAsia="zh-CN"/>
              </w:rPr>
              <w:t>2</w:t>
            </w:r>
            <w:r>
              <w:rPr>
                <w:rFonts w:hint="eastAsia"/>
                <w:color w:val="auto"/>
                <w:lang w:val="en-US" w:eastAsia="zh-CN"/>
              </w:rPr>
              <w:t>、NO</w:t>
            </w:r>
            <w:r>
              <w:rPr>
                <w:rFonts w:hint="eastAsia"/>
                <w:color w:val="auto"/>
                <w:vertAlign w:val="subscript"/>
                <w:lang w:val="en-US" w:eastAsia="zh-CN"/>
              </w:rPr>
              <w:t>x</w:t>
            </w:r>
            <w:r>
              <w:rPr>
                <w:rFonts w:hint="eastAsia"/>
                <w:color w:val="auto"/>
                <w:lang w:val="en-US" w:eastAsia="zh-CN"/>
              </w:rPr>
              <w:t>。同时根据《福建省大气污染防治条例》，结合《福州市生态环境局关于印发福州市大气污染联防联控联治工作方案的通知》（榕环保综〔2018〕386号）等文件要求，VOCs指标也列入总量控制行列。</w:t>
            </w:r>
          </w:p>
          <w:p w14:paraId="2A09BAA4">
            <w:pPr>
              <w:pStyle w:val="4"/>
              <w:bidi w:val="0"/>
              <w:rPr>
                <w:rFonts w:hint="default"/>
                <w:color w:val="auto"/>
                <w:lang w:val="en-US" w:eastAsia="zh-CN"/>
              </w:rPr>
            </w:pPr>
            <w:r>
              <w:rPr>
                <w:rFonts w:hint="eastAsia"/>
                <w:color w:val="auto"/>
                <w:lang w:val="en-US" w:eastAsia="zh-CN"/>
              </w:rPr>
              <w:t>3.8.2 废水主要污染物排放总量</w:t>
            </w:r>
          </w:p>
          <w:p w14:paraId="2AA8FC02">
            <w:pPr>
              <w:bidi w:val="0"/>
              <w:rPr>
                <w:rFonts w:hint="eastAsia" w:ascii="Times New Roman" w:hAnsi="Times New Roman" w:eastAsia="宋体"/>
                <w:color w:val="auto"/>
                <w:szCs w:val="21"/>
                <w:lang w:val="en-US" w:eastAsia="zh-CN"/>
              </w:rPr>
            </w:pPr>
            <w:r>
              <w:rPr>
                <w:rFonts w:hint="eastAsia"/>
                <w:color w:val="auto"/>
                <w:lang w:val="en-US" w:eastAsia="zh-CN"/>
              </w:rPr>
              <w:t>本项目生产废水及生产区初期雨水经处理后全部回用，不外排；厂区职工日常生活污水通过管线进入化粪池+一体化生物滤池处理设施处理，尾水近期回用于厂区绿化灌溉。</w:t>
            </w:r>
            <w:r>
              <w:rPr>
                <w:color w:val="auto"/>
              </w:rPr>
              <w:t>根据《福建省环保厅关于进一步明确排污权工作有关问题的通知》</w:t>
            </w:r>
            <w:r>
              <w:rPr>
                <w:rFonts w:hint="eastAsia"/>
                <w:color w:val="auto"/>
                <w:lang w:eastAsia="zh-CN"/>
              </w:rPr>
              <w:t>（</w:t>
            </w:r>
            <w:r>
              <w:rPr>
                <w:color w:val="auto"/>
              </w:rPr>
              <w:t>闽环保财</w:t>
            </w:r>
            <w:r>
              <w:rPr>
                <w:rFonts w:hint="eastAsia"/>
                <w:color w:val="auto"/>
                <w:lang w:eastAsia="zh-CN"/>
              </w:rPr>
              <w:t>〔</w:t>
            </w:r>
            <w:r>
              <w:rPr>
                <w:color w:val="auto"/>
              </w:rPr>
              <w:t>2017</w:t>
            </w:r>
            <w:r>
              <w:rPr>
                <w:rFonts w:hint="eastAsia"/>
                <w:color w:val="auto"/>
                <w:lang w:eastAsia="zh-CN"/>
              </w:rPr>
              <w:t>〕</w:t>
            </w:r>
            <w:r>
              <w:rPr>
                <w:color w:val="auto"/>
              </w:rPr>
              <w:t>22号</w:t>
            </w:r>
            <w:r>
              <w:rPr>
                <w:rFonts w:hint="eastAsia"/>
                <w:color w:val="auto"/>
                <w:lang w:eastAsia="zh-CN"/>
              </w:rPr>
              <w:t>）</w:t>
            </w:r>
            <w:r>
              <w:rPr>
                <w:color w:val="auto"/>
              </w:rPr>
              <w:t>，现有工业排污单位的水污染物的初始排污权只核定工业废水部分，项目生活污水排放暂不需要购买相应的排污权指标</w:t>
            </w:r>
            <w:r>
              <w:rPr>
                <w:rFonts w:hint="eastAsia"/>
                <w:color w:val="auto"/>
                <w:lang w:eastAsia="zh-CN"/>
              </w:rPr>
              <w:t>，因此项目无需申请</w:t>
            </w:r>
            <w:r>
              <w:rPr>
                <w:rFonts w:hint="eastAsia"/>
                <w:color w:val="auto"/>
                <w:lang w:val="en-US" w:eastAsia="zh-CN"/>
              </w:rPr>
              <w:t>COD、NH</w:t>
            </w:r>
            <w:r>
              <w:rPr>
                <w:rFonts w:hint="eastAsia"/>
                <w:color w:val="auto"/>
                <w:vertAlign w:val="subscript"/>
                <w:lang w:val="en-US" w:eastAsia="zh-CN"/>
              </w:rPr>
              <w:t>3</w:t>
            </w:r>
            <w:r>
              <w:rPr>
                <w:rFonts w:hint="eastAsia"/>
                <w:color w:val="auto"/>
                <w:lang w:val="en-US" w:eastAsia="zh-CN"/>
              </w:rPr>
              <w:t>-N排污权指标。</w:t>
            </w:r>
          </w:p>
          <w:p w14:paraId="1EB924D8">
            <w:pPr>
              <w:pStyle w:val="4"/>
              <w:bidi w:val="0"/>
              <w:rPr>
                <w:rFonts w:hint="default"/>
                <w:color w:val="auto"/>
                <w:lang w:val="en-US" w:eastAsia="zh-CN"/>
              </w:rPr>
            </w:pPr>
            <w:r>
              <w:rPr>
                <w:rFonts w:hint="eastAsia"/>
                <w:color w:val="auto"/>
                <w:lang w:val="en-US" w:eastAsia="zh-CN"/>
              </w:rPr>
              <w:t>3.8.3 废气主要污染物排放总量</w:t>
            </w:r>
          </w:p>
          <w:p w14:paraId="53262B68">
            <w:pPr>
              <w:bidi w:val="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本项目不产生SO</w:t>
            </w:r>
            <w:r>
              <w:rPr>
                <w:rFonts w:hint="eastAsia" w:ascii="Times New Roman" w:hAnsi="Times New Roman" w:eastAsia="宋体" w:cs="Times New Roman"/>
                <w:color w:val="auto"/>
                <w:sz w:val="24"/>
                <w:vertAlign w:val="subscript"/>
                <w:lang w:val="en-US" w:eastAsia="zh-CN"/>
              </w:rPr>
              <w:t>2</w:t>
            </w:r>
            <w:r>
              <w:rPr>
                <w:rFonts w:hint="eastAsia" w:ascii="Times New Roman" w:hAnsi="Times New Roman" w:eastAsia="宋体" w:cs="Times New Roman"/>
                <w:color w:val="auto"/>
                <w:sz w:val="24"/>
                <w:lang w:val="en-US" w:eastAsia="zh-CN"/>
              </w:rPr>
              <w:t>、NO</w:t>
            </w:r>
            <w:r>
              <w:rPr>
                <w:rFonts w:hint="eastAsia" w:ascii="Times New Roman" w:hAnsi="Times New Roman" w:eastAsia="宋体" w:cs="Times New Roman"/>
                <w:color w:val="auto"/>
                <w:sz w:val="24"/>
                <w:vertAlign w:val="subscript"/>
                <w:lang w:val="en-US" w:eastAsia="zh-CN"/>
              </w:rPr>
              <w:t>X</w:t>
            </w:r>
            <w:r>
              <w:rPr>
                <w:rFonts w:hint="eastAsia" w:ascii="Times New Roman" w:hAnsi="Times New Roman" w:eastAsia="宋体" w:cs="Times New Roman"/>
                <w:color w:val="auto"/>
                <w:sz w:val="24"/>
                <w:lang w:val="en-US" w:eastAsia="zh-CN"/>
              </w:rPr>
              <w:t>及VOCs，不需要进行SO</w:t>
            </w:r>
            <w:r>
              <w:rPr>
                <w:rFonts w:hint="eastAsia" w:ascii="Times New Roman" w:hAnsi="Times New Roman" w:eastAsia="宋体" w:cs="Times New Roman"/>
                <w:color w:val="auto"/>
                <w:sz w:val="24"/>
                <w:vertAlign w:val="subscript"/>
                <w:lang w:val="en-US" w:eastAsia="zh-CN"/>
              </w:rPr>
              <w:t>2</w:t>
            </w:r>
            <w:r>
              <w:rPr>
                <w:rFonts w:hint="eastAsia" w:ascii="Times New Roman" w:hAnsi="Times New Roman" w:eastAsia="宋体" w:cs="Times New Roman"/>
                <w:color w:val="auto"/>
                <w:sz w:val="24"/>
                <w:lang w:val="en-US" w:eastAsia="zh-CN"/>
              </w:rPr>
              <w:t>、NO</w:t>
            </w:r>
            <w:r>
              <w:rPr>
                <w:rFonts w:hint="eastAsia" w:ascii="Times New Roman" w:hAnsi="Times New Roman" w:eastAsia="宋体" w:cs="Times New Roman"/>
                <w:color w:val="auto"/>
                <w:sz w:val="24"/>
                <w:vertAlign w:val="subscript"/>
                <w:lang w:val="en-US" w:eastAsia="zh-CN"/>
              </w:rPr>
              <w:t>X</w:t>
            </w:r>
            <w:r>
              <w:rPr>
                <w:rFonts w:hint="eastAsia" w:ascii="Times New Roman" w:hAnsi="Times New Roman" w:eastAsia="宋体" w:cs="Times New Roman"/>
                <w:color w:val="auto"/>
                <w:sz w:val="24"/>
                <w:lang w:val="en-US" w:eastAsia="zh-CN"/>
              </w:rPr>
              <w:t>废气总量购买及VOCs</w:t>
            </w:r>
            <w:r>
              <w:rPr>
                <w:rFonts w:hint="default" w:ascii="Times New Roman" w:hAnsi="Times New Roman" w:eastAsia="宋体" w:cs="Times New Roman"/>
                <w:color w:val="auto"/>
                <w:sz w:val="24"/>
                <w:lang w:val="en-US" w:eastAsia="zh-CN"/>
              </w:rPr>
              <w:t>区域削减替代</w:t>
            </w:r>
            <w:r>
              <w:rPr>
                <w:rFonts w:hint="eastAsia"/>
                <w:color w:val="auto"/>
                <w:lang w:val="en-US" w:eastAsia="zh-CN"/>
              </w:rPr>
              <w:t>。</w:t>
            </w:r>
            <w:r>
              <w:rPr>
                <w:rFonts w:hint="eastAsia" w:ascii="Times New Roman" w:hAnsi="Times New Roman" w:eastAsia="宋体" w:cs="Times New Roman"/>
                <w:color w:val="auto"/>
                <w:sz w:val="24"/>
                <w:lang w:val="en-US" w:eastAsia="zh-CN"/>
              </w:rPr>
              <w:t>项目排放的少量颗粒物以达标排放控制，粉尘排放总量详见表3.8-1。</w:t>
            </w:r>
          </w:p>
          <w:p w14:paraId="1A237A49">
            <w:pPr>
              <w:spacing w:before="120" w:beforeLines="50"/>
              <w:jc w:val="center"/>
              <w:rPr>
                <w:rFonts w:hint="default" w:ascii="Times New Roman" w:hAnsi="Times New Roman" w:eastAsia="黑体" w:cs="Times New Roman"/>
                <w:color w:val="auto"/>
                <w:sz w:val="24"/>
                <w:highlight w:val="none"/>
              </w:rPr>
            </w:pPr>
            <w:r>
              <w:rPr>
                <w:rFonts w:hint="default" w:ascii="Times New Roman" w:hAnsi="Times New Roman" w:eastAsia="黑体" w:cs="Times New Roman"/>
                <w:color w:val="auto"/>
                <w:sz w:val="24"/>
                <w:highlight w:val="none"/>
              </w:rPr>
              <w:t>表</w:t>
            </w:r>
            <w:r>
              <w:rPr>
                <w:rFonts w:hint="eastAsia" w:ascii="Times New Roman" w:hAnsi="Times New Roman" w:eastAsia="黑体" w:cs="Times New Roman"/>
                <w:color w:val="auto"/>
                <w:sz w:val="24"/>
                <w:highlight w:val="none"/>
                <w:lang w:val="en-US" w:eastAsia="zh-CN"/>
              </w:rPr>
              <w:t xml:space="preserve">3.8-1 </w:t>
            </w:r>
            <w:r>
              <w:rPr>
                <w:rFonts w:hint="default" w:ascii="Times New Roman" w:hAnsi="Times New Roman" w:eastAsia="黑体" w:cs="Times New Roman"/>
                <w:color w:val="auto"/>
                <w:sz w:val="24"/>
                <w:highlight w:val="none"/>
              </w:rPr>
              <w:t>项目废气污染物排放总量指标一览表</w:t>
            </w:r>
          </w:p>
          <w:tbl>
            <w:tblPr>
              <w:tblStyle w:val="20"/>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459"/>
              <w:gridCol w:w="991"/>
              <w:gridCol w:w="1228"/>
              <w:gridCol w:w="1245"/>
              <w:gridCol w:w="1255"/>
              <w:gridCol w:w="1069"/>
              <w:gridCol w:w="1371"/>
            </w:tblGrid>
            <w:tr w14:paraId="5E089E0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846" w:type="pct"/>
                  <w:noWrap w:val="0"/>
                  <w:vAlign w:val="center"/>
                </w:tcPr>
                <w:p w14:paraId="593F0F0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color w:val="auto"/>
                      <w:sz w:val="21"/>
                      <w:szCs w:val="21"/>
                    </w:rPr>
                  </w:pPr>
                  <w:r>
                    <w:rPr>
                      <w:color w:val="auto"/>
                      <w:sz w:val="21"/>
                      <w:szCs w:val="21"/>
                    </w:rPr>
                    <w:t>污染源</w:t>
                  </w:r>
                </w:p>
              </w:tc>
              <w:tc>
                <w:tcPr>
                  <w:tcW w:w="575" w:type="pct"/>
                  <w:noWrap w:val="0"/>
                  <w:vAlign w:val="center"/>
                </w:tcPr>
                <w:p w14:paraId="24FABB9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color w:val="auto"/>
                      <w:sz w:val="21"/>
                      <w:szCs w:val="21"/>
                    </w:rPr>
                  </w:pPr>
                  <w:r>
                    <w:rPr>
                      <w:color w:val="auto"/>
                      <w:sz w:val="21"/>
                      <w:szCs w:val="21"/>
                    </w:rPr>
                    <w:t>污染物</w:t>
                  </w:r>
                </w:p>
              </w:tc>
              <w:tc>
                <w:tcPr>
                  <w:tcW w:w="712" w:type="pct"/>
                  <w:tcBorders>
                    <w:right w:val="single" w:color="auto" w:sz="4" w:space="0"/>
                  </w:tcBorders>
                  <w:noWrap w:val="0"/>
                  <w:vAlign w:val="center"/>
                </w:tcPr>
                <w:p w14:paraId="79EAB3D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color w:val="auto"/>
                      <w:sz w:val="21"/>
                      <w:szCs w:val="21"/>
                      <w:lang w:val="en-US" w:eastAsia="zh-CN"/>
                    </w:rPr>
                  </w:pPr>
                  <w:r>
                    <w:rPr>
                      <w:rFonts w:hint="eastAsia" w:eastAsia="宋体"/>
                      <w:color w:val="auto"/>
                      <w:sz w:val="21"/>
                      <w:szCs w:val="21"/>
                      <w:lang w:val="en-US" w:eastAsia="zh-CN"/>
                    </w:rPr>
                    <w:t>废气量</w:t>
                  </w:r>
                </w:p>
              </w:tc>
              <w:tc>
                <w:tcPr>
                  <w:tcW w:w="722" w:type="pct"/>
                  <w:tcBorders>
                    <w:left w:val="single" w:color="auto" w:sz="4" w:space="0"/>
                  </w:tcBorders>
                  <w:noWrap w:val="0"/>
                  <w:vAlign w:val="center"/>
                </w:tcPr>
                <w:p w14:paraId="6BD7FB6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color w:val="auto"/>
                      <w:sz w:val="21"/>
                      <w:szCs w:val="21"/>
                    </w:rPr>
                  </w:pPr>
                  <w:r>
                    <w:rPr>
                      <w:color w:val="auto"/>
                      <w:sz w:val="21"/>
                      <w:szCs w:val="21"/>
                    </w:rPr>
                    <w:t>允许排</w:t>
                  </w:r>
                </w:p>
                <w:p w14:paraId="6D42FDA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color w:val="auto"/>
                      <w:sz w:val="21"/>
                      <w:szCs w:val="21"/>
                    </w:rPr>
                  </w:pPr>
                  <w:r>
                    <w:rPr>
                      <w:color w:val="auto"/>
                      <w:sz w:val="21"/>
                      <w:szCs w:val="21"/>
                    </w:rPr>
                    <w:t>放浓度</w:t>
                  </w:r>
                </w:p>
              </w:tc>
              <w:tc>
                <w:tcPr>
                  <w:tcW w:w="728" w:type="pct"/>
                  <w:noWrap w:val="0"/>
                  <w:vAlign w:val="center"/>
                </w:tcPr>
                <w:p w14:paraId="7432CAE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color w:val="auto"/>
                      <w:sz w:val="21"/>
                      <w:szCs w:val="21"/>
                    </w:rPr>
                  </w:pPr>
                  <w:r>
                    <w:rPr>
                      <w:color w:val="auto"/>
                      <w:sz w:val="21"/>
                      <w:szCs w:val="21"/>
                    </w:rPr>
                    <w:t>预测排</w:t>
                  </w:r>
                </w:p>
                <w:p w14:paraId="77B0B21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color w:val="auto"/>
                      <w:sz w:val="21"/>
                      <w:szCs w:val="21"/>
                    </w:rPr>
                  </w:pPr>
                  <w:r>
                    <w:rPr>
                      <w:color w:val="auto"/>
                      <w:sz w:val="21"/>
                      <w:szCs w:val="21"/>
                    </w:rPr>
                    <w:t>放浓度</w:t>
                  </w:r>
                </w:p>
              </w:tc>
              <w:tc>
                <w:tcPr>
                  <w:tcW w:w="620" w:type="pct"/>
                  <w:noWrap w:val="0"/>
                  <w:vAlign w:val="center"/>
                </w:tcPr>
                <w:p w14:paraId="06968D6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color w:val="auto"/>
                      <w:sz w:val="21"/>
                      <w:szCs w:val="21"/>
                    </w:rPr>
                  </w:pPr>
                  <w:r>
                    <w:rPr>
                      <w:color w:val="auto"/>
                      <w:sz w:val="21"/>
                      <w:szCs w:val="21"/>
                    </w:rPr>
                    <w:t>预测排</w:t>
                  </w:r>
                </w:p>
                <w:p w14:paraId="59887D2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color w:val="auto"/>
                      <w:sz w:val="21"/>
                      <w:szCs w:val="21"/>
                    </w:rPr>
                  </w:pPr>
                  <w:r>
                    <w:rPr>
                      <w:color w:val="auto"/>
                      <w:sz w:val="21"/>
                      <w:szCs w:val="21"/>
                    </w:rPr>
                    <w:t>放量</w:t>
                  </w:r>
                </w:p>
              </w:tc>
              <w:tc>
                <w:tcPr>
                  <w:tcW w:w="795" w:type="pct"/>
                  <w:noWrap w:val="0"/>
                  <w:vAlign w:val="center"/>
                </w:tcPr>
                <w:p w14:paraId="67CB6F9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color w:val="auto"/>
                      <w:sz w:val="21"/>
                      <w:szCs w:val="21"/>
                    </w:rPr>
                  </w:pPr>
                  <w:r>
                    <w:rPr>
                      <w:color w:val="auto"/>
                      <w:sz w:val="21"/>
                      <w:szCs w:val="21"/>
                    </w:rPr>
                    <w:t>总量核</w:t>
                  </w:r>
                </w:p>
                <w:p w14:paraId="186A5FD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color w:val="auto"/>
                      <w:sz w:val="21"/>
                      <w:szCs w:val="21"/>
                    </w:rPr>
                  </w:pPr>
                  <w:r>
                    <w:rPr>
                      <w:color w:val="auto"/>
                      <w:sz w:val="21"/>
                      <w:szCs w:val="21"/>
                    </w:rPr>
                    <w:t>算指标</w:t>
                  </w:r>
                </w:p>
              </w:tc>
            </w:tr>
            <w:tr w14:paraId="2ECB884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846" w:type="pct"/>
                  <w:shd w:val="clear" w:color="auto" w:fill="auto"/>
                  <w:noWrap w:val="0"/>
                  <w:vAlign w:val="center"/>
                </w:tcPr>
                <w:p w14:paraId="0893154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无组织排放</w:t>
                  </w:r>
                </w:p>
              </w:tc>
              <w:tc>
                <w:tcPr>
                  <w:tcW w:w="575" w:type="pct"/>
                  <w:shd w:val="clear" w:color="auto" w:fill="auto"/>
                  <w:noWrap w:val="0"/>
                  <w:vAlign w:val="center"/>
                </w:tcPr>
                <w:p w14:paraId="6F1A44C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颗粒物</w:t>
                  </w:r>
                </w:p>
              </w:tc>
              <w:tc>
                <w:tcPr>
                  <w:tcW w:w="712" w:type="pct"/>
                  <w:tcBorders>
                    <w:right w:val="single" w:color="auto" w:sz="4" w:space="0"/>
                  </w:tcBorders>
                  <w:shd w:val="clear" w:color="auto" w:fill="auto"/>
                  <w:noWrap w:val="0"/>
                  <w:vAlign w:val="center"/>
                </w:tcPr>
                <w:p w14:paraId="021AF9C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w:t>
                  </w:r>
                </w:p>
              </w:tc>
              <w:tc>
                <w:tcPr>
                  <w:tcW w:w="722" w:type="pct"/>
                  <w:tcBorders>
                    <w:left w:val="single" w:color="auto" w:sz="4" w:space="0"/>
                  </w:tcBorders>
                  <w:shd w:val="clear" w:color="auto" w:fill="auto"/>
                  <w:noWrap w:val="0"/>
                  <w:vAlign w:val="center"/>
                </w:tcPr>
                <w:p w14:paraId="3407939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w:t>
                  </w:r>
                </w:p>
              </w:tc>
              <w:tc>
                <w:tcPr>
                  <w:tcW w:w="728" w:type="pct"/>
                  <w:shd w:val="clear" w:color="auto" w:fill="auto"/>
                  <w:noWrap w:val="0"/>
                  <w:vAlign w:val="center"/>
                </w:tcPr>
                <w:p w14:paraId="2CA9BA3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color w:val="auto"/>
                      <w:sz w:val="21"/>
                      <w:szCs w:val="21"/>
                      <w:lang w:val="en-US" w:eastAsia="zh-CN"/>
                    </w:rPr>
                    <w:t>/</w:t>
                  </w:r>
                </w:p>
              </w:tc>
              <w:tc>
                <w:tcPr>
                  <w:tcW w:w="620" w:type="pct"/>
                  <w:shd w:val="clear" w:color="auto" w:fill="auto"/>
                  <w:noWrap w:val="0"/>
                  <w:vAlign w:val="center"/>
                </w:tcPr>
                <w:p w14:paraId="5030236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5.5938</w:t>
                  </w:r>
                  <w:r>
                    <w:rPr>
                      <w:rFonts w:hint="default" w:ascii="Times New Roman" w:hAnsi="Times New Roman" w:eastAsia="宋体" w:cs="Times New Roman"/>
                      <w:color w:val="auto"/>
                      <w:sz w:val="21"/>
                      <w:szCs w:val="21"/>
                      <w:lang w:val="en-US" w:eastAsia="zh-CN"/>
                    </w:rPr>
                    <w:t>t/a</w:t>
                  </w:r>
                </w:p>
              </w:tc>
              <w:tc>
                <w:tcPr>
                  <w:tcW w:w="795" w:type="pct"/>
                  <w:vMerge w:val="restart"/>
                  <w:noWrap w:val="0"/>
                  <w:vAlign w:val="center"/>
                </w:tcPr>
                <w:p w14:paraId="390EF76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color w:val="auto"/>
                      <w:sz w:val="21"/>
                      <w:szCs w:val="21"/>
                      <w:lang w:val="en-US" w:eastAsia="zh-CN"/>
                    </w:rPr>
                  </w:pPr>
                  <w:r>
                    <w:rPr>
                      <w:rFonts w:hint="eastAsia" w:ascii="Times New Roman" w:hAnsi="Times New Roman" w:eastAsia="宋体" w:cs="Times New Roman"/>
                      <w:color w:val="auto"/>
                      <w:sz w:val="21"/>
                      <w:szCs w:val="21"/>
                      <w:lang w:val="en-US" w:eastAsia="zh-CN"/>
                    </w:rPr>
                    <w:t>颗粒物</w:t>
                  </w:r>
                  <w:r>
                    <w:rPr>
                      <w:rFonts w:hint="default" w:ascii="Times New Roman" w:hAnsi="Times New Roman" w:eastAsia="宋体" w:cs="Times New Roman"/>
                      <w:color w:val="auto"/>
                      <w:sz w:val="21"/>
                      <w:szCs w:val="21"/>
                      <w:lang w:val="en-US" w:eastAsia="zh-CN"/>
                    </w:rPr>
                    <w:t>合计(</w:t>
                  </w:r>
                  <w:r>
                    <w:rPr>
                      <w:rFonts w:hint="eastAsia" w:cs="Times New Roman"/>
                      <w:color w:val="auto"/>
                      <w:sz w:val="21"/>
                      <w:szCs w:val="21"/>
                      <w:lang w:val="en-US" w:eastAsia="zh-CN"/>
                    </w:rPr>
                    <w:t>6.4828</w:t>
                  </w:r>
                  <w:r>
                    <w:rPr>
                      <w:rFonts w:hint="default" w:ascii="Times New Roman" w:hAnsi="Times New Roman" w:cs="Times New Roman"/>
                      <w:color w:val="auto"/>
                      <w:sz w:val="21"/>
                      <w:szCs w:val="21"/>
                    </w:rPr>
                    <w:t>t/a</w:t>
                  </w:r>
                  <w:r>
                    <w:rPr>
                      <w:rFonts w:hint="eastAsia" w:ascii="Times New Roman" w:hAnsi="Times New Roman" w:cs="Times New Roman"/>
                      <w:color w:val="auto"/>
                      <w:sz w:val="21"/>
                      <w:szCs w:val="21"/>
                      <w:lang w:val="en-US" w:eastAsia="zh-CN"/>
                    </w:rPr>
                    <w:t>)</w:t>
                  </w:r>
                </w:p>
              </w:tc>
            </w:tr>
            <w:tr w14:paraId="5AEB8C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846" w:type="pct"/>
                  <w:shd w:val="clear" w:color="auto" w:fill="auto"/>
                  <w:noWrap w:val="0"/>
                  <w:vAlign w:val="center"/>
                </w:tcPr>
                <w:p w14:paraId="351CA66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有组织排放</w:t>
                  </w:r>
                </w:p>
              </w:tc>
              <w:tc>
                <w:tcPr>
                  <w:tcW w:w="575" w:type="pct"/>
                  <w:shd w:val="clear" w:color="auto" w:fill="auto"/>
                  <w:noWrap w:val="0"/>
                  <w:vAlign w:val="center"/>
                </w:tcPr>
                <w:p w14:paraId="7736402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颗粒物</w:t>
                  </w:r>
                </w:p>
              </w:tc>
              <w:tc>
                <w:tcPr>
                  <w:tcW w:w="712" w:type="pct"/>
                  <w:tcBorders>
                    <w:right w:val="single" w:color="auto" w:sz="4" w:space="0"/>
                  </w:tcBorders>
                  <w:shd w:val="clear" w:color="auto" w:fill="auto"/>
                  <w:noWrap w:val="0"/>
                  <w:vAlign w:val="center"/>
                </w:tcPr>
                <w:p w14:paraId="4605F9D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5000m</w:t>
                  </w:r>
                  <w:r>
                    <w:rPr>
                      <w:rFonts w:hint="eastAsia" w:cs="Times New Roman"/>
                      <w:color w:val="auto"/>
                      <w:kern w:val="2"/>
                      <w:sz w:val="21"/>
                      <w:szCs w:val="21"/>
                      <w:vertAlign w:val="superscript"/>
                      <w:lang w:val="en-US" w:eastAsia="zh-CN" w:bidi="ar-SA"/>
                    </w:rPr>
                    <w:t>3</w:t>
                  </w:r>
                  <w:r>
                    <w:rPr>
                      <w:rFonts w:hint="eastAsia" w:cs="Times New Roman"/>
                      <w:color w:val="auto"/>
                      <w:kern w:val="2"/>
                      <w:sz w:val="21"/>
                      <w:szCs w:val="21"/>
                      <w:lang w:val="en-US" w:eastAsia="zh-CN" w:bidi="ar-SA"/>
                    </w:rPr>
                    <w:t>/h</w:t>
                  </w:r>
                </w:p>
              </w:tc>
              <w:tc>
                <w:tcPr>
                  <w:tcW w:w="722" w:type="pct"/>
                  <w:tcBorders>
                    <w:left w:val="single" w:color="auto" w:sz="4" w:space="0"/>
                  </w:tcBorders>
                  <w:shd w:val="clear" w:color="auto" w:fill="auto"/>
                  <w:noWrap w:val="0"/>
                  <w:vAlign w:val="center"/>
                </w:tcPr>
                <w:p w14:paraId="305F6E5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120</w:t>
                  </w:r>
                </w:p>
              </w:tc>
              <w:tc>
                <w:tcPr>
                  <w:tcW w:w="728" w:type="pct"/>
                  <w:shd w:val="clear" w:color="auto" w:fill="auto"/>
                  <w:noWrap w:val="0"/>
                  <w:vAlign w:val="center"/>
                </w:tcPr>
                <w:p w14:paraId="644BEC8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6.74</w:t>
                  </w:r>
                </w:p>
              </w:tc>
              <w:tc>
                <w:tcPr>
                  <w:tcW w:w="620" w:type="pct"/>
                  <w:shd w:val="clear" w:color="auto" w:fill="auto"/>
                  <w:noWrap w:val="0"/>
                  <w:vAlign w:val="center"/>
                </w:tcPr>
                <w:p w14:paraId="6F2195D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0.889</w:t>
                  </w:r>
                  <w:r>
                    <w:rPr>
                      <w:rFonts w:hint="default" w:ascii="Times New Roman" w:hAnsi="Times New Roman" w:eastAsia="宋体" w:cs="Times New Roman"/>
                      <w:color w:val="auto"/>
                      <w:sz w:val="21"/>
                      <w:szCs w:val="21"/>
                      <w:lang w:val="en-US" w:eastAsia="zh-CN"/>
                    </w:rPr>
                    <w:t>t/a</w:t>
                  </w:r>
                </w:p>
              </w:tc>
              <w:tc>
                <w:tcPr>
                  <w:tcW w:w="795" w:type="pct"/>
                  <w:vMerge w:val="continue"/>
                  <w:noWrap w:val="0"/>
                  <w:vAlign w:val="center"/>
                </w:tcPr>
                <w:p w14:paraId="403A6E6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lang w:val="en-US" w:eastAsia="zh-CN"/>
                    </w:rPr>
                  </w:pPr>
                </w:p>
              </w:tc>
            </w:tr>
          </w:tbl>
          <w:p w14:paraId="6CB47788">
            <w:pPr>
              <w:bidi w:val="0"/>
              <w:rPr>
                <w:rFonts w:hint="default"/>
                <w:color w:val="auto"/>
                <w:lang w:val="en-US" w:eastAsia="zh-CN"/>
              </w:rPr>
            </w:pPr>
          </w:p>
        </w:tc>
      </w:tr>
    </w:tbl>
    <w:p w14:paraId="5D2CE3C2">
      <w:pPr>
        <w:pStyle w:val="2"/>
        <w:numPr>
          <w:ilvl w:val="0"/>
          <w:numId w:val="8"/>
        </w:numPr>
        <w:bidi w:val="0"/>
        <w:jc w:val="center"/>
        <w:rPr>
          <w:rFonts w:hint="default" w:ascii="Times New Roman" w:hAnsi="Times New Roman" w:eastAsia="宋体" w:cs="Times New Roman"/>
          <w:snapToGrid w:val="0"/>
          <w:color w:val="auto"/>
          <w:szCs w:val="30"/>
        </w:rPr>
      </w:pPr>
      <w:r>
        <w:rPr>
          <w:rFonts w:hint="default" w:ascii="Times New Roman" w:hAnsi="Times New Roman" w:eastAsia="宋体" w:cs="Times New Roman"/>
          <w:snapToGrid w:val="0"/>
          <w:color w:val="auto"/>
          <w:szCs w:val="36"/>
        </w:rPr>
        <w:br w:type="page"/>
      </w:r>
      <w:bookmarkStart w:id="23" w:name="_Toc20172"/>
      <w:bookmarkStart w:id="24" w:name="_Toc5724"/>
      <w:r>
        <w:rPr>
          <w:rFonts w:hint="default"/>
          <w:color w:val="auto"/>
        </w:rPr>
        <w:t>主要环境影响和保护措施</w:t>
      </w:r>
      <w:bookmarkEnd w:id="23"/>
      <w:bookmarkEnd w:id="24"/>
    </w:p>
    <w:tbl>
      <w:tblPr>
        <w:tblStyle w:val="2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80"/>
        <w:gridCol w:w="8149"/>
      </w:tblGrid>
      <w:tr w14:paraId="549815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680" w:type="dxa"/>
            <w:noWrap w:val="0"/>
            <w:tcMar>
              <w:left w:w="28" w:type="dxa"/>
              <w:right w:w="28" w:type="dxa"/>
            </w:tcMar>
            <w:vAlign w:val="center"/>
          </w:tcPr>
          <w:p w14:paraId="171E9642">
            <w:pPr>
              <w:pStyle w:val="28"/>
              <w:bidi w:val="0"/>
              <w:rPr>
                <w:rFonts w:hint="default"/>
                <w:color w:val="auto"/>
                <w:sz w:val="24"/>
                <w:szCs w:val="32"/>
              </w:rPr>
            </w:pPr>
            <w:r>
              <w:rPr>
                <w:rFonts w:hint="default"/>
                <w:color w:val="auto"/>
                <w:sz w:val="24"/>
                <w:szCs w:val="32"/>
              </w:rPr>
              <w:t>施工</w:t>
            </w:r>
          </w:p>
          <w:p w14:paraId="29B163F5">
            <w:pPr>
              <w:pStyle w:val="28"/>
              <w:bidi w:val="0"/>
              <w:rPr>
                <w:rFonts w:hint="default"/>
                <w:color w:val="auto"/>
                <w:sz w:val="24"/>
                <w:szCs w:val="32"/>
              </w:rPr>
            </w:pPr>
            <w:r>
              <w:rPr>
                <w:rFonts w:hint="default"/>
                <w:color w:val="auto"/>
                <w:sz w:val="24"/>
                <w:szCs w:val="32"/>
              </w:rPr>
              <w:t>期环</w:t>
            </w:r>
          </w:p>
          <w:p w14:paraId="3C2B2C43">
            <w:pPr>
              <w:pStyle w:val="28"/>
              <w:bidi w:val="0"/>
              <w:rPr>
                <w:rFonts w:hint="default"/>
                <w:color w:val="auto"/>
                <w:sz w:val="24"/>
                <w:szCs w:val="32"/>
              </w:rPr>
            </w:pPr>
            <w:r>
              <w:rPr>
                <w:rFonts w:hint="default"/>
                <w:color w:val="auto"/>
                <w:sz w:val="24"/>
                <w:szCs w:val="32"/>
              </w:rPr>
              <w:t>境保</w:t>
            </w:r>
          </w:p>
          <w:p w14:paraId="799C1D17">
            <w:pPr>
              <w:pStyle w:val="28"/>
              <w:bidi w:val="0"/>
              <w:rPr>
                <w:rFonts w:hint="default"/>
                <w:color w:val="auto"/>
                <w:sz w:val="24"/>
                <w:szCs w:val="32"/>
              </w:rPr>
            </w:pPr>
            <w:r>
              <w:rPr>
                <w:rFonts w:hint="default"/>
                <w:color w:val="auto"/>
                <w:sz w:val="24"/>
                <w:szCs w:val="32"/>
              </w:rPr>
              <w:t>护措</w:t>
            </w:r>
          </w:p>
          <w:p w14:paraId="272E9C1F">
            <w:pPr>
              <w:pStyle w:val="28"/>
              <w:bidi w:val="0"/>
              <w:rPr>
                <w:rFonts w:hint="default" w:ascii="Times New Roman" w:hAnsi="Times New Roman" w:eastAsia="宋体" w:cs="Times New Roman"/>
                <w:bCs/>
                <w:color w:val="auto"/>
                <w:kern w:val="2"/>
                <w:szCs w:val="21"/>
              </w:rPr>
            </w:pPr>
            <w:r>
              <w:rPr>
                <w:rFonts w:hint="default"/>
                <w:color w:val="auto"/>
                <w:sz w:val="24"/>
                <w:szCs w:val="32"/>
              </w:rPr>
              <w:t>施</w:t>
            </w:r>
          </w:p>
        </w:tc>
        <w:tc>
          <w:tcPr>
            <w:tcW w:w="8149" w:type="dxa"/>
            <w:noWrap w:val="0"/>
            <w:vAlign w:val="center"/>
          </w:tcPr>
          <w:p w14:paraId="28C6B703">
            <w:pPr>
              <w:pStyle w:val="3"/>
              <w:bidi w:val="0"/>
              <w:rPr>
                <w:rFonts w:hint="default"/>
                <w:color w:val="auto"/>
                <w:lang w:val="en-US" w:eastAsia="zh-CN"/>
              </w:rPr>
            </w:pPr>
            <w:bookmarkStart w:id="25" w:name="_Toc4697"/>
            <w:bookmarkStart w:id="26" w:name="_Toc22024"/>
            <w:r>
              <w:rPr>
                <w:rFonts w:hint="default"/>
                <w:color w:val="auto"/>
              </w:rPr>
              <w:t>4.</w:t>
            </w:r>
            <w:r>
              <w:rPr>
                <w:rFonts w:hint="eastAsia"/>
                <w:color w:val="auto"/>
                <w:lang w:val="en-US" w:eastAsia="zh-CN"/>
              </w:rPr>
              <w:t>1 施工期环境保护措施</w:t>
            </w:r>
            <w:bookmarkEnd w:id="25"/>
            <w:bookmarkEnd w:id="26"/>
          </w:p>
          <w:p w14:paraId="63AA9619">
            <w:pPr>
              <w:bidi w:val="0"/>
              <w:rPr>
                <w:rFonts w:hint="eastAsia"/>
                <w:color w:val="auto"/>
                <w:lang w:val="en-US" w:eastAsia="zh-CN"/>
              </w:rPr>
            </w:pPr>
            <w:r>
              <w:rPr>
                <w:rFonts w:hint="default"/>
                <w:color w:val="auto"/>
                <w:lang w:val="en-US" w:eastAsia="zh-CN"/>
              </w:rPr>
              <w:t>本项目</w:t>
            </w:r>
            <w:r>
              <w:rPr>
                <w:rFonts w:hint="eastAsia"/>
                <w:color w:val="auto"/>
                <w:lang w:val="en-US" w:eastAsia="zh-CN"/>
              </w:rPr>
              <w:t>选址</w:t>
            </w:r>
            <w:r>
              <w:rPr>
                <w:rFonts w:hint="default"/>
                <w:color w:val="auto"/>
                <w:lang w:val="en-US" w:eastAsia="zh-CN"/>
              </w:rPr>
              <w:t>于</w:t>
            </w:r>
            <w:r>
              <w:rPr>
                <w:rFonts w:hint="eastAsia"/>
                <w:color w:val="auto"/>
                <w:lang w:eastAsia="zh-CN"/>
              </w:rPr>
              <w:t>福建省福州市</w:t>
            </w:r>
            <w:r>
              <w:rPr>
                <w:rFonts w:hint="eastAsia"/>
                <w:color w:val="auto"/>
                <w:lang w:val="en-US" w:eastAsia="zh-CN"/>
              </w:rPr>
              <w:t>福清市海口镇南厝村</w:t>
            </w:r>
            <w:r>
              <w:rPr>
                <w:rFonts w:hint="default"/>
                <w:color w:val="auto"/>
                <w:lang w:val="en-US" w:eastAsia="zh-CN"/>
              </w:rPr>
              <w:t>，</w:t>
            </w:r>
            <w:r>
              <w:rPr>
                <w:rFonts w:hint="eastAsia"/>
                <w:color w:val="auto"/>
                <w:lang w:val="en-US" w:eastAsia="zh-CN"/>
              </w:rPr>
              <w:t>项目施工期建设内容主要为1#宿舍楼、2#搅拌楼及其附属设施、3#物料库、5#生产车间、6#生产车间的搭建，厂区地面硬化，绿化施工、设备安装调试等，施工时间约24个月，随着施工结束，施工期环境影响也随着消失，采取相应的保护措施后，对周边环境造成施工影响较小。项目施工期环境保护措施如下：</w:t>
            </w:r>
          </w:p>
          <w:p w14:paraId="4DA1EFFB">
            <w:pPr>
              <w:pStyle w:val="4"/>
              <w:bidi w:val="0"/>
              <w:rPr>
                <w:rFonts w:hint="default"/>
                <w:color w:val="auto"/>
              </w:rPr>
            </w:pPr>
            <w:r>
              <w:rPr>
                <w:rFonts w:hint="eastAsia"/>
                <w:color w:val="auto"/>
                <w:lang w:val="en-US" w:eastAsia="zh-CN"/>
              </w:rPr>
              <w:t>4.1</w:t>
            </w:r>
            <w:r>
              <w:rPr>
                <w:rFonts w:hint="default"/>
                <w:color w:val="auto"/>
              </w:rPr>
              <w:t>.1</w:t>
            </w:r>
            <w:r>
              <w:rPr>
                <w:rFonts w:hint="eastAsia"/>
                <w:color w:val="auto"/>
                <w:lang w:val="en-US" w:eastAsia="zh-CN"/>
              </w:rPr>
              <w:t>施工期</w:t>
            </w:r>
            <w:r>
              <w:rPr>
                <w:rFonts w:hint="default"/>
                <w:color w:val="auto"/>
              </w:rPr>
              <w:t>水环境的影响分析</w:t>
            </w:r>
            <w:r>
              <w:rPr>
                <w:rFonts w:hint="eastAsia"/>
                <w:color w:val="auto"/>
                <w:lang w:val="en-US" w:eastAsia="zh-CN"/>
              </w:rPr>
              <w:t>及保护措施</w:t>
            </w:r>
          </w:p>
          <w:p w14:paraId="47A72E22">
            <w:pPr>
              <w:bidi w:val="0"/>
              <w:rPr>
                <w:rFonts w:hint="default"/>
                <w:color w:val="auto"/>
                <w:lang w:val="en-US" w:eastAsia="zh-CN"/>
              </w:rPr>
            </w:pPr>
            <w:bookmarkStart w:id="27" w:name="_Toc18014"/>
            <w:bookmarkStart w:id="28" w:name="_Toc10508"/>
            <w:r>
              <w:rPr>
                <w:rFonts w:hint="eastAsia"/>
                <w:color w:val="auto"/>
                <w:lang w:val="en-US" w:eastAsia="zh-CN"/>
              </w:rPr>
              <w:t>项目施工期废水主要为施工人员生活污水、施工废水，建议采取以下水污染防治措施：</w:t>
            </w:r>
          </w:p>
          <w:p w14:paraId="5F2CCADE">
            <w:pPr>
              <w:bidi w:val="0"/>
              <w:rPr>
                <w:rFonts w:hint="eastAsia"/>
                <w:color w:val="auto"/>
                <w:lang w:val="en-US" w:eastAsia="zh-CN"/>
              </w:rPr>
            </w:pPr>
            <w:r>
              <w:rPr>
                <w:rFonts w:hint="eastAsia"/>
                <w:color w:val="auto"/>
                <w:lang w:val="en-US" w:eastAsia="zh-CN"/>
              </w:rPr>
              <w:t>（1）</w:t>
            </w:r>
            <w:r>
              <w:rPr>
                <w:rFonts w:hint="default"/>
                <w:color w:val="auto"/>
                <w:lang w:val="en-US" w:eastAsia="zh-CN"/>
              </w:rPr>
              <w:t>本项目</w:t>
            </w:r>
            <w:r>
              <w:rPr>
                <w:rFonts w:hint="eastAsia"/>
                <w:color w:val="auto"/>
                <w:lang w:val="en-US" w:eastAsia="zh-CN"/>
              </w:rPr>
              <w:t>施工作业人员租住在周边民宅，产生的少量生活污水可</w:t>
            </w:r>
            <w:r>
              <w:rPr>
                <w:rFonts w:hint="default"/>
                <w:color w:val="auto"/>
                <w:lang w:val="en-US" w:eastAsia="zh-CN"/>
              </w:rPr>
              <w:t>依托</w:t>
            </w:r>
            <w:r>
              <w:rPr>
                <w:rFonts w:hint="eastAsia"/>
                <w:color w:val="auto"/>
                <w:lang w:val="en-US" w:eastAsia="zh-CN"/>
              </w:rPr>
              <w:t>区域内现有污水处理系统和排放管网，经处理达标后</w:t>
            </w:r>
            <w:r>
              <w:rPr>
                <w:rFonts w:hint="default"/>
                <w:color w:val="auto"/>
                <w:lang w:val="en-US" w:eastAsia="zh-CN"/>
              </w:rPr>
              <w:t>接入市政污水管网排入</w:t>
            </w:r>
            <w:r>
              <w:rPr>
                <w:rFonts w:hint="eastAsia"/>
                <w:color w:val="auto"/>
                <w:lang w:val="en-US" w:eastAsia="zh-CN"/>
              </w:rPr>
              <w:t>区域污水处理系统集中处理，不会对周边地表水环境产生直接不利影响。</w:t>
            </w:r>
          </w:p>
          <w:p w14:paraId="053722F3">
            <w:pPr>
              <w:bidi w:val="0"/>
              <w:rPr>
                <w:rFonts w:hint="eastAsia"/>
                <w:color w:val="auto"/>
                <w:lang w:val="en-US" w:eastAsia="zh-CN"/>
              </w:rPr>
            </w:pPr>
            <w:r>
              <w:rPr>
                <w:rFonts w:hint="eastAsia"/>
                <w:color w:val="auto"/>
                <w:lang w:val="en-US" w:eastAsia="zh-CN"/>
              </w:rPr>
              <w:t>（2）施工期废水包括钻孔等作业产生的砂浆水、各种施工机械设备运转的冷却及洗涤用水等，含有一定量的SS、石油类，因此，施工现场应设立隔油池和沉淀池，施工废水均通过排水沟流入隔油沉淀池中，经隔油沉淀上清液循环使用，不外排。</w:t>
            </w:r>
          </w:p>
          <w:p w14:paraId="7A483ACF">
            <w:pPr>
              <w:bidi w:val="0"/>
              <w:rPr>
                <w:rFonts w:hint="eastAsia"/>
                <w:color w:val="auto"/>
                <w:lang w:val="en-US" w:eastAsia="zh-CN"/>
              </w:rPr>
            </w:pPr>
            <w:r>
              <w:rPr>
                <w:rFonts w:hint="eastAsia"/>
                <w:color w:val="auto"/>
                <w:lang w:val="en-US" w:eastAsia="zh-CN"/>
              </w:rPr>
              <w:t>（3）施工材料应集中堆放在施工场地临时仓库内，不得随意堆放，避免雨水冲刷进入河道。</w:t>
            </w:r>
          </w:p>
          <w:p w14:paraId="1F8D03F5">
            <w:pPr>
              <w:bidi w:val="0"/>
              <w:rPr>
                <w:rFonts w:hint="default"/>
                <w:color w:val="auto"/>
                <w:lang w:val="en-US" w:eastAsia="zh-CN"/>
              </w:rPr>
            </w:pPr>
            <w:r>
              <w:rPr>
                <w:rFonts w:hint="eastAsia"/>
                <w:color w:val="auto"/>
                <w:lang w:val="en-US" w:eastAsia="zh-CN"/>
              </w:rPr>
              <w:t>（4）对施工用油的油桶暂存实行严格管理，避免跑冒滴漏。定期检查施工机械设备及运输车辆，一旦发现滴、漏油现象，应立即送到附近的机修厂进行维修。</w:t>
            </w:r>
          </w:p>
          <w:p w14:paraId="77326011">
            <w:pPr>
              <w:bidi w:val="0"/>
              <w:rPr>
                <w:rFonts w:hint="eastAsia"/>
                <w:color w:val="auto"/>
                <w:lang w:val="en-US" w:eastAsia="zh-CN"/>
              </w:rPr>
            </w:pPr>
            <w:r>
              <w:rPr>
                <w:rFonts w:hint="default"/>
                <w:color w:val="auto"/>
                <w:lang w:val="en-US" w:eastAsia="zh-CN"/>
              </w:rPr>
              <w:t>采取以上措施后，项目施工期</w:t>
            </w:r>
            <w:r>
              <w:rPr>
                <w:rFonts w:hint="eastAsia"/>
                <w:color w:val="auto"/>
                <w:lang w:val="en-US" w:eastAsia="zh-CN"/>
              </w:rPr>
              <w:t>废水不会直接进入周边水环境，不对地表水环境产生直接不利影响。</w:t>
            </w:r>
          </w:p>
          <w:p w14:paraId="3537956D">
            <w:pPr>
              <w:pStyle w:val="4"/>
              <w:keepNext/>
              <w:keepLines w:val="0"/>
              <w:pageBreakBefore w:val="0"/>
              <w:widowControl w:val="0"/>
              <w:kinsoku/>
              <w:wordWrap/>
              <w:overflowPunct/>
              <w:topLinePunct w:val="0"/>
              <w:autoSpaceDE/>
              <w:autoSpaceDN/>
              <w:bidi w:val="0"/>
              <w:adjustRightInd/>
              <w:snapToGrid/>
              <w:textAlignment w:val="auto"/>
              <w:rPr>
                <w:rFonts w:hint="eastAsia"/>
                <w:color w:val="auto"/>
              </w:rPr>
            </w:pPr>
            <w:r>
              <w:rPr>
                <w:rFonts w:hint="default"/>
                <w:color w:val="auto"/>
              </w:rPr>
              <w:t>4.</w:t>
            </w:r>
            <w:r>
              <w:rPr>
                <w:rFonts w:hint="eastAsia"/>
                <w:color w:val="auto"/>
                <w:lang w:val="en-US" w:eastAsia="zh-CN"/>
              </w:rPr>
              <w:t>1</w:t>
            </w:r>
            <w:r>
              <w:rPr>
                <w:rFonts w:hint="default"/>
                <w:color w:val="auto"/>
              </w:rPr>
              <w:t>.</w:t>
            </w:r>
            <w:r>
              <w:rPr>
                <w:rFonts w:hint="eastAsia"/>
                <w:color w:val="auto"/>
                <w:lang w:val="en-US" w:eastAsia="zh-CN"/>
              </w:rPr>
              <w:t>2施工期废气环境</w:t>
            </w:r>
            <w:r>
              <w:rPr>
                <w:rFonts w:hint="default"/>
                <w:color w:val="auto"/>
              </w:rPr>
              <w:t>影响分析</w:t>
            </w:r>
            <w:bookmarkEnd w:id="27"/>
            <w:bookmarkEnd w:id="28"/>
            <w:r>
              <w:rPr>
                <w:rFonts w:hint="eastAsia"/>
                <w:color w:val="auto"/>
                <w:lang w:val="en-US" w:eastAsia="zh-CN"/>
              </w:rPr>
              <w:t>及保护措施</w:t>
            </w:r>
          </w:p>
          <w:p w14:paraId="6F194A26">
            <w:pPr>
              <w:bidi w:val="0"/>
              <w:rPr>
                <w:rFonts w:hint="eastAsia"/>
                <w:color w:val="auto"/>
                <w:lang w:eastAsia="zh-CN"/>
              </w:rPr>
            </w:pPr>
            <w:bookmarkStart w:id="29" w:name="_Toc19444"/>
            <w:bookmarkStart w:id="30" w:name="_Toc14716"/>
            <w:r>
              <w:rPr>
                <w:rFonts w:hint="eastAsia"/>
                <w:color w:val="auto"/>
                <w:lang w:eastAsia="zh-CN"/>
              </w:rPr>
              <w:t>项目施工期大气污染物主要为施工扬尘，施工机械、运输车辆尾气，装修期间装修材料散发少量有机溶剂废气。</w:t>
            </w:r>
          </w:p>
          <w:p w14:paraId="128D2D0E">
            <w:pPr>
              <w:bidi w:val="0"/>
              <w:rPr>
                <w:rFonts w:hint="eastAsia"/>
                <w:color w:val="auto"/>
                <w:lang w:eastAsia="zh-CN"/>
              </w:rPr>
            </w:pPr>
            <w:r>
              <w:rPr>
                <w:rFonts w:hint="eastAsia"/>
                <w:color w:val="auto"/>
                <w:lang w:eastAsia="zh-CN"/>
              </w:rPr>
              <w:t>（</w:t>
            </w:r>
            <w:r>
              <w:rPr>
                <w:rFonts w:hint="eastAsia"/>
                <w:color w:val="auto"/>
                <w:lang w:val="en-US" w:eastAsia="zh-CN"/>
              </w:rPr>
              <w:t>1</w:t>
            </w:r>
            <w:r>
              <w:rPr>
                <w:rFonts w:hint="eastAsia"/>
                <w:color w:val="auto"/>
                <w:lang w:eastAsia="zh-CN"/>
              </w:rPr>
              <w:t>）施工扬尘</w:t>
            </w:r>
          </w:p>
          <w:p w14:paraId="687AD911">
            <w:pPr>
              <w:bidi w:val="0"/>
              <w:rPr>
                <w:rFonts w:hint="eastAsia"/>
                <w:color w:val="auto"/>
                <w:lang w:eastAsia="zh-CN"/>
              </w:rPr>
            </w:pPr>
            <w:r>
              <w:rPr>
                <w:rFonts w:hint="eastAsia"/>
                <w:color w:val="auto"/>
                <w:lang w:eastAsia="zh-CN"/>
              </w:rPr>
              <w:t>施工过程扬尘主要来自三个方面：运输扬尘、堆场扬尘和施工作业点扬尘。</w:t>
            </w:r>
          </w:p>
          <w:p w14:paraId="28FEE5B0">
            <w:pPr>
              <w:bidi w:val="0"/>
              <w:rPr>
                <w:rFonts w:hint="eastAsia"/>
                <w:color w:val="auto"/>
                <w:lang w:eastAsia="zh-CN"/>
              </w:rPr>
            </w:pPr>
            <w:r>
              <w:rPr>
                <w:rFonts w:hint="eastAsia"/>
                <w:color w:val="auto"/>
                <w:lang w:eastAsia="zh-CN"/>
              </w:rPr>
              <w:t>①运输扬尘：机动车在运输建筑材料等过程中，车轮从施工场地等携带的泥块、沙尘、物料以及车载建筑原料均会抖落遗撒，经往来车辆的碾压后形成粒径较小的颗粒物进入空气，形成运输扬尘。车辆行驶产生的扬尘占施工扬尘总量的60%以上。</w:t>
            </w:r>
          </w:p>
          <w:p w14:paraId="219A70AB">
            <w:pPr>
              <w:bidi w:val="0"/>
              <w:rPr>
                <w:rFonts w:hint="eastAsia"/>
                <w:color w:val="auto"/>
                <w:lang w:eastAsia="zh-CN"/>
              </w:rPr>
            </w:pPr>
            <w:r>
              <w:rPr>
                <w:rFonts w:hint="eastAsia"/>
                <w:color w:val="auto"/>
                <w:lang w:eastAsia="zh-CN"/>
              </w:rPr>
              <w:t>②堆场扬尘：堆场扬尘主要为临时建筑材料由于堆积、装卸操作以及风作用等造成的扬尘。</w:t>
            </w:r>
          </w:p>
          <w:p w14:paraId="7C935CBC">
            <w:pPr>
              <w:bidi w:val="0"/>
              <w:rPr>
                <w:rFonts w:hint="eastAsia"/>
                <w:color w:val="auto"/>
                <w:lang w:eastAsia="zh-CN"/>
              </w:rPr>
            </w:pPr>
            <w:r>
              <w:rPr>
                <w:rFonts w:hint="eastAsia"/>
                <w:color w:val="auto"/>
                <w:lang w:eastAsia="zh-CN"/>
              </w:rPr>
              <w:t>③施工作业点扬尘：施工作业点扬尘主要为场地平整硬化、施工等产生的扬尘。施工扬尘排放量与施工面积、施工水平、施工强度和土壤类型、气候条件等有关。</w:t>
            </w:r>
          </w:p>
          <w:p w14:paraId="1E1EFE61">
            <w:pPr>
              <w:bidi w:val="0"/>
              <w:rPr>
                <w:rFonts w:hint="eastAsia"/>
                <w:color w:val="auto"/>
                <w:lang w:eastAsia="zh-CN"/>
              </w:rPr>
            </w:pPr>
            <w:r>
              <w:rPr>
                <w:rFonts w:hint="eastAsia"/>
                <w:color w:val="auto"/>
              </w:rPr>
              <w:t>根据类比调查，施工扬尘的影响范围主要在施工现场附近，一般情况下，施工工地在自然风的作用下产生的扬尘所影响的范围在100m以内。如果施工期间对作业面实施洒水抑尘（每天4~5次），可使扬尘减少70%左右</w:t>
            </w:r>
            <w:r>
              <w:rPr>
                <w:rFonts w:hint="eastAsia"/>
                <w:color w:val="auto"/>
                <w:lang w:eastAsia="zh-CN"/>
              </w:rPr>
              <w:t>，</w:t>
            </w:r>
            <w:r>
              <w:rPr>
                <w:color w:val="auto"/>
              </w:rPr>
              <w:t>扬尘造成的TSP污染距离减小到50m范围</w:t>
            </w:r>
            <w:r>
              <w:rPr>
                <w:rFonts w:hint="eastAsia"/>
                <w:color w:val="auto"/>
                <w:lang w:eastAsia="zh-CN"/>
              </w:rPr>
              <w:t>。</w:t>
            </w:r>
          </w:p>
          <w:p w14:paraId="4E59D977">
            <w:pPr>
              <w:bidi w:val="0"/>
              <w:rPr>
                <w:rFonts w:hint="eastAsia"/>
                <w:color w:val="auto"/>
                <w:lang w:eastAsia="zh-CN"/>
              </w:rPr>
            </w:pPr>
            <w:r>
              <w:rPr>
                <w:rFonts w:hint="eastAsia"/>
                <w:color w:val="auto"/>
                <w:lang w:eastAsia="zh-CN"/>
              </w:rPr>
              <w:t>（</w:t>
            </w:r>
            <w:r>
              <w:rPr>
                <w:rFonts w:hint="eastAsia"/>
                <w:color w:val="auto"/>
                <w:lang w:val="en-US" w:eastAsia="zh-CN"/>
              </w:rPr>
              <w:t>2</w:t>
            </w:r>
            <w:r>
              <w:rPr>
                <w:rFonts w:hint="eastAsia"/>
                <w:color w:val="auto"/>
                <w:lang w:eastAsia="zh-CN"/>
              </w:rPr>
              <w:t>）施工机械、运输车辆尾气</w:t>
            </w:r>
          </w:p>
          <w:p w14:paraId="02E77316">
            <w:pPr>
              <w:bidi w:val="0"/>
              <w:rPr>
                <w:rFonts w:hint="eastAsia"/>
                <w:color w:val="auto"/>
              </w:rPr>
            </w:pPr>
            <w:r>
              <w:rPr>
                <w:color w:val="auto"/>
              </w:rPr>
              <w:t>建筑</w:t>
            </w:r>
            <w:r>
              <w:rPr>
                <w:rFonts w:hint="eastAsia"/>
                <w:color w:val="auto"/>
              </w:rPr>
              <w:t>工地上大量使用的施工机械和大型建筑材料运输车辆一般都以柴油为燃料。由柴油燃烧产生的尾气中主要含有颗粒物和碳氢化合物等废气，在常规气象条件下废气污染影响范围最大不超过排气孔下风向轴线几十米远的距离。一般情况下，在工地内运行的机械及载重卡车的废气污染影响范围仅局限于施工工地内，不影响界外区域。在工程施工期间，使用液体燃料的施工机械及运输车辆的发动机排放的尾气中含有SO</w:t>
            </w:r>
            <w:r>
              <w:rPr>
                <w:rFonts w:hint="eastAsia"/>
                <w:color w:val="auto"/>
                <w:vertAlign w:val="subscript"/>
              </w:rPr>
              <w:t>2</w:t>
            </w:r>
            <w:r>
              <w:rPr>
                <w:rFonts w:hint="eastAsia"/>
                <w:color w:val="auto"/>
              </w:rPr>
              <w:t>、NO</w:t>
            </w:r>
            <w:r>
              <w:rPr>
                <w:rFonts w:hint="eastAsia"/>
                <w:color w:val="auto"/>
                <w:vertAlign w:val="subscript"/>
              </w:rPr>
              <w:t>x</w:t>
            </w:r>
            <w:r>
              <w:rPr>
                <w:rFonts w:hint="eastAsia"/>
                <w:color w:val="auto"/>
              </w:rPr>
              <w:t>、CO、烃类等污染物，一般情况下，这些污染物的排放量不大</w:t>
            </w:r>
            <w:r>
              <w:rPr>
                <w:rFonts w:hint="eastAsia"/>
                <w:color w:val="auto"/>
                <w:lang w:eastAsia="zh-CN"/>
              </w:rPr>
              <w:t>且</w:t>
            </w:r>
            <w:r>
              <w:rPr>
                <w:rFonts w:hint="eastAsia"/>
                <w:color w:val="auto"/>
              </w:rPr>
              <w:t>本地区大气扩散条件良好，因此此类废气对周边大气环境的影响较小。</w:t>
            </w:r>
          </w:p>
          <w:p w14:paraId="01A8ED04">
            <w:pPr>
              <w:bidi w:val="0"/>
              <w:rPr>
                <w:rFonts w:hint="eastAsia"/>
                <w:color w:val="auto"/>
                <w:lang w:val="en-US" w:eastAsia="zh-CN"/>
              </w:rPr>
            </w:pPr>
            <w:r>
              <w:rPr>
                <w:rFonts w:hint="eastAsia"/>
                <w:color w:val="auto"/>
                <w:lang w:val="en-US" w:eastAsia="zh-CN"/>
              </w:rPr>
              <w:t>（3）装修废气</w:t>
            </w:r>
          </w:p>
          <w:p w14:paraId="71350632">
            <w:pPr>
              <w:bidi w:val="0"/>
              <w:rPr>
                <w:rFonts w:hint="eastAsia"/>
                <w:color w:val="auto"/>
                <w:lang w:eastAsia="zh-CN"/>
              </w:rPr>
            </w:pPr>
            <w:r>
              <w:rPr>
                <w:rFonts w:hint="eastAsia"/>
                <w:color w:val="auto"/>
                <w:lang w:eastAsia="zh-CN"/>
              </w:rPr>
              <w:t>装修施工阶段，墙面、地面装饰需要使用涂料（油漆）。装修有机废气来自涂料中的挥发性成分，属无组织排放，主要污染因子为非甲烷总烃。装修期间有机废气向周边环境弥散。</w:t>
            </w:r>
          </w:p>
          <w:p w14:paraId="3BAF67A8">
            <w:pPr>
              <w:bidi w:val="0"/>
              <w:rPr>
                <w:rFonts w:hint="eastAsia"/>
                <w:color w:val="auto"/>
                <w:lang w:val="en-US" w:eastAsia="zh-CN"/>
              </w:rPr>
            </w:pPr>
            <w:r>
              <w:rPr>
                <w:rFonts w:hint="eastAsia"/>
                <w:color w:val="auto"/>
                <w:lang w:eastAsia="zh-CN"/>
              </w:rPr>
              <w:t>本项目周边敏感目标主要为西</w:t>
            </w:r>
            <w:r>
              <w:rPr>
                <w:rFonts w:hint="eastAsia"/>
                <w:color w:val="auto"/>
                <w:lang w:val="en-US" w:eastAsia="zh-CN"/>
              </w:rPr>
              <w:t>北</w:t>
            </w:r>
            <w:r>
              <w:rPr>
                <w:rFonts w:hint="eastAsia"/>
                <w:color w:val="auto"/>
                <w:lang w:eastAsia="zh-CN"/>
              </w:rPr>
              <w:t>侧约</w:t>
            </w:r>
            <w:r>
              <w:rPr>
                <w:rFonts w:hint="eastAsia"/>
                <w:color w:val="auto"/>
                <w:lang w:val="en-US" w:eastAsia="zh-CN"/>
              </w:rPr>
              <w:t>260m的石溪村，在施工工地自然风作用下产生的扬尘所影响的范围100m以外，因此项目施工对该敏感目标影响较小。为减少施工扬尘对周边环境的影响，建设单位应采取以下防治措施：</w:t>
            </w:r>
          </w:p>
          <w:p w14:paraId="2A8869DC">
            <w:pPr>
              <w:bidi w:val="0"/>
              <w:rPr>
                <w:rFonts w:hint="eastAsia"/>
                <w:color w:val="auto"/>
                <w:lang w:eastAsia="zh-CN"/>
              </w:rPr>
            </w:pPr>
            <w:r>
              <w:rPr>
                <w:rFonts w:hint="eastAsia"/>
                <w:color w:val="auto"/>
                <w:lang w:eastAsia="zh-CN"/>
              </w:rPr>
              <w:t>（</w:t>
            </w:r>
            <w:r>
              <w:rPr>
                <w:rFonts w:hint="eastAsia"/>
                <w:color w:val="auto"/>
                <w:lang w:val="en-US" w:eastAsia="zh-CN"/>
              </w:rPr>
              <w:t>1</w:t>
            </w:r>
            <w:r>
              <w:rPr>
                <w:rFonts w:hint="eastAsia"/>
                <w:color w:val="auto"/>
                <w:lang w:eastAsia="zh-CN"/>
              </w:rPr>
              <w:t>）施工场地四周应设置2.5m高硬质围挡，并做到坚固、平整、整洁、美观，建筑物施工设垂直封闭网。</w:t>
            </w:r>
          </w:p>
          <w:p w14:paraId="11AEA420">
            <w:pPr>
              <w:bidi w:val="0"/>
              <w:rPr>
                <w:rFonts w:hint="eastAsia"/>
                <w:color w:val="auto"/>
                <w:lang w:eastAsia="zh-CN"/>
              </w:rPr>
            </w:pPr>
            <w:r>
              <w:rPr>
                <w:rFonts w:hint="eastAsia"/>
                <w:color w:val="auto"/>
                <w:lang w:eastAsia="zh-CN"/>
              </w:rPr>
              <w:t>（</w:t>
            </w:r>
            <w:r>
              <w:rPr>
                <w:rFonts w:hint="eastAsia"/>
                <w:color w:val="auto"/>
                <w:lang w:val="en-US" w:eastAsia="zh-CN"/>
              </w:rPr>
              <w:t>2</w:t>
            </w:r>
            <w:r>
              <w:rPr>
                <w:rFonts w:hint="eastAsia"/>
                <w:color w:val="auto"/>
                <w:lang w:eastAsia="zh-CN"/>
              </w:rPr>
              <w:t>）项目施工过程中，易产尘材料均采取防尘网遮盖，建筑垃圾及时清运，不在场地内长时间堆存。场地内配备移动式洒水车，并指定专人定期对易产生扬尘的地点进行喷水，使其保持一定的湿度，降低扬尘。</w:t>
            </w:r>
          </w:p>
          <w:p w14:paraId="77F844B8">
            <w:pPr>
              <w:bidi w:val="0"/>
              <w:rPr>
                <w:rFonts w:hint="eastAsia"/>
                <w:color w:val="auto"/>
                <w:lang w:eastAsia="zh-CN"/>
              </w:rPr>
            </w:pPr>
            <w:r>
              <w:rPr>
                <w:rFonts w:hint="eastAsia"/>
                <w:color w:val="auto"/>
                <w:lang w:eastAsia="zh-CN"/>
              </w:rPr>
              <w:t>（</w:t>
            </w:r>
            <w:r>
              <w:rPr>
                <w:rFonts w:hint="eastAsia"/>
                <w:color w:val="auto"/>
                <w:lang w:val="en-US" w:eastAsia="zh-CN"/>
              </w:rPr>
              <w:t>3</w:t>
            </w:r>
            <w:r>
              <w:rPr>
                <w:rFonts w:hint="eastAsia"/>
                <w:color w:val="auto"/>
                <w:lang w:eastAsia="zh-CN"/>
              </w:rPr>
              <w:t>）施工场地出入口设置洗车平台，运输车辆底盘和车轮冲洗干净后，方驶离施工现场。</w:t>
            </w:r>
          </w:p>
          <w:p w14:paraId="28BEB341">
            <w:pPr>
              <w:bidi w:val="0"/>
              <w:rPr>
                <w:rFonts w:hint="eastAsia"/>
                <w:color w:val="auto"/>
                <w:lang w:eastAsia="zh-CN"/>
              </w:rPr>
            </w:pPr>
            <w:r>
              <w:rPr>
                <w:rFonts w:hint="eastAsia"/>
                <w:color w:val="auto"/>
                <w:lang w:eastAsia="zh-CN"/>
              </w:rPr>
              <w:t>（</w:t>
            </w:r>
            <w:r>
              <w:rPr>
                <w:rFonts w:hint="eastAsia"/>
                <w:color w:val="auto"/>
                <w:lang w:val="en-US" w:eastAsia="zh-CN"/>
              </w:rPr>
              <w:t>4</w:t>
            </w:r>
            <w:r>
              <w:rPr>
                <w:rFonts w:hint="eastAsia"/>
                <w:color w:val="auto"/>
                <w:lang w:eastAsia="zh-CN"/>
              </w:rPr>
              <w:t>）对施工区的主要通道、进出道路、材料加工区及办公生活区地面进行硬化处理，并且工地出入口与城市道路连接区域在全部硬化的同时，按要求敷设钢板，防止路面破损。</w:t>
            </w:r>
          </w:p>
          <w:p w14:paraId="0391BE22">
            <w:pPr>
              <w:bidi w:val="0"/>
              <w:rPr>
                <w:rFonts w:hint="eastAsia"/>
                <w:color w:val="auto"/>
                <w:lang w:eastAsia="zh-CN"/>
              </w:rPr>
            </w:pPr>
            <w:r>
              <w:rPr>
                <w:rFonts w:hint="eastAsia"/>
                <w:color w:val="auto"/>
                <w:lang w:eastAsia="zh-CN"/>
              </w:rPr>
              <w:t>（</w:t>
            </w:r>
            <w:r>
              <w:rPr>
                <w:rFonts w:hint="eastAsia"/>
                <w:color w:val="auto"/>
                <w:lang w:val="en-US" w:eastAsia="zh-CN"/>
              </w:rPr>
              <w:t>5</w:t>
            </w:r>
            <w:r>
              <w:rPr>
                <w:rFonts w:hint="eastAsia"/>
                <w:color w:val="auto"/>
                <w:lang w:eastAsia="zh-CN"/>
              </w:rPr>
              <w:t>）施工现场安排专人负责卫生保洁工作，围挡上方设置水喷雾设施，并配备移动式洒水车，施工期间遇到大风天气时，增加洒水降尘次数。</w:t>
            </w:r>
          </w:p>
          <w:p w14:paraId="2E64C7EA">
            <w:pPr>
              <w:bidi w:val="0"/>
              <w:rPr>
                <w:rFonts w:hint="eastAsia"/>
                <w:color w:val="auto"/>
                <w:lang w:eastAsia="zh-CN"/>
              </w:rPr>
            </w:pPr>
            <w:r>
              <w:rPr>
                <w:rFonts w:hint="eastAsia"/>
                <w:color w:val="auto"/>
                <w:lang w:eastAsia="zh-CN"/>
              </w:rPr>
              <w:t>（</w:t>
            </w:r>
            <w:r>
              <w:rPr>
                <w:rFonts w:hint="eastAsia"/>
                <w:color w:val="auto"/>
                <w:lang w:val="en-US" w:eastAsia="zh-CN"/>
              </w:rPr>
              <w:t>6</w:t>
            </w:r>
            <w:r>
              <w:rPr>
                <w:rFonts w:hint="eastAsia"/>
                <w:color w:val="auto"/>
                <w:lang w:eastAsia="zh-CN"/>
              </w:rPr>
              <w:t>）车辆在运输建筑材料等散装物料时，采取密闭措施，做到车辆密</w:t>
            </w:r>
            <w:r>
              <w:rPr>
                <w:rFonts w:hint="eastAsia"/>
                <w:color w:val="auto"/>
                <w:lang w:val="en-US" w:eastAsia="zh-CN"/>
              </w:rPr>
              <w:t>闭</w:t>
            </w:r>
            <w:r>
              <w:rPr>
                <w:rFonts w:hint="eastAsia"/>
                <w:color w:val="auto"/>
                <w:lang w:eastAsia="zh-CN"/>
              </w:rPr>
              <w:t>、装载均衡，不出现沿途洒落，造成二次道路扬尘污染。</w:t>
            </w:r>
          </w:p>
          <w:p w14:paraId="7DD0350C">
            <w:pPr>
              <w:bidi w:val="0"/>
              <w:rPr>
                <w:rFonts w:hint="eastAsia"/>
                <w:color w:val="auto"/>
                <w:lang w:eastAsia="zh-CN"/>
              </w:rPr>
            </w:pPr>
            <w:r>
              <w:rPr>
                <w:rFonts w:hint="eastAsia"/>
                <w:color w:val="auto"/>
                <w:lang w:eastAsia="zh-CN"/>
              </w:rPr>
              <w:t>（</w:t>
            </w:r>
            <w:r>
              <w:rPr>
                <w:rFonts w:hint="eastAsia"/>
                <w:color w:val="auto"/>
                <w:lang w:val="en-US" w:eastAsia="zh-CN"/>
              </w:rPr>
              <w:t>7</w:t>
            </w:r>
            <w:r>
              <w:rPr>
                <w:rFonts w:hint="eastAsia"/>
                <w:color w:val="auto"/>
                <w:lang w:eastAsia="zh-CN"/>
              </w:rPr>
              <w:t>）选择合理的运输路线和时间，使运输扬尘对周边环境的影响在可接受范围内。</w:t>
            </w:r>
          </w:p>
          <w:p w14:paraId="3C4DDC05">
            <w:pPr>
              <w:bidi w:val="0"/>
              <w:rPr>
                <w:color w:val="auto"/>
              </w:rPr>
            </w:pPr>
            <w:r>
              <w:rPr>
                <w:rFonts w:hint="eastAsia"/>
                <w:color w:val="auto"/>
                <w:lang w:eastAsia="zh-CN"/>
              </w:rPr>
              <w:t>（</w:t>
            </w:r>
            <w:r>
              <w:rPr>
                <w:rFonts w:hint="eastAsia"/>
                <w:color w:val="auto"/>
                <w:lang w:val="en-US" w:eastAsia="zh-CN"/>
              </w:rPr>
              <w:t>8</w:t>
            </w:r>
            <w:r>
              <w:rPr>
                <w:rFonts w:hint="eastAsia"/>
                <w:color w:val="auto"/>
                <w:lang w:eastAsia="zh-CN"/>
              </w:rPr>
              <w:t>）</w:t>
            </w:r>
            <w:r>
              <w:rPr>
                <w:rFonts w:hint="default"/>
                <w:color w:val="auto"/>
                <w:lang w:val="en-US" w:eastAsia="zh-CN"/>
              </w:rPr>
              <w:t>选择符合环保要求的施工机械，尽量选择以电能或燃轻柴油的设备，减少机械设备燃料废气的产生量</w:t>
            </w:r>
            <w:r>
              <w:rPr>
                <w:rFonts w:hint="eastAsia"/>
                <w:color w:val="auto"/>
                <w:lang w:val="en-US" w:eastAsia="zh-CN"/>
              </w:rPr>
              <w:t>。</w:t>
            </w:r>
          </w:p>
          <w:p w14:paraId="244922B6">
            <w:pPr>
              <w:bidi w:val="0"/>
              <w:rPr>
                <w:rFonts w:hint="eastAsia"/>
                <w:color w:val="auto"/>
                <w:lang w:val="en-US" w:eastAsia="zh-CN"/>
              </w:rPr>
            </w:pPr>
            <w:r>
              <w:rPr>
                <w:rFonts w:hint="eastAsia"/>
                <w:color w:val="auto"/>
                <w:lang w:val="en-US" w:eastAsia="zh-CN"/>
              </w:rPr>
              <w:t>（9）装修过程中应选用符合《民用建筑工程室内环境污染控制标准》（GB50325-2020）标准规定的建筑材料和装饰材料，并通过加强排气通风。</w:t>
            </w:r>
          </w:p>
          <w:p w14:paraId="2167E5BC">
            <w:pPr>
              <w:bidi w:val="0"/>
              <w:rPr>
                <w:rFonts w:hint="eastAsia"/>
                <w:color w:val="auto"/>
                <w:lang w:eastAsia="zh-CN"/>
              </w:rPr>
            </w:pPr>
            <w:r>
              <w:rPr>
                <w:rFonts w:hint="eastAsia"/>
                <w:color w:val="auto"/>
                <w:lang w:val="en-US" w:eastAsia="zh-CN"/>
              </w:rPr>
              <w:t>采取以上综合防治措施后，可最大</w:t>
            </w:r>
            <w:r>
              <w:rPr>
                <w:rFonts w:hint="eastAsia"/>
                <w:color w:val="auto"/>
              </w:rPr>
              <w:t>减轻</w:t>
            </w:r>
            <w:r>
              <w:rPr>
                <w:rFonts w:hint="eastAsia"/>
                <w:color w:val="auto"/>
                <w:lang w:val="en-US" w:eastAsia="zh-CN"/>
              </w:rPr>
              <w:t>施工期废气</w:t>
            </w:r>
            <w:r>
              <w:rPr>
                <w:rFonts w:hint="eastAsia"/>
                <w:color w:val="auto"/>
              </w:rPr>
              <w:t>对区域环境空气质量</w:t>
            </w:r>
            <w:r>
              <w:rPr>
                <w:rFonts w:hint="eastAsia"/>
                <w:color w:val="auto"/>
                <w:lang w:val="en-US" w:eastAsia="zh-CN"/>
              </w:rPr>
              <w:t>带来</w:t>
            </w:r>
            <w:r>
              <w:rPr>
                <w:rFonts w:hint="eastAsia"/>
                <w:color w:val="auto"/>
              </w:rPr>
              <w:t>的不利影响</w:t>
            </w:r>
            <w:r>
              <w:rPr>
                <w:rFonts w:hint="eastAsia"/>
                <w:color w:val="auto"/>
                <w:lang w:eastAsia="zh-CN"/>
              </w:rPr>
              <w:t>，对周边大气环境及周边敏感点影响较小。</w:t>
            </w:r>
          </w:p>
          <w:p w14:paraId="755FCE29">
            <w:pPr>
              <w:pStyle w:val="4"/>
              <w:bidi w:val="0"/>
              <w:rPr>
                <w:rFonts w:hint="default"/>
                <w:color w:val="auto"/>
                <w:lang w:val="en-US" w:eastAsia="zh-CN"/>
              </w:rPr>
            </w:pPr>
            <w:r>
              <w:rPr>
                <w:rFonts w:hint="eastAsia"/>
                <w:color w:val="auto"/>
                <w:lang w:val="en-US" w:eastAsia="zh-CN"/>
              </w:rPr>
              <w:t>4.1.3施工期噪声环境影响分析</w:t>
            </w:r>
            <w:bookmarkEnd w:id="29"/>
            <w:bookmarkEnd w:id="30"/>
            <w:r>
              <w:rPr>
                <w:rFonts w:hint="eastAsia"/>
                <w:color w:val="auto"/>
                <w:lang w:val="en-US" w:eastAsia="zh-CN"/>
              </w:rPr>
              <w:t>及保护措施</w:t>
            </w:r>
          </w:p>
          <w:p w14:paraId="7325D22E">
            <w:pPr>
              <w:bidi w:val="0"/>
              <w:rPr>
                <w:rFonts w:hint="default"/>
                <w:color w:val="auto"/>
              </w:rPr>
            </w:pPr>
            <w:bookmarkStart w:id="31" w:name="_Toc166"/>
            <w:bookmarkStart w:id="32" w:name="_Toc165"/>
            <w:r>
              <w:rPr>
                <w:rFonts w:hint="default"/>
                <w:color w:val="auto"/>
              </w:rPr>
              <w:t>项目噪声主要来</w:t>
            </w:r>
            <w:r>
              <w:rPr>
                <w:rFonts w:hint="eastAsia"/>
                <w:color w:val="auto"/>
                <w:lang w:eastAsia="zh-CN"/>
              </w:rPr>
              <w:t>源于</w:t>
            </w:r>
            <w:r>
              <w:rPr>
                <w:rFonts w:hint="default"/>
                <w:color w:val="auto"/>
              </w:rPr>
              <w:t>施工现场的各类机械设备</w:t>
            </w:r>
            <w:r>
              <w:rPr>
                <w:rFonts w:hint="eastAsia"/>
                <w:color w:val="auto"/>
                <w:lang w:val="en-US" w:eastAsia="zh-CN"/>
              </w:rPr>
              <w:t>噪声</w:t>
            </w:r>
            <w:r>
              <w:rPr>
                <w:rFonts w:hint="default"/>
                <w:color w:val="auto"/>
              </w:rPr>
              <w:t>和物料运输的交通噪声。施工设备噪声值依据福建省环保局闽环保总队</w:t>
            </w:r>
            <w:r>
              <w:rPr>
                <w:rFonts w:hint="eastAsia"/>
                <w:color w:val="auto"/>
                <w:lang w:eastAsia="zh-CN"/>
              </w:rPr>
              <w:t>〔2006〕4号</w:t>
            </w:r>
            <w:r>
              <w:rPr>
                <w:rFonts w:hint="default"/>
                <w:color w:val="auto"/>
              </w:rPr>
              <w:t>文中“福建省建筑施工噪声类比监测数据一览表</w:t>
            </w:r>
            <w:r>
              <w:rPr>
                <w:rFonts w:hint="default"/>
                <w:color w:val="auto"/>
                <w:lang w:val="en-US" w:eastAsia="zh-CN"/>
              </w:rPr>
              <w:t>(</w:t>
            </w:r>
            <w:r>
              <w:rPr>
                <w:rFonts w:hint="default"/>
                <w:color w:val="auto"/>
              </w:rPr>
              <w:t>试行</w:t>
            </w:r>
            <w:r>
              <w:rPr>
                <w:rFonts w:hint="default"/>
                <w:color w:val="auto"/>
                <w:lang w:val="en-US" w:eastAsia="zh-CN"/>
              </w:rPr>
              <w:t>)</w:t>
            </w:r>
            <w:r>
              <w:rPr>
                <w:rFonts w:hint="default"/>
                <w:color w:val="auto"/>
              </w:rPr>
              <w:t>”中相关数据，见表</w:t>
            </w:r>
            <w:r>
              <w:rPr>
                <w:rFonts w:hint="eastAsia"/>
                <w:color w:val="auto"/>
                <w:lang w:val="en-US" w:eastAsia="zh-CN"/>
              </w:rPr>
              <w:t>4.1-1</w:t>
            </w:r>
            <w:r>
              <w:rPr>
                <w:rFonts w:hint="default"/>
                <w:color w:val="auto"/>
              </w:rPr>
              <w:t>。</w:t>
            </w:r>
          </w:p>
          <w:p w14:paraId="2ADAA558">
            <w:pPr>
              <w:pStyle w:val="33"/>
              <w:keepNext/>
              <w:keepLines w:val="0"/>
              <w:pageBreakBefore w:val="0"/>
              <w:widowControl w:val="0"/>
              <w:kinsoku/>
              <w:wordWrap/>
              <w:overflowPunct/>
              <w:topLinePunct w:val="0"/>
              <w:autoSpaceDE/>
              <w:autoSpaceDN/>
              <w:bidi w:val="0"/>
              <w:adjustRightInd/>
              <w:snapToGrid/>
              <w:spacing w:before="0" w:beforeLines="0"/>
              <w:textAlignment w:val="auto"/>
              <w:rPr>
                <w:rFonts w:hint="default"/>
                <w:color w:val="auto"/>
                <w:sz w:val="24"/>
                <w:szCs w:val="24"/>
                <w:lang w:val="en-US" w:eastAsia="zh-CN"/>
              </w:rPr>
            </w:pPr>
            <w:r>
              <w:rPr>
                <w:rFonts w:hint="default"/>
                <w:color w:val="auto"/>
                <w:sz w:val="24"/>
                <w:szCs w:val="24"/>
                <w:lang w:val="en-US" w:eastAsia="zh-CN"/>
              </w:rPr>
              <w:t>表4.1-1 项目施工机械噪声源源强</w:t>
            </w:r>
          </w:p>
          <w:tbl>
            <w:tblPr>
              <w:tblStyle w:val="20"/>
              <w:tblW w:w="4998" w:type="pct"/>
              <w:jc w:val="center"/>
              <w:tblBorders>
                <w:top w:val="single" w:color="auto" w:sz="12" w:space="0"/>
                <w:left w:val="none" w:color="auto" w:sz="0" w:space="0"/>
                <w:bottom w:val="single" w:color="auto" w:sz="12" w:space="0"/>
                <w:right w:val="none" w:color="auto" w:sz="0" w:space="0"/>
                <w:insideH w:val="single" w:color="000000" w:sz="2" w:space="0"/>
                <w:insideV w:val="single" w:color="000000" w:sz="2" w:space="0"/>
              </w:tblBorders>
              <w:tblLayout w:type="autofit"/>
              <w:tblCellMar>
                <w:top w:w="0" w:type="dxa"/>
                <w:left w:w="30" w:type="dxa"/>
                <w:bottom w:w="0" w:type="dxa"/>
                <w:right w:w="30" w:type="dxa"/>
              </w:tblCellMar>
            </w:tblPr>
            <w:tblGrid>
              <w:gridCol w:w="1512"/>
              <w:gridCol w:w="1328"/>
              <w:gridCol w:w="1923"/>
              <w:gridCol w:w="1474"/>
              <w:gridCol w:w="1693"/>
            </w:tblGrid>
            <w:tr w14:paraId="05980A90">
              <w:tblPrEx>
                <w:tblBorders>
                  <w:top w:val="single" w:color="auto" w:sz="12" w:space="0"/>
                  <w:left w:val="none" w:color="auto" w:sz="0" w:space="0"/>
                  <w:bottom w:val="single" w:color="auto" w:sz="12" w:space="0"/>
                  <w:right w:val="none" w:color="auto" w:sz="0" w:space="0"/>
                  <w:insideH w:val="single" w:color="000000" w:sz="2" w:space="0"/>
                  <w:insideV w:val="single" w:color="000000" w:sz="2" w:space="0"/>
                </w:tblBorders>
                <w:tblCellMar>
                  <w:top w:w="0" w:type="dxa"/>
                  <w:left w:w="30" w:type="dxa"/>
                  <w:bottom w:w="0" w:type="dxa"/>
                  <w:right w:w="30" w:type="dxa"/>
                </w:tblCellMar>
              </w:tblPrEx>
              <w:trPr>
                <w:cantSplit/>
                <w:trHeight w:val="397" w:hRule="atLeast"/>
                <w:jc w:val="center"/>
              </w:trPr>
              <w:tc>
                <w:tcPr>
                  <w:tcW w:w="953" w:type="pct"/>
                  <w:noWrap w:val="0"/>
                  <w:vAlign w:val="center"/>
                </w:tcPr>
                <w:p w14:paraId="5C49212C">
                  <w:pPr>
                    <w:pStyle w:val="28"/>
                    <w:bidi w:val="0"/>
                    <w:rPr>
                      <w:rFonts w:hint="default"/>
                      <w:b/>
                      <w:bCs/>
                      <w:color w:val="auto"/>
                    </w:rPr>
                  </w:pPr>
                  <w:r>
                    <w:rPr>
                      <w:rFonts w:hint="default"/>
                      <w:b/>
                      <w:bCs/>
                      <w:color w:val="auto"/>
                    </w:rPr>
                    <w:t>施工阶段</w:t>
                  </w:r>
                </w:p>
              </w:tc>
              <w:tc>
                <w:tcPr>
                  <w:tcW w:w="837" w:type="pct"/>
                  <w:noWrap w:val="0"/>
                  <w:vAlign w:val="center"/>
                </w:tcPr>
                <w:p w14:paraId="4DCA3255">
                  <w:pPr>
                    <w:pStyle w:val="28"/>
                    <w:bidi w:val="0"/>
                    <w:rPr>
                      <w:rFonts w:hint="default"/>
                      <w:b/>
                      <w:bCs/>
                      <w:color w:val="auto"/>
                    </w:rPr>
                  </w:pPr>
                  <w:r>
                    <w:rPr>
                      <w:rFonts w:hint="default"/>
                      <w:b/>
                      <w:bCs/>
                      <w:color w:val="auto"/>
                    </w:rPr>
                    <w:t>施工设备</w:t>
                  </w:r>
                </w:p>
              </w:tc>
              <w:tc>
                <w:tcPr>
                  <w:tcW w:w="1212" w:type="pct"/>
                  <w:noWrap w:val="0"/>
                  <w:vAlign w:val="center"/>
                </w:tcPr>
                <w:p w14:paraId="6A7FD9E2">
                  <w:pPr>
                    <w:pStyle w:val="28"/>
                    <w:bidi w:val="0"/>
                    <w:rPr>
                      <w:rFonts w:hint="default"/>
                      <w:b/>
                      <w:bCs/>
                      <w:color w:val="auto"/>
                    </w:rPr>
                  </w:pPr>
                  <w:r>
                    <w:rPr>
                      <w:rFonts w:hint="default"/>
                      <w:b/>
                      <w:bCs/>
                      <w:color w:val="auto"/>
                    </w:rPr>
                    <w:t>测点与设备距离(m)</w:t>
                  </w:r>
                </w:p>
              </w:tc>
              <w:tc>
                <w:tcPr>
                  <w:tcW w:w="929" w:type="pct"/>
                  <w:tcBorders>
                    <w:right w:val="single" w:color="auto" w:sz="4" w:space="0"/>
                  </w:tcBorders>
                  <w:noWrap w:val="0"/>
                  <w:vAlign w:val="center"/>
                </w:tcPr>
                <w:p w14:paraId="7A827E6C">
                  <w:pPr>
                    <w:pStyle w:val="28"/>
                    <w:bidi w:val="0"/>
                    <w:rPr>
                      <w:rFonts w:hint="default"/>
                      <w:b/>
                      <w:bCs/>
                      <w:color w:val="auto"/>
                    </w:rPr>
                  </w:pPr>
                  <w:r>
                    <w:rPr>
                      <w:rFonts w:hint="default"/>
                      <w:b/>
                      <w:bCs/>
                      <w:color w:val="auto"/>
                    </w:rPr>
                    <w:t>噪声级dB(A)</w:t>
                  </w:r>
                </w:p>
              </w:tc>
              <w:tc>
                <w:tcPr>
                  <w:tcW w:w="1066" w:type="pct"/>
                  <w:tcBorders>
                    <w:left w:val="single" w:color="auto" w:sz="4" w:space="0"/>
                  </w:tcBorders>
                  <w:noWrap w:val="0"/>
                  <w:vAlign w:val="center"/>
                </w:tcPr>
                <w:p w14:paraId="0ABA21EE">
                  <w:pPr>
                    <w:pStyle w:val="28"/>
                    <w:bidi w:val="0"/>
                    <w:rPr>
                      <w:rFonts w:hint="default"/>
                      <w:b/>
                      <w:bCs/>
                      <w:color w:val="auto"/>
                    </w:rPr>
                  </w:pPr>
                  <w:r>
                    <w:rPr>
                      <w:rFonts w:hint="default"/>
                      <w:b/>
                      <w:bCs/>
                      <w:color w:val="auto"/>
                    </w:rPr>
                    <w:t>综合噪声级dB(A)</w:t>
                  </w:r>
                </w:p>
              </w:tc>
            </w:tr>
            <w:tr w14:paraId="434280FD">
              <w:tblPrEx>
                <w:tblBorders>
                  <w:top w:val="single" w:color="auto" w:sz="12" w:space="0"/>
                  <w:left w:val="none" w:color="auto" w:sz="0" w:space="0"/>
                  <w:bottom w:val="single" w:color="auto" w:sz="12" w:space="0"/>
                  <w:right w:val="none" w:color="auto" w:sz="0" w:space="0"/>
                  <w:insideH w:val="single" w:color="000000" w:sz="2" w:space="0"/>
                  <w:insideV w:val="single" w:color="000000" w:sz="2" w:space="0"/>
                </w:tblBorders>
                <w:tblCellMar>
                  <w:top w:w="0" w:type="dxa"/>
                  <w:left w:w="30" w:type="dxa"/>
                  <w:bottom w:w="0" w:type="dxa"/>
                  <w:right w:w="30" w:type="dxa"/>
                </w:tblCellMar>
              </w:tblPrEx>
              <w:trPr>
                <w:cantSplit/>
                <w:trHeight w:val="397" w:hRule="atLeast"/>
                <w:jc w:val="center"/>
              </w:trPr>
              <w:tc>
                <w:tcPr>
                  <w:tcW w:w="953" w:type="pct"/>
                  <w:vMerge w:val="restart"/>
                  <w:noWrap w:val="0"/>
                  <w:vAlign w:val="center"/>
                </w:tcPr>
                <w:p w14:paraId="0DD6FE21">
                  <w:pPr>
                    <w:pStyle w:val="28"/>
                    <w:bidi w:val="0"/>
                    <w:rPr>
                      <w:rFonts w:hint="default"/>
                      <w:color w:val="auto"/>
                    </w:rPr>
                  </w:pPr>
                  <w:r>
                    <w:rPr>
                      <w:rFonts w:hint="default"/>
                      <w:color w:val="auto"/>
                    </w:rPr>
                    <w:t>土石方阶段</w:t>
                  </w:r>
                </w:p>
              </w:tc>
              <w:tc>
                <w:tcPr>
                  <w:tcW w:w="837" w:type="pct"/>
                  <w:noWrap w:val="0"/>
                  <w:vAlign w:val="center"/>
                </w:tcPr>
                <w:p w14:paraId="52906D86">
                  <w:pPr>
                    <w:pStyle w:val="28"/>
                    <w:bidi w:val="0"/>
                    <w:rPr>
                      <w:rFonts w:hint="default"/>
                      <w:color w:val="auto"/>
                    </w:rPr>
                  </w:pPr>
                  <w:r>
                    <w:rPr>
                      <w:rFonts w:hint="default"/>
                      <w:color w:val="auto"/>
                    </w:rPr>
                    <w:t>装载车</w:t>
                  </w:r>
                </w:p>
              </w:tc>
              <w:tc>
                <w:tcPr>
                  <w:tcW w:w="1212" w:type="pct"/>
                  <w:noWrap w:val="0"/>
                  <w:vAlign w:val="center"/>
                </w:tcPr>
                <w:p w14:paraId="7563659C">
                  <w:pPr>
                    <w:pStyle w:val="28"/>
                    <w:bidi w:val="0"/>
                    <w:rPr>
                      <w:rFonts w:hint="default"/>
                      <w:color w:val="auto"/>
                    </w:rPr>
                  </w:pPr>
                  <w:r>
                    <w:rPr>
                      <w:rFonts w:hint="default"/>
                      <w:color w:val="auto"/>
                    </w:rPr>
                    <w:t>5</w:t>
                  </w:r>
                </w:p>
              </w:tc>
              <w:tc>
                <w:tcPr>
                  <w:tcW w:w="929" w:type="pct"/>
                  <w:tcBorders>
                    <w:right w:val="single" w:color="auto" w:sz="4" w:space="0"/>
                  </w:tcBorders>
                  <w:noWrap w:val="0"/>
                  <w:vAlign w:val="center"/>
                </w:tcPr>
                <w:p w14:paraId="2A561B41">
                  <w:pPr>
                    <w:pStyle w:val="28"/>
                    <w:bidi w:val="0"/>
                    <w:rPr>
                      <w:rFonts w:hint="default"/>
                      <w:color w:val="auto"/>
                    </w:rPr>
                  </w:pPr>
                  <w:r>
                    <w:rPr>
                      <w:rFonts w:hint="default"/>
                      <w:color w:val="auto"/>
                    </w:rPr>
                    <w:t>80</w:t>
                  </w:r>
                </w:p>
              </w:tc>
              <w:tc>
                <w:tcPr>
                  <w:tcW w:w="1066" w:type="pct"/>
                  <w:vMerge w:val="restart"/>
                  <w:tcBorders>
                    <w:left w:val="single" w:color="auto" w:sz="4" w:space="0"/>
                  </w:tcBorders>
                  <w:noWrap w:val="0"/>
                  <w:vAlign w:val="center"/>
                </w:tcPr>
                <w:p w14:paraId="33587C21">
                  <w:pPr>
                    <w:pStyle w:val="28"/>
                    <w:bidi w:val="0"/>
                    <w:rPr>
                      <w:rFonts w:hint="default"/>
                      <w:color w:val="auto"/>
                    </w:rPr>
                  </w:pPr>
                  <w:r>
                    <w:rPr>
                      <w:rFonts w:hint="default"/>
                      <w:color w:val="auto"/>
                    </w:rPr>
                    <w:t>93.2</w:t>
                  </w:r>
                </w:p>
              </w:tc>
            </w:tr>
            <w:tr w14:paraId="4F45F063">
              <w:tblPrEx>
                <w:tblBorders>
                  <w:top w:val="single" w:color="auto" w:sz="12" w:space="0"/>
                  <w:left w:val="none" w:color="auto" w:sz="0" w:space="0"/>
                  <w:bottom w:val="single" w:color="auto" w:sz="12" w:space="0"/>
                  <w:right w:val="none" w:color="auto" w:sz="0" w:space="0"/>
                  <w:insideH w:val="single" w:color="000000" w:sz="2" w:space="0"/>
                  <w:insideV w:val="single" w:color="000000" w:sz="2" w:space="0"/>
                </w:tblBorders>
                <w:tblCellMar>
                  <w:top w:w="0" w:type="dxa"/>
                  <w:left w:w="30" w:type="dxa"/>
                  <w:bottom w:w="0" w:type="dxa"/>
                  <w:right w:w="30" w:type="dxa"/>
                </w:tblCellMar>
              </w:tblPrEx>
              <w:trPr>
                <w:cantSplit/>
                <w:trHeight w:val="397" w:hRule="atLeast"/>
                <w:jc w:val="center"/>
              </w:trPr>
              <w:tc>
                <w:tcPr>
                  <w:tcW w:w="953" w:type="pct"/>
                  <w:vMerge w:val="continue"/>
                  <w:noWrap w:val="0"/>
                  <w:vAlign w:val="center"/>
                </w:tcPr>
                <w:p w14:paraId="7DC7A78F">
                  <w:pPr>
                    <w:pStyle w:val="28"/>
                    <w:bidi w:val="0"/>
                    <w:rPr>
                      <w:rFonts w:hint="default"/>
                      <w:color w:val="auto"/>
                    </w:rPr>
                  </w:pPr>
                </w:p>
              </w:tc>
              <w:tc>
                <w:tcPr>
                  <w:tcW w:w="837" w:type="pct"/>
                  <w:noWrap w:val="0"/>
                  <w:vAlign w:val="center"/>
                </w:tcPr>
                <w:p w14:paraId="433F59A3">
                  <w:pPr>
                    <w:pStyle w:val="28"/>
                    <w:bidi w:val="0"/>
                    <w:rPr>
                      <w:rFonts w:hint="default"/>
                      <w:color w:val="auto"/>
                    </w:rPr>
                  </w:pPr>
                  <w:r>
                    <w:rPr>
                      <w:rFonts w:hint="default"/>
                      <w:color w:val="auto"/>
                    </w:rPr>
                    <w:t>柴油空压机</w:t>
                  </w:r>
                </w:p>
              </w:tc>
              <w:tc>
                <w:tcPr>
                  <w:tcW w:w="1212" w:type="pct"/>
                  <w:noWrap w:val="0"/>
                  <w:vAlign w:val="center"/>
                </w:tcPr>
                <w:p w14:paraId="69AB5496">
                  <w:pPr>
                    <w:pStyle w:val="28"/>
                    <w:bidi w:val="0"/>
                    <w:rPr>
                      <w:rFonts w:hint="default"/>
                      <w:color w:val="auto"/>
                    </w:rPr>
                  </w:pPr>
                  <w:r>
                    <w:rPr>
                      <w:rFonts w:hint="default"/>
                      <w:color w:val="auto"/>
                    </w:rPr>
                    <w:t>5</w:t>
                  </w:r>
                </w:p>
              </w:tc>
              <w:tc>
                <w:tcPr>
                  <w:tcW w:w="929" w:type="pct"/>
                  <w:tcBorders>
                    <w:right w:val="single" w:color="auto" w:sz="4" w:space="0"/>
                  </w:tcBorders>
                  <w:noWrap w:val="0"/>
                  <w:vAlign w:val="center"/>
                </w:tcPr>
                <w:p w14:paraId="20328E73">
                  <w:pPr>
                    <w:pStyle w:val="28"/>
                    <w:bidi w:val="0"/>
                    <w:rPr>
                      <w:rFonts w:hint="default"/>
                      <w:color w:val="auto"/>
                    </w:rPr>
                  </w:pPr>
                  <w:r>
                    <w:rPr>
                      <w:rFonts w:hint="default"/>
                      <w:color w:val="auto"/>
                    </w:rPr>
                    <w:t>88</w:t>
                  </w:r>
                </w:p>
              </w:tc>
              <w:tc>
                <w:tcPr>
                  <w:tcW w:w="1066" w:type="pct"/>
                  <w:vMerge w:val="continue"/>
                  <w:tcBorders>
                    <w:left w:val="single" w:color="auto" w:sz="4" w:space="0"/>
                  </w:tcBorders>
                  <w:noWrap w:val="0"/>
                  <w:vAlign w:val="center"/>
                </w:tcPr>
                <w:p w14:paraId="22469DB3">
                  <w:pPr>
                    <w:pStyle w:val="28"/>
                    <w:bidi w:val="0"/>
                    <w:rPr>
                      <w:rFonts w:hint="default"/>
                      <w:color w:val="auto"/>
                    </w:rPr>
                  </w:pPr>
                </w:p>
              </w:tc>
            </w:tr>
            <w:tr w14:paraId="78DA5F84">
              <w:tblPrEx>
                <w:tblBorders>
                  <w:top w:val="single" w:color="auto" w:sz="12" w:space="0"/>
                  <w:left w:val="none" w:color="auto" w:sz="0" w:space="0"/>
                  <w:bottom w:val="single" w:color="auto" w:sz="12" w:space="0"/>
                  <w:right w:val="none" w:color="auto" w:sz="0" w:space="0"/>
                  <w:insideH w:val="single" w:color="000000" w:sz="2" w:space="0"/>
                  <w:insideV w:val="single" w:color="000000" w:sz="2" w:space="0"/>
                </w:tblBorders>
                <w:tblCellMar>
                  <w:top w:w="0" w:type="dxa"/>
                  <w:left w:w="30" w:type="dxa"/>
                  <w:bottom w:w="0" w:type="dxa"/>
                  <w:right w:w="30" w:type="dxa"/>
                </w:tblCellMar>
              </w:tblPrEx>
              <w:trPr>
                <w:cantSplit/>
                <w:trHeight w:val="397" w:hRule="atLeast"/>
                <w:jc w:val="center"/>
              </w:trPr>
              <w:tc>
                <w:tcPr>
                  <w:tcW w:w="953" w:type="pct"/>
                  <w:vMerge w:val="continue"/>
                  <w:noWrap w:val="0"/>
                  <w:vAlign w:val="center"/>
                </w:tcPr>
                <w:p w14:paraId="723755BB">
                  <w:pPr>
                    <w:pStyle w:val="28"/>
                    <w:bidi w:val="0"/>
                    <w:rPr>
                      <w:rFonts w:hint="default"/>
                      <w:color w:val="auto"/>
                    </w:rPr>
                  </w:pPr>
                </w:p>
              </w:tc>
              <w:tc>
                <w:tcPr>
                  <w:tcW w:w="837" w:type="pct"/>
                  <w:noWrap w:val="0"/>
                  <w:vAlign w:val="center"/>
                </w:tcPr>
                <w:p w14:paraId="7F2AABFA">
                  <w:pPr>
                    <w:pStyle w:val="28"/>
                    <w:bidi w:val="0"/>
                    <w:rPr>
                      <w:rFonts w:hint="default"/>
                      <w:color w:val="auto"/>
                    </w:rPr>
                  </w:pPr>
                  <w:r>
                    <w:rPr>
                      <w:rFonts w:hint="default"/>
                      <w:color w:val="auto"/>
                    </w:rPr>
                    <w:t>挖掘机</w:t>
                  </w:r>
                </w:p>
              </w:tc>
              <w:tc>
                <w:tcPr>
                  <w:tcW w:w="1212" w:type="pct"/>
                  <w:noWrap w:val="0"/>
                  <w:vAlign w:val="center"/>
                </w:tcPr>
                <w:p w14:paraId="579C49B2">
                  <w:pPr>
                    <w:pStyle w:val="28"/>
                    <w:bidi w:val="0"/>
                    <w:rPr>
                      <w:rFonts w:hint="default"/>
                      <w:color w:val="auto"/>
                    </w:rPr>
                  </w:pPr>
                  <w:r>
                    <w:rPr>
                      <w:rFonts w:hint="default"/>
                      <w:color w:val="auto"/>
                    </w:rPr>
                    <w:t>5</w:t>
                  </w:r>
                </w:p>
              </w:tc>
              <w:tc>
                <w:tcPr>
                  <w:tcW w:w="929" w:type="pct"/>
                  <w:tcBorders>
                    <w:right w:val="single" w:color="auto" w:sz="4" w:space="0"/>
                  </w:tcBorders>
                  <w:noWrap w:val="0"/>
                  <w:vAlign w:val="center"/>
                </w:tcPr>
                <w:p w14:paraId="60DB4ED4">
                  <w:pPr>
                    <w:pStyle w:val="28"/>
                    <w:bidi w:val="0"/>
                    <w:rPr>
                      <w:rFonts w:hint="default"/>
                      <w:color w:val="auto"/>
                    </w:rPr>
                  </w:pPr>
                  <w:r>
                    <w:rPr>
                      <w:rFonts w:hint="default"/>
                      <w:color w:val="auto"/>
                    </w:rPr>
                    <w:t>79</w:t>
                  </w:r>
                </w:p>
              </w:tc>
              <w:tc>
                <w:tcPr>
                  <w:tcW w:w="1066" w:type="pct"/>
                  <w:vMerge w:val="continue"/>
                  <w:tcBorders>
                    <w:left w:val="single" w:color="auto" w:sz="4" w:space="0"/>
                  </w:tcBorders>
                  <w:noWrap w:val="0"/>
                  <w:vAlign w:val="center"/>
                </w:tcPr>
                <w:p w14:paraId="56E4AC27">
                  <w:pPr>
                    <w:pStyle w:val="28"/>
                    <w:bidi w:val="0"/>
                    <w:rPr>
                      <w:rFonts w:hint="default"/>
                      <w:color w:val="auto"/>
                    </w:rPr>
                  </w:pPr>
                </w:p>
              </w:tc>
            </w:tr>
            <w:tr w14:paraId="15B83BAA">
              <w:tblPrEx>
                <w:tblBorders>
                  <w:top w:val="single" w:color="auto" w:sz="12" w:space="0"/>
                  <w:left w:val="none" w:color="auto" w:sz="0" w:space="0"/>
                  <w:bottom w:val="single" w:color="auto" w:sz="12" w:space="0"/>
                  <w:right w:val="none" w:color="auto" w:sz="0" w:space="0"/>
                  <w:insideH w:val="single" w:color="000000" w:sz="2" w:space="0"/>
                  <w:insideV w:val="single" w:color="000000" w:sz="2" w:space="0"/>
                </w:tblBorders>
                <w:tblCellMar>
                  <w:top w:w="0" w:type="dxa"/>
                  <w:left w:w="30" w:type="dxa"/>
                  <w:bottom w:w="0" w:type="dxa"/>
                  <w:right w:w="30" w:type="dxa"/>
                </w:tblCellMar>
              </w:tblPrEx>
              <w:trPr>
                <w:cantSplit/>
                <w:trHeight w:val="397" w:hRule="atLeast"/>
                <w:jc w:val="center"/>
              </w:trPr>
              <w:tc>
                <w:tcPr>
                  <w:tcW w:w="953" w:type="pct"/>
                  <w:vMerge w:val="continue"/>
                  <w:noWrap w:val="0"/>
                  <w:vAlign w:val="center"/>
                </w:tcPr>
                <w:p w14:paraId="566D473D">
                  <w:pPr>
                    <w:pStyle w:val="28"/>
                    <w:bidi w:val="0"/>
                    <w:rPr>
                      <w:rFonts w:hint="default"/>
                      <w:color w:val="auto"/>
                    </w:rPr>
                  </w:pPr>
                </w:p>
              </w:tc>
              <w:tc>
                <w:tcPr>
                  <w:tcW w:w="837" w:type="pct"/>
                  <w:noWrap w:val="0"/>
                  <w:vAlign w:val="center"/>
                </w:tcPr>
                <w:p w14:paraId="24A47AE5">
                  <w:pPr>
                    <w:pStyle w:val="28"/>
                    <w:bidi w:val="0"/>
                    <w:rPr>
                      <w:rFonts w:hint="default"/>
                      <w:color w:val="auto"/>
                    </w:rPr>
                  </w:pPr>
                  <w:r>
                    <w:rPr>
                      <w:rFonts w:hint="default"/>
                      <w:color w:val="auto"/>
                    </w:rPr>
                    <w:t>风镐</w:t>
                  </w:r>
                </w:p>
              </w:tc>
              <w:tc>
                <w:tcPr>
                  <w:tcW w:w="1212" w:type="pct"/>
                  <w:noWrap w:val="0"/>
                  <w:vAlign w:val="center"/>
                </w:tcPr>
                <w:p w14:paraId="6685FCE5">
                  <w:pPr>
                    <w:pStyle w:val="28"/>
                    <w:bidi w:val="0"/>
                    <w:rPr>
                      <w:rFonts w:hint="default"/>
                      <w:color w:val="auto"/>
                    </w:rPr>
                  </w:pPr>
                  <w:r>
                    <w:rPr>
                      <w:rFonts w:hint="default"/>
                      <w:color w:val="auto"/>
                    </w:rPr>
                    <w:t>5</w:t>
                  </w:r>
                </w:p>
              </w:tc>
              <w:tc>
                <w:tcPr>
                  <w:tcW w:w="929" w:type="pct"/>
                  <w:tcBorders>
                    <w:right w:val="single" w:color="auto" w:sz="4" w:space="0"/>
                  </w:tcBorders>
                  <w:noWrap w:val="0"/>
                  <w:vAlign w:val="center"/>
                </w:tcPr>
                <w:p w14:paraId="2BA3D2A9">
                  <w:pPr>
                    <w:pStyle w:val="28"/>
                    <w:bidi w:val="0"/>
                    <w:rPr>
                      <w:rFonts w:hint="default"/>
                      <w:color w:val="auto"/>
                    </w:rPr>
                  </w:pPr>
                  <w:r>
                    <w:rPr>
                      <w:rFonts w:hint="default"/>
                      <w:color w:val="auto"/>
                    </w:rPr>
                    <w:t>91</w:t>
                  </w:r>
                </w:p>
              </w:tc>
              <w:tc>
                <w:tcPr>
                  <w:tcW w:w="1066" w:type="pct"/>
                  <w:vMerge w:val="continue"/>
                  <w:tcBorders>
                    <w:left w:val="single" w:color="auto" w:sz="4" w:space="0"/>
                  </w:tcBorders>
                  <w:noWrap w:val="0"/>
                  <w:vAlign w:val="center"/>
                </w:tcPr>
                <w:p w14:paraId="22C1C2DC">
                  <w:pPr>
                    <w:pStyle w:val="28"/>
                    <w:bidi w:val="0"/>
                    <w:rPr>
                      <w:rFonts w:hint="default"/>
                      <w:color w:val="auto"/>
                    </w:rPr>
                  </w:pPr>
                </w:p>
              </w:tc>
            </w:tr>
            <w:tr w14:paraId="0B7BF293">
              <w:tblPrEx>
                <w:tblBorders>
                  <w:top w:val="single" w:color="auto" w:sz="12" w:space="0"/>
                  <w:left w:val="none" w:color="auto" w:sz="0" w:space="0"/>
                  <w:bottom w:val="single" w:color="auto" w:sz="12" w:space="0"/>
                  <w:right w:val="none" w:color="auto" w:sz="0" w:space="0"/>
                  <w:insideH w:val="single" w:color="000000" w:sz="2" w:space="0"/>
                  <w:insideV w:val="single" w:color="000000" w:sz="2" w:space="0"/>
                </w:tblBorders>
                <w:tblCellMar>
                  <w:top w:w="0" w:type="dxa"/>
                  <w:left w:w="30" w:type="dxa"/>
                  <w:bottom w:w="0" w:type="dxa"/>
                  <w:right w:w="30" w:type="dxa"/>
                </w:tblCellMar>
              </w:tblPrEx>
              <w:trPr>
                <w:cantSplit/>
                <w:trHeight w:val="397" w:hRule="atLeast"/>
                <w:jc w:val="center"/>
              </w:trPr>
              <w:tc>
                <w:tcPr>
                  <w:tcW w:w="953" w:type="pct"/>
                  <w:noWrap w:val="0"/>
                  <w:vAlign w:val="center"/>
                </w:tcPr>
                <w:p w14:paraId="526EF146">
                  <w:pPr>
                    <w:pStyle w:val="28"/>
                    <w:bidi w:val="0"/>
                    <w:rPr>
                      <w:rFonts w:hint="default"/>
                      <w:color w:val="auto"/>
                    </w:rPr>
                  </w:pPr>
                  <w:r>
                    <w:rPr>
                      <w:rFonts w:hint="default"/>
                      <w:color w:val="auto"/>
                    </w:rPr>
                    <w:t>基础打桩阶段</w:t>
                  </w:r>
                </w:p>
              </w:tc>
              <w:tc>
                <w:tcPr>
                  <w:tcW w:w="837" w:type="pct"/>
                  <w:noWrap w:val="0"/>
                  <w:vAlign w:val="center"/>
                </w:tcPr>
                <w:p w14:paraId="63674568">
                  <w:pPr>
                    <w:pStyle w:val="28"/>
                    <w:bidi w:val="0"/>
                    <w:rPr>
                      <w:rFonts w:hint="default"/>
                      <w:color w:val="auto"/>
                    </w:rPr>
                  </w:pPr>
                  <w:r>
                    <w:rPr>
                      <w:rFonts w:hint="default"/>
                      <w:color w:val="auto"/>
                    </w:rPr>
                    <w:t>冲孔灌注桩</w:t>
                  </w:r>
                </w:p>
              </w:tc>
              <w:tc>
                <w:tcPr>
                  <w:tcW w:w="1212" w:type="pct"/>
                  <w:noWrap w:val="0"/>
                  <w:vAlign w:val="center"/>
                </w:tcPr>
                <w:p w14:paraId="53DBF645">
                  <w:pPr>
                    <w:pStyle w:val="28"/>
                    <w:bidi w:val="0"/>
                    <w:rPr>
                      <w:rFonts w:hint="default"/>
                      <w:color w:val="auto"/>
                    </w:rPr>
                  </w:pPr>
                  <w:r>
                    <w:rPr>
                      <w:rFonts w:hint="default"/>
                      <w:color w:val="auto"/>
                    </w:rPr>
                    <w:t>5</w:t>
                  </w:r>
                </w:p>
              </w:tc>
              <w:tc>
                <w:tcPr>
                  <w:tcW w:w="929" w:type="pct"/>
                  <w:tcBorders>
                    <w:right w:val="single" w:color="auto" w:sz="4" w:space="0"/>
                  </w:tcBorders>
                  <w:noWrap w:val="0"/>
                  <w:vAlign w:val="center"/>
                </w:tcPr>
                <w:p w14:paraId="24BE08B3">
                  <w:pPr>
                    <w:pStyle w:val="28"/>
                    <w:bidi w:val="0"/>
                    <w:rPr>
                      <w:rFonts w:hint="default"/>
                      <w:color w:val="auto"/>
                    </w:rPr>
                  </w:pPr>
                  <w:r>
                    <w:rPr>
                      <w:rFonts w:hint="default"/>
                      <w:color w:val="auto"/>
                    </w:rPr>
                    <w:t>90</w:t>
                  </w:r>
                </w:p>
              </w:tc>
              <w:tc>
                <w:tcPr>
                  <w:tcW w:w="1066" w:type="pct"/>
                  <w:tcBorders>
                    <w:left w:val="single" w:color="auto" w:sz="4" w:space="0"/>
                  </w:tcBorders>
                  <w:noWrap w:val="0"/>
                  <w:vAlign w:val="center"/>
                </w:tcPr>
                <w:p w14:paraId="1C033851">
                  <w:pPr>
                    <w:pStyle w:val="28"/>
                    <w:bidi w:val="0"/>
                    <w:rPr>
                      <w:rFonts w:hint="default"/>
                      <w:color w:val="auto"/>
                    </w:rPr>
                  </w:pPr>
                  <w:r>
                    <w:rPr>
                      <w:rFonts w:hint="default"/>
                      <w:color w:val="auto"/>
                    </w:rPr>
                    <w:t>90.0</w:t>
                  </w:r>
                </w:p>
              </w:tc>
            </w:tr>
            <w:tr w14:paraId="2888FF5E">
              <w:tblPrEx>
                <w:tblBorders>
                  <w:top w:val="single" w:color="auto" w:sz="12" w:space="0"/>
                  <w:left w:val="none" w:color="auto" w:sz="0" w:space="0"/>
                  <w:bottom w:val="single" w:color="auto" w:sz="12" w:space="0"/>
                  <w:right w:val="none" w:color="auto" w:sz="0" w:space="0"/>
                  <w:insideH w:val="single" w:color="000000" w:sz="2" w:space="0"/>
                  <w:insideV w:val="single" w:color="000000" w:sz="2" w:space="0"/>
                </w:tblBorders>
                <w:tblCellMar>
                  <w:top w:w="0" w:type="dxa"/>
                  <w:left w:w="30" w:type="dxa"/>
                  <w:bottom w:w="0" w:type="dxa"/>
                  <w:right w:w="30" w:type="dxa"/>
                </w:tblCellMar>
              </w:tblPrEx>
              <w:trPr>
                <w:cantSplit/>
                <w:trHeight w:val="397" w:hRule="atLeast"/>
                <w:jc w:val="center"/>
              </w:trPr>
              <w:tc>
                <w:tcPr>
                  <w:tcW w:w="953" w:type="pct"/>
                  <w:vMerge w:val="restart"/>
                  <w:noWrap w:val="0"/>
                  <w:vAlign w:val="center"/>
                </w:tcPr>
                <w:p w14:paraId="41D3D4B0">
                  <w:pPr>
                    <w:pStyle w:val="28"/>
                    <w:bidi w:val="0"/>
                    <w:rPr>
                      <w:rFonts w:hint="default"/>
                      <w:color w:val="auto"/>
                    </w:rPr>
                  </w:pPr>
                  <w:r>
                    <w:rPr>
                      <w:rFonts w:hint="default"/>
                      <w:color w:val="auto"/>
                    </w:rPr>
                    <w:t>结构施工</w:t>
                  </w:r>
                  <w:r>
                    <w:rPr>
                      <w:rFonts w:hint="eastAsia"/>
                      <w:color w:val="auto"/>
                      <w:lang w:eastAsia="zh-CN"/>
                    </w:rPr>
                    <w:t>浇筑</w:t>
                  </w:r>
                </w:p>
                <w:p w14:paraId="44C29B97">
                  <w:pPr>
                    <w:pStyle w:val="28"/>
                    <w:bidi w:val="0"/>
                    <w:rPr>
                      <w:rFonts w:hint="default"/>
                      <w:color w:val="auto"/>
                    </w:rPr>
                  </w:pPr>
                  <w:r>
                    <w:rPr>
                      <w:rFonts w:hint="default"/>
                      <w:color w:val="auto"/>
                    </w:rPr>
                    <w:t>阶段</w:t>
                  </w:r>
                </w:p>
              </w:tc>
              <w:tc>
                <w:tcPr>
                  <w:tcW w:w="837" w:type="pct"/>
                  <w:noWrap w:val="0"/>
                  <w:vAlign w:val="center"/>
                </w:tcPr>
                <w:p w14:paraId="293EF47E">
                  <w:pPr>
                    <w:pStyle w:val="28"/>
                    <w:bidi w:val="0"/>
                    <w:rPr>
                      <w:rFonts w:hint="default"/>
                      <w:color w:val="auto"/>
                    </w:rPr>
                  </w:pPr>
                  <w:r>
                    <w:rPr>
                      <w:rFonts w:hint="default"/>
                      <w:color w:val="auto"/>
                    </w:rPr>
                    <w:t>搅拌机</w:t>
                  </w:r>
                </w:p>
              </w:tc>
              <w:tc>
                <w:tcPr>
                  <w:tcW w:w="1212" w:type="pct"/>
                  <w:noWrap w:val="0"/>
                  <w:vAlign w:val="center"/>
                </w:tcPr>
                <w:p w14:paraId="7321AD4B">
                  <w:pPr>
                    <w:pStyle w:val="28"/>
                    <w:bidi w:val="0"/>
                    <w:rPr>
                      <w:rFonts w:hint="default"/>
                      <w:color w:val="auto"/>
                    </w:rPr>
                  </w:pPr>
                  <w:r>
                    <w:rPr>
                      <w:rFonts w:hint="default"/>
                      <w:color w:val="auto"/>
                    </w:rPr>
                    <w:t>5</w:t>
                  </w:r>
                </w:p>
              </w:tc>
              <w:tc>
                <w:tcPr>
                  <w:tcW w:w="929" w:type="pct"/>
                  <w:tcBorders>
                    <w:right w:val="single" w:color="auto" w:sz="4" w:space="0"/>
                  </w:tcBorders>
                  <w:noWrap w:val="0"/>
                  <w:vAlign w:val="center"/>
                </w:tcPr>
                <w:p w14:paraId="46E7F22E">
                  <w:pPr>
                    <w:pStyle w:val="28"/>
                    <w:bidi w:val="0"/>
                    <w:rPr>
                      <w:rFonts w:hint="default"/>
                      <w:color w:val="auto"/>
                    </w:rPr>
                  </w:pPr>
                  <w:r>
                    <w:rPr>
                      <w:rFonts w:hint="default"/>
                      <w:color w:val="auto"/>
                    </w:rPr>
                    <w:t>78</w:t>
                  </w:r>
                </w:p>
              </w:tc>
              <w:tc>
                <w:tcPr>
                  <w:tcW w:w="1066" w:type="pct"/>
                  <w:vMerge w:val="restart"/>
                  <w:tcBorders>
                    <w:left w:val="single" w:color="auto" w:sz="4" w:space="0"/>
                  </w:tcBorders>
                  <w:noWrap w:val="0"/>
                  <w:vAlign w:val="center"/>
                </w:tcPr>
                <w:p w14:paraId="4ACA208A">
                  <w:pPr>
                    <w:pStyle w:val="28"/>
                    <w:bidi w:val="0"/>
                    <w:rPr>
                      <w:rFonts w:hint="default"/>
                      <w:color w:val="auto"/>
                    </w:rPr>
                  </w:pPr>
                  <w:r>
                    <w:rPr>
                      <w:rFonts w:hint="default"/>
                      <w:color w:val="auto"/>
                    </w:rPr>
                    <w:t>83.5</w:t>
                  </w:r>
                </w:p>
              </w:tc>
            </w:tr>
            <w:tr w14:paraId="2EE4F0CF">
              <w:tblPrEx>
                <w:tblBorders>
                  <w:top w:val="single" w:color="auto" w:sz="12" w:space="0"/>
                  <w:left w:val="none" w:color="auto" w:sz="0" w:space="0"/>
                  <w:bottom w:val="single" w:color="auto" w:sz="12" w:space="0"/>
                  <w:right w:val="none" w:color="auto" w:sz="0" w:space="0"/>
                  <w:insideH w:val="single" w:color="000000" w:sz="2" w:space="0"/>
                  <w:insideV w:val="single" w:color="000000" w:sz="2" w:space="0"/>
                </w:tblBorders>
                <w:tblCellMar>
                  <w:top w:w="0" w:type="dxa"/>
                  <w:left w:w="30" w:type="dxa"/>
                  <w:bottom w:w="0" w:type="dxa"/>
                  <w:right w:w="30" w:type="dxa"/>
                </w:tblCellMar>
              </w:tblPrEx>
              <w:trPr>
                <w:cantSplit/>
                <w:trHeight w:val="397" w:hRule="atLeast"/>
                <w:jc w:val="center"/>
              </w:trPr>
              <w:tc>
                <w:tcPr>
                  <w:tcW w:w="953" w:type="pct"/>
                  <w:vMerge w:val="continue"/>
                  <w:noWrap w:val="0"/>
                  <w:vAlign w:val="center"/>
                </w:tcPr>
                <w:p w14:paraId="25BCF90F">
                  <w:pPr>
                    <w:pStyle w:val="28"/>
                    <w:bidi w:val="0"/>
                    <w:rPr>
                      <w:rFonts w:hint="default"/>
                      <w:color w:val="auto"/>
                    </w:rPr>
                  </w:pPr>
                </w:p>
              </w:tc>
              <w:tc>
                <w:tcPr>
                  <w:tcW w:w="837" w:type="pct"/>
                  <w:noWrap w:val="0"/>
                  <w:vAlign w:val="center"/>
                </w:tcPr>
                <w:p w14:paraId="45FA244E">
                  <w:pPr>
                    <w:pStyle w:val="28"/>
                    <w:bidi w:val="0"/>
                    <w:rPr>
                      <w:rFonts w:hint="default"/>
                      <w:color w:val="auto"/>
                    </w:rPr>
                  </w:pPr>
                  <w:r>
                    <w:rPr>
                      <w:rFonts w:hint="default"/>
                      <w:color w:val="auto"/>
                    </w:rPr>
                    <w:t>起重机</w:t>
                  </w:r>
                </w:p>
              </w:tc>
              <w:tc>
                <w:tcPr>
                  <w:tcW w:w="1212" w:type="pct"/>
                  <w:noWrap w:val="0"/>
                  <w:vAlign w:val="center"/>
                </w:tcPr>
                <w:p w14:paraId="76EFB748">
                  <w:pPr>
                    <w:pStyle w:val="28"/>
                    <w:bidi w:val="0"/>
                    <w:rPr>
                      <w:rFonts w:hint="default"/>
                      <w:color w:val="auto"/>
                    </w:rPr>
                  </w:pPr>
                  <w:r>
                    <w:rPr>
                      <w:rFonts w:hint="default"/>
                      <w:color w:val="auto"/>
                    </w:rPr>
                    <w:t>5</w:t>
                  </w:r>
                </w:p>
              </w:tc>
              <w:tc>
                <w:tcPr>
                  <w:tcW w:w="929" w:type="pct"/>
                  <w:tcBorders>
                    <w:right w:val="single" w:color="auto" w:sz="4" w:space="0"/>
                  </w:tcBorders>
                  <w:noWrap w:val="0"/>
                  <w:vAlign w:val="center"/>
                </w:tcPr>
                <w:p w14:paraId="05CFB21F">
                  <w:pPr>
                    <w:pStyle w:val="28"/>
                    <w:bidi w:val="0"/>
                    <w:rPr>
                      <w:rFonts w:hint="default"/>
                      <w:color w:val="auto"/>
                    </w:rPr>
                  </w:pPr>
                  <w:r>
                    <w:rPr>
                      <w:rFonts w:hint="default"/>
                      <w:color w:val="auto"/>
                    </w:rPr>
                    <w:t>80</w:t>
                  </w:r>
                </w:p>
              </w:tc>
              <w:tc>
                <w:tcPr>
                  <w:tcW w:w="1066" w:type="pct"/>
                  <w:vMerge w:val="continue"/>
                  <w:tcBorders>
                    <w:left w:val="single" w:color="auto" w:sz="4" w:space="0"/>
                  </w:tcBorders>
                  <w:noWrap w:val="0"/>
                  <w:vAlign w:val="center"/>
                </w:tcPr>
                <w:p w14:paraId="7061EC9C">
                  <w:pPr>
                    <w:pStyle w:val="28"/>
                    <w:bidi w:val="0"/>
                    <w:rPr>
                      <w:rFonts w:hint="default"/>
                      <w:color w:val="auto"/>
                    </w:rPr>
                  </w:pPr>
                </w:p>
              </w:tc>
            </w:tr>
            <w:tr w14:paraId="272C76BC">
              <w:tblPrEx>
                <w:tblBorders>
                  <w:top w:val="single" w:color="auto" w:sz="12" w:space="0"/>
                  <w:left w:val="none" w:color="auto" w:sz="0" w:space="0"/>
                  <w:bottom w:val="single" w:color="auto" w:sz="12" w:space="0"/>
                  <w:right w:val="none" w:color="auto" w:sz="0" w:space="0"/>
                  <w:insideH w:val="single" w:color="000000" w:sz="2" w:space="0"/>
                  <w:insideV w:val="single" w:color="000000" w:sz="2" w:space="0"/>
                </w:tblBorders>
                <w:tblCellMar>
                  <w:top w:w="0" w:type="dxa"/>
                  <w:left w:w="30" w:type="dxa"/>
                  <w:bottom w:w="0" w:type="dxa"/>
                  <w:right w:w="30" w:type="dxa"/>
                </w:tblCellMar>
              </w:tblPrEx>
              <w:trPr>
                <w:cantSplit/>
                <w:trHeight w:val="397" w:hRule="atLeast"/>
                <w:jc w:val="center"/>
              </w:trPr>
              <w:tc>
                <w:tcPr>
                  <w:tcW w:w="953" w:type="pct"/>
                  <w:vMerge w:val="continue"/>
                  <w:noWrap w:val="0"/>
                  <w:vAlign w:val="center"/>
                </w:tcPr>
                <w:p w14:paraId="16C094D8">
                  <w:pPr>
                    <w:pStyle w:val="28"/>
                    <w:bidi w:val="0"/>
                    <w:rPr>
                      <w:rFonts w:hint="default"/>
                      <w:color w:val="auto"/>
                    </w:rPr>
                  </w:pPr>
                </w:p>
              </w:tc>
              <w:tc>
                <w:tcPr>
                  <w:tcW w:w="837" w:type="pct"/>
                  <w:noWrap w:val="0"/>
                  <w:vAlign w:val="center"/>
                </w:tcPr>
                <w:p w14:paraId="76855B12">
                  <w:pPr>
                    <w:pStyle w:val="28"/>
                    <w:bidi w:val="0"/>
                    <w:rPr>
                      <w:rFonts w:hint="default"/>
                      <w:color w:val="auto"/>
                    </w:rPr>
                  </w:pPr>
                  <w:r>
                    <w:rPr>
                      <w:rFonts w:hint="default"/>
                      <w:color w:val="auto"/>
                    </w:rPr>
                    <w:t>振动棒</w:t>
                  </w:r>
                </w:p>
              </w:tc>
              <w:tc>
                <w:tcPr>
                  <w:tcW w:w="1212" w:type="pct"/>
                  <w:noWrap w:val="0"/>
                  <w:vAlign w:val="center"/>
                </w:tcPr>
                <w:p w14:paraId="4741AF30">
                  <w:pPr>
                    <w:pStyle w:val="28"/>
                    <w:bidi w:val="0"/>
                    <w:rPr>
                      <w:rFonts w:hint="default"/>
                      <w:color w:val="auto"/>
                    </w:rPr>
                  </w:pPr>
                  <w:r>
                    <w:rPr>
                      <w:rFonts w:hint="default"/>
                      <w:color w:val="auto"/>
                    </w:rPr>
                    <w:t>5</w:t>
                  </w:r>
                </w:p>
              </w:tc>
              <w:tc>
                <w:tcPr>
                  <w:tcW w:w="929" w:type="pct"/>
                  <w:tcBorders>
                    <w:right w:val="single" w:color="auto" w:sz="4" w:space="0"/>
                  </w:tcBorders>
                  <w:noWrap w:val="0"/>
                  <w:vAlign w:val="center"/>
                </w:tcPr>
                <w:p w14:paraId="58C33D7A">
                  <w:pPr>
                    <w:pStyle w:val="28"/>
                    <w:bidi w:val="0"/>
                    <w:rPr>
                      <w:rFonts w:hint="default"/>
                      <w:color w:val="auto"/>
                    </w:rPr>
                  </w:pPr>
                  <w:r>
                    <w:rPr>
                      <w:rFonts w:hint="default"/>
                      <w:color w:val="auto"/>
                    </w:rPr>
                    <w:t>78</w:t>
                  </w:r>
                </w:p>
              </w:tc>
              <w:tc>
                <w:tcPr>
                  <w:tcW w:w="1066" w:type="pct"/>
                  <w:vMerge w:val="continue"/>
                  <w:tcBorders>
                    <w:left w:val="single" w:color="auto" w:sz="4" w:space="0"/>
                  </w:tcBorders>
                  <w:noWrap w:val="0"/>
                  <w:vAlign w:val="center"/>
                </w:tcPr>
                <w:p w14:paraId="44FC7069">
                  <w:pPr>
                    <w:pStyle w:val="28"/>
                    <w:bidi w:val="0"/>
                    <w:rPr>
                      <w:rFonts w:hint="default"/>
                      <w:color w:val="auto"/>
                    </w:rPr>
                  </w:pPr>
                </w:p>
              </w:tc>
            </w:tr>
            <w:tr w14:paraId="104EA966">
              <w:tblPrEx>
                <w:tblBorders>
                  <w:top w:val="single" w:color="auto" w:sz="12" w:space="0"/>
                  <w:left w:val="none" w:color="auto" w:sz="0" w:space="0"/>
                  <w:bottom w:val="single" w:color="auto" w:sz="12" w:space="0"/>
                  <w:right w:val="none" w:color="auto" w:sz="0" w:space="0"/>
                  <w:insideH w:val="single" w:color="000000" w:sz="2" w:space="0"/>
                  <w:insideV w:val="single" w:color="000000" w:sz="2" w:space="0"/>
                </w:tblBorders>
                <w:tblCellMar>
                  <w:top w:w="0" w:type="dxa"/>
                  <w:left w:w="30" w:type="dxa"/>
                  <w:bottom w:w="0" w:type="dxa"/>
                  <w:right w:w="30" w:type="dxa"/>
                </w:tblCellMar>
              </w:tblPrEx>
              <w:trPr>
                <w:cantSplit/>
                <w:trHeight w:val="397" w:hRule="atLeast"/>
                <w:jc w:val="center"/>
              </w:trPr>
              <w:tc>
                <w:tcPr>
                  <w:tcW w:w="953" w:type="pct"/>
                  <w:vMerge w:val="restart"/>
                  <w:noWrap w:val="0"/>
                  <w:vAlign w:val="center"/>
                </w:tcPr>
                <w:p w14:paraId="6AED08EB">
                  <w:pPr>
                    <w:pStyle w:val="28"/>
                    <w:bidi w:val="0"/>
                    <w:rPr>
                      <w:rFonts w:hint="default"/>
                      <w:color w:val="auto"/>
                    </w:rPr>
                  </w:pPr>
                  <w:r>
                    <w:rPr>
                      <w:rFonts w:hint="default"/>
                      <w:color w:val="auto"/>
                    </w:rPr>
                    <w:t>装修阶段</w:t>
                  </w:r>
                </w:p>
              </w:tc>
              <w:tc>
                <w:tcPr>
                  <w:tcW w:w="837" w:type="pct"/>
                  <w:noWrap w:val="0"/>
                  <w:vAlign w:val="center"/>
                </w:tcPr>
                <w:p w14:paraId="1B72E50E">
                  <w:pPr>
                    <w:pStyle w:val="28"/>
                    <w:bidi w:val="0"/>
                    <w:rPr>
                      <w:rFonts w:hint="default"/>
                      <w:color w:val="auto"/>
                    </w:rPr>
                  </w:pPr>
                  <w:r>
                    <w:rPr>
                      <w:rFonts w:hint="default"/>
                      <w:color w:val="auto"/>
                    </w:rPr>
                    <w:t>拉直切断机</w:t>
                  </w:r>
                </w:p>
              </w:tc>
              <w:tc>
                <w:tcPr>
                  <w:tcW w:w="1212" w:type="pct"/>
                  <w:noWrap w:val="0"/>
                  <w:vAlign w:val="center"/>
                </w:tcPr>
                <w:p w14:paraId="63340BE0">
                  <w:pPr>
                    <w:pStyle w:val="28"/>
                    <w:bidi w:val="0"/>
                    <w:rPr>
                      <w:rFonts w:hint="default"/>
                      <w:color w:val="auto"/>
                    </w:rPr>
                  </w:pPr>
                  <w:r>
                    <w:rPr>
                      <w:rFonts w:hint="default"/>
                      <w:color w:val="auto"/>
                    </w:rPr>
                    <w:t>5</w:t>
                  </w:r>
                </w:p>
              </w:tc>
              <w:tc>
                <w:tcPr>
                  <w:tcW w:w="929" w:type="pct"/>
                  <w:tcBorders>
                    <w:right w:val="single" w:color="auto" w:sz="4" w:space="0"/>
                  </w:tcBorders>
                  <w:noWrap w:val="0"/>
                  <w:vAlign w:val="center"/>
                </w:tcPr>
                <w:p w14:paraId="592973CD">
                  <w:pPr>
                    <w:pStyle w:val="28"/>
                    <w:bidi w:val="0"/>
                    <w:rPr>
                      <w:rFonts w:hint="default"/>
                      <w:color w:val="auto"/>
                    </w:rPr>
                  </w:pPr>
                  <w:r>
                    <w:rPr>
                      <w:rFonts w:hint="default"/>
                      <w:color w:val="auto"/>
                    </w:rPr>
                    <w:t>78</w:t>
                  </w:r>
                </w:p>
              </w:tc>
              <w:tc>
                <w:tcPr>
                  <w:tcW w:w="1066" w:type="pct"/>
                  <w:vMerge w:val="restart"/>
                  <w:tcBorders>
                    <w:left w:val="single" w:color="auto" w:sz="4" w:space="0"/>
                  </w:tcBorders>
                  <w:noWrap w:val="0"/>
                  <w:vAlign w:val="center"/>
                </w:tcPr>
                <w:p w14:paraId="0797C714">
                  <w:pPr>
                    <w:pStyle w:val="28"/>
                    <w:bidi w:val="0"/>
                    <w:rPr>
                      <w:rFonts w:hint="default"/>
                      <w:color w:val="auto"/>
                    </w:rPr>
                  </w:pPr>
                  <w:r>
                    <w:rPr>
                      <w:rFonts w:hint="default"/>
                      <w:color w:val="auto"/>
                    </w:rPr>
                    <w:t>82.8</w:t>
                  </w:r>
                </w:p>
              </w:tc>
            </w:tr>
            <w:tr w14:paraId="1057440C">
              <w:tblPrEx>
                <w:tblBorders>
                  <w:top w:val="single" w:color="auto" w:sz="12" w:space="0"/>
                  <w:left w:val="none" w:color="auto" w:sz="0" w:space="0"/>
                  <w:bottom w:val="single" w:color="auto" w:sz="12" w:space="0"/>
                  <w:right w:val="none" w:color="auto" w:sz="0" w:space="0"/>
                  <w:insideH w:val="single" w:color="000000" w:sz="2" w:space="0"/>
                  <w:insideV w:val="single" w:color="000000" w:sz="2" w:space="0"/>
                </w:tblBorders>
                <w:tblCellMar>
                  <w:top w:w="0" w:type="dxa"/>
                  <w:left w:w="30" w:type="dxa"/>
                  <w:bottom w:w="0" w:type="dxa"/>
                  <w:right w:w="30" w:type="dxa"/>
                </w:tblCellMar>
              </w:tblPrEx>
              <w:trPr>
                <w:cantSplit/>
                <w:trHeight w:val="397" w:hRule="atLeast"/>
                <w:jc w:val="center"/>
              </w:trPr>
              <w:tc>
                <w:tcPr>
                  <w:tcW w:w="953" w:type="pct"/>
                  <w:vMerge w:val="continue"/>
                  <w:noWrap w:val="0"/>
                  <w:vAlign w:val="center"/>
                </w:tcPr>
                <w:p w14:paraId="62BA2102">
                  <w:pPr>
                    <w:pStyle w:val="28"/>
                    <w:bidi w:val="0"/>
                    <w:rPr>
                      <w:rFonts w:hint="default"/>
                      <w:color w:val="auto"/>
                    </w:rPr>
                  </w:pPr>
                </w:p>
              </w:tc>
              <w:tc>
                <w:tcPr>
                  <w:tcW w:w="837" w:type="pct"/>
                  <w:noWrap w:val="0"/>
                  <w:vAlign w:val="center"/>
                </w:tcPr>
                <w:p w14:paraId="165BB23F">
                  <w:pPr>
                    <w:pStyle w:val="28"/>
                    <w:bidi w:val="0"/>
                    <w:rPr>
                      <w:rFonts w:hint="default"/>
                      <w:color w:val="auto"/>
                    </w:rPr>
                  </w:pPr>
                  <w:r>
                    <w:rPr>
                      <w:rFonts w:hint="default"/>
                      <w:color w:val="auto"/>
                    </w:rPr>
                    <w:t>冲击钻</w:t>
                  </w:r>
                </w:p>
              </w:tc>
              <w:tc>
                <w:tcPr>
                  <w:tcW w:w="1212" w:type="pct"/>
                  <w:noWrap w:val="0"/>
                  <w:vAlign w:val="center"/>
                </w:tcPr>
                <w:p w14:paraId="6E3F2BCF">
                  <w:pPr>
                    <w:pStyle w:val="28"/>
                    <w:bidi w:val="0"/>
                    <w:rPr>
                      <w:rFonts w:hint="default"/>
                      <w:color w:val="auto"/>
                    </w:rPr>
                  </w:pPr>
                  <w:r>
                    <w:rPr>
                      <w:rFonts w:hint="default"/>
                      <w:color w:val="auto"/>
                    </w:rPr>
                    <w:t>5</w:t>
                  </w:r>
                </w:p>
              </w:tc>
              <w:tc>
                <w:tcPr>
                  <w:tcW w:w="929" w:type="pct"/>
                  <w:tcBorders>
                    <w:right w:val="single" w:color="auto" w:sz="4" w:space="0"/>
                  </w:tcBorders>
                  <w:noWrap w:val="0"/>
                  <w:vAlign w:val="center"/>
                </w:tcPr>
                <w:p w14:paraId="49D8D156">
                  <w:pPr>
                    <w:pStyle w:val="28"/>
                    <w:bidi w:val="0"/>
                    <w:rPr>
                      <w:rFonts w:hint="default"/>
                      <w:color w:val="auto"/>
                    </w:rPr>
                  </w:pPr>
                  <w:r>
                    <w:rPr>
                      <w:rFonts w:hint="default"/>
                      <w:color w:val="auto"/>
                    </w:rPr>
                    <w:t>81</w:t>
                  </w:r>
                </w:p>
              </w:tc>
              <w:tc>
                <w:tcPr>
                  <w:tcW w:w="1066" w:type="pct"/>
                  <w:vMerge w:val="continue"/>
                  <w:tcBorders>
                    <w:left w:val="single" w:color="auto" w:sz="4" w:space="0"/>
                  </w:tcBorders>
                  <w:noWrap w:val="0"/>
                  <w:vAlign w:val="center"/>
                </w:tcPr>
                <w:p w14:paraId="5282B563">
                  <w:pPr>
                    <w:pStyle w:val="28"/>
                    <w:bidi w:val="0"/>
                    <w:rPr>
                      <w:rFonts w:hint="default"/>
                      <w:color w:val="auto"/>
                    </w:rPr>
                  </w:pPr>
                </w:p>
              </w:tc>
            </w:tr>
          </w:tbl>
          <w:p w14:paraId="08A8DF77">
            <w:pPr>
              <w:keepNext w:val="0"/>
              <w:keepLines w:val="0"/>
              <w:pageBreakBefore w:val="0"/>
              <w:widowControl w:val="0"/>
              <w:kinsoku/>
              <w:wordWrap/>
              <w:overflowPunct/>
              <w:topLinePunct w:val="0"/>
              <w:autoSpaceDE/>
              <w:autoSpaceDN/>
              <w:bidi w:val="0"/>
              <w:adjustRightInd/>
              <w:snapToGrid/>
              <w:spacing w:before="157" w:beforeLines="50"/>
              <w:textAlignment w:val="auto"/>
              <w:rPr>
                <w:rFonts w:hint="default"/>
                <w:color w:val="auto"/>
              </w:rPr>
            </w:pPr>
            <w:r>
              <w:rPr>
                <w:rFonts w:hint="default"/>
                <w:color w:val="auto"/>
              </w:rPr>
              <w:t>在没有消声和屏障等衰减条件下，传播不同距离处，各种施工机械噪声值几何衰减情况见表</w:t>
            </w:r>
            <w:r>
              <w:rPr>
                <w:rFonts w:hint="eastAsia"/>
                <w:color w:val="auto"/>
                <w:lang w:val="en-US" w:eastAsia="zh-CN"/>
              </w:rPr>
              <w:t>4.1-2</w:t>
            </w:r>
            <w:r>
              <w:rPr>
                <w:rFonts w:hint="default"/>
                <w:color w:val="auto"/>
              </w:rPr>
              <w:t>。</w:t>
            </w:r>
          </w:p>
          <w:p w14:paraId="2C1C1323">
            <w:pPr>
              <w:pStyle w:val="33"/>
              <w:bidi w:val="0"/>
              <w:rPr>
                <w:rFonts w:hint="default"/>
                <w:color w:val="auto"/>
                <w:sz w:val="24"/>
                <w:szCs w:val="24"/>
              </w:rPr>
            </w:pPr>
            <w:r>
              <w:rPr>
                <w:rFonts w:hint="default"/>
                <w:color w:val="auto"/>
                <w:sz w:val="24"/>
                <w:szCs w:val="24"/>
              </w:rPr>
              <w:t>表</w:t>
            </w:r>
            <w:r>
              <w:rPr>
                <w:rFonts w:hint="eastAsia"/>
                <w:color w:val="auto"/>
                <w:sz w:val="24"/>
                <w:szCs w:val="24"/>
                <w:lang w:val="en-US" w:eastAsia="zh-CN"/>
              </w:rPr>
              <w:t>4.1-2</w:t>
            </w:r>
            <w:r>
              <w:rPr>
                <w:rFonts w:hint="default"/>
                <w:color w:val="auto"/>
                <w:sz w:val="24"/>
                <w:szCs w:val="24"/>
              </w:rPr>
              <w:t xml:space="preserve"> 各施工阶段主要施工机械噪声几何衰减值情况表</w:t>
            </w:r>
          </w:p>
          <w:tbl>
            <w:tblPr>
              <w:tblStyle w:val="20"/>
              <w:tblW w:w="4999" w:type="pct"/>
              <w:jc w:val="center"/>
              <w:tblLayout w:type="autofit"/>
              <w:tblCellMar>
                <w:top w:w="0" w:type="dxa"/>
                <w:left w:w="30" w:type="dxa"/>
                <w:bottom w:w="0" w:type="dxa"/>
                <w:right w:w="30" w:type="dxa"/>
              </w:tblCellMar>
            </w:tblPr>
            <w:tblGrid>
              <w:gridCol w:w="906"/>
              <w:gridCol w:w="906"/>
              <w:gridCol w:w="474"/>
              <w:gridCol w:w="474"/>
              <w:gridCol w:w="477"/>
              <w:gridCol w:w="474"/>
              <w:gridCol w:w="474"/>
              <w:gridCol w:w="477"/>
              <w:gridCol w:w="525"/>
              <w:gridCol w:w="585"/>
              <w:gridCol w:w="539"/>
              <w:gridCol w:w="540"/>
              <w:gridCol w:w="540"/>
              <w:gridCol w:w="540"/>
            </w:tblGrid>
            <w:tr w14:paraId="17FD0F27">
              <w:tblPrEx>
                <w:tblCellMar>
                  <w:top w:w="0" w:type="dxa"/>
                  <w:left w:w="30" w:type="dxa"/>
                  <w:bottom w:w="0" w:type="dxa"/>
                  <w:right w:w="30" w:type="dxa"/>
                </w:tblCellMar>
              </w:tblPrEx>
              <w:trPr>
                <w:cantSplit/>
                <w:trHeight w:val="397" w:hRule="atLeast"/>
                <w:jc w:val="center"/>
              </w:trPr>
              <w:tc>
                <w:tcPr>
                  <w:tcW w:w="581" w:type="pct"/>
                  <w:vMerge w:val="restart"/>
                  <w:tcBorders>
                    <w:top w:val="single" w:color="auto" w:sz="12" w:space="0"/>
                    <w:right w:val="single" w:color="000000" w:sz="2" w:space="0"/>
                  </w:tcBorders>
                  <w:noWrap w:val="0"/>
                  <w:vAlign w:val="center"/>
                </w:tcPr>
                <w:p w14:paraId="42050D38">
                  <w:pPr>
                    <w:pStyle w:val="28"/>
                    <w:bidi w:val="0"/>
                    <w:rPr>
                      <w:rFonts w:hint="default"/>
                      <w:color w:val="auto"/>
                    </w:rPr>
                  </w:pPr>
                  <w:r>
                    <w:rPr>
                      <w:rFonts w:hint="default"/>
                      <w:color w:val="auto"/>
                    </w:rPr>
                    <w:t>施工阶段</w:t>
                  </w:r>
                </w:p>
              </w:tc>
              <w:tc>
                <w:tcPr>
                  <w:tcW w:w="581" w:type="pct"/>
                  <w:vMerge w:val="restart"/>
                  <w:tcBorders>
                    <w:top w:val="single" w:color="auto" w:sz="12" w:space="0"/>
                    <w:left w:val="single" w:color="000000" w:sz="2" w:space="0"/>
                    <w:right w:val="single" w:color="000000" w:sz="2" w:space="0"/>
                  </w:tcBorders>
                  <w:noWrap w:val="0"/>
                  <w:vAlign w:val="center"/>
                </w:tcPr>
                <w:p w14:paraId="7AB7C378">
                  <w:pPr>
                    <w:pStyle w:val="28"/>
                    <w:bidi w:val="0"/>
                    <w:rPr>
                      <w:rFonts w:hint="default"/>
                      <w:color w:val="auto"/>
                      <w:lang w:eastAsia="zh-CN"/>
                    </w:rPr>
                  </w:pPr>
                  <w:r>
                    <w:rPr>
                      <w:rFonts w:hint="default"/>
                      <w:color w:val="auto"/>
                      <w:lang w:eastAsia="zh-CN"/>
                    </w:rPr>
                    <w:t>综合</w:t>
                  </w:r>
                  <w:r>
                    <w:rPr>
                      <w:rFonts w:hint="default"/>
                      <w:color w:val="auto"/>
                    </w:rPr>
                    <w:t>声级</w:t>
                  </w:r>
                  <w:r>
                    <w:rPr>
                      <w:rFonts w:hint="default"/>
                      <w:color w:val="auto"/>
                      <w:lang w:val="en-US" w:eastAsia="zh-CN"/>
                    </w:rPr>
                    <w:t>(</w:t>
                  </w:r>
                  <w:r>
                    <w:rPr>
                      <w:rFonts w:hint="default"/>
                      <w:color w:val="auto"/>
                    </w:rPr>
                    <w:t>dB</w:t>
                  </w:r>
                  <w:r>
                    <w:rPr>
                      <w:rFonts w:hint="default"/>
                      <w:color w:val="auto"/>
                      <w:lang w:val="en-US" w:eastAsia="zh-CN"/>
                    </w:rPr>
                    <w:t>(A))</w:t>
                  </w:r>
                </w:p>
              </w:tc>
              <w:tc>
                <w:tcPr>
                  <w:tcW w:w="3837" w:type="pct"/>
                  <w:gridSpan w:val="12"/>
                  <w:tcBorders>
                    <w:top w:val="single" w:color="auto" w:sz="12" w:space="0"/>
                    <w:left w:val="single" w:color="000000" w:sz="2" w:space="0"/>
                    <w:bottom w:val="single" w:color="000000" w:sz="2" w:space="0"/>
                  </w:tcBorders>
                  <w:noWrap w:val="0"/>
                  <w:vAlign w:val="center"/>
                </w:tcPr>
                <w:p w14:paraId="52E89097">
                  <w:pPr>
                    <w:pStyle w:val="28"/>
                    <w:bidi w:val="0"/>
                    <w:rPr>
                      <w:rFonts w:hint="default"/>
                      <w:color w:val="auto"/>
                    </w:rPr>
                  </w:pPr>
                  <w:r>
                    <w:rPr>
                      <w:rFonts w:hint="default"/>
                      <w:color w:val="auto"/>
                    </w:rPr>
                    <w:t>不同距离噪声值(dB(A))</w:t>
                  </w:r>
                </w:p>
              </w:tc>
            </w:tr>
            <w:tr w14:paraId="16D46EA7">
              <w:tblPrEx>
                <w:tblCellMar>
                  <w:top w:w="0" w:type="dxa"/>
                  <w:left w:w="30" w:type="dxa"/>
                  <w:bottom w:w="0" w:type="dxa"/>
                  <w:right w:w="30" w:type="dxa"/>
                </w:tblCellMar>
              </w:tblPrEx>
              <w:trPr>
                <w:cantSplit/>
                <w:trHeight w:val="397" w:hRule="atLeast"/>
                <w:jc w:val="center"/>
              </w:trPr>
              <w:tc>
                <w:tcPr>
                  <w:tcW w:w="581" w:type="pct"/>
                  <w:vMerge w:val="continue"/>
                  <w:tcBorders>
                    <w:bottom w:val="single" w:color="auto" w:sz="4" w:space="0"/>
                    <w:right w:val="single" w:color="000000" w:sz="2" w:space="0"/>
                  </w:tcBorders>
                  <w:noWrap w:val="0"/>
                  <w:vAlign w:val="center"/>
                </w:tcPr>
                <w:p w14:paraId="221E58B9">
                  <w:pPr>
                    <w:pStyle w:val="28"/>
                    <w:bidi w:val="0"/>
                    <w:rPr>
                      <w:rFonts w:hint="default"/>
                      <w:color w:val="auto"/>
                    </w:rPr>
                  </w:pPr>
                </w:p>
              </w:tc>
              <w:tc>
                <w:tcPr>
                  <w:tcW w:w="581" w:type="pct"/>
                  <w:vMerge w:val="continue"/>
                  <w:tcBorders>
                    <w:left w:val="single" w:color="000000" w:sz="2" w:space="0"/>
                    <w:bottom w:val="single" w:color="000000" w:sz="2" w:space="0"/>
                    <w:right w:val="single" w:color="000000" w:sz="2" w:space="0"/>
                  </w:tcBorders>
                  <w:noWrap w:val="0"/>
                  <w:vAlign w:val="center"/>
                </w:tcPr>
                <w:p w14:paraId="2629EA74">
                  <w:pPr>
                    <w:pStyle w:val="28"/>
                    <w:bidi w:val="0"/>
                    <w:rPr>
                      <w:rFonts w:hint="default"/>
                      <w:color w:val="auto"/>
                    </w:rPr>
                  </w:pPr>
                </w:p>
              </w:tc>
              <w:tc>
                <w:tcPr>
                  <w:tcW w:w="309" w:type="pct"/>
                  <w:tcBorders>
                    <w:top w:val="single" w:color="000000" w:sz="2" w:space="0"/>
                    <w:left w:val="single" w:color="000000" w:sz="2" w:space="0"/>
                    <w:bottom w:val="single" w:color="000000" w:sz="2" w:space="0"/>
                    <w:right w:val="single" w:color="000000" w:sz="2" w:space="0"/>
                  </w:tcBorders>
                  <w:noWrap w:val="0"/>
                  <w:vAlign w:val="center"/>
                </w:tcPr>
                <w:p w14:paraId="7EE5C2A7">
                  <w:pPr>
                    <w:pStyle w:val="28"/>
                    <w:bidi w:val="0"/>
                    <w:rPr>
                      <w:rFonts w:hint="default"/>
                      <w:color w:val="auto"/>
                    </w:rPr>
                  </w:pPr>
                  <w:r>
                    <w:rPr>
                      <w:rFonts w:hint="default"/>
                      <w:color w:val="auto"/>
                    </w:rPr>
                    <w:t>10m</w:t>
                  </w:r>
                </w:p>
              </w:tc>
              <w:tc>
                <w:tcPr>
                  <w:tcW w:w="309" w:type="pct"/>
                  <w:tcBorders>
                    <w:top w:val="single" w:color="000000" w:sz="2" w:space="0"/>
                    <w:left w:val="single" w:color="000000" w:sz="2" w:space="0"/>
                    <w:bottom w:val="single" w:color="000000" w:sz="2" w:space="0"/>
                    <w:right w:val="single" w:color="000000" w:sz="2" w:space="0"/>
                  </w:tcBorders>
                  <w:noWrap w:val="0"/>
                  <w:vAlign w:val="center"/>
                </w:tcPr>
                <w:p w14:paraId="306592D6">
                  <w:pPr>
                    <w:pStyle w:val="28"/>
                    <w:bidi w:val="0"/>
                    <w:rPr>
                      <w:rFonts w:hint="default"/>
                      <w:color w:val="auto"/>
                    </w:rPr>
                  </w:pPr>
                  <w:r>
                    <w:rPr>
                      <w:rFonts w:hint="default"/>
                      <w:color w:val="auto"/>
                    </w:rPr>
                    <w:t>15m</w:t>
                  </w:r>
                </w:p>
              </w:tc>
              <w:tc>
                <w:tcPr>
                  <w:tcW w:w="311" w:type="pct"/>
                  <w:tcBorders>
                    <w:top w:val="single" w:color="000000" w:sz="2" w:space="0"/>
                    <w:left w:val="single" w:color="000000" w:sz="2" w:space="0"/>
                    <w:bottom w:val="single" w:color="000000" w:sz="2" w:space="0"/>
                    <w:right w:val="single" w:color="000000" w:sz="2" w:space="0"/>
                  </w:tcBorders>
                  <w:noWrap w:val="0"/>
                  <w:vAlign w:val="center"/>
                </w:tcPr>
                <w:p w14:paraId="24D4C5FC">
                  <w:pPr>
                    <w:pStyle w:val="28"/>
                    <w:bidi w:val="0"/>
                    <w:rPr>
                      <w:rFonts w:hint="default"/>
                      <w:color w:val="auto"/>
                    </w:rPr>
                  </w:pPr>
                  <w:r>
                    <w:rPr>
                      <w:rFonts w:hint="default"/>
                      <w:color w:val="auto"/>
                    </w:rPr>
                    <w:t>20m</w:t>
                  </w:r>
                </w:p>
              </w:tc>
              <w:tc>
                <w:tcPr>
                  <w:tcW w:w="309" w:type="pct"/>
                  <w:tcBorders>
                    <w:top w:val="single" w:color="000000" w:sz="2" w:space="0"/>
                    <w:left w:val="single" w:color="000000" w:sz="2" w:space="0"/>
                    <w:bottom w:val="single" w:color="000000" w:sz="2" w:space="0"/>
                    <w:right w:val="single" w:color="000000" w:sz="2" w:space="0"/>
                  </w:tcBorders>
                  <w:noWrap w:val="0"/>
                  <w:vAlign w:val="center"/>
                </w:tcPr>
                <w:p w14:paraId="3D87DF5F">
                  <w:pPr>
                    <w:pStyle w:val="28"/>
                    <w:bidi w:val="0"/>
                    <w:rPr>
                      <w:rFonts w:hint="default"/>
                      <w:color w:val="auto"/>
                    </w:rPr>
                  </w:pPr>
                  <w:r>
                    <w:rPr>
                      <w:rFonts w:hint="default"/>
                      <w:color w:val="auto"/>
                    </w:rPr>
                    <w:t>30m</w:t>
                  </w:r>
                </w:p>
              </w:tc>
              <w:tc>
                <w:tcPr>
                  <w:tcW w:w="309" w:type="pct"/>
                  <w:tcBorders>
                    <w:top w:val="single" w:color="000000" w:sz="2" w:space="0"/>
                    <w:left w:val="single" w:color="000000" w:sz="2" w:space="0"/>
                    <w:bottom w:val="single" w:color="000000" w:sz="2" w:space="0"/>
                    <w:right w:val="single" w:color="000000" w:sz="2" w:space="0"/>
                  </w:tcBorders>
                  <w:noWrap w:val="0"/>
                  <w:vAlign w:val="center"/>
                </w:tcPr>
                <w:p w14:paraId="67B75FF1">
                  <w:pPr>
                    <w:pStyle w:val="28"/>
                    <w:bidi w:val="0"/>
                    <w:rPr>
                      <w:rFonts w:hint="default"/>
                      <w:color w:val="auto"/>
                    </w:rPr>
                  </w:pPr>
                  <w:r>
                    <w:rPr>
                      <w:rFonts w:hint="default"/>
                      <w:color w:val="auto"/>
                    </w:rPr>
                    <w:t>45m</w:t>
                  </w:r>
                </w:p>
              </w:tc>
              <w:tc>
                <w:tcPr>
                  <w:tcW w:w="311" w:type="pct"/>
                  <w:tcBorders>
                    <w:top w:val="single" w:color="000000" w:sz="2" w:space="0"/>
                    <w:left w:val="single" w:color="000000" w:sz="2" w:space="0"/>
                    <w:bottom w:val="single" w:color="000000" w:sz="2" w:space="0"/>
                    <w:right w:val="single" w:color="000000" w:sz="2" w:space="0"/>
                  </w:tcBorders>
                  <w:noWrap w:val="0"/>
                  <w:vAlign w:val="center"/>
                </w:tcPr>
                <w:p w14:paraId="2D92122D">
                  <w:pPr>
                    <w:pStyle w:val="28"/>
                    <w:bidi w:val="0"/>
                    <w:rPr>
                      <w:rFonts w:hint="default"/>
                      <w:color w:val="auto"/>
                    </w:rPr>
                  </w:pPr>
                  <w:r>
                    <w:rPr>
                      <w:rFonts w:hint="default"/>
                      <w:color w:val="auto"/>
                    </w:rPr>
                    <w:t>60m</w:t>
                  </w:r>
                </w:p>
              </w:tc>
              <w:tc>
                <w:tcPr>
                  <w:tcW w:w="341" w:type="pct"/>
                  <w:tcBorders>
                    <w:top w:val="single" w:color="000000" w:sz="2" w:space="0"/>
                    <w:left w:val="single" w:color="000000" w:sz="2" w:space="0"/>
                    <w:bottom w:val="single" w:color="000000" w:sz="2" w:space="0"/>
                    <w:right w:val="single" w:color="000000" w:sz="2" w:space="0"/>
                  </w:tcBorders>
                  <w:noWrap w:val="0"/>
                  <w:vAlign w:val="center"/>
                </w:tcPr>
                <w:p w14:paraId="6E0630D7">
                  <w:pPr>
                    <w:pStyle w:val="28"/>
                    <w:bidi w:val="0"/>
                    <w:rPr>
                      <w:rFonts w:hint="default"/>
                      <w:color w:val="auto"/>
                    </w:rPr>
                  </w:pPr>
                  <w:r>
                    <w:rPr>
                      <w:rFonts w:hint="default"/>
                      <w:color w:val="auto"/>
                    </w:rPr>
                    <w:t>70m</w:t>
                  </w:r>
                </w:p>
              </w:tc>
              <w:tc>
                <w:tcPr>
                  <w:tcW w:w="379" w:type="pct"/>
                  <w:tcBorders>
                    <w:top w:val="single" w:color="000000" w:sz="2" w:space="0"/>
                    <w:left w:val="single" w:color="000000" w:sz="2" w:space="0"/>
                    <w:bottom w:val="single" w:color="000000" w:sz="2" w:space="0"/>
                    <w:right w:val="single" w:color="000000" w:sz="2" w:space="0"/>
                  </w:tcBorders>
                  <w:noWrap w:val="0"/>
                  <w:vAlign w:val="center"/>
                </w:tcPr>
                <w:p w14:paraId="20C07AD3">
                  <w:pPr>
                    <w:pStyle w:val="28"/>
                    <w:bidi w:val="0"/>
                    <w:rPr>
                      <w:rFonts w:hint="default"/>
                      <w:color w:val="auto"/>
                    </w:rPr>
                  </w:pPr>
                  <w:r>
                    <w:rPr>
                      <w:rFonts w:hint="default"/>
                      <w:color w:val="auto"/>
                    </w:rPr>
                    <w:t>100m</w:t>
                  </w:r>
                </w:p>
              </w:tc>
              <w:tc>
                <w:tcPr>
                  <w:tcW w:w="311" w:type="pct"/>
                  <w:tcBorders>
                    <w:top w:val="single" w:color="000000" w:sz="2" w:space="0"/>
                    <w:left w:val="single" w:color="000000" w:sz="2" w:space="0"/>
                    <w:bottom w:val="single" w:color="000000" w:sz="2" w:space="0"/>
                    <w:right w:val="single" w:color="000000" w:sz="2" w:space="0"/>
                  </w:tcBorders>
                  <w:noWrap w:val="0"/>
                  <w:vAlign w:val="center"/>
                </w:tcPr>
                <w:p w14:paraId="46CAAAE3">
                  <w:pPr>
                    <w:pStyle w:val="28"/>
                    <w:bidi w:val="0"/>
                    <w:rPr>
                      <w:rFonts w:hint="default"/>
                      <w:color w:val="auto"/>
                    </w:rPr>
                  </w:pPr>
                  <w:r>
                    <w:rPr>
                      <w:rFonts w:hint="default"/>
                      <w:color w:val="auto"/>
                    </w:rPr>
                    <w:t>150m</w:t>
                  </w:r>
                </w:p>
              </w:tc>
              <w:tc>
                <w:tcPr>
                  <w:tcW w:w="309" w:type="pct"/>
                  <w:tcBorders>
                    <w:top w:val="single" w:color="000000" w:sz="2" w:space="0"/>
                    <w:left w:val="single" w:color="000000" w:sz="2" w:space="0"/>
                    <w:bottom w:val="single" w:color="000000" w:sz="2" w:space="0"/>
                    <w:right w:val="single" w:color="000000" w:sz="2" w:space="0"/>
                  </w:tcBorders>
                  <w:noWrap w:val="0"/>
                  <w:vAlign w:val="center"/>
                </w:tcPr>
                <w:p w14:paraId="6EF8BBB4">
                  <w:pPr>
                    <w:pStyle w:val="28"/>
                    <w:bidi w:val="0"/>
                    <w:rPr>
                      <w:rFonts w:hint="default"/>
                      <w:color w:val="auto"/>
                    </w:rPr>
                  </w:pPr>
                  <w:r>
                    <w:rPr>
                      <w:rFonts w:hint="default"/>
                      <w:color w:val="auto"/>
                    </w:rPr>
                    <w:t>170m</w:t>
                  </w:r>
                </w:p>
              </w:tc>
              <w:tc>
                <w:tcPr>
                  <w:tcW w:w="309" w:type="pct"/>
                  <w:tcBorders>
                    <w:top w:val="single" w:color="000000" w:sz="2" w:space="0"/>
                    <w:left w:val="single" w:color="000000" w:sz="2" w:space="0"/>
                    <w:bottom w:val="single" w:color="000000" w:sz="2" w:space="0"/>
                    <w:right w:val="single" w:color="000000" w:sz="2" w:space="0"/>
                  </w:tcBorders>
                  <w:noWrap w:val="0"/>
                  <w:vAlign w:val="center"/>
                </w:tcPr>
                <w:p w14:paraId="41A39759">
                  <w:pPr>
                    <w:pStyle w:val="28"/>
                    <w:bidi w:val="0"/>
                    <w:rPr>
                      <w:rFonts w:hint="default"/>
                      <w:color w:val="auto"/>
                    </w:rPr>
                  </w:pPr>
                  <w:r>
                    <w:rPr>
                      <w:rFonts w:hint="default"/>
                      <w:color w:val="auto"/>
                    </w:rPr>
                    <w:t>180m</w:t>
                  </w:r>
                </w:p>
              </w:tc>
              <w:tc>
                <w:tcPr>
                  <w:tcW w:w="323" w:type="pct"/>
                  <w:tcBorders>
                    <w:top w:val="single" w:color="000000" w:sz="2" w:space="0"/>
                    <w:left w:val="single" w:color="000000" w:sz="2" w:space="0"/>
                    <w:bottom w:val="single" w:color="000000" w:sz="2" w:space="0"/>
                  </w:tcBorders>
                  <w:noWrap w:val="0"/>
                  <w:vAlign w:val="center"/>
                </w:tcPr>
                <w:p w14:paraId="2CD2D815">
                  <w:pPr>
                    <w:pStyle w:val="28"/>
                    <w:bidi w:val="0"/>
                    <w:rPr>
                      <w:rFonts w:hint="default"/>
                      <w:color w:val="auto"/>
                    </w:rPr>
                  </w:pPr>
                  <w:r>
                    <w:rPr>
                      <w:rFonts w:hint="default"/>
                      <w:color w:val="auto"/>
                    </w:rPr>
                    <w:t>200m</w:t>
                  </w:r>
                </w:p>
              </w:tc>
            </w:tr>
            <w:tr w14:paraId="7D4D675B">
              <w:tblPrEx>
                <w:tblCellMar>
                  <w:top w:w="0" w:type="dxa"/>
                  <w:left w:w="30" w:type="dxa"/>
                  <w:bottom w:w="0" w:type="dxa"/>
                  <w:right w:w="30" w:type="dxa"/>
                </w:tblCellMar>
              </w:tblPrEx>
              <w:trPr>
                <w:cantSplit/>
                <w:trHeight w:val="397" w:hRule="atLeast"/>
                <w:jc w:val="center"/>
              </w:trPr>
              <w:tc>
                <w:tcPr>
                  <w:tcW w:w="581" w:type="pct"/>
                  <w:tcBorders>
                    <w:top w:val="single" w:color="auto" w:sz="4" w:space="0"/>
                    <w:bottom w:val="single" w:color="auto" w:sz="4" w:space="0"/>
                    <w:right w:val="single" w:color="000000" w:sz="2" w:space="0"/>
                  </w:tcBorders>
                  <w:noWrap w:val="0"/>
                  <w:vAlign w:val="center"/>
                </w:tcPr>
                <w:p w14:paraId="57AA1A01">
                  <w:pPr>
                    <w:pStyle w:val="28"/>
                    <w:bidi w:val="0"/>
                    <w:rPr>
                      <w:rFonts w:hint="default"/>
                      <w:color w:val="auto"/>
                    </w:rPr>
                  </w:pPr>
                  <w:bookmarkStart w:id="33" w:name="_Hlk252220818"/>
                  <w:r>
                    <w:rPr>
                      <w:rFonts w:hint="default"/>
                      <w:color w:val="auto"/>
                    </w:rPr>
                    <w:t>土石方</w:t>
                  </w:r>
                </w:p>
              </w:tc>
              <w:tc>
                <w:tcPr>
                  <w:tcW w:w="581" w:type="pct"/>
                  <w:tcBorders>
                    <w:top w:val="single" w:color="000000" w:sz="2" w:space="0"/>
                    <w:left w:val="single" w:color="000000" w:sz="2" w:space="0"/>
                    <w:bottom w:val="single" w:color="000000" w:sz="2" w:space="0"/>
                    <w:right w:val="single" w:color="000000" w:sz="2" w:space="0"/>
                  </w:tcBorders>
                  <w:noWrap w:val="0"/>
                  <w:vAlign w:val="center"/>
                </w:tcPr>
                <w:p w14:paraId="3458B6F0">
                  <w:pPr>
                    <w:pStyle w:val="28"/>
                    <w:bidi w:val="0"/>
                    <w:rPr>
                      <w:rFonts w:hint="default"/>
                      <w:color w:val="auto"/>
                    </w:rPr>
                  </w:pPr>
                  <w:r>
                    <w:rPr>
                      <w:rFonts w:hint="default"/>
                      <w:color w:val="auto"/>
                    </w:rPr>
                    <w:t>93.2</w:t>
                  </w:r>
                </w:p>
              </w:tc>
              <w:tc>
                <w:tcPr>
                  <w:tcW w:w="309" w:type="pct"/>
                  <w:tcBorders>
                    <w:top w:val="single" w:color="000000" w:sz="2" w:space="0"/>
                    <w:left w:val="single" w:color="000000" w:sz="2" w:space="0"/>
                    <w:bottom w:val="single" w:color="000000" w:sz="2" w:space="0"/>
                    <w:right w:val="single" w:color="000000" w:sz="2" w:space="0"/>
                  </w:tcBorders>
                  <w:noWrap w:val="0"/>
                  <w:vAlign w:val="center"/>
                </w:tcPr>
                <w:p w14:paraId="38422C2B">
                  <w:pPr>
                    <w:pStyle w:val="28"/>
                    <w:bidi w:val="0"/>
                    <w:rPr>
                      <w:rFonts w:hint="default"/>
                      <w:color w:val="auto"/>
                    </w:rPr>
                  </w:pPr>
                  <w:r>
                    <w:rPr>
                      <w:rFonts w:hint="default"/>
                      <w:color w:val="auto"/>
                    </w:rPr>
                    <w:t>73.2</w:t>
                  </w:r>
                </w:p>
              </w:tc>
              <w:tc>
                <w:tcPr>
                  <w:tcW w:w="309" w:type="pct"/>
                  <w:tcBorders>
                    <w:top w:val="single" w:color="000000" w:sz="2" w:space="0"/>
                    <w:left w:val="single" w:color="000000" w:sz="2" w:space="0"/>
                    <w:bottom w:val="single" w:color="000000" w:sz="2" w:space="0"/>
                    <w:right w:val="single" w:color="000000" w:sz="2" w:space="0"/>
                  </w:tcBorders>
                  <w:noWrap w:val="0"/>
                  <w:vAlign w:val="center"/>
                </w:tcPr>
                <w:p w14:paraId="243EC4C0">
                  <w:pPr>
                    <w:pStyle w:val="28"/>
                    <w:bidi w:val="0"/>
                    <w:rPr>
                      <w:rFonts w:hint="default"/>
                      <w:color w:val="auto"/>
                    </w:rPr>
                  </w:pPr>
                  <w:r>
                    <w:rPr>
                      <w:rFonts w:hint="default"/>
                      <w:color w:val="auto"/>
                    </w:rPr>
                    <w:t>69.7</w:t>
                  </w:r>
                </w:p>
              </w:tc>
              <w:tc>
                <w:tcPr>
                  <w:tcW w:w="311" w:type="pct"/>
                  <w:tcBorders>
                    <w:top w:val="single" w:color="000000" w:sz="2" w:space="0"/>
                    <w:left w:val="single" w:color="000000" w:sz="2" w:space="0"/>
                    <w:bottom w:val="single" w:color="000000" w:sz="2" w:space="0"/>
                    <w:right w:val="single" w:color="000000" w:sz="2" w:space="0"/>
                  </w:tcBorders>
                  <w:noWrap w:val="0"/>
                  <w:vAlign w:val="center"/>
                </w:tcPr>
                <w:p w14:paraId="40A29205">
                  <w:pPr>
                    <w:pStyle w:val="28"/>
                    <w:bidi w:val="0"/>
                    <w:rPr>
                      <w:rFonts w:hint="default"/>
                      <w:color w:val="auto"/>
                    </w:rPr>
                  </w:pPr>
                  <w:r>
                    <w:rPr>
                      <w:rFonts w:hint="default"/>
                      <w:color w:val="auto"/>
                    </w:rPr>
                    <w:t>67.1</w:t>
                  </w:r>
                </w:p>
              </w:tc>
              <w:tc>
                <w:tcPr>
                  <w:tcW w:w="309" w:type="pct"/>
                  <w:tcBorders>
                    <w:top w:val="single" w:color="000000" w:sz="2" w:space="0"/>
                    <w:left w:val="single" w:color="000000" w:sz="2" w:space="0"/>
                    <w:bottom w:val="single" w:color="000000" w:sz="2" w:space="0"/>
                    <w:right w:val="single" w:color="000000" w:sz="2" w:space="0"/>
                  </w:tcBorders>
                  <w:noWrap w:val="0"/>
                  <w:vAlign w:val="center"/>
                </w:tcPr>
                <w:p w14:paraId="1DD19233">
                  <w:pPr>
                    <w:pStyle w:val="28"/>
                    <w:bidi w:val="0"/>
                    <w:rPr>
                      <w:rFonts w:hint="default"/>
                      <w:color w:val="auto"/>
                    </w:rPr>
                  </w:pPr>
                  <w:r>
                    <w:rPr>
                      <w:rFonts w:hint="default"/>
                      <w:color w:val="auto"/>
                    </w:rPr>
                    <w:t>63.7</w:t>
                  </w:r>
                </w:p>
              </w:tc>
              <w:tc>
                <w:tcPr>
                  <w:tcW w:w="309" w:type="pct"/>
                  <w:tcBorders>
                    <w:top w:val="single" w:color="000000" w:sz="2" w:space="0"/>
                    <w:left w:val="single" w:color="000000" w:sz="2" w:space="0"/>
                    <w:bottom w:val="single" w:color="000000" w:sz="2" w:space="0"/>
                    <w:right w:val="single" w:color="000000" w:sz="2" w:space="0"/>
                  </w:tcBorders>
                  <w:noWrap w:val="0"/>
                  <w:vAlign w:val="center"/>
                </w:tcPr>
                <w:p w14:paraId="036C61FF">
                  <w:pPr>
                    <w:pStyle w:val="28"/>
                    <w:bidi w:val="0"/>
                    <w:rPr>
                      <w:rFonts w:hint="default"/>
                      <w:color w:val="auto"/>
                    </w:rPr>
                  </w:pPr>
                  <w:r>
                    <w:rPr>
                      <w:rFonts w:hint="default"/>
                      <w:color w:val="auto"/>
                    </w:rPr>
                    <w:t>60.1</w:t>
                  </w:r>
                </w:p>
              </w:tc>
              <w:tc>
                <w:tcPr>
                  <w:tcW w:w="311" w:type="pct"/>
                  <w:tcBorders>
                    <w:top w:val="single" w:color="000000" w:sz="2" w:space="0"/>
                    <w:left w:val="single" w:color="000000" w:sz="2" w:space="0"/>
                    <w:bottom w:val="single" w:color="000000" w:sz="2" w:space="0"/>
                    <w:right w:val="single" w:color="000000" w:sz="2" w:space="0"/>
                  </w:tcBorders>
                  <w:noWrap w:val="0"/>
                  <w:vAlign w:val="center"/>
                </w:tcPr>
                <w:p w14:paraId="3F9E2549">
                  <w:pPr>
                    <w:pStyle w:val="28"/>
                    <w:bidi w:val="0"/>
                    <w:rPr>
                      <w:rFonts w:hint="default"/>
                      <w:color w:val="auto"/>
                    </w:rPr>
                  </w:pPr>
                  <w:r>
                    <w:rPr>
                      <w:rFonts w:hint="default"/>
                      <w:color w:val="auto"/>
                    </w:rPr>
                    <w:t>57.6</w:t>
                  </w:r>
                </w:p>
              </w:tc>
              <w:tc>
                <w:tcPr>
                  <w:tcW w:w="341" w:type="pct"/>
                  <w:tcBorders>
                    <w:top w:val="single" w:color="000000" w:sz="2" w:space="0"/>
                    <w:left w:val="single" w:color="000000" w:sz="2" w:space="0"/>
                    <w:bottom w:val="single" w:color="000000" w:sz="2" w:space="0"/>
                    <w:right w:val="single" w:color="000000" w:sz="2" w:space="0"/>
                  </w:tcBorders>
                  <w:noWrap w:val="0"/>
                  <w:vAlign w:val="center"/>
                </w:tcPr>
                <w:p w14:paraId="280B72AF">
                  <w:pPr>
                    <w:pStyle w:val="28"/>
                    <w:bidi w:val="0"/>
                    <w:rPr>
                      <w:rFonts w:hint="default"/>
                      <w:color w:val="auto"/>
                    </w:rPr>
                  </w:pPr>
                  <w:r>
                    <w:rPr>
                      <w:rFonts w:hint="default"/>
                      <w:color w:val="auto"/>
                    </w:rPr>
                    <w:t>56.3</w:t>
                  </w:r>
                </w:p>
              </w:tc>
              <w:tc>
                <w:tcPr>
                  <w:tcW w:w="379" w:type="pct"/>
                  <w:tcBorders>
                    <w:top w:val="single" w:color="000000" w:sz="2" w:space="0"/>
                    <w:left w:val="single" w:color="000000" w:sz="2" w:space="0"/>
                    <w:bottom w:val="single" w:color="000000" w:sz="2" w:space="0"/>
                    <w:right w:val="single" w:color="000000" w:sz="2" w:space="0"/>
                  </w:tcBorders>
                  <w:noWrap w:val="0"/>
                  <w:vAlign w:val="center"/>
                </w:tcPr>
                <w:p w14:paraId="2DE7CD70">
                  <w:pPr>
                    <w:pStyle w:val="28"/>
                    <w:bidi w:val="0"/>
                    <w:rPr>
                      <w:rFonts w:hint="default"/>
                      <w:color w:val="auto"/>
                    </w:rPr>
                  </w:pPr>
                  <w:r>
                    <w:rPr>
                      <w:rFonts w:hint="default"/>
                      <w:color w:val="auto"/>
                    </w:rPr>
                    <w:t>53.2</w:t>
                  </w:r>
                </w:p>
              </w:tc>
              <w:tc>
                <w:tcPr>
                  <w:tcW w:w="311" w:type="pct"/>
                  <w:tcBorders>
                    <w:top w:val="single" w:color="000000" w:sz="2" w:space="0"/>
                    <w:left w:val="single" w:color="000000" w:sz="2" w:space="0"/>
                    <w:bottom w:val="single" w:color="000000" w:sz="2" w:space="0"/>
                    <w:right w:val="single" w:color="000000" w:sz="2" w:space="0"/>
                  </w:tcBorders>
                  <w:noWrap w:val="0"/>
                  <w:vAlign w:val="center"/>
                </w:tcPr>
                <w:p w14:paraId="1AC9B29C">
                  <w:pPr>
                    <w:pStyle w:val="28"/>
                    <w:bidi w:val="0"/>
                    <w:rPr>
                      <w:rFonts w:hint="default"/>
                      <w:color w:val="auto"/>
                    </w:rPr>
                  </w:pPr>
                  <w:r>
                    <w:rPr>
                      <w:rFonts w:hint="default"/>
                      <w:color w:val="auto"/>
                    </w:rPr>
                    <w:t>49.7</w:t>
                  </w:r>
                </w:p>
              </w:tc>
              <w:tc>
                <w:tcPr>
                  <w:tcW w:w="309" w:type="pct"/>
                  <w:tcBorders>
                    <w:top w:val="single" w:color="000000" w:sz="2" w:space="0"/>
                    <w:left w:val="single" w:color="000000" w:sz="2" w:space="0"/>
                    <w:bottom w:val="single" w:color="000000" w:sz="2" w:space="0"/>
                    <w:right w:val="single" w:color="000000" w:sz="2" w:space="0"/>
                  </w:tcBorders>
                  <w:noWrap w:val="0"/>
                  <w:vAlign w:val="center"/>
                </w:tcPr>
                <w:p w14:paraId="5D399858">
                  <w:pPr>
                    <w:pStyle w:val="28"/>
                    <w:bidi w:val="0"/>
                    <w:rPr>
                      <w:rFonts w:hint="default"/>
                      <w:color w:val="auto"/>
                    </w:rPr>
                  </w:pPr>
                  <w:r>
                    <w:rPr>
                      <w:rFonts w:hint="default"/>
                      <w:color w:val="auto"/>
                    </w:rPr>
                    <w:t>48.6</w:t>
                  </w:r>
                </w:p>
              </w:tc>
              <w:tc>
                <w:tcPr>
                  <w:tcW w:w="309" w:type="pct"/>
                  <w:tcBorders>
                    <w:top w:val="single" w:color="000000" w:sz="2" w:space="0"/>
                    <w:left w:val="single" w:color="000000" w:sz="2" w:space="0"/>
                    <w:bottom w:val="single" w:color="000000" w:sz="2" w:space="0"/>
                    <w:right w:val="single" w:color="000000" w:sz="2" w:space="0"/>
                  </w:tcBorders>
                  <w:noWrap w:val="0"/>
                  <w:vAlign w:val="center"/>
                </w:tcPr>
                <w:p w14:paraId="2D29AC63">
                  <w:pPr>
                    <w:pStyle w:val="28"/>
                    <w:bidi w:val="0"/>
                    <w:rPr>
                      <w:rFonts w:hint="default"/>
                      <w:color w:val="auto"/>
                    </w:rPr>
                  </w:pPr>
                  <w:r>
                    <w:rPr>
                      <w:rFonts w:hint="default"/>
                      <w:color w:val="auto"/>
                    </w:rPr>
                    <w:t>48.1</w:t>
                  </w:r>
                </w:p>
              </w:tc>
              <w:tc>
                <w:tcPr>
                  <w:tcW w:w="323" w:type="pct"/>
                  <w:tcBorders>
                    <w:top w:val="single" w:color="000000" w:sz="2" w:space="0"/>
                    <w:left w:val="single" w:color="000000" w:sz="2" w:space="0"/>
                    <w:bottom w:val="single" w:color="000000" w:sz="2" w:space="0"/>
                  </w:tcBorders>
                  <w:noWrap w:val="0"/>
                  <w:vAlign w:val="center"/>
                </w:tcPr>
                <w:p w14:paraId="37AF561F">
                  <w:pPr>
                    <w:pStyle w:val="28"/>
                    <w:bidi w:val="0"/>
                    <w:rPr>
                      <w:rFonts w:hint="default"/>
                      <w:color w:val="auto"/>
                    </w:rPr>
                  </w:pPr>
                  <w:r>
                    <w:rPr>
                      <w:rFonts w:hint="default"/>
                      <w:color w:val="auto"/>
                    </w:rPr>
                    <w:t>47.2</w:t>
                  </w:r>
                </w:p>
              </w:tc>
            </w:tr>
            <w:bookmarkEnd w:id="33"/>
            <w:tr w14:paraId="026EF4ED">
              <w:tblPrEx>
                <w:tblCellMar>
                  <w:top w:w="0" w:type="dxa"/>
                  <w:left w:w="30" w:type="dxa"/>
                  <w:bottom w:w="0" w:type="dxa"/>
                  <w:right w:w="30" w:type="dxa"/>
                </w:tblCellMar>
              </w:tblPrEx>
              <w:trPr>
                <w:cantSplit/>
                <w:trHeight w:val="397" w:hRule="atLeast"/>
                <w:jc w:val="center"/>
              </w:trPr>
              <w:tc>
                <w:tcPr>
                  <w:tcW w:w="581" w:type="pct"/>
                  <w:tcBorders>
                    <w:top w:val="single" w:color="auto" w:sz="4" w:space="0"/>
                    <w:bottom w:val="single" w:color="auto" w:sz="4" w:space="0"/>
                    <w:right w:val="single" w:color="000000" w:sz="2" w:space="0"/>
                  </w:tcBorders>
                  <w:noWrap w:val="0"/>
                  <w:vAlign w:val="center"/>
                </w:tcPr>
                <w:p w14:paraId="1ABBF9B1">
                  <w:pPr>
                    <w:pStyle w:val="28"/>
                    <w:bidi w:val="0"/>
                    <w:rPr>
                      <w:rFonts w:hint="default"/>
                      <w:color w:val="auto"/>
                    </w:rPr>
                  </w:pPr>
                  <w:r>
                    <w:rPr>
                      <w:rFonts w:hint="default"/>
                      <w:color w:val="auto"/>
                    </w:rPr>
                    <w:t>打桩</w:t>
                  </w:r>
                </w:p>
              </w:tc>
              <w:tc>
                <w:tcPr>
                  <w:tcW w:w="581" w:type="pct"/>
                  <w:tcBorders>
                    <w:top w:val="single" w:color="000000" w:sz="2" w:space="0"/>
                    <w:left w:val="single" w:color="000000" w:sz="2" w:space="0"/>
                    <w:bottom w:val="single" w:color="000000" w:sz="2" w:space="0"/>
                    <w:right w:val="single" w:color="000000" w:sz="2" w:space="0"/>
                  </w:tcBorders>
                  <w:noWrap w:val="0"/>
                  <w:vAlign w:val="center"/>
                </w:tcPr>
                <w:p w14:paraId="31B4B432">
                  <w:pPr>
                    <w:pStyle w:val="28"/>
                    <w:bidi w:val="0"/>
                    <w:rPr>
                      <w:rFonts w:hint="default"/>
                      <w:color w:val="auto"/>
                    </w:rPr>
                  </w:pPr>
                  <w:r>
                    <w:rPr>
                      <w:rFonts w:hint="default"/>
                      <w:color w:val="auto"/>
                    </w:rPr>
                    <w:t>90.0</w:t>
                  </w:r>
                </w:p>
              </w:tc>
              <w:tc>
                <w:tcPr>
                  <w:tcW w:w="309" w:type="pct"/>
                  <w:tcBorders>
                    <w:top w:val="single" w:color="000000" w:sz="2" w:space="0"/>
                    <w:left w:val="single" w:color="000000" w:sz="2" w:space="0"/>
                    <w:bottom w:val="single" w:color="000000" w:sz="2" w:space="0"/>
                    <w:right w:val="single" w:color="000000" w:sz="2" w:space="0"/>
                  </w:tcBorders>
                  <w:noWrap w:val="0"/>
                  <w:vAlign w:val="center"/>
                </w:tcPr>
                <w:p w14:paraId="0F65C2B3">
                  <w:pPr>
                    <w:pStyle w:val="28"/>
                    <w:bidi w:val="0"/>
                    <w:rPr>
                      <w:rFonts w:hint="default"/>
                      <w:color w:val="auto"/>
                    </w:rPr>
                  </w:pPr>
                  <w:r>
                    <w:rPr>
                      <w:rFonts w:hint="default"/>
                      <w:color w:val="auto"/>
                    </w:rPr>
                    <w:t>70.0</w:t>
                  </w:r>
                </w:p>
              </w:tc>
              <w:tc>
                <w:tcPr>
                  <w:tcW w:w="309" w:type="pct"/>
                  <w:tcBorders>
                    <w:top w:val="single" w:color="000000" w:sz="2" w:space="0"/>
                    <w:left w:val="single" w:color="000000" w:sz="2" w:space="0"/>
                    <w:bottom w:val="single" w:color="000000" w:sz="2" w:space="0"/>
                    <w:right w:val="single" w:color="000000" w:sz="2" w:space="0"/>
                  </w:tcBorders>
                  <w:noWrap w:val="0"/>
                  <w:vAlign w:val="center"/>
                </w:tcPr>
                <w:p w14:paraId="537209CE">
                  <w:pPr>
                    <w:pStyle w:val="28"/>
                    <w:bidi w:val="0"/>
                    <w:rPr>
                      <w:rFonts w:hint="default"/>
                      <w:color w:val="auto"/>
                    </w:rPr>
                  </w:pPr>
                  <w:r>
                    <w:rPr>
                      <w:rFonts w:hint="default"/>
                      <w:color w:val="auto"/>
                    </w:rPr>
                    <w:t>66.5</w:t>
                  </w:r>
                </w:p>
              </w:tc>
              <w:tc>
                <w:tcPr>
                  <w:tcW w:w="311" w:type="pct"/>
                  <w:tcBorders>
                    <w:top w:val="single" w:color="000000" w:sz="2" w:space="0"/>
                    <w:left w:val="single" w:color="000000" w:sz="2" w:space="0"/>
                    <w:bottom w:val="single" w:color="000000" w:sz="2" w:space="0"/>
                    <w:right w:val="single" w:color="000000" w:sz="2" w:space="0"/>
                  </w:tcBorders>
                  <w:noWrap w:val="0"/>
                  <w:vAlign w:val="center"/>
                </w:tcPr>
                <w:p w14:paraId="28BF1FB8">
                  <w:pPr>
                    <w:pStyle w:val="28"/>
                    <w:bidi w:val="0"/>
                    <w:rPr>
                      <w:rFonts w:hint="default"/>
                      <w:color w:val="auto"/>
                    </w:rPr>
                  </w:pPr>
                  <w:r>
                    <w:rPr>
                      <w:rFonts w:hint="default"/>
                      <w:color w:val="auto"/>
                    </w:rPr>
                    <w:t>64.0</w:t>
                  </w:r>
                </w:p>
              </w:tc>
              <w:tc>
                <w:tcPr>
                  <w:tcW w:w="309" w:type="pct"/>
                  <w:tcBorders>
                    <w:top w:val="single" w:color="000000" w:sz="2" w:space="0"/>
                    <w:left w:val="single" w:color="000000" w:sz="2" w:space="0"/>
                    <w:bottom w:val="single" w:color="000000" w:sz="2" w:space="0"/>
                    <w:right w:val="single" w:color="000000" w:sz="2" w:space="0"/>
                  </w:tcBorders>
                  <w:noWrap w:val="0"/>
                  <w:vAlign w:val="center"/>
                </w:tcPr>
                <w:p w14:paraId="2485FA77">
                  <w:pPr>
                    <w:pStyle w:val="28"/>
                    <w:bidi w:val="0"/>
                    <w:rPr>
                      <w:rFonts w:hint="default"/>
                      <w:color w:val="auto"/>
                    </w:rPr>
                  </w:pPr>
                  <w:r>
                    <w:rPr>
                      <w:rFonts w:hint="default"/>
                      <w:color w:val="auto"/>
                    </w:rPr>
                    <w:t>60.0</w:t>
                  </w:r>
                </w:p>
              </w:tc>
              <w:tc>
                <w:tcPr>
                  <w:tcW w:w="309" w:type="pct"/>
                  <w:tcBorders>
                    <w:top w:val="single" w:color="000000" w:sz="2" w:space="0"/>
                    <w:left w:val="single" w:color="000000" w:sz="2" w:space="0"/>
                    <w:bottom w:val="single" w:color="000000" w:sz="2" w:space="0"/>
                    <w:right w:val="single" w:color="000000" w:sz="2" w:space="0"/>
                  </w:tcBorders>
                  <w:noWrap w:val="0"/>
                  <w:vAlign w:val="center"/>
                </w:tcPr>
                <w:p w14:paraId="4DCBCC85">
                  <w:pPr>
                    <w:pStyle w:val="28"/>
                    <w:bidi w:val="0"/>
                    <w:rPr>
                      <w:rFonts w:hint="default"/>
                      <w:color w:val="auto"/>
                    </w:rPr>
                  </w:pPr>
                  <w:r>
                    <w:rPr>
                      <w:rFonts w:hint="default"/>
                      <w:color w:val="auto"/>
                    </w:rPr>
                    <w:t>58.0</w:t>
                  </w:r>
                </w:p>
              </w:tc>
              <w:tc>
                <w:tcPr>
                  <w:tcW w:w="311" w:type="pct"/>
                  <w:tcBorders>
                    <w:top w:val="single" w:color="000000" w:sz="2" w:space="0"/>
                    <w:left w:val="single" w:color="000000" w:sz="2" w:space="0"/>
                    <w:bottom w:val="single" w:color="000000" w:sz="2" w:space="0"/>
                    <w:right w:val="single" w:color="000000" w:sz="2" w:space="0"/>
                  </w:tcBorders>
                  <w:noWrap w:val="0"/>
                  <w:vAlign w:val="center"/>
                </w:tcPr>
                <w:p w14:paraId="6DC12298">
                  <w:pPr>
                    <w:pStyle w:val="28"/>
                    <w:bidi w:val="0"/>
                    <w:rPr>
                      <w:rFonts w:hint="default"/>
                      <w:color w:val="auto"/>
                    </w:rPr>
                  </w:pPr>
                  <w:r>
                    <w:rPr>
                      <w:rFonts w:hint="default"/>
                      <w:color w:val="auto"/>
                    </w:rPr>
                    <w:t>56.0</w:t>
                  </w:r>
                </w:p>
              </w:tc>
              <w:tc>
                <w:tcPr>
                  <w:tcW w:w="341" w:type="pct"/>
                  <w:tcBorders>
                    <w:top w:val="single" w:color="000000" w:sz="2" w:space="0"/>
                    <w:left w:val="single" w:color="000000" w:sz="2" w:space="0"/>
                    <w:bottom w:val="single" w:color="000000" w:sz="2" w:space="0"/>
                    <w:right w:val="single" w:color="000000" w:sz="2" w:space="0"/>
                  </w:tcBorders>
                  <w:noWrap w:val="0"/>
                  <w:vAlign w:val="center"/>
                </w:tcPr>
                <w:p w14:paraId="25848B89">
                  <w:pPr>
                    <w:pStyle w:val="28"/>
                    <w:bidi w:val="0"/>
                    <w:rPr>
                      <w:rFonts w:hint="default"/>
                      <w:color w:val="auto"/>
                    </w:rPr>
                  </w:pPr>
                  <w:r>
                    <w:rPr>
                      <w:rFonts w:hint="default"/>
                      <w:color w:val="auto"/>
                    </w:rPr>
                    <w:t>54.0</w:t>
                  </w:r>
                </w:p>
              </w:tc>
              <w:tc>
                <w:tcPr>
                  <w:tcW w:w="379" w:type="pct"/>
                  <w:tcBorders>
                    <w:top w:val="single" w:color="000000" w:sz="2" w:space="0"/>
                    <w:left w:val="single" w:color="000000" w:sz="2" w:space="0"/>
                    <w:bottom w:val="single" w:color="000000" w:sz="2" w:space="0"/>
                    <w:right w:val="single" w:color="000000" w:sz="2" w:space="0"/>
                  </w:tcBorders>
                  <w:noWrap w:val="0"/>
                  <w:vAlign w:val="center"/>
                </w:tcPr>
                <w:p w14:paraId="3E76A0B0">
                  <w:pPr>
                    <w:pStyle w:val="28"/>
                    <w:bidi w:val="0"/>
                    <w:rPr>
                      <w:rFonts w:hint="default"/>
                      <w:color w:val="auto"/>
                    </w:rPr>
                  </w:pPr>
                  <w:r>
                    <w:rPr>
                      <w:rFonts w:hint="default"/>
                      <w:color w:val="auto"/>
                    </w:rPr>
                    <w:t>562.0</w:t>
                  </w:r>
                </w:p>
              </w:tc>
              <w:tc>
                <w:tcPr>
                  <w:tcW w:w="311" w:type="pct"/>
                  <w:tcBorders>
                    <w:top w:val="single" w:color="000000" w:sz="2" w:space="0"/>
                    <w:left w:val="single" w:color="000000" w:sz="2" w:space="0"/>
                    <w:bottom w:val="single" w:color="000000" w:sz="2" w:space="0"/>
                    <w:right w:val="single" w:color="000000" w:sz="2" w:space="0"/>
                  </w:tcBorders>
                  <w:noWrap w:val="0"/>
                  <w:vAlign w:val="center"/>
                </w:tcPr>
                <w:p w14:paraId="3F03DCAC">
                  <w:pPr>
                    <w:pStyle w:val="28"/>
                    <w:bidi w:val="0"/>
                    <w:rPr>
                      <w:rFonts w:hint="default"/>
                      <w:color w:val="auto"/>
                    </w:rPr>
                  </w:pPr>
                  <w:r>
                    <w:rPr>
                      <w:rFonts w:hint="default"/>
                      <w:color w:val="auto"/>
                    </w:rPr>
                    <w:t>50.0</w:t>
                  </w:r>
                </w:p>
              </w:tc>
              <w:tc>
                <w:tcPr>
                  <w:tcW w:w="309" w:type="pct"/>
                  <w:tcBorders>
                    <w:top w:val="single" w:color="000000" w:sz="2" w:space="0"/>
                    <w:left w:val="single" w:color="000000" w:sz="2" w:space="0"/>
                    <w:bottom w:val="single" w:color="000000" w:sz="2" w:space="0"/>
                    <w:right w:val="single" w:color="000000" w:sz="2" w:space="0"/>
                  </w:tcBorders>
                  <w:noWrap w:val="0"/>
                  <w:vAlign w:val="center"/>
                </w:tcPr>
                <w:p w14:paraId="56778658">
                  <w:pPr>
                    <w:pStyle w:val="28"/>
                    <w:bidi w:val="0"/>
                    <w:rPr>
                      <w:rFonts w:hint="default"/>
                      <w:color w:val="auto"/>
                    </w:rPr>
                  </w:pPr>
                  <w:r>
                    <w:rPr>
                      <w:rFonts w:hint="default"/>
                      <w:color w:val="auto"/>
                    </w:rPr>
                    <w:t>48.0</w:t>
                  </w:r>
                </w:p>
              </w:tc>
              <w:tc>
                <w:tcPr>
                  <w:tcW w:w="309" w:type="pct"/>
                  <w:tcBorders>
                    <w:top w:val="single" w:color="000000" w:sz="2" w:space="0"/>
                    <w:left w:val="single" w:color="000000" w:sz="2" w:space="0"/>
                    <w:bottom w:val="single" w:color="000000" w:sz="2" w:space="0"/>
                    <w:right w:val="single" w:color="000000" w:sz="2" w:space="0"/>
                  </w:tcBorders>
                  <w:noWrap w:val="0"/>
                  <w:vAlign w:val="center"/>
                </w:tcPr>
                <w:p w14:paraId="3C52DF4D">
                  <w:pPr>
                    <w:pStyle w:val="28"/>
                    <w:bidi w:val="0"/>
                    <w:rPr>
                      <w:rFonts w:hint="default"/>
                      <w:color w:val="auto"/>
                    </w:rPr>
                  </w:pPr>
                  <w:r>
                    <w:rPr>
                      <w:rFonts w:hint="default"/>
                      <w:color w:val="auto"/>
                    </w:rPr>
                    <w:t>46.0</w:t>
                  </w:r>
                </w:p>
              </w:tc>
              <w:tc>
                <w:tcPr>
                  <w:tcW w:w="323" w:type="pct"/>
                  <w:tcBorders>
                    <w:top w:val="single" w:color="000000" w:sz="2" w:space="0"/>
                    <w:left w:val="single" w:color="000000" w:sz="2" w:space="0"/>
                    <w:bottom w:val="single" w:color="000000" w:sz="2" w:space="0"/>
                  </w:tcBorders>
                  <w:noWrap w:val="0"/>
                  <w:vAlign w:val="center"/>
                </w:tcPr>
                <w:p w14:paraId="16876F9A">
                  <w:pPr>
                    <w:pStyle w:val="28"/>
                    <w:bidi w:val="0"/>
                    <w:rPr>
                      <w:rFonts w:hint="default"/>
                      <w:color w:val="auto"/>
                    </w:rPr>
                  </w:pPr>
                  <w:r>
                    <w:rPr>
                      <w:rFonts w:hint="default"/>
                      <w:color w:val="auto"/>
                    </w:rPr>
                    <w:t>44.0</w:t>
                  </w:r>
                </w:p>
              </w:tc>
            </w:tr>
            <w:tr w14:paraId="39E18016">
              <w:tblPrEx>
                <w:tblCellMar>
                  <w:top w:w="0" w:type="dxa"/>
                  <w:left w:w="30" w:type="dxa"/>
                  <w:bottom w:w="0" w:type="dxa"/>
                  <w:right w:w="30" w:type="dxa"/>
                </w:tblCellMar>
              </w:tblPrEx>
              <w:trPr>
                <w:cantSplit/>
                <w:trHeight w:val="397" w:hRule="atLeast"/>
                <w:jc w:val="center"/>
              </w:trPr>
              <w:tc>
                <w:tcPr>
                  <w:tcW w:w="581" w:type="pct"/>
                  <w:tcBorders>
                    <w:top w:val="single" w:color="auto" w:sz="4" w:space="0"/>
                    <w:bottom w:val="single" w:color="auto" w:sz="4" w:space="0"/>
                    <w:right w:val="single" w:color="000000" w:sz="2" w:space="0"/>
                  </w:tcBorders>
                  <w:noWrap w:val="0"/>
                  <w:vAlign w:val="center"/>
                </w:tcPr>
                <w:p w14:paraId="7F13D0A8">
                  <w:pPr>
                    <w:pStyle w:val="28"/>
                    <w:bidi w:val="0"/>
                    <w:rPr>
                      <w:rFonts w:hint="default"/>
                      <w:color w:val="auto"/>
                    </w:rPr>
                  </w:pPr>
                  <w:r>
                    <w:rPr>
                      <w:rFonts w:hint="default"/>
                      <w:color w:val="auto"/>
                    </w:rPr>
                    <w:t>结构</w:t>
                  </w:r>
                </w:p>
              </w:tc>
              <w:tc>
                <w:tcPr>
                  <w:tcW w:w="581" w:type="pct"/>
                  <w:tcBorders>
                    <w:top w:val="single" w:color="000000" w:sz="2" w:space="0"/>
                    <w:left w:val="single" w:color="000000" w:sz="2" w:space="0"/>
                    <w:bottom w:val="single" w:color="000000" w:sz="2" w:space="0"/>
                    <w:right w:val="single" w:color="000000" w:sz="2" w:space="0"/>
                  </w:tcBorders>
                  <w:noWrap w:val="0"/>
                  <w:vAlign w:val="center"/>
                </w:tcPr>
                <w:p w14:paraId="624B8120">
                  <w:pPr>
                    <w:pStyle w:val="28"/>
                    <w:bidi w:val="0"/>
                    <w:rPr>
                      <w:rFonts w:hint="default"/>
                      <w:color w:val="auto"/>
                    </w:rPr>
                  </w:pPr>
                  <w:r>
                    <w:rPr>
                      <w:rFonts w:hint="default"/>
                      <w:color w:val="auto"/>
                    </w:rPr>
                    <w:t>83.5</w:t>
                  </w:r>
                </w:p>
              </w:tc>
              <w:tc>
                <w:tcPr>
                  <w:tcW w:w="309" w:type="pct"/>
                  <w:tcBorders>
                    <w:top w:val="single" w:color="000000" w:sz="2" w:space="0"/>
                    <w:left w:val="single" w:color="000000" w:sz="2" w:space="0"/>
                    <w:bottom w:val="single" w:color="000000" w:sz="2" w:space="0"/>
                    <w:right w:val="single" w:color="000000" w:sz="2" w:space="0"/>
                  </w:tcBorders>
                  <w:noWrap w:val="0"/>
                  <w:vAlign w:val="center"/>
                </w:tcPr>
                <w:p w14:paraId="6CB39C55">
                  <w:pPr>
                    <w:pStyle w:val="28"/>
                    <w:bidi w:val="0"/>
                    <w:rPr>
                      <w:rFonts w:hint="default"/>
                      <w:color w:val="auto"/>
                    </w:rPr>
                  </w:pPr>
                  <w:r>
                    <w:rPr>
                      <w:rFonts w:hint="default"/>
                      <w:color w:val="auto"/>
                    </w:rPr>
                    <w:t>63.5</w:t>
                  </w:r>
                </w:p>
              </w:tc>
              <w:tc>
                <w:tcPr>
                  <w:tcW w:w="309" w:type="pct"/>
                  <w:tcBorders>
                    <w:top w:val="single" w:color="000000" w:sz="2" w:space="0"/>
                    <w:left w:val="single" w:color="000000" w:sz="2" w:space="0"/>
                    <w:bottom w:val="single" w:color="000000" w:sz="2" w:space="0"/>
                    <w:right w:val="single" w:color="000000" w:sz="2" w:space="0"/>
                  </w:tcBorders>
                  <w:noWrap w:val="0"/>
                  <w:vAlign w:val="center"/>
                </w:tcPr>
                <w:p w14:paraId="5B2DCD3A">
                  <w:pPr>
                    <w:pStyle w:val="28"/>
                    <w:bidi w:val="0"/>
                    <w:rPr>
                      <w:rFonts w:hint="default"/>
                      <w:color w:val="auto"/>
                    </w:rPr>
                  </w:pPr>
                  <w:r>
                    <w:rPr>
                      <w:rFonts w:hint="default"/>
                      <w:color w:val="auto"/>
                    </w:rPr>
                    <w:t>60.0</w:t>
                  </w:r>
                </w:p>
              </w:tc>
              <w:tc>
                <w:tcPr>
                  <w:tcW w:w="311" w:type="pct"/>
                  <w:tcBorders>
                    <w:top w:val="single" w:color="000000" w:sz="2" w:space="0"/>
                    <w:left w:val="single" w:color="000000" w:sz="2" w:space="0"/>
                    <w:bottom w:val="single" w:color="000000" w:sz="2" w:space="0"/>
                    <w:right w:val="single" w:color="000000" w:sz="2" w:space="0"/>
                  </w:tcBorders>
                  <w:noWrap w:val="0"/>
                  <w:vAlign w:val="center"/>
                </w:tcPr>
                <w:p w14:paraId="3F9D2CDD">
                  <w:pPr>
                    <w:pStyle w:val="28"/>
                    <w:bidi w:val="0"/>
                    <w:rPr>
                      <w:rFonts w:hint="default"/>
                      <w:color w:val="auto"/>
                    </w:rPr>
                  </w:pPr>
                  <w:r>
                    <w:rPr>
                      <w:rFonts w:hint="default"/>
                      <w:color w:val="auto"/>
                    </w:rPr>
                    <w:t>57.5</w:t>
                  </w:r>
                </w:p>
              </w:tc>
              <w:tc>
                <w:tcPr>
                  <w:tcW w:w="309" w:type="pct"/>
                  <w:tcBorders>
                    <w:top w:val="single" w:color="000000" w:sz="2" w:space="0"/>
                    <w:left w:val="single" w:color="000000" w:sz="2" w:space="0"/>
                    <w:bottom w:val="single" w:color="000000" w:sz="2" w:space="0"/>
                    <w:right w:val="single" w:color="000000" w:sz="2" w:space="0"/>
                  </w:tcBorders>
                  <w:noWrap w:val="0"/>
                  <w:vAlign w:val="center"/>
                </w:tcPr>
                <w:p w14:paraId="60159B2A">
                  <w:pPr>
                    <w:pStyle w:val="28"/>
                    <w:bidi w:val="0"/>
                    <w:rPr>
                      <w:rFonts w:hint="default"/>
                      <w:color w:val="auto"/>
                    </w:rPr>
                  </w:pPr>
                  <w:r>
                    <w:rPr>
                      <w:rFonts w:hint="default"/>
                      <w:color w:val="auto"/>
                    </w:rPr>
                    <w:t>54.0</w:t>
                  </w:r>
                </w:p>
              </w:tc>
              <w:tc>
                <w:tcPr>
                  <w:tcW w:w="309" w:type="pct"/>
                  <w:tcBorders>
                    <w:top w:val="single" w:color="000000" w:sz="2" w:space="0"/>
                    <w:left w:val="single" w:color="000000" w:sz="2" w:space="0"/>
                    <w:bottom w:val="single" w:color="000000" w:sz="2" w:space="0"/>
                    <w:right w:val="single" w:color="000000" w:sz="2" w:space="0"/>
                  </w:tcBorders>
                  <w:noWrap w:val="0"/>
                  <w:vAlign w:val="center"/>
                </w:tcPr>
                <w:p w14:paraId="3C496724">
                  <w:pPr>
                    <w:pStyle w:val="28"/>
                    <w:bidi w:val="0"/>
                    <w:rPr>
                      <w:rFonts w:hint="default"/>
                      <w:color w:val="auto"/>
                    </w:rPr>
                  </w:pPr>
                  <w:r>
                    <w:rPr>
                      <w:rFonts w:hint="default"/>
                      <w:color w:val="auto"/>
                    </w:rPr>
                    <w:t>50.4</w:t>
                  </w:r>
                </w:p>
              </w:tc>
              <w:tc>
                <w:tcPr>
                  <w:tcW w:w="311" w:type="pct"/>
                  <w:tcBorders>
                    <w:top w:val="single" w:color="000000" w:sz="2" w:space="0"/>
                    <w:left w:val="single" w:color="000000" w:sz="2" w:space="0"/>
                    <w:bottom w:val="single" w:color="000000" w:sz="2" w:space="0"/>
                    <w:right w:val="single" w:color="000000" w:sz="2" w:space="0"/>
                  </w:tcBorders>
                  <w:noWrap w:val="0"/>
                  <w:vAlign w:val="center"/>
                </w:tcPr>
                <w:p w14:paraId="6AADD9A2">
                  <w:pPr>
                    <w:pStyle w:val="28"/>
                    <w:bidi w:val="0"/>
                    <w:rPr>
                      <w:rFonts w:hint="default"/>
                      <w:color w:val="auto"/>
                    </w:rPr>
                  </w:pPr>
                  <w:r>
                    <w:rPr>
                      <w:rFonts w:hint="default"/>
                      <w:color w:val="auto"/>
                    </w:rPr>
                    <w:t>47.9</w:t>
                  </w:r>
                </w:p>
              </w:tc>
              <w:tc>
                <w:tcPr>
                  <w:tcW w:w="341" w:type="pct"/>
                  <w:tcBorders>
                    <w:top w:val="single" w:color="000000" w:sz="2" w:space="0"/>
                    <w:left w:val="single" w:color="000000" w:sz="2" w:space="0"/>
                    <w:bottom w:val="single" w:color="000000" w:sz="2" w:space="0"/>
                    <w:right w:val="single" w:color="000000" w:sz="2" w:space="0"/>
                  </w:tcBorders>
                  <w:noWrap w:val="0"/>
                  <w:vAlign w:val="center"/>
                </w:tcPr>
                <w:p w14:paraId="76052D73">
                  <w:pPr>
                    <w:pStyle w:val="28"/>
                    <w:bidi w:val="0"/>
                    <w:rPr>
                      <w:rFonts w:hint="default"/>
                      <w:color w:val="auto"/>
                    </w:rPr>
                  </w:pPr>
                  <w:r>
                    <w:rPr>
                      <w:rFonts w:hint="default"/>
                      <w:color w:val="auto"/>
                    </w:rPr>
                    <w:t>46.6</w:t>
                  </w:r>
                </w:p>
              </w:tc>
              <w:tc>
                <w:tcPr>
                  <w:tcW w:w="379" w:type="pct"/>
                  <w:tcBorders>
                    <w:top w:val="single" w:color="000000" w:sz="2" w:space="0"/>
                    <w:left w:val="single" w:color="000000" w:sz="2" w:space="0"/>
                    <w:bottom w:val="single" w:color="000000" w:sz="2" w:space="0"/>
                    <w:right w:val="single" w:color="000000" w:sz="2" w:space="0"/>
                  </w:tcBorders>
                  <w:noWrap w:val="0"/>
                  <w:vAlign w:val="center"/>
                </w:tcPr>
                <w:p w14:paraId="7498A091">
                  <w:pPr>
                    <w:pStyle w:val="28"/>
                    <w:bidi w:val="0"/>
                    <w:rPr>
                      <w:rFonts w:hint="default"/>
                      <w:color w:val="auto"/>
                    </w:rPr>
                  </w:pPr>
                  <w:r>
                    <w:rPr>
                      <w:rFonts w:hint="default"/>
                      <w:color w:val="auto"/>
                    </w:rPr>
                    <w:t>43.5</w:t>
                  </w:r>
                </w:p>
              </w:tc>
              <w:tc>
                <w:tcPr>
                  <w:tcW w:w="311" w:type="pct"/>
                  <w:tcBorders>
                    <w:top w:val="single" w:color="000000" w:sz="2" w:space="0"/>
                    <w:left w:val="single" w:color="000000" w:sz="2" w:space="0"/>
                    <w:bottom w:val="single" w:color="000000" w:sz="2" w:space="0"/>
                    <w:right w:val="single" w:color="000000" w:sz="2" w:space="0"/>
                  </w:tcBorders>
                  <w:noWrap w:val="0"/>
                  <w:vAlign w:val="center"/>
                </w:tcPr>
                <w:p w14:paraId="55A23F74">
                  <w:pPr>
                    <w:pStyle w:val="28"/>
                    <w:bidi w:val="0"/>
                    <w:rPr>
                      <w:rFonts w:hint="default"/>
                      <w:color w:val="auto"/>
                    </w:rPr>
                  </w:pPr>
                  <w:r>
                    <w:rPr>
                      <w:rFonts w:hint="default"/>
                      <w:color w:val="auto"/>
                    </w:rPr>
                    <w:t>40.0</w:t>
                  </w:r>
                </w:p>
              </w:tc>
              <w:tc>
                <w:tcPr>
                  <w:tcW w:w="309" w:type="pct"/>
                  <w:tcBorders>
                    <w:top w:val="single" w:color="000000" w:sz="2" w:space="0"/>
                    <w:left w:val="single" w:color="000000" w:sz="2" w:space="0"/>
                    <w:bottom w:val="single" w:color="000000" w:sz="2" w:space="0"/>
                    <w:right w:val="single" w:color="000000" w:sz="2" w:space="0"/>
                  </w:tcBorders>
                  <w:noWrap w:val="0"/>
                  <w:vAlign w:val="center"/>
                </w:tcPr>
                <w:p w14:paraId="799C6C06">
                  <w:pPr>
                    <w:pStyle w:val="28"/>
                    <w:bidi w:val="0"/>
                    <w:rPr>
                      <w:rFonts w:hint="default"/>
                      <w:color w:val="auto"/>
                    </w:rPr>
                  </w:pPr>
                  <w:r>
                    <w:rPr>
                      <w:rFonts w:hint="default"/>
                      <w:color w:val="auto"/>
                    </w:rPr>
                    <w:t>38.9</w:t>
                  </w:r>
                </w:p>
              </w:tc>
              <w:tc>
                <w:tcPr>
                  <w:tcW w:w="309" w:type="pct"/>
                  <w:tcBorders>
                    <w:top w:val="single" w:color="000000" w:sz="2" w:space="0"/>
                    <w:left w:val="single" w:color="000000" w:sz="2" w:space="0"/>
                    <w:bottom w:val="single" w:color="000000" w:sz="2" w:space="0"/>
                    <w:right w:val="single" w:color="000000" w:sz="2" w:space="0"/>
                  </w:tcBorders>
                  <w:noWrap w:val="0"/>
                  <w:vAlign w:val="center"/>
                </w:tcPr>
                <w:p w14:paraId="00095359">
                  <w:pPr>
                    <w:pStyle w:val="28"/>
                    <w:bidi w:val="0"/>
                    <w:rPr>
                      <w:rFonts w:hint="default"/>
                      <w:color w:val="auto"/>
                    </w:rPr>
                  </w:pPr>
                  <w:r>
                    <w:rPr>
                      <w:rFonts w:hint="default"/>
                      <w:color w:val="auto"/>
                    </w:rPr>
                    <w:t>38.4</w:t>
                  </w:r>
                </w:p>
              </w:tc>
              <w:tc>
                <w:tcPr>
                  <w:tcW w:w="323" w:type="pct"/>
                  <w:tcBorders>
                    <w:top w:val="single" w:color="000000" w:sz="2" w:space="0"/>
                    <w:left w:val="single" w:color="000000" w:sz="2" w:space="0"/>
                    <w:bottom w:val="single" w:color="000000" w:sz="2" w:space="0"/>
                  </w:tcBorders>
                  <w:noWrap w:val="0"/>
                  <w:vAlign w:val="center"/>
                </w:tcPr>
                <w:p w14:paraId="5A2E2020">
                  <w:pPr>
                    <w:pStyle w:val="28"/>
                    <w:bidi w:val="0"/>
                    <w:rPr>
                      <w:rFonts w:hint="default"/>
                      <w:color w:val="auto"/>
                    </w:rPr>
                  </w:pPr>
                  <w:r>
                    <w:rPr>
                      <w:rFonts w:hint="default"/>
                      <w:color w:val="auto"/>
                    </w:rPr>
                    <w:t>37.5</w:t>
                  </w:r>
                </w:p>
              </w:tc>
            </w:tr>
            <w:tr w14:paraId="0300B63B">
              <w:tblPrEx>
                <w:tblCellMar>
                  <w:top w:w="0" w:type="dxa"/>
                  <w:left w:w="30" w:type="dxa"/>
                  <w:bottom w:w="0" w:type="dxa"/>
                  <w:right w:w="30" w:type="dxa"/>
                </w:tblCellMar>
              </w:tblPrEx>
              <w:trPr>
                <w:cantSplit/>
                <w:trHeight w:val="397" w:hRule="atLeast"/>
                <w:jc w:val="center"/>
              </w:trPr>
              <w:tc>
                <w:tcPr>
                  <w:tcW w:w="581" w:type="pct"/>
                  <w:tcBorders>
                    <w:top w:val="single" w:color="auto" w:sz="4" w:space="0"/>
                    <w:bottom w:val="single" w:color="auto" w:sz="12" w:space="0"/>
                    <w:right w:val="single" w:color="000000" w:sz="2" w:space="0"/>
                  </w:tcBorders>
                  <w:noWrap w:val="0"/>
                  <w:vAlign w:val="center"/>
                </w:tcPr>
                <w:p w14:paraId="2D69702E">
                  <w:pPr>
                    <w:pStyle w:val="28"/>
                    <w:bidi w:val="0"/>
                    <w:rPr>
                      <w:rFonts w:hint="default"/>
                      <w:color w:val="auto"/>
                    </w:rPr>
                  </w:pPr>
                  <w:r>
                    <w:rPr>
                      <w:rFonts w:hint="default"/>
                      <w:color w:val="auto"/>
                    </w:rPr>
                    <w:t>装修</w:t>
                  </w:r>
                </w:p>
              </w:tc>
              <w:tc>
                <w:tcPr>
                  <w:tcW w:w="581" w:type="pct"/>
                  <w:tcBorders>
                    <w:top w:val="single" w:color="000000" w:sz="2" w:space="0"/>
                    <w:left w:val="single" w:color="000000" w:sz="2" w:space="0"/>
                    <w:bottom w:val="single" w:color="auto" w:sz="12" w:space="0"/>
                    <w:right w:val="single" w:color="000000" w:sz="2" w:space="0"/>
                  </w:tcBorders>
                  <w:noWrap w:val="0"/>
                  <w:vAlign w:val="center"/>
                </w:tcPr>
                <w:p w14:paraId="285C3E55">
                  <w:pPr>
                    <w:pStyle w:val="28"/>
                    <w:bidi w:val="0"/>
                    <w:rPr>
                      <w:rFonts w:hint="default"/>
                      <w:color w:val="auto"/>
                    </w:rPr>
                  </w:pPr>
                  <w:r>
                    <w:rPr>
                      <w:rFonts w:hint="default"/>
                      <w:color w:val="auto"/>
                    </w:rPr>
                    <w:t>82.8</w:t>
                  </w:r>
                </w:p>
              </w:tc>
              <w:tc>
                <w:tcPr>
                  <w:tcW w:w="309" w:type="pct"/>
                  <w:tcBorders>
                    <w:top w:val="single" w:color="000000" w:sz="2" w:space="0"/>
                    <w:left w:val="single" w:color="000000" w:sz="2" w:space="0"/>
                    <w:bottom w:val="single" w:color="auto" w:sz="12" w:space="0"/>
                    <w:right w:val="single" w:color="000000" w:sz="2" w:space="0"/>
                  </w:tcBorders>
                  <w:noWrap w:val="0"/>
                  <w:vAlign w:val="center"/>
                </w:tcPr>
                <w:p w14:paraId="67A4BD04">
                  <w:pPr>
                    <w:pStyle w:val="28"/>
                    <w:bidi w:val="0"/>
                    <w:rPr>
                      <w:rFonts w:hint="default"/>
                      <w:color w:val="auto"/>
                    </w:rPr>
                  </w:pPr>
                  <w:r>
                    <w:rPr>
                      <w:rFonts w:hint="default"/>
                      <w:color w:val="auto"/>
                    </w:rPr>
                    <w:t>62.8</w:t>
                  </w:r>
                </w:p>
              </w:tc>
              <w:tc>
                <w:tcPr>
                  <w:tcW w:w="309" w:type="pct"/>
                  <w:tcBorders>
                    <w:top w:val="single" w:color="000000" w:sz="2" w:space="0"/>
                    <w:left w:val="single" w:color="000000" w:sz="2" w:space="0"/>
                    <w:bottom w:val="single" w:color="auto" w:sz="12" w:space="0"/>
                    <w:right w:val="single" w:color="000000" w:sz="2" w:space="0"/>
                  </w:tcBorders>
                  <w:noWrap w:val="0"/>
                  <w:vAlign w:val="center"/>
                </w:tcPr>
                <w:p w14:paraId="543F5F48">
                  <w:pPr>
                    <w:pStyle w:val="28"/>
                    <w:bidi w:val="0"/>
                    <w:rPr>
                      <w:rFonts w:hint="default"/>
                      <w:color w:val="auto"/>
                    </w:rPr>
                  </w:pPr>
                  <w:r>
                    <w:rPr>
                      <w:rFonts w:hint="default"/>
                      <w:color w:val="auto"/>
                    </w:rPr>
                    <w:t>59.3</w:t>
                  </w:r>
                </w:p>
              </w:tc>
              <w:tc>
                <w:tcPr>
                  <w:tcW w:w="311" w:type="pct"/>
                  <w:tcBorders>
                    <w:top w:val="single" w:color="000000" w:sz="2" w:space="0"/>
                    <w:left w:val="single" w:color="000000" w:sz="2" w:space="0"/>
                    <w:bottom w:val="single" w:color="auto" w:sz="12" w:space="0"/>
                    <w:right w:val="single" w:color="000000" w:sz="2" w:space="0"/>
                  </w:tcBorders>
                  <w:noWrap w:val="0"/>
                  <w:vAlign w:val="center"/>
                </w:tcPr>
                <w:p w14:paraId="7BA59DDE">
                  <w:pPr>
                    <w:pStyle w:val="28"/>
                    <w:bidi w:val="0"/>
                    <w:rPr>
                      <w:rFonts w:hint="default"/>
                      <w:color w:val="auto"/>
                    </w:rPr>
                  </w:pPr>
                  <w:r>
                    <w:rPr>
                      <w:rFonts w:hint="default"/>
                      <w:color w:val="auto"/>
                    </w:rPr>
                    <w:t>56.8</w:t>
                  </w:r>
                </w:p>
              </w:tc>
              <w:tc>
                <w:tcPr>
                  <w:tcW w:w="309" w:type="pct"/>
                  <w:tcBorders>
                    <w:top w:val="single" w:color="000000" w:sz="2" w:space="0"/>
                    <w:left w:val="single" w:color="000000" w:sz="2" w:space="0"/>
                    <w:bottom w:val="single" w:color="auto" w:sz="12" w:space="0"/>
                    <w:right w:val="single" w:color="000000" w:sz="2" w:space="0"/>
                  </w:tcBorders>
                  <w:noWrap w:val="0"/>
                  <w:vAlign w:val="center"/>
                </w:tcPr>
                <w:p w14:paraId="51DAEA0E">
                  <w:pPr>
                    <w:pStyle w:val="28"/>
                    <w:bidi w:val="0"/>
                    <w:rPr>
                      <w:rFonts w:hint="default"/>
                      <w:color w:val="auto"/>
                    </w:rPr>
                  </w:pPr>
                  <w:r>
                    <w:rPr>
                      <w:rFonts w:hint="default"/>
                      <w:color w:val="auto"/>
                    </w:rPr>
                    <w:t>53.3</w:t>
                  </w:r>
                </w:p>
              </w:tc>
              <w:tc>
                <w:tcPr>
                  <w:tcW w:w="309" w:type="pct"/>
                  <w:tcBorders>
                    <w:top w:val="single" w:color="000000" w:sz="2" w:space="0"/>
                    <w:left w:val="single" w:color="000000" w:sz="2" w:space="0"/>
                    <w:bottom w:val="single" w:color="auto" w:sz="12" w:space="0"/>
                    <w:right w:val="single" w:color="000000" w:sz="2" w:space="0"/>
                  </w:tcBorders>
                  <w:noWrap w:val="0"/>
                  <w:vAlign w:val="center"/>
                </w:tcPr>
                <w:p w14:paraId="605FDB08">
                  <w:pPr>
                    <w:pStyle w:val="28"/>
                    <w:bidi w:val="0"/>
                    <w:rPr>
                      <w:rFonts w:hint="default"/>
                      <w:color w:val="auto"/>
                    </w:rPr>
                  </w:pPr>
                  <w:r>
                    <w:rPr>
                      <w:rFonts w:hint="default"/>
                      <w:color w:val="auto"/>
                    </w:rPr>
                    <w:t>49.7</w:t>
                  </w:r>
                </w:p>
              </w:tc>
              <w:tc>
                <w:tcPr>
                  <w:tcW w:w="311" w:type="pct"/>
                  <w:tcBorders>
                    <w:top w:val="single" w:color="000000" w:sz="2" w:space="0"/>
                    <w:left w:val="single" w:color="000000" w:sz="2" w:space="0"/>
                    <w:bottom w:val="single" w:color="auto" w:sz="12" w:space="0"/>
                    <w:right w:val="single" w:color="000000" w:sz="2" w:space="0"/>
                  </w:tcBorders>
                  <w:noWrap w:val="0"/>
                  <w:vAlign w:val="center"/>
                </w:tcPr>
                <w:p w14:paraId="7174291E">
                  <w:pPr>
                    <w:pStyle w:val="28"/>
                    <w:bidi w:val="0"/>
                    <w:rPr>
                      <w:rFonts w:hint="default"/>
                      <w:color w:val="auto"/>
                    </w:rPr>
                  </w:pPr>
                  <w:r>
                    <w:rPr>
                      <w:rFonts w:hint="default"/>
                      <w:color w:val="auto"/>
                    </w:rPr>
                    <w:t>47.2</w:t>
                  </w:r>
                </w:p>
              </w:tc>
              <w:tc>
                <w:tcPr>
                  <w:tcW w:w="341" w:type="pct"/>
                  <w:tcBorders>
                    <w:top w:val="single" w:color="000000" w:sz="2" w:space="0"/>
                    <w:left w:val="single" w:color="000000" w:sz="2" w:space="0"/>
                    <w:bottom w:val="single" w:color="auto" w:sz="12" w:space="0"/>
                    <w:right w:val="single" w:color="000000" w:sz="2" w:space="0"/>
                  </w:tcBorders>
                  <w:noWrap w:val="0"/>
                  <w:vAlign w:val="center"/>
                </w:tcPr>
                <w:p w14:paraId="1694BDDE">
                  <w:pPr>
                    <w:pStyle w:val="28"/>
                    <w:bidi w:val="0"/>
                    <w:rPr>
                      <w:rFonts w:hint="default"/>
                      <w:color w:val="auto"/>
                    </w:rPr>
                  </w:pPr>
                  <w:r>
                    <w:rPr>
                      <w:rFonts w:hint="default"/>
                      <w:color w:val="auto"/>
                    </w:rPr>
                    <w:t>45.9</w:t>
                  </w:r>
                </w:p>
              </w:tc>
              <w:tc>
                <w:tcPr>
                  <w:tcW w:w="379" w:type="pct"/>
                  <w:tcBorders>
                    <w:top w:val="single" w:color="000000" w:sz="2" w:space="0"/>
                    <w:left w:val="single" w:color="000000" w:sz="2" w:space="0"/>
                    <w:bottom w:val="single" w:color="auto" w:sz="12" w:space="0"/>
                    <w:right w:val="single" w:color="000000" w:sz="2" w:space="0"/>
                  </w:tcBorders>
                  <w:noWrap w:val="0"/>
                  <w:vAlign w:val="center"/>
                </w:tcPr>
                <w:p w14:paraId="7BBEFA74">
                  <w:pPr>
                    <w:pStyle w:val="28"/>
                    <w:bidi w:val="0"/>
                    <w:rPr>
                      <w:rFonts w:hint="default"/>
                      <w:color w:val="auto"/>
                    </w:rPr>
                  </w:pPr>
                  <w:r>
                    <w:rPr>
                      <w:rFonts w:hint="default"/>
                      <w:color w:val="auto"/>
                    </w:rPr>
                    <w:t>42.8</w:t>
                  </w:r>
                </w:p>
              </w:tc>
              <w:tc>
                <w:tcPr>
                  <w:tcW w:w="311" w:type="pct"/>
                  <w:tcBorders>
                    <w:top w:val="single" w:color="000000" w:sz="2" w:space="0"/>
                    <w:left w:val="single" w:color="000000" w:sz="2" w:space="0"/>
                    <w:bottom w:val="single" w:color="auto" w:sz="12" w:space="0"/>
                    <w:right w:val="single" w:color="000000" w:sz="2" w:space="0"/>
                  </w:tcBorders>
                  <w:noWrap w:val="0"/>
                  <w:vAlign w:val="center"/>
                </w:tcPr>
                <w:p w14:paraId="43CC7650">
                  <w:pPr>
                    <w:pStyle w:val="28"/>
                    <w:bidi w:val="0"/>
                    <w:rPr>
                      <w:rFonts w:hint="default"/>
                      <w:color w:val="auto"/>
                    </w:rPr>
                  </w:pPr>
                  <w:r>
                    <w:rPr>
                      <w:rFonts w:hint="default"/>
                      <w:color w:val="auto"/>
                    </w:rPr>
                    <w:t>39.3</w:t>
                  </w:r>
                </w:p>
              </w:tc>
              <w:tc>
                <w:tcPr>
                  <w:tcW w:w="309" w:type="pct"/>
                  <w:tcBorders>
                    <w:top w:val="single" w:color="000000" w:sz="2" w:space="0"/>
                    <w:left w:val="single" w:color="000000" w:sz="2" w:space="0"/>
                    <w:bottom w:val="single" w:color="auto" w:sz="12" w:space="0"/>
                    <w:right w:val="single" w:color="000000" w:sz="2" w:space="0"/>
                  </w:tcBorders>
                  <w:noWrap w:val="0"/>
                  <w:vAlign w:val="center"/>
                </w:tcPr>
                <w:p w14:paraId="4A4AB909">
                  <w:pPr>
                    <w:pStyle w:val="28"/>
                    <w:bidi w:val="0"/>
                    <w:rPr>
                      <w:rFonts w:hint="default"/>
                      <w:color w:val="auto"/>
                    </w:rPr>
                  </w:pPr>
                  <w:r>
                    <w:rPr>
                      <w:rFonts w:hint="default"/>
                      <w:color w:val="auto"/>
                    </w:rPr>
                    <w:t>38.2</w:t>
                  </w:r>
                </w:p>
              </w:tc>
              <w:tc>
                <w:tcPr>
                  <w:tcW w:w="309" w:type="pct"/>
                  <w:tcBorders>
                    <w:top w:val="single" w:color="000000" w:sz="2" w:space="0"/>
                    <w:left w:val="single" w:color="000000" w:sz="2" w:space="0"/>
                    <w:bottom w:val="single" w:color="auto" w:sz="12" w:space="0"/>
                    <w:right w:val="single" w:color="000000" w:sz="2" w:space="0"/>
                  </w:tcBorders>
                  <w:noWrap w:val="0"/>
                  <w:vAlign w:val="center"/>
                </w:tcPr>
                <w:p w14:paraId="7AB12D14">
                  <w:pPr>
                    <w:pStyle w:val="28"/>
                    <w:bidi w:val="0"/>
                    <w:rPr>
                      <w:rFonts w:hint="default"/>
                      <w:color w:val="auto"/>
                    </w:rPr>
                  </w:pPr>
                  <w:r>
                    <w:rPr>
                      <w:rFonts w:hint="default"/>
                      <w:color w:val="auto"/>
                    </w:rPr>
                    <w:t>37.7</w:t>
                  </w:r>
                </w:p>
              </w:tc>
              <w:tc>
                <w:tcPr>
                  <w:tcW w:w="323" w:type="pct"/>
                  <w:tcBorders>
                    <w:top w:val="single" w:color="000000" w:sz="2" w:space="0"/>
                    <w:left w:val="single" w:color="000000" w:sz="2" w:space="0"/>
                    <w:bottom w:val="single" w:color="auto" w:sz="12" w:space="0"/>
                  </w:tcBorders>
                  <w:noWrap w:val="0"/>
                  <w:vAlign w:val="center"/>
                </w:tcPr>
                <w:p w14:paraId="10448B54">
                  <w:pPr>
                    <w:pStyle w:val="28"/>
                    <w:bidi w:val="0"/>
                    <w:rPr>
                      <w:rFonts w:hint="default"/>
                      <w:color w:val="auto"/>
                    </w:rPr>
                  </w:pPr>
                  <w:r>
                    <w:rPr>
                      <w:rFonts w:hint="default"/>
                      <w:color w:val="auto"/>
                    </w:rPr>
                    <w:t>36.8</w:t>
                  </w:r>
                </w:p>
              </w:tc>
            </w:tr>
          </w:tbl>
          <w:p w14:paraId="056A362A">
            <w:pPr>
              <w:bidi w:val="0"/>
              <w:rPr>
                <w:rFonts w:hint="default"/>
                <w:color w:val="auto"/>
              </w:rPr>
            </w:pPr>
            <w:r>
              <w:rPr>
                <w:rFonts w:hint="default"/>
                <w:color w:val="auto"/>
              </w:rPr>
              <w:t>施工机械的噪声由于噪声级较高，在空旷地带传播距离很远，在不同施工阶段，施工场界昼间噪声会出现不同程度的超标情况。本项目施工期场界声环境</w:t>
            </w:r>
            <w:r>
              <w:rPr>
                <w:rFonts w:hint="eastAsia"/>
                <w:color w:val="auto"/>
                <w:lang w:eastAsia="zh-CN"/>
              </w:rPr>
              <w:t>不可避免地受到</w:t>
            </w:r>
            <w:r>
              <w:rPr>
                <w:rFonts w:hint="default"/>
                <w:color w:val="auto"/>
              </w:rPr>
              <w:t>施工噪声影响，昼间超标主要出现在土石方阶段，超标值为3.2dB(A)。除了土石方阶段和装修昼间噪声值超标外，其余各施工阶段的昼间噪声值均可达到《建筑施工场界环境噪声排放标准》</w:t>
            </w:r>
            <w:r>
              <w:rPr>
                <w:rFonts w:hint="default"/>
                <w:color w:val="auto"/>
                <w:lang w:val="en-US" w:eastAsia="zh-CN"/>
              </w:rPr>
              <w:t>(</w:t>
            </w:r>
            <w:r>
              <w:rPr>
                <w:rFonts w:hint="default"/>
                <w:color w:val="auto"/>
              </w:rPr>
              <w:t>GB12523-2011</w:t>
            </w:r>
            <w:r>
              <w:rPr>
                <w:rFonts w:hint="default"/>
                <w:color w:val="auto"/>
                <w:lang w:val="en-US" w:eastAsia="zh-CN"/>
              </w:rPr>
              <w:t>)</w:t>
            </w:r>
            <w:r>
              <w:rPr>
                <w:rFonts w:hint="default"/>
                <w:color w:val="auto"/>
              </w:rPr>
              <w:t>，即昼间≤70dB(A)。</w:t>
            </w:r>
          </w:p>
          <w:p w14:paraId="2EC043D8">
            <w:pPr>
              <w:bidi w:val="0"/>
              <w:rPr>
                <w:color w:val="auto"/>
              </w:rPr>
            </w:pPr>
            <w:r>
              <w:rPr>
                <w:color w:val="auto"/>
              </w:rPr>
              <w:t>为了减轻施工噪声对周围环境的影响，建议采取以下措施：</w:t>
            </w:r>
          </w:p>
          <w:p w14:paraId="7C765BAE">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2" w:firstLineChars="200"/>
              <w:textAlignment w:val="auto"/>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（1）噪声源控制</w:t>
            </w:r>
          </w:p>
          <w:p w14:paraId="65DBE16E">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eastAsia" w:ascii="Times New Roman" w:hAnsi="Times New Roman" w:eastAsia="宋体"/>
                <w:color w:val="auto"/>
                <w:sz w:val="24"/>
                <w:szCs w:val="24"/>
                <w:lang w:eastAsia="zh-CN"/>
              </w:rPr>
            </w:pPr>
            <w:r>
              <w:rPr>
                <w:rFonts w:hint="eastAsia" w:ascii="Times New Roman" w:hAnsi="Times New Roman" w:eastAsia="宋体"/>
                <w:color w:val="auto"/>
                <w:sz w:val="24"/>
                <w:szCs w:val="24"/>
              </w:rPr>
              <w:t>①施工单位必须选用符合国家有关标准的施工机具，尽可能引进低噪声设备。空压机等噪声值较高的施工机械尽量设置在室内或有屏蔽的范围作业。对流动性较大的空气压缩机和风机选用消声器等</w:t>
            </w:r>
            <w:r>
              <w:rPr>
                <w:rFonts w:hint="eastAsia" w:ascii="Times New Roman" w:hAnsi="Times New Roman" w:eastAsia="宋体"/>
                <w:color w:val="auto"/>
                <w:sz w:val="24"/>
                <w:szCs w:val="24"/>
                <w:lang w:eastAsia="zh-CN"/>
              </w:rPr>
              <w:t>；</w:t>
            </w:r>
          </w:p>
          <w:p w14:paraId="1F0C6A3F">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eastAsia" w:ascii="Times New Roman" w:hAnsi="Times New Roman" w:eastAsia="宋体"/>
                <w:color w:val="auto"/>
                <w:sz w:val="24"/>
                <w:szCs w:val="24"/>
              </w:rPr>
            </w:pPr>
            <w:r>
              <w:rPr>
                <w:rFonts w:hint="eastAsia" w:ascii="Times New Roman" w:hAnsi="Times New Roman" w:eastAsia="宋体"/>
                <w:color w:val="auto"/>
                <w:sz w:val="24"/>
                <w:szCs w:val="24"/>
              </w:rPr>
              <w:t>②加强设备的维护和保养，保持机械润滑，降低运行噪声；</w:t>
            </w:r>
          </w:p>
          <w:p w14:paraId="4028C146">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eastAsia" w:ascii="Times New Roman" w:hAnsi="Times New Roman" w:eastAsia="宋体"/>
                <w:color w:val="auto"/>
                <w:sz w:val="24"/>
                <w:szCs w:val="24"/>
              </w:rPr>
            </w:pPr>
            <w:r>
              <w:rPr>
                <w:rFonts w:hint="eastAsia" w:ascii="Times New Roman" w:hAnsi="Times New Roman" w:eastAsia="宋体"/>
                <w:color w:val="auto"/>
                <w:sz w:val="24"/>
                <w:szCs w:val="24"/>
              </w:rPr>
              <w:t>③振动较大的机械设备应使用减振机座降低噪声；</w:t>
            </w:r>
          </w:p>
          <w:p w14:paraId="45F3C080">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eastAsia" w:ascii="Times New Roman" w:hAnsi="Times New Roman" w:eastAsia="宋体"/>
                <w:color w:val="auto"/>
                <w:sz w:val="24"/>
                <w:szCs w:val="24"/>
              </w:rPr>
            </w:pPr>
            <w:r>
              <w:rPr>
                <w:rFonts w:hint="eastAsia" w:ascii="Times New Roman" w:hAnsi="Times New Roman" w:eastAsia="宋体"/>
                <w:color w:val="auto"/>
                <w:sz w:val="24"/>
                <w:szCs w:val="24"/>
              </w:rPr>
              <w:t>④使用的车辆尽量选用低噪声车辆；</w:t>
            </w:r>
          </w:p>
          <w:p w14:paraId="1E227376">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eastAsia" w:ascii="Times New Roman" w:hAnsi="Times New Roman" w:eastAsia="宋体"/>
                <w:color w:val="auto"/>
                <w:sz w:val="24"/>
                <w:szCs w:val="24"/>
              </w:rPr>
            </w:pPr>
            <w:r>
              <w:rPr>
                <w:rFonts w:hint="eastAsia" w:ascii="Times New Roman" w:hAnsi="Times New Roman" w:eastAsia="宋体"/>
                <w:color w:val="auto"/>
                <w:sz w:val="24"/>
                <w:szCs w:val="24"/>
              </w:rPr>
              <w:t>⑤加强道路的养护和车辆的维护保养，降低噪声源；</w:t>
            </w:r>
          </w:p>
          <w:p w14:paraId="602B05D1">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eastAsia" w:ascii="Times New Roman" w:hAnsi="Times New Roman" w:eastAsia="宋体"/>
                <w:color w:val="auto"/>
                <w:sz w:val="24"/>
                <w:szCs w:val="24"/>
                <w:lang w:eastAsia="zh-CN"/>
              </w:rPr>
            </w:pPr>
            <w:r>
              <w:rPr>
                <w:rFonts w:hint="eastAsia" w:ascii="Times New Roman" w:hAnsi="Times New Roman" w:eastAsia="宋体"/>
                <w:color w:val="auto"/>
                <w:sz w:val="24"/>
                <w:szCs w:val="24"/>
              </w:rPr>
              <w:t>⑥</w:t>
            </w:r>
            <w:r>
              <w:rPr>
                <w:rFonts w:hint="eastAsia" w:ascii="Times New Roman" w:hAnsi="Times New Roman" w:eastAsia="宋体"/>
                <w:color w:val="auto"/>
                <w:sz w:val="24"/>
                <w:szCs w:val="24"/>
                <w:lang w:val="en-US" w:eastAsia="zh-CN"/>
              </w:rPr>
              <w:t>加强对运输车辆的管理，尽量压缩工区机动车辆数量和行车密度，控制车辆鸣笛，</w:t>
            </w:r>
            <w:r>
              <w:rPr>
                <w:rFonts w:hint="eastAsia" w:ascii="Times New Roman" w:hAnsi="Times New Roman" w:eastAsia="宋体"/>
                <w:color w:val="auto"/>
                <w:sz w:val="24"/>
                <w:szCs w:val="24"/>
              </w:rPr>
              <w:t>限制工区内车辆时速在20km以内，并禁止施工车辆大声鸣笛</w:t>
            </w:r>
            <w:r>
              <w:rPr>
                <w:rFonts w:hint="eastAsia" w:ascii="Times New Roman" w:hAnsi="Times New Roman" w:eastAsia="宋体"/>
                <w:color w:val="auto"/>
                <w:sz w:val="24"/>
                <w:szCs w:val="24"/>
                <w:lang w:eastAsia="zh-CN"/>
              </w:rPr>
              <w:t>；</w:t>
            </w:r>
          </w:p>
          <w:p w14:paraId="2A05A0FD">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⑦提倡文明施工，对施工人员进行文明施工培训，人为的施工噪声应有降噪措施和管理制度，并进行严格控制；</w:t>
            </w:r>
          </w:p>
          <w:p w14:paraId="3D3F8EAD">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⑧选择先进施工工艺，项目施工应针对性地采取先进成熟、低噪声施工工艺，不采用《房屋建筑和市政基础设施工程危及生产安全施工工艺、设备和材料淘汰目录》中淘汰的施工工艺、设备、材料。</w:t>
            </w:r>
          </w:p>
          <w:p w14:paraId="4057CD9B">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2" w:firstLineChars="200"/>
              <w:textAlignment w:val="auto"/>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（2）传播途径控制</w:t>
            </w:r>
          </w:p>
          <w:p w14:paraId="73C8DDD3">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eastAsia" w:ascii="Times New Roman" w:hAnsi="Times New Roman" w:eastAsia="宋体"/>
                <w:color w:val="auto"/>
                <w:sz w:val="24"/>
                <w:szCs w:val="24"/>
              </w:rPr>
            </w:pPr>
            <w:r>
              <w:rPr>
                <w:rFonts w:hint="eastAsia" w:ascii="Times New Roman" w:hAnsi="Times New Roman" w:eastAsia="宋体"/>
                <w:color w:val="auto"/>
                <w:sz w:val="24"/>
                <w:szCs w:val="24"/>
              </w:rPr>
              <w:t>①施工场地周边可建立隔声屏障；</w:t>
            </w:r>
          </w:p>
          <w:p w14:paraId="52777F94">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eastAsia" w:ascii="Times New Roman" w:hAnsi="Times New Roman" w:eastAsia="宋体"/>
                <w:color w:val="auto"/>
                <w:sz w:val="24"/>
                <w:szCs w:val="24"/>
                <w:lang w:eastAsia="zh-CN"/>
              </w:rPr>
            </w:pPr>
            <w:r>
              <w:rPr>
                <w:rFonts w:hint="eastAsia" w:ascii="Times New Roman" w:hAnsi="Times New Roman" w:eastAsia="宋体"/>
                <w:color w:val="auto"/>
                <w:sz w:val="24"/>
                <w:szCs w:val="24"/>
              </w:rPr>
              <w:t>②空压机等</w:t>
            </w:r>
            <w:r>
              <w:rPr>
                <w:rFonts w:hint="eastAsia" w:ascii="Times New Roman" w:hAnsi="Times New Roman" w:eastAsia="宋体"/>
                <w:color w:val="auto"/>
                <w:sz w:val="24"/>
                <w:szCs w:val="24"/>
                <w:lang w:eastAsia="zh-CN"/>
              </w:rPr>
              <w:t>设备</w:t>
            </w:r>
            <w:r>
              <w:rPr>
                <w:rFonts w:hint="eastAsia" w:ascii="Times New Roman" w:hAnsi="Times New Roman" w:eastAsia="宋体"/>
                <w:color w:val="auto"/>
                <w:sz w:val="24"/>
                <w:szCs w:val="24"/>
              </w:rPr>
              <w:t>尽可能用多孔性吸声材料建立隔声屏障、隔声罩和隔声间</w:t>
            </w:r>
            <w:r>
              <w:rPr>
                <w:rFonts w:hint="eastAsia" w:ascii="Times New Roman" w:hAnsi="Times New Roman" w:eastAsia="宋体"/>
                <w:color w:val="auto"/>
                <w:sz w:val="24"/>
                <w:szCs w:val="24"/>
                <w:lang w:eastAsia="zh-CN"/>
              </w:rPr>
              <w:t>；</w:t>
            </w:r>
          </w:p>
          <w:p w14:paraId="2F77312E">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ascii="Times New Roman" w:hAnsi="Times New Roman" w:eastAsia="宋体"/>
                <w:color w:val="auto"/>
                <w:sz w:val="24"/>
                <w:szCs w:val="24"/>
              </w:rPr>
            </w:pPr>
            <w:r>
              <w:rPr>
                <w:rFonts w:hint="eastAsia" w:ascii="Times New Roman" w:hAnsi="Times New Roman" w:eastAsia="宋体"/>
                <w:color w:val="auto"/>
                <w:sz w:val="24"/>
                <w:szCs w:val="24"/>
              </w:rPr>
              <w:t>③高噪声环境的施工人员应佩戴防噪声耳塞、耳罩或防噪声头盔。</w:t>
            </w:r>
          </w:p>
          <w:p w14:paraId="6FD4B547">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2" w:firstLineChars="200"/>
              <w:textAlignment w:val="auto"/>
              <w:rPr>
                <w:rFonts w:hint="eastAsia"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（3）敏感点防护措施</w:t>
            </w:r>
          </w:p>
          <w:p w14:paraId="63C614CD">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olor w:val="auto"/>
                <w:sz w:val="24"/>
                <w:szCs w:val="24"/>
                <w:shd w:val="clear" w:color="auto" w:fill="FFFFFF"/>
                <w:lang w:eastAsia="zh-CN"/>
              </w:rPr>
              <w:t>本项目周边敏感目标主要为西侧约</w:t>
            </w:r>
            <w:r>
              <w:rPr>
                <w:rFonts w:hint="eastAsia"/>
                <w:color w:val="auto"/>
                <w:sz w:val="24"/>
                <w:szCs w:val="24"/>
                <w:shd w:val="clear" w:color="auto" w:fill="FFFFFF"/>
                <w:lang w:val="en-US" w:eastAsia="zh-CN"/>
              </w:rPr>
              <w:t>260</w:t>
            </w:r>
            <w:r>
              <w:rPr>
                <w:rFonts w:hint="eastAsia" w:ascii="Times New Roman" w:hAnsi="Times New Roman" w:eastAsia="宋体"/>
                <w:color w:val="auto"/>
                <w:sz w:val="24"/>
                <w:szCs w:val="24"/>
                <w:shd w:val="clear" w:color="auto" w:fill="FFFFFF"/>
                <w:lang w:val="en-US" w:eastAsia="zh-CN"/>
              </w:rPr>
              <w:t>m的</w:t>
            </w:r>
            <w:r>
              <w:rPr>
                <w:rFonts w:hint="eastAsia"/>
                <w:color w:val="auto"/>
                <w:sz w:val="24"/>
                <w:szCs w:val="24"/>
                <w:shd w:val="clear" w:color="auto" w:fill="FFFFFF"/>
                <w:lang w:val="en-US" w:eastAsia="zh-CN"/>
              </w:rPr>
              <w:t>石溪村</w:t>
            </w:r>
            <w:r>
              <w:rPr>
                <w:rFonts w:hint="eastAsia" w:ascii="Times New Roman" w:hAnsi="Times New Roman" w:eastAsia="宋体"/>
                <w:color w:val="auto"/>
                <w:sz w:val="24"/>
                <w:szCs w:val="24"/>
                <w:shd w:val="clear" w:color="auto" w:fill="FFFFFF"/>
                <w:lang w:val="en-US" w:eastAsia="zh-CN"/>
              </w:rPr>
              <w:t>，距离较远，因此主要为运输过程中的噪声影响，可通过合理安排施工运输时间，</w:t>
            </w:r>
            <w:r>
              <w:rPr>
                <w:rFonts w:hint="eastAsia" w:ascii="Times New Roman" w:hAnsi="Times New Roman" w:eastAsia="宋体"/>
                <w:color w:val="auto"/>
                <w:sz w:val="24"/>
                <w:szCs w:val="24"/>
              </w:rPr>
              <w:t>材料运输车辆在经过道路沿线的</w:t>
            </w:r>
            <w:r>
              <w:rPr>
                <w:rFonts w:hint="eastAsia" w:ascii="Times New Roman" w:hAnsi="Times New Roman" w:eastAsia="宋体"/>
                <w:color w:val="auto"/>
                <w:sz w:val="24"/>
                <w:szCs w:val="24"/>
                <w:lang w:eastAsia="zh-CN"/>
              </w:rPr>
              <w:t>居民点</w:t>
            </w:r>
            <w:r>
              <w:rPr>
                <w:rFonts w:hint="eastAsia" w:ascii="Times New Roman" w:hAnsi="Times New Roman" w:eastAsia="宋体"/>
                <w:color w:val="auto"/>
                <w:sz w:val="24"/>
                <w:szCs w:val="24"/>
              </w:rPr>
              <w:t>时，速度不应超过40km/h；运输车辆行驶时，不得鸣笛；加强运输车辆管理，禁止运输车辆随意空载运行</w:t>
            </w:r>
            <w:r>
              <w:rPr>
                <w:rFonts w:hint="eastAsia" w:ascii="Times New Roman" w:hAnsi="Times New Roman" w:eastAsia="宋体"/>
                <w:color w:val="auto"/>
                <w:sz w:val="24"/>
                <w:szCs w:val="24"/>
                <w:lang w:eastAsia="zh-CN"/>
              </w:rPr>
              <w:t>，以</w:t>
            </w:r>
            <w:r>
              <w:rPr>
                <w:rFonts w:hint="eastAsia" w:ascii="Times New Roman" w:hAnsi="Times New Roman" w:eastAsia="宋体"/>
                <w:color w:val="auto"/>
                <w:sz w:val="24"/>
                <w:szCs w:val="24"/>
                <w:shd w:val="clear" w:color="auto" w:fill="FFFFFF"/>
                <w:lang w:val="en-US" w:eastAsia="zh-CN"/>
              </w:rPr>
              <w:t>减少对敏感点的噪声影响。</w:t>
            </w:r>
          </w:p>
          <w:bookmarkEnd w:id="31"/>
          <w:bookmarkEnd w:id="32"/>
          <w:p w14:paraId="251FD5A4">
            <w:pPr>
              <w:pStyle w:val="4"/>
              <w:bidi w:val="0"/>
              <w:rPr>
                <w:rFonts w:hint="default"/>
                <w:color w:val="auto"/>
                <w:lang w:val="en-US" w:eastAsia="zh-CN"/>
              </w:rPr>
            </w:pPr>
            <w:r>
              <w:rPr>
                <w:rFonts w:hint="eastAsia"/>
                <w:color w:val="auto"/>
                <w:lang w:val="en-US" w:eastAsia="zh-CN"/>
              </w:rPr>
              <w:t>4.1.4施工期固废环境影响分析及保护措施</w:t>
            </w:r>
          </w:p>
          <w:p w14:paraId="10BDEEF2">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ascii="Times New Roman" w:hAnsi="Times New Roman" w:eastAsia="宋体"/>
                <w:color w:val="auto"/>
                <w:sz w:val="24"/>
                <w:szCs w:val="24"/>
              </w:rPr>
            </w:pPr>
            <w:r>
              <w:rPr>
                <w:rFonts w:ascii="Times New Roman" w:hAnsi="Times New Roman" w:eastAsia="宋体"/>
                <w:color w:val="auto"/>
                <w:sz w:val="24"/>
                <w:szCs w:val="24"/>
              </w:rPr>
              <w:t>施工垃圾主要来自施工所产生的建筑垃圾和施工队伍生活产生的生活垃圾。</w:t>
            </w:r>
            <w:r>
              <w:rPr>
                <w:rFonts w:hint="eastAsia" w:ascii="Times New Roman" w:hAnsi="Times New Roman" w:eastAsia="宋体"/>
                <w:color w:val="auto"/>
                <w:sz w:val="24"/>
                <w:szCs w:val="24"/>
              </w:rPr>
              <w:t>建筑垃圾如：石子、混凝土块、砖头、石块、石屑、黄沙、石灰和废木料等，要严格按照相关部门规定处理；施工人员生活垃圾要实行袋装化，由环卫部门统一处理。</w:t>
            </w:r>
          </w:p>
          <w:p w14:paraId="488B1EB5">
            <w:pPr>
              <w:keepNext w:val="0"/>
              <w:keepLines w:val="0"/>
              <w:pageBreakBefore w:val="0"/>
              <w:widowControl w:val="0"/>
              <w:kinsoku/>
              <w:wordWrap/>
              <w:overflowPunct/>
              <w:topLinePunct w:val="0"/>
              <w:autoSpaceDE/>
              <w:autoSpaceDN/>
              <w:bidi w:val="0"/>
              <w:adjustRightInd/>
              <w:snapToGrid/>
              <w:spacing w:beforeAutospacing="0" w:afterAutospacing="0" w:line="360" w:lineRule="auto"/>
              <w:ind w:firstLine="480" w:firstLineChars="200"/>
              <w:textAlignment w:val="auto"/>
              <w:rPr>
                <w:rFonts w:ascii="Times New Roman" w:hAnsi="Times New Roman" w:eastAsia="宋体"/>
                <w:color w:val="auto"/>
                <w:sz w:val="24"/>
                <w:szCs w:val="24"/>
              </w:rPr>
            </w:pPr>
            <w:r>
              <w:rPr>
                <w:rFonts w:ascii="Times New Roman" w:hAnsi="Times New Roman" w:eastAsia="宋体"/>
                <w:color w:val="auto"/>
                <w:sz w:val="24"/>
                <w:szCs w:val="24"/>
              </w:rPr>
              <w:t>为防止建设项目在建设期间发生上述环境污染的现象，使建设项目在建设期间对周围环境的影响尽可能小，建议采取以下的污染防治措施：</w:t>
            </w:r>
          </w:p>
          <w:p w14:paraId="34C284FC">
            <w:pPr>
              <w:ind w:firstLine="480"/>
              <w:jc w:val="both"/>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eastAsia="zh-CN"/>
              </w:rPr>
              <w:t>）加强施工期管理，建造沉淀池、隔油池等污水临时处理设施，砂浆和石灰浆等废液宜集中处理，干燥后与固体废弃物一起处置；</w:t>
            </w:r>
          </w:p>
          <w:p w14:paraId="73497400">
            <w:pPr>
              <w:ind w:firstLine="480"/>
              <w:jc w:val="both"/>
              <w:rPr>
                <w:rFonts w:hint="default"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工程开挖土石方临时堆砌时应选择在项目周边空地，工程结束后及时进行回填并压实；</w:t>
            </w:r>
          </w:p>
          <w:p w14:paraId="042BB0D6">
            <w:pPr>
              <w:ind w:firstLine="480"/>
              <w:jc w:val="both"/>
              <w:rPr>
                <w:rFonts w:hint="default"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3</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对建筑垃圾应边施工边清除，施工建筑垃圾应分类收集，尽可能回收再利用。</w:t>
            </w:r>
            <w:r>
              <w:rPr>
                <w:rFonts w:hint="eastAsia" w:ascii="Times New Roman" w:hAnsi="Times New Roman" w:eastAsia="宋体" w:cs="Times New Roman"/>
                <w:color w:val="auto"/>
                <w:sz w:val="24"/>
                <w:szCs w:val="24"/>
                <w:lang w:eastAsia="zh-CN"/>
              </w:rPr>
              <w:t>对于不可利用的建筑垃圾，</w:t>
            </w:r>
            <w:r>
              <w:rPr>
                <w:rFonts w:hint="default" w:ascii="Times New Roman" w:hAnsi="Times New Roman" w:eastAsia="宋体" w:cs="Times New Roman"/>
                <w:color w:val="auto"/>
                <w:sz w:val="24"/>
                <w:szCs w:val="24"/>
                <w:lang w:eastAsia="zh-CN"/>
              </w:rPr>
              <w:t>运输至指定堆存点集中管理；</w:t>
            </w:r>
          </w:p>
          <w:p w14:paraId="70180D92">
            <w:pPr>
              <w:ind w:firstLine="480"/>
              <w:jc w:val="both"/>
              <w:rPr>
                <w:rFonts w:hint="default"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4</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加强施工人员的管理，严禁在施工场地及周边随意丢弃垃圾，施工结束后应对施工场地进行清理</w:t>
            </w:r>
            <w:r>
              <w:rPr>
                <w:rFonts w:hint="eastAsia" w:ascii="Times New Roman" w:hAnsi="Times New Roman" w:eastAsia="宋体" w:cs="Times New Roman"/>
                <w:color w:val="auto"/>
                <w:sz w:val="24"/>
                <w:szCs w:val="24"/>
                <w:lang w:eastAsia="zh-CN"/>
              </w:rPr>
              <w:t>；</w:t>
            </w:r>
          </w:p>
          <w:p w14:paraId="59DAA448">
            <w:pPr>
              <w:ind w:firstLine="480"/>
              <w:jc w:val="both"/>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5</w:t>
            </w:r>
            <w:r>
              <w:rPr>
                <w:rFonts w:hint="eastAsia" w:ascii="Times New Roman" w:hAnsi="Times New Roman" w:eastAsia="宋体" w:cs="Times New Roman"/>
                <w:color w:val="auto"/>
                <w:sz w:val="24"/>
                <w:szCs w:val="24"/>
                <w:lang w:eastAsia="zh-CN"/>
              </w:rPr>
              <w:t>）施工过程中产生的废油桶，废机油以及装修阶段产生的油漆废渣、废油漆桶等应分类单独收集贮存危险废物贮存间，委托有资质单位统一处置。</w:t>
            </w:r>
          </w:p>
          <w:p w14:paraId="4626F311">
            <w:pPr>
              <w:pStyle w:val="4"/>
              <w:bidi w:val="0"/>
              <w:rPr>
                <w:rFonts w:hint="default"/>
                <w:color w:val="auto"/>
                <w:lang w:val="en-US" w:eastAsia="zh-CN"/>
              </w:rPr>
            </w:pPr>
            <w:r>
              <w:rPr>
                <w:rFonts w:hint="eastAsia"/>
                <w:color w:val="auto"/>
                <w:lang w:val="en-US" w:eastAsia="zh-CN"/>
              </w:rPr>
              <w:t>4.1.5施工期</w:t>
            </w:r>
            <w:r>
              <w:rPr>
                <w:rFonts w:hint="default"/>
                <w:color w:val="auto"/>
                <w:lang w:val="en-US" w:eastAsia="zh-CN"/>
              </w:rPr>
              <w:t>生态环境影响分析</w:t>
            </w:r>
            <w:r>
              <w:rPr>
                <w:rFonts w:hint="eastAsia"/>
                <w:color w:val="auto"/>
                <w:lang w:val="en-US" w:eastAsia="zh-CN"/>
              </w:rPr>
              <w:t>及保护措施</w:t>
            </w:r>
          </w:p>
          <w:p w14:paraId="1F2D0BA7">
            <w:pPr>
              <w:bidi w:val="0"/>
              <w:rPr>
                <w:rFonts w:hint="default"/>
                <w:color w:val="auto"/>
              </w:rPr>
            </w:pPr>
            <w:r>
              <w:rPr>
                <w:rFonts w:hint="default"/>
                <w:color w:val="auto"/>
              </w:rPr>
              <w:t>本项目对生态环境的影响主要体现在工程永久占地、施工活动及工程运行带来的影响。</w:t>
            </w:r>
          </w:p>
          <w:p w14:paraId="4143329E">
            <w:pPr>
              <w:bidi w:val="0"/>
              <w:rPr>
                <w:color w:val="auto"/>
              </w:rPr>
            </w:pPr>
            <w:r>
              <w:rPr>
                <w:rFonts w:hint="default"/>
                <w:color w:val="auto"/>
              </w:rPr>
              <w:t>工程</w:t>
            </w:r>
            <w:r>
              <w:rPr>
                <w:rFonts w:hint="eastAsia"/>
                <w:color w:val="auto"/>
                <w:lang w:eastAsia="zh-CN"/>
              </w:rPr>
              <w:t>在现有工业场地内进行，不涉及临时占地，目前场地上仅少量的杂草，生态影响主要是</w:t>
            </w:r>
            <w:r>
              <w:rPr>
                <w:rFonts w:hint="default"/>
                <w:color w:val="auto"/>
              </w:rPr>
              <w:t>由于</w:t>
            </w:r>
            <w:r>
              <w:rPr>
                <w:rFonts w:hint="eastAsia"/>
                <w:color w:val="auto"/>
                <w:lang w:eastAsia="zh-CN"/>
              </w:rPr>
              <w:t>平整硬化、</w:t>
            </w:r>
            <w:r>
              <w:rPr>
                <w:rFonts w:hint="default"/>
                <w:color w:val="auto"/>
              </w:rPr>
              <w:t>临时堆放等活动将扰动、损坏地貌，导致涉及区域的水土流失，其形式以水力侵蚀为主。</w:t>
            </w:r>
            <w:r>
              <w:rPr>
                <w:rFonts w:hint="eastAsia"/>
                <w:color w:val="auto"/>
                <w:lang w:eastAsia="zh-CN"/>
              </w:rPr>
              <w:t>根据建设单位提供资料，项目需开挖土石方量小</w:t>
            </w:r>
            <w:r>
              <w:rPr>
                <w:rFonts w:hint="eastAsia"/>
                <w:color w:val="auto"/>
                <w:lang w:val="en-US" w:eastAsia="zh-CN"/>
              </w:rPr>
              <w:t>，就地在场地内平整回填，无弃方。</w:t>
            </w:r>
            <w:r>
              <w:rPr>
                <w:color w:val="auto"/>
              </w:rPr>
              <w:t>为</w:t>
            </w:r>
            <w:r>
              <w:rPr>
                <w:rFonts w:hint="eastAsia"/>
                <w:color w:val="auto"/>
                <w:lang w:val="en-US" w:eastAsia="zh-CN"/>
              </w:rPr>
              <w:t>降低项目对生态环境的影响，</w:t>
            </w:r>
            <w:r>
              <w:rPr>
                <w:color w:val="auto"/>
              </w:rPr>
              <w:t>建议采取以下的污染防治措施：</w:t>
            </w:r>
          </w:p>
          <w:p w14:paraId="779A6B13">
            <w:pPr>
              <w:bidi w:val="0"/>
              <w:rPr>
                <w:rFonts w:hint="default"/>
                <w:color w:val="auto"/>
              </w:rPr>
            </w:pPr>
            <w:r>
              <w:rPr>
                <w:rFonts w:hint="eastAsia"/>
                <w:color w:val="auto"/>
                <w:lang w:val="en-US" w:eastAsia="zh-CN"/>
              </w:rPr>
              <w:t>（1）</w:t>
            </w:r>
            <w:r>
              <w:rPr>
                <w:rFonts w:hint="default"/>
                <w:color w:val="auto"/>
              </w:rPr>
              <w:t>合理施工布置规划，精心组织施工管理，严格控制占地面积，将施工区域控制在最小范围内；</w:t>
            </w:r>
          </w:p>
          <w:p w14:paraId="58A8109E">
            <w:pPr>
              <w:bidi w:val="0"/>
              <w:rPr>
                <w:rFonts w:hint="default"/>
                <w:color w:val="auto"/>
              </w:rPr>
            </w:pPr>
            <w:r>
              <w:rPr>
                <w:rFonts w:hint="eastAsia"/>
                <w:color w:val="auto"/>
                <w:lang w:val="en-US" w:eastAsia="zh-CN"/>
              </w:rPr>
              <w:t>（2）</w:t>
            </w:r>
            <w:r>
              <w:rPr>
                <w:rFonts w:hint="default"/>
                <w:color w:val="auto"/>
              </w:rPr>
              <w:t>为减少水土流失，</w:t>
            </w:r>
            <w:r>
              <w:rPr>
                <w:rFonts w:hint="eastAsia"/>
                <w:color w:val="auto"/>
                <w:lang w:eastAsia="zh-CN"/>
              </w:rPr>
              <w:t>应</w:t>
            </w:r>
            <w:r>
              <w:rPr>
                <w:rFonts w:hint="default"/>
                <w:color w:val="auto"/>
              </w:rPr>
              <w:t>对施工中开挖裸露地表进行覆盖，防止水土流失和地质灾害；</w:t>
            </w:r>
          </w:p>
          <w:p w14:paraId="7D0E03AA">
            <w:pPr>
              <w:bidi w:val="0"/>
              <w:rPr>
                <w:rFonts w:hint="default"/>
                <w:color w:val="auto"/>
              </w:rPr>
            </w:pPr>
            <w:r>
              <w:rPr>
                <w:rFonts w:hint="eastAsia"/>
                <w:color w:val="auto"/>
                <w:lang w:val="en-US" w:eastAsia="zh-CN"/>
              </w:rPr>
              <w:t>（3）</w:t>
            </w:r>
            <w:r>
              <w:rPr>
                <w:rFonts w:hint="default"/>
                <w:color w:val="auto"/>
              </w:rPr>
              <w:t>施工完毕后及时进行场地清理平整以及</w:t>
            </w:r>
            <w:r>
              <w:rPr>
                <w:rFonts w:hint="eastAsia"/>
                <w:color w:val="auto"/>
                <w:lang w:eastAsia="zh-CN"/>
              </w:rPr>
              <w:t>地表</w:t>
            </w:r>
            <w:r>
              <w:rPr>
                <w:rFonts w:hint="default"/>
                <w:color w:val="auto"/>
              </w:rPr>
              <w:t>恢复，从而防止或减轻水土流失；</w:t>
            </w:r>
          </w:p>
          <w:p w14:paraId="4861F723">
            <w:pPr>
              <w:bidi w:val="0"/>
              <w:rPr>
                <w:rFonts w:hint="default"/>
                <w:color w:val="auto"/>
              </w:rPr>
            </w:pPr>
            <w:r>
              <w:rPr>
                <w:rFonts w:hint="eastAsia"/>
                <w:color w:val="auto"/>
                <w:lang w:val="en-US" w:eastAsia="zh-CN"/>
              </w:rPr>
              <w:t>（4）</w:t>
            </w:r>
            <w:r>
              <w:rPr>
                <w:rFonts w:hint="default"/>
                <w:color w:val="auto"/>
              </w:rPr>
              <w:t>施工开挖土方、装卸运输土方等工序，应尽量避开降雨天气；</w:t>
            </w:r>
          </w:p>
          <w:p w14:paraId="26C0CB89">
            <w:pPr>
              <w:bidi w:val="0"/>
              <w:rPr>
                <w:rFonts w:hint="default"/>
                <w:color w:val="auto"/>
              </w:rPr>
            </w:pPr>
            <w:r>
              <w:rPr>
                <w:rFonts w:hint="eastAsia"/>
                <w:color w:val="auto"/>
                <w:lang w:val="en-US" w:eastAsia="zh-CN"/>
              </w:rPr>
              <w:t>（5）</w:t>
            </w:r>
            <w:r>
              <w:rPr>
                <w:rFonts w:hint="default"/>
                <w:color w:val="auto"/>
              </w:rPr>
              <w:t>结合地形合理规划土方堆置场地，周围设围挡物，结合实际情况适时采取专门的排水措施(如在场区外设置截流沟等)；</w:t>
            </w:r>
          </w:p>
          <w:p w14:paraId="784C224D">
            <w:pPr>
              <w:bidi w:val="0"/>
              <w:rPr>
                <w:rFonts w:hint="default" w:ascii="Times New Roman" w:hAnsi="Times New Roman" w:eastAsia="宋体" w:cs="Times New Roman"/>
                <w:color w:val="auto"/>
                <w:highlight w:val="none"/>
                <w:u w:val="none"/>
                <w:lang w:val="en-US" w:eastAsia="zh-CN"/>
              </w:rPr>
            </w:pPr>
            <w:r>
              <w:rPr>
                <w:rFonts w:hint="eastAsia"/>
                <w:color w:val="auto"/>
                <w:lang w:val="en-US" w:eastAsia="zh-CN"/>
              </w:rPr>
              <w:t>（6）</w:t>
            </w:r>
            <w:r>
              <w:rPr>
                <w:rFonts w:hint="default"/>
                <w:color w:val="auto"/>
                <w:lang w:val="en-US" w:eastAsia="zh-CN"/>
              </w:rPr>
              <w:t>工程开挖造成的取土坑和回填好的坑待工序结束后，须及时压实整平，原土覆盖</w:t>
            </w:r>
            <w:r>
              <w:rPr>
                <w:rFonts w:hint="eastAsia"/>
                <w:color w:val="auto"/>
                <w:lang w:val="en-US" w:eastAsia="zh-CN"/>
              </w:rPr>
              <w:t>。</w:t>
            </w:r>
          </w:p>
        </w:tc>
      </w:tr>
      <w:tr w14:paraId="454590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0" w:type="dxa"/>
            <w:noWrap w:val="0"/>
            <w:tcMar>
              <w:left w:w="28" w:type="dxa"/>
              <w:right w:w="28" w:type="dxa"/>
            </w:tcMar>
            <w:vAlign w:val="center"/>
          </w:tcPr>
          <w:p w14:paraId="3980DC43">
            <w:pPr>
              <w:pStyle w:val="28"/>
              <w:bidi w:val="0"/>
              <w:rPr>
                <w:rFonts w:hint="default"/>
                <w:color w:val="auto"/>
                <w:sz w:val="24"/>
                <w:szCs w:val="32"/>
              </w:rPr>
            </w:pPr>
            <w:r>
              <w:rPr>
                <w:rFonts w:hint="default"/>
                <w:color w:val="auto"/>
                <w:sz w:val="24"/>
                <w:szCs w:val="32"/>
              </w:rPr>
              <w:t>运营</w:t>
            </w:r>
          </w:p>
          <w:p w14:paraId="49F7BD5A">
            <w:pPr>
              <w:pStyle w:val="28"/>
              <w:bidi w:val="0"/>
              <w:rPr>
                <w:rFonts w:hint="default"/>
                <w:color w:val="auto"/>
                <w:sz w:val="24"/>
                <w:szCs w:val="32"/>
              </w:rPr>
            </w:pPr>
            <w:r>
              <w:rPr>
                <w:rFonts w:hint="default"/>
                <w:color w:val="auto"/>
                <w:sz w:val="24"/>
                <w:szCs w:val="32"/>
              </w:rPr>
              <w:t>期环</w:t>
            </w:r>
          </w:p>
          <w:p w14:paraId="4EEA7159">
            <w:pPr>
              <w:pStyle w:val="28"/>
              <w:bidi w:val="0"/>
              <w:rPr>
                <w:rFonts w:hint="default"/>
                <w:color w:val="auto"/>
                <w:sz w:val="24"/>
                <w:szCs w:val="32"/>
              </w:rPr>
            </w:pPr>
            <w:r>
              <w:rPr>
                <w:rFonts w:hint="default"/>
                <w:color w:val="auto"/>
                <w:sz w:val="24"/>
                <w:szCs w:val="32"/>
              </w:rPr>
              <w:t>境影</w:t>
            </w:r>
          </w:p>
          <w:p w14:paraId="361BB9F3">
            <w:pPr>
              <w:pStyle w:val="28"/>
              <w:bidi w:val="0"/>
              <w:rPr>
                <w:rFonts w:hint="default"/>
                <w:color w:val="auto"/>
                <w:sz w:val="24"/>
                <w:szCs w:val="32"/>
              </w:rPr>
            </w:pPr>
            <w:r>
              <w:rPr>
                <w:rFonts w:hint="default"/>
                <w:color w:val="auto"/>
                <w:sz w:val="24"/>
                <w:szCs w:val="32"/>
              </w:rPr>
              <w:t>响和</w:t>
            </w:r>
          </w:p>
          <w:p w14:paraId="34519F92">
            <w:pPr>
              <w:pStyle w:val="28"/>
              <w:bidi w:val="0"/>
              <w:rPr>
                <w:rFonts w:hint="default"/>
                <w:color w:val="auto"/>
                <w:sz w:val="24"/>
                <w:szCs w:val="32"/>
              </w:rPr>
            </w:pPr>
            <w:r>
              <w:rPr>
                <w:rFonts w:hint="default"/>
                <w:color w:val="auto"/>
                <w:sz w:val="24"/>
                <w:szCs w:val="32"/>
              </w:rPr>
              <w:t>保护</w:t>
            </w:r>
          </w:p>
          <w:p w14:paraId="2BE0851A">
            <w:pPr>
              <w:pStyle w:val="28"/>
              <w:bidi w:val="0"/>
              <w:rPr>
                <w:rFonts w:hint="default" w:ascii="Times New Roman" w:hAnsi="Times New Roman" w:eastAsia="宋体" w:cs="Times New Roman"/>
                <w:color w:val="auto"/>
                <w:kern w:val="2"/>
                <w:szCs w:val="21"/>
              </w:rPr>
            </w:pPr>
            <w:r>
              <w:rPr>
                <w:rFonts w:hint="default"/>
                <w:color w:val="auto"/>
                <w:sz w:val="24"/>
                <w:szCs w:val="32"/>
              </w:rPr>
              <w:t>措施</w:t>
            </w:r>
          </w:p>
        </w:tc>
        <w:tc>
          <w:tcPr>
            <w:tcW w:w="8149" w:type="dxa"/>
            <w:noWrap w:val="0"/>
            <w:vAlign w:val="center"/>
          </w:tcPr>
          <w:p w14:paraId="0E4BBD1F">
            <w:pPr>
              <w:pStyle w:val="3"/>
              <w:bidi w:val="0"/>
              <w:rPr>
                <w:rFonts w:hint="default"/>
                <w:color w:val="auto"/>
              </w:rPr>
            </w:pPr>
            <w:r>
              <w:rPr>
                <w:rFonts w:hint="default"/>
                <w:color w:val="auto"/>
              </w:rPr>
              <w:t>4.</w:t>
            </w:r>
            <w:r>
              <w:rPr>
                <w:rFonts w:hint="eastAsia"/>
                <w:color w:val="auto"/>
                <w:lang w:val="en-US" w:eastAsia="zh-CN"/>
              </w:rPr>
              <w:t>2</w:t>
            </w:r>
            <w:r>
              <w:rPr>
                <w:rFonts w:hint="default"/>
                <w:color w:val="auto"/>
              </w:rPr>
              <w:t>运营期大气环境影响分析和污染防治措施</w:t>
            </w:r>
          </w:p>
          <w:p w14:paraId="735899CB">
            <w:pPr>
              <w:pStyle w:val="4"/>
              <w:bidi w:val="0"/>
              <w:rPr>
                <w:rFonts w:hint="default"/>
                <w:color w:val="auto"/>
              </w:rPr>
            </w:pPr>
            <w:r>
              <w:rPr>
                <w:rFonts w:hint="default"/>
                <w:color w:val="auto"/>
                <w:lang w:val="en-US" w:eastAsia="zh-CN"/>
              </w:rPr>
              <w:t>4.</w:t>
            </w:r>
            <w:r>
              <w:rPr>
                <w:rFonts w:hint="eastAsia"/>
                <w:color w:val="auto"/>
                <w:lang w:val="en-US" w:eastAsia="zh-CN"/>
              </w:rPr>
              <w:t>2</w:t>
            </w:r>
            <w:r>
              <w:rPr>
                <w:rFonts w:hint="default"/>
                <w:color w:val="auto"/>
                <w:lang w:val="en-US" w:eastAsia="zh-CN"/>
              </w:rPr>
              <w:t>.1</w:t>
            </w:r>
            <w:r>
              <w:rPr>
                <w:rFonts w:hint="default"/>
                <w:color w:val="auto"/>
              </w:rPr>
              <w:t>运营期废气源强核算</w:t>
            </w:r>
          </w:p>
          <w:p w14:paraId="39948088">
            <w:pPr>
              <w:bidi w:val="0"/>
              <w:rPr>
                <w:rFonts w:hint="eastAsia"/>
                <w:color w:val="auto"/>
                <w:lang w:val="en-US" w:eastAsia="zh-CN"/>
              </w:rPr>
            </w:pPr>
            <w:r>
              <w:rPr>
                <w:rFonts w:hint="eastAsia"/>
                <w:color w:val="auto"/>
                <w:lang w:val="en-US" w:eastAsia="zh-CN"/>
              </w:rPr>
              <w:t>项目运营期产生的废气主要为砂石料装卸及堆场风蚀扬尘、运输车辆扬尘、粉料仓呼吸尘、砂石计量配料粉尘、搅拌粉尘、焊接烟尘。</w:t>
            </w:r>
          </w:p>
          <w:p w14:paraId="3F567B98">
            <w:pPr>
              <w:bidi w:val="0"/>
              <w:rPr>
                <w:rFonts w:hint="default"/>
                <w:color w:val="auto"/>
                <w:lang w:val="en-US" w:eastAsia="zh-CN"/>
              </w:rPr>
            </w:pPr>
            <w:r>
              <w:rPr>
                <w:rFonts w:hint="eastAsia"/>
                <w:color w:val="auto"/>
                <w:lang w:val="en-US" w:eastAsia="zh-CN"/>
              </w:rPr>
              <w:t>本项目废气参照《污染源源强核算技术指南 准则》（HJ884-2018）、《排污许可证申请与核发技术规范 水泥工业》(HJ 847-2017)等相关要求进行。</w:t>
            </w:r>
          </w:p>
          <w:p w14:paraId="3C3CF7E3">
            <w:pPr>
              <w:bidi w:val="0"/>
              <w:rPr>
                <w:rFonts w:hint="default"/>
                <w:b/>
                <w:bCs/>
                <w:color w:val="auto"/>
                <w:lang w:val="en-US" w:eastAsia="zh-CN"/>
              </w:rPr>
            </w:pPr>
            <w:r>
              <w:rPr>
                <w:rFonts w:hint="eastAsia"/>
                <w:b/>
                <w:bCs/>
                <w:color w:val="auto"/>
                <w:lang w:val="en-US" w:eastAsia="zh-CN"/>
              </w:rPr>
              <w:t>（1）外来石方料装卸及堆场风蚀扬尘</w:t>
            </w:r>
          </w:p>
          <w:p w14:paraId="2E527917">
            <w:pPr>
              <w:bidi w:val="0"/>
              <w:rPr>
                <w:rFonts w:hint="eastAsia"/>
                <w:color w:val="auto"/>
                <w:lang w:eastAsia="zh-CN"/>
              </w:rPr>
            </w:pPr>
            <w:r>
              <w:rPr>
                <w:rFonts w:hint="eastAsia"/>
                <w:color w:val="auto"/>
                <w:lang w:eastAsia="zh-CN"/>
              </w:rPr>
              <w:t>项目</w:t>
            </w:r>
            <w:r>
              <w:rPr>
                <w:rFonts w:hint="eastAsia"/>
                <w:color w:val="auto"/>
                <w:lang w:val="en-US" w:eastAsia="zh-CN"/>
              </w:rPr>
              <w:t>在3#物料库设置一处建筑垃圾回收利用生产线以及各类型号碎石及细砂等物料的堆场，回收原料来源于项目周边区域的工程渣土、拆除建筑垃圾（不含装修垃圾或二装垃圾），</w:t>
            </w:r>
            <w:r>
              <w:rPr>
                <w:rFonts w:hint="eastAsia"/>
                <w:highlight w:val="none"/>
                <w:lang w:val="en-US" w:eastAsia="zh-CN"/>
              </w:rPr>
              <w:t>以建设项目地基开挖过程中产生的石方料生产机制砂和碎石</w:t>
            </w:r>
            <w:r>
              <w:rPr>
                <w:rFonts w:hint="eastAsia"/>
                <w:color w:val="auto"/>
                <w:lang w:val="en-US" w:eastAsia="zh-CN"/>
              </w:rPr>
              <w:t>，外来石方料经运输车辆运输至3#物料库内，而后经破碎、筛分、水洗等工序处理后，依照粒径不同分别堆存</w:t>
            </w:r>
            <w:r>
              <w:rPr>
                <w:rFonts w:hint="eastAsia"/>
                <w:color w:val="auto"/>
                <w:lang w:eastAsia="zh-CN"/>
              </w:rPr>
              <w:t>于</w:t>
            </w:r>
            <w:r>
              <w:rPr>
                <w:rFonts w:hint="eastAsia"/>
                <w:color w:val="auto"/>
                <w:lang w:val="en-US" w:eastAsia="zh-CN"/>
              </w:rPr>
              <w:t>各砂石仓</w:t>
            </w:r>
            <w:r>
              <w:rPr>
                <w:rFonts w:hint="eastAsia"/>
                <w:color w:val="auto"/>
                <w:lang w:eastAsia="zh-CN"/>
              </w:rPr>
              <w:t>内</w:t>
            </w:r>
            <w:r>
              <w:rPr>
                <w:rFonts w:hint="eastAsia"/>
                <w:color w:val="auto"/>
                <w:lang w:val="en-US" w:eastAsia="zh-CN"/>
              </w:rPr>
              <w:t>，再根据生产调度的需求</w:t>
            </w:r>
            <w:r>
              <w:rPr>
                <w:rFonts w:hint="eastAsia"/>
                <w:color w:val="auto"/>
                <w:lang w:eastAsia="zh-CN"/>
              </w:rPr>
              <w:t>，</w:t>
            </w:r>
            <w:r>
              <w:rPr>
                <w:rFonts w:hint="eastAsia"/>
                <w:color w:val="auto"/>
                <w:lang w:val="en-US" w:eastAsia="zh-CN"/>
              </w:rPr>
              <w:t>通过铲车装载送入后续计量配料工序后，由传送带输送至2#搅拌楼使用。</w:t>
            </w:r>
          </w:p>
          <w:p w14:paraId="3073925A">
            <w:pPr>
              <w:bidi w:val="0"/>
              <w:rPr>
                <w:rFonts w:hint="eastAsia"/>
                <w:color w:val="auto"/>
                <w:lang w:eastAsia="zh-CN"/>
              </w:rPr>
            </w:pPr>
            <w:r>
              <w:rPr>
                <w:rFonts w:hint="eastAsia"/>
                <w:color w:val="auto"/>
                <w:lang w:eastAsia="zh-CN"/>
              </w:rPr>
              <w:t>根据生态环境部发布的《排放源统计调查产排污核算方法和系数手册》（生态环境部公告2021年第24号）中的《固体物料堆存颗粒物产排污核算系数手册》，工业企业固体物料堆存颗粒物包括装卸扬尘和风蚀扬尘，颗粒物产生量核算公式如下：</w:t>
            </w:r>
          </w:p>
          <w:p w14:paraId="43131468">
            <w:pPr>
              <w:ind w:left="0" w:leftChars="0" w:firstLine="0" w:firstLineChars="0"/>
              <w:jc w:val="center"/>
              <w:rPr>
                <w:rFonts w:hint="eastAsia" w:ascii="Times New Roman" w:hAnsi="Times New Roman" w:eastAsia="宋体"/>
                <w:color w:val="auto"/>
              </w:rPr>
            </w:pPr>
            <w:r>
              <w:rPr>
                <w:rFonts w:ascii="Times New Roman" w:hAnsi="Times New Roman" w:eastAsia="宋体"/>
                <w:color w:val="auto"/>
              </w:rPr>
              <w:drawing>
                <wp:inline distT="0" distB="0" distL="114300" distR="114300">
                  <wp:extent cx="3726815" cy="323850"/>
                  <wp:effectExtent l="0" t="0" r="6985" b="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10"/>
                          <a:stretch>
                            <a:fillRect/>
                          </a:stretch>
                        </pic:blipFill>
                        <pic:spPr>
                          <a:xfrm>
                            <a:off x="0" y="0"/>
                            <a:ext cx="3726815" cy="323850"/>
                          </a:xfrm>
                          <a:prstGeom prst="rect">
                            <a:avLst/>
                          </a:prstGeom>
                          <a:noFill/>
                          <a:ln>
                            <a:noFill/>
                          </a:ln>
                        </pic:spPr>
                      </pic:pic>
                    </a:graphicData>
                  </a:graphic>
                </wp:inline>
              </w:drawing>
            </w:r>
          </w:p>
          <w:p w14:paraId="48F58D6B">
            <w:pPr>
              <w:bidi w:val="0"/>
              <w:ind w:left="0" w:leftChars="0" w:firstLine="0" w:firstLineChars="0"/>
              <w:rPr>
                <w:rFonts w:hint="eastAsia"/>
                <w:color w:val="auto"/>
                <w:lang w:eastAsia="zh-CN"/>
              </w:rPr>
            </w:pPr>
            <w:r>
              <w:rPr>
                <w:rFonts w:hint="eastAsia"/>
                <w:color w:val="auto"/>
                <w:lang w:eastAsia="zh-CN"/>
              </w:rPr>
              <w:t>式中：P 指颗粒物产生量（单位：吨）；</w:t>
            </w:r>
          </w:p>
          <w:p w14:paraId="7A49C4F1">
            <w:pPr>
              <w:bidi w:val="0"/>
              <w:ind w:firstLine="720" w:firstLineChars="300"/>
              <w:rPr>
                <w:rFonts w:hint="eastAsia"/>
                <w:color w:val="auto"/>
                <w:lang w:eastAsia="zh-CN"/>
              </w:rPr>
            </w:pPr>
            <w:r>
              <w:rPr>
                <w:rFonts w:hint="eastAsia"/>
                <w:color w:val="auto"/>
                <w:lang w:eastAsia="zh-CN"/>
              </w:rPr>
              <w:t>ZCy指装卸扬尘产生量（单位：吨）；</w:t>
            </w:r>
          </w:p>
          <w:p w14:paraId="55447204">
            <w:pPr>
              <w:bidi w:val="0"/>
              <w:ind w:firstLine="720" w:firstLineChars="300"/>
              <w:rPr>
                <w:rFonts w:hint="eastAsia"/>
                <w:color w:val="auto"/>
                <w:lang w:eastAsia="zh-CN"/>
              </w:rPr>
            </w:pPr>
            <w:r>
              <w:rPr>
                <w:rFonts w:hint="eastAsia"/>
                <w:color w:val="auto"/>
                <w:lang w:eastAsia="zh-CN"/>
              </w:rPr>
              <w:t>FCy指风蚀扬尘产生量（单位：吨）；</w:t>
            </w:r>
          </w:p>
          <w:p w14:paraId="50FEF11E">
            <w:pPr>
              <w:bidi w:val="0"/>
              <w:ind w:firstLine="720" w:firstLineChars="300"/>
              <w:rPr>
                <w:rFonts w:hint="eastAsia"/>
                <w:color w:val="auto"/>
                <w:lang w:eastAsia="zh-CN"/>
              </w:rPr>
            </w:pPr>
            <w:r>
              <w:rPr>
                <w:rFonts w:hint="eastAsia"/>
                <w:color w:val="auto"/>
                <w:lang w:eastAsia="zh-CN"/>
              </w:rPr>
              <w:t>Nc指年物料运载车次（单位：车）；</w:t>
            </w:r>
          </w:p>
          <w:p w14:paraId="23DF921B">
            <w:pPr>
              <w:bidi w:val="0"/>
              <w:ind w:firstLine="720" w:firstLineChars="300"/>
              <w:rPr>
                <w:rFonts w:hint="eastAsia"/>
                <w:color w:val="auto"/>
                <w:lang w:eastAsia="zh-CN"/>
              </w:rPr>
            </w:pPr>
            <w:r>
              <w:rPr>
                <w:rFonts w:hint="eastAsia"/>
                <w:color w:val="auto"/>
                <w:lang w:eastAsia="zh-CN"/>
              </w:rPr>
              <w:t>D 指单车平均运载量（单位：吨/车）；</w:t>
            </w:r>
          </w:p>
          <w:p w14:paraId="302C0F65">
            <w:pPr>
              <w:bidi w:val="0"/>
              <w:ind w:firstLine="720" w:firstLineChars="300"/>
              <w:rPr>
                <w:rFonts w:hint="eastAsia"/>
                <w:color w:val="auto"/>
                <w:lang w:eastAsia="zh-CN"/>
              </w:rPr>
            </w:pPr>
            <w:r>
              <w:rPr>
                <w:rFonts w:hint="eastAsia"/>
                <w:color w:val="auto"/>
                <w:lang w:eastAsia="zh-CN"/>
              </w:rPr>
              <w:t>（a/b）指装卸扬尘概化系数（单位：千克/吨）。</w:t>
            </w:r>
          </w:p>
          <w:p w14:paraId="55D58F38">
            <w:pPr>
              <w:bidi w:val="0"/>
              <w:ind w:firstLine="720" w:firstLineChars="300"/>
              <w:rPr>
                <w:rFonts w:hint="eastAsia"/>
                <w:color w:val="auto"/>
                <w:lang w:eastAsia="zh-CN"/>
              </w:rPr>
            </w:pPr>
            <w:r>
              <w:rPr>
                <w:rFonts w:hint="eastAsia"/>
                <w:color w:val="auto"/>
                <w:lang w:eastAsia="zh-CN"/>
              </w:rPr>
              <w:t>a指各省风速概化系数，参考《固体物料堆存颗粒物产排污核算系数手册》附录1，福建省为0.0009；</w:t>
            </w:r>
          </w:p>
          <w:p w14:paraId="6CFD04A0">
            <w:pPr>
              <w:bidi w:val="0"/>
              <w:ind w:firstLine="720" w:firstLineChars="300"/>
              <w:rPr>
                <w:rFonts w:hint="default"/>
                <w:color w:val="auto"/>
                <w:lang w:val="en-US" w:eastAsia="zh-CN"/>
              </w:rPr>
            </w:pPr>
            <w:r>
              <w:rPr>
                <w:rFonts w:hint="eastAsia"/>
                <w:color w:val="auto"/>
                <w:lang w:eastAsia="zh-CN"/>
              </w:rPr>
              <w:t>b指物料含水率概化系数，见《固体物料堆存颗粒物产排污核算系数手册》附录2。本项目</w:t>
            </w:r>
            <w:r>
              <w:rPr>
                <w:rFonts w:hint="eastAsia"/>
                <w:color w:val="auto"/>
                <w:lang w:val="en-US" w:eastAsia="zh-CN"/>
              </w:rPr>
              <w:t>建筑垃圾破碎处理后得到的石料和机制砂，</w:t>
            </w:r>
            <w:r>
              <w:rPr>
                <w:rFonts w:hint="eastAsia"/>
                <w:color w:val="auto"/>
                <w:lang w:eastAsia="zh-CN"/>
              </w:rPr>
              <w:t>参照</w:t>
            </w:r>
            <w:r>
              <w:rPr>
                <w:rFonts w:hint="eastAsia"/>
                <w:color w:val="auto"/>
                <w:lang w:val="en-US" w:eastAsia="zh-CN"/>
              </w:rPr>
              <w:t>表土</w:t>
            </w:r>
            <w:r>
              <w:rPr>
                <w:rFonts w:hint="eastAsia"/>
                <w:color w:val="auto"/>
                <w:lang w:eastAsia="zh-CN"/>
              </w:rPr>
              <w:t>的含水率概化系数，取</w:t>
            </w:r>
            <w:r>
              <w:rPr>
                <w:rFonts w:hint="eastAsia"/>
                <w:color w:val="auto"/>
                <w:lang w:val="en-US" w:eastAsia="zh-CN"/>
              </w:rPr>
              <w:t>0.0151</w:t>
            </w:r>
            <w:r>
              <w:rPr>
                <w:rFonts w:hint="eastAsia"/>
                <w:color w:val="auto"/>
                <w:lang w:eastAsia="zh-CN"/>
              </w:rPr>
              <w:t>；</w:t>
            </w:r>
            <w:r>
              <w:rPr>
                <w:rFonts w:hint="eastAsia"/>
                <w:color w:val="auto"/>
                <w:lang w:val="en-US" w:eastAsia="zh-CN"/>
              </w:rPr>
              <w:t>石方料参照块矿的含水率概化系数，取0.0064。</w:t>
            </w:r>
          </w:p>
          <w:p w14:paraId="69725849">
            <w:pPr>
              <w:bidi w:val="0"/>
              <w:ind w:firstLine="720" w:firstLineChars="300"/>
              <w:rPr>
                <w:rFonts w:hint="default"/>
                <w:color w:val="auto"/>
                <w:lang w:val="en-US" w:eastAsia="zh-CN"/>
              </w:rPr>
            </w:pPr>
            <w:r>
              <w:rPr>
                <w:rFonts w:hint="eastAsia"/>
                <w:color w:val="auto"/>
                <w:lang w:eastAsia="zh-CN"/>
              </w:rPr>
              <w:t>Ef 指堆场风蚀扬尘概化系数（单位：千克/平方米），见《固体物料堆存颗粒物产排污核算系数手册》附录3，本项目</w:t>
            </w:r>
            <w:r>
              <w:rPr>
                <w:rFonts w:hint="eastAsia"/>
                <w:color w:val="auto"/>
                <w:lang w:val="en-US" w:eastAsia="zh-CN"/>
              </w:rPr>
              <w:t>石子和机制砂</w:t>
            </w:r>
            <w:r>
              <w:rPr>
                <w:rFonts w:hint="eastAsia"/>
                <w:color w:val="auto"/>
                <w:lang w:eastAsia="zh-CN"/>
              </w:rPr>
              <w:t>参照</w:t>
            </w:r>
            <w:r>
              <w:rPr>
                <w:rFonts w:hint="eastAsia"/>
                <w:color w:val="auto"/>
                <w:lang w:val="en-US" w:eastAsia="zh-CN"/>
              </w:rPr>
              <w:t>表土</w:t>
            </w:r>
            <w:r>
              <w:rPr>
                <w:rFonts w:hint="eastAsia"/>
                <w:color w:val="auto"/>
                <w:lang w:eastAsia="zh-CN"/>
              </w:rPr>
              <w:t>的风蚀概化系数，取值</w:t>
            </w:r>
            <w:r>
              <w:rPr>
                <w:rFonts w:hint="eastAsia"/>
                <w:color w:val="auto"/>
                <w:lang w:val="en-US" w:eastAsia="zh-CN"/>
              </w:rPr>
              <w:t>41.5808</w:t>
            </w:r>
            <w:r>
              <w:rPr>
                <w:rFonts w:hint="eastAsia"/>
                <w:color w:val="auto"/>
                <w:lang w:eastAsia="zh-CN"/>
              </w:rPr>
              <w:t>；</w:t>
            </w:r>
            <w:r>
              <w:rPr>
                <w:rFonts w:hint="eastAsia"/>
                <w:color w:val="auto"/>
                <w:lang w:val="en-US" w:eastAsia="zh-CN"/>
              </w:rPr>
              <w:t>石方料由外部直接运输进场，无场内堆场。</w:t>
            </w:r>
          </w:p>
          <w:p w14:paraId="02650B4D">
            <w:pPr>
              <w:bidi w:val="0"/>
              <w:ind w:firstLine="720" w:firstLineChars="300"/>
              <w:rPr>
                <w:rFonts w:hint="eastAsia"/>
                <w:color w:val="auto"/>
                <w:lang w:eastAsia="zh-CN"/>
              </w:rPr>
            </w:pPr>
            <w:r>
              <w:rPr>
                <w:rFonts w:hint="eastAsia"/>
                <w:color w:val="auto"/>
                <w:lang w:eastAsia="zh-CN"/>
              </w:rPr>
              <w:t>S指堆场占地面积（单位：平方米）。</w:t>
            </w:r>
          </w:p>
          <w:p w14:paraId="2259E107">
            <w:pPr>
              <w:bidi w:val="0"/>
              <w:rPr>
                <w:rFonts w:hint="eastAsia"/>
                <w:color w:val="auto"/>
                <w:lang w:eastAsia="zh-CN"/>
              </w:rPr>
            </w:pPr>
            <w:r>
              <w:rPr>
                <w:rFonts w:hint="eastAsia"/>
                <w:color w:val="auto"/>
                <w:lang w:val="en-US" w:eastAsia="zh-CN"/>
              </w:rPr>
              <w:t>项目所使用的石方料的</w:t>
            </w:r>
            <w:r>
              <w:rPr>
                <w:rFonts w:hint="eastAsia"/>
                <w:color w:val="auto"/>
                <w:lang w:eastAsia="zh-CN"/>
              </w:rPr>
              <w:t>车辆单次运输量</w:t>
            </w:r>
            <w:r>
              <w:rPr>
                <w:rFonts w:hint="eastAsia"/>
                <w:color w:val="auto"/>
                <w:lang w:val="en-US" w:eastAsia="zh-CN"/>
              </w:rPr>
              <w:t>均</w:t>
            </w:r>
            <w:r>
              <w:rPr>
                <w:rFonts w:hint="eastAsia"/>
                <w:color w:val="auto"/>
                <w:lang w:eastAsia="zh-CN"/>
              </w:rPr>
              <w:t>按30</w:t>
            </w:r>
            <w:r>
              <w:rPr>
                <w:rFonts w:hint="eastAsia"/>
                <w:color w:val="auto"/>
                <w:lang w:val="en-US" w:eastAsia="zh-CN"/>
              </w:rPr>
              <w:t>t/车</w:t>
            </w:r>
            <w:r>
              <w:rPr>
                <w:rFonts w:hint="eastAsia"/>
                <w:color w:val="auto"/>
                <w:lang w:eastAsia="zh-CN"/>
              </w:rPr>
              <w:t>计，项目</w:t>
            </w:r>
            <w:r>
              <w:rPr>
                <w:rFonts w:hint="eastAsia"/>
                <w:color w:val="auto"/>
                <w:lang w:val="en-US" w:eastAsia="zh-CN"/>
              </w:rPr>
              <w:t>石料的年用量约为152万t/a，</w:t>
            </w:r>
            <w:r>
              <w:rPr>
                <w:rFonts w:hint="eastAsia"/>
                <w:color w:val="auto"/>
                <w:lang w:eastAsia="zh-CN"/>
              </w:rPr>
              <w:t>则</w:t>
            </w:r>
            <w:r>
              <w:rPr>
                <w:rFonts w:hint="eastAsia"/>
                <w:color w:val="auto"/>
                <w:lang w:val="en-US" w:eastAsia="zh-CN"/>
              </w:rPr>
              <w:t>石方料的</w:t>
            </w:r>
            <w:r>
              <w:rPr>
                <w:rFonts w:hint="eastAsia"/>
                <w:color w:val="auto"/>
                <w:lang w:eastAsia="zh-CN"/>
              </w:rPr>
              <w:t>年物料运载车次</w:t>
            </w:r>
            <w:r>
              <w:rPr>
                <w:rFonts w:hint="eastAsia"/>
                <w:lang w:val="en-US" w:eastAsia="zh-CN"/>
              </w:rPr>
              <w:t>50667</w:t>
            </w:r>
            <w:r>
              <w:rPr>
                <w:rFonts w:hint="eastAsia"/>
                <w:color w:val="auto"/>
                <w:lang w:eastAsia="zh-CN"/>
              </w:rPr>
              <w:t>次。</w:t>
            </w:r>
            <w:r>
              <w:rPr>
                <w:rFonts w:hint="eastAsia"/>
                <w:color w:val="auto"/>
                <w:lang w:val="en-US" w:eastAsia="zh-CN"/>
              </w:rPr>
              <w:t>生产出来的机制石料及机制砂堆放于各自的堆放场内，根据建设单位提供信息，砂石料堆场占地面积为1518.48m</w:t>
            </w:r>
            <w:r>
              <w:rPr>
                <w:rFonts w:hint="eastAsia"/>
                <w:color w:val="auto"/>
                <w:vertAlign w:val="superscript"/>
                <w:lang w:val="en-US" w:eastAsia="zh-CN"/>
              </w:rPr>
              <w:t>2</w:t>
            </w:r>
            <w:r>
              <w:rPr>
                <w:rFonts w:hint="eastAsia"/>
                <w:color w:val="auto"/>
                <w:lang w:val="en-US" w:eastAsia="zh-CN"/>
              </w:rPr>
              <w:t>，细砂和碎石料的堆场面积各占一半，因此砂、石场的面积各为759.24m</w:t>
            </w:r>
            <w:r>
              <w:rPr>
                <w:rFonts w:hint="eastAsia"/>
                <w:color w:val="auto"/>
                <w:vertAlign w:val="superscript"/>
                <w:lang w:val="en-US" w:eastAsia="zh-CN"/>
              </w:rPr>
              <w:t>2</w:t>
            </w:r>
            <w:r>
              <w:rPr>
                <w:rFonts w:hint="eastAsia"/>
                <w:color w:val="auto"/>
                <w:lang w:val="en-US" w:eastAsia="zh-CN"/>
              </w:rPr>
              <w:t>。</w:t>
            </w:r>
            <w:r>
              <w:rPr>
                <w:rFonts w:hint="eastAsia"/>
                <w:color w:val="auto"/>
                <w:lang w:eastAsia="zh-CN"/>
              </w:rPr>
              <w:t>根据核算公式，项目</w:t>
            </w:r>
            <w:r>
              <w:rPr>
                <w:rFonts w:hint="eastAsia"/>
                <w:lang w:val="en-US" w:eastAsia="zh-CN"/>
              </w:rPr>
              <w:t>石方卸料和砂石堆放扬尘</w:t>
            </w:r>
            <w:r>
              <w:rPr>
                <w:rFonts w:hint="eastAsia"/>
                <w:color w:val="auto"/>
                <w:lang w:eastAsia="zh-CN"/>
              </w:rPr>
              <w:t>产生量计算系数及结果见下表。</w:t>
            </w:r>
          </w:p>
          <w:p w14:paraId="7638BC7D">
            <w:pPr>
              <w:pStyle w:val="33"/>
              <w:bidi w:val="0"/>
              <w:rPr>
                <w:rFonts w:hint="eastAsia"/>
                <w:color w:val="auto"/>
                <w:sz w:val="24"/>
                <w:szCs w:val="24"/>
              </w:rPr>
            </w:pPr>
            <w:r>
              <w:rPr>
                <w:rFonts w:hint="eastAsia"/>
                <w:color w:val="auto"/>
                <w:sz w:val="24"/>
                <w:szCs w:val="24"/>
              </w:rPr>
              <w:t>表4.2-1 项目装卸及堆场风蚀扬尘计算系数及结果</w:t>
            </w:r>
          </w:p>
          <w:p w14:paraId="6DC9AC54">
            <w:pPr>
              <w:keepNext w:val="0"/>
              <w:keepLines w:val="0"/>
              <w:pageBreakBefore w:val="0"/>
              <w:widowControl w:val="0"/>
              <w:kinsoku/>
              <w:wordWrap/>
              <w:overflowPunct/>
              <w:topLinePunct w:val="0"/>
              <w:autoSpaceDE/>
              <w:autoSpaceDN/>
              <w:bidi w:val="0"/>
              <w:adjustRightInd/>
              <w:snapToGrid/>
              <w:spacing w:before="157" w:beforeLines="50"/>
              <w:textAlignment w:val="auto"/>
              <w:rPr>
                <w:rFonts w:hint="eastAsia"/>
                <w:color w:val="auto"/>
                <w:lang w:eastAsia="zh-CN"/>
              </w:rPr>
            </w:pPr>
            <w:r>
              <w:rPr>
                <w:rFonts w:hint="eastAsia"/>
                <w:color w:val="auto"/>
                <w:lang w:eastAsia="zh-CN"/>
              </w:rPr>
              <w:t>据上述参数计算得本项目装卸粉尘和砂石堆场风蚀扬尘产生量约为</w:t>
            </w:r>
            <w:r>
              <w:rPr>
                <w:rFonts w:hint="eastAsia"/>
                <w:color w:val="auto"/>
                <w:lang w:val="en-US" w:eastAsia="zh-CN"/>
              </w:rPr>
              <w:t>339.99</w:t>
            </w:r>
            <w:r>
              <w:rPr>
                <w:rFonts w:hint="eastAsia"/>
                <w:color w:val="auto"/>
                <w:lang w:eastAsia="zh-CN"/>
              </w:rPr>
              <w:t>t/a，</w:t>
            </w:r>
            <w:r>
              <w:rPr>
                <w:rFonts w:hint="eastAsia"/>
                <w:color w:val="auto"/>
                <w:lang w:val="en-US" w:eastAsia="zh-CN"/>
              </w:rPr>
              <w:t>产生速率最大为96.89kg/h</w:t>
            </w:r>
            <w:r>
              <w:rPr>
                <w:rFonts w:hint="eastAsia"/>
                <w:color w:val="auto"/>
                <w:lang w:eastAsia="zh-CN"/>
              </w:rPr>
              <w:t>。</w:t>
            </w:r>
          </w:p>
          <w:p w14:paraId="41795EC1">
            <w:pPr>
              <w:bidi w:val="0"/>
              <w:rPr>
                <w:rFonts w:hint="eastAsia" w:ascii="Times New Roman" w:hAnsi="Times New Roman" w:eastAsia="宋体" w:cs="Times New Roman"/>
                <w:color w:val="auto"/>
                <w:szCs w:val="24"/>
                <w:lang w:eastAsia="zh-CN"/>
              </w:rPr>
            </w:pPr>
            <w:r>
              <w:rPr>
                <w:rFonts w:hint="eastAsia"/>
                <w:color w:val="auto"/>
                <w:lang w:eastAsia="zh-CN"/>
              </w:rPr>
              <w:t>根据《固体物料堆存颗粒物产排污核算系数手册》，工业企业固体物料堆场颗粒物排放量核算公式如下：</w:t>
            </w:r>
          </w:p>
          <w:p w14:paraId="61B97F2B">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eastAsia" w:ascii="Times New Roman" w:hAnsi="Times New Roman" w:eastAsia="宋体" w:cs="Times New Roman"/>
                <w:color w:val="auto"/>
                <w:sz w:val="24"/>
                <w:szCs w:val="24"/>
                <w:lang w:eastAsia="zh-CN"/>
              </w:rPr>
            </w:pPr>
            <w:r>
              <w:rPr>
                <w:rFonts w:ascii="Times New Roman" w:hAnsi="Times New Roman" w:eastAsia="宋体"/>
                <w:color w:val="auto"/>
              </w:rPr>
              <w:drawing>
                <wp:inline distT="0" distB="0" distL="114300" distR="114300">
                  <wp:extent cx="2386330" cy="300355"/>
                  <wp:effectExtent l="0" t="0" r="13970" b="4445"/>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11"/>
                          <a:stretch>
                            <a:fillRect/>
                          </a:stretch>
                        </pic:blipFill>
                        <pic:spPr>
                          <a:xfrm>
                            <a:off x="0" y="0"/>
                            <a:ext cx="2386330" cy="300355"/>
                          </a:xfrm>
                          <a:prstGeom prst="rect">
                            <a:avLst/>
                          </a:prstGeom>
                          <a:noFill/>
                          <a:ln>
                            <a:noFill/>
                          </a:ln>
                        </pic:spPr>
                      </pic:pic>
                    </a:graphicData>
                  </a:graphic>
                </wp:inline>
              </w:drawing>
            </w:r>
          </w:p>
          <w:p w14:paraId="745C0C8C">
            <w:pPr>
              <w:bidi w:val="0"/>
              <w:rPr>
                <w:rFonts w:hint="eastAsia"/>
                <w:color w:val="auto"/>
                <w:lang w:eastAsia="zh-CN"/>
              </w:rPr>
            </w:pPr>
            <w:r>
              <w:rPr>
                <w:rFonts w:hint="eastAsia"/>
                <w:color w:val="auto"/>
                <w:lang w:eastAsia="zh-CN"/>
              </w:rPr>
              <w:t>式中：P指颗粒物产生量（单位：吨）；</w:t>
            </w:r>
          </w:p>
          <w:p w14:paraId="512C7329">
            <w:pPr>
              <w:bidi w:val="0"/>
              <w:ind w:firstLine="1200" w:firstLineChars="500"/>
              <w:rPr>
                <w:rFonts w:hint="eastAsia"/>
                <w:color w:val="auto"/>
                <w:lang w:eastAsia="zh-CN"/>
              </w:rPr>
            </w:pPr>
            <w:r>
              <w:rPr>
                <w:rFonts w:hint="eastAsia"/>
                <w:color w:val="auto"/>
                <w:lang w:eastAsia="zh-CN"/>
              </w:rPr>
              <w:t>Uc指颗粒物排放量（单位：吨）；</w:t>
            </w:r>
          </w:p>
          <w:p w14:paraId="01B4B32F">
            <w:pPr>
              <w:bidi w:val="0"/>
              <w:ind w:firstLine="1200" w:firstLineChars="500"/>
              <w:rPr>
                <w:rFonts w:hint="eastAsia"/>
                <w:color w:val="auto"/>
                <w:lang w:eastAsia="zh-CN"/>
              </w:rPr>
            </w:pPr>
            <w:r>
              <w:rPr>
                <w:rFonts w:hint="eastAsia"/>
                <w:color w:val="auto"/>
                <w:lang w:eastAsia="zh-CN"/>
              </w:rPr>
              <w:t>Cm指颗粒物控制措施控制效率（单位：%）</w:t>
            </w:r>
          </w:p>
          <w:p w14:paraId="5126C4D5">
            <w:pPr>
              <w:bidi w:val="0"/>
              <w:ind w:firstLine="1200" w:firstLineChars="500"/>
              <w:rPr>
                <w:rFonts w:hint="eastAsia"/>
                <w:color w:val="auto"/>
                <w:lang w:eastAsia="zh-CN"/>
              </w:rPr>
            </w:pPr>
            <w:r>
              <w:rPr>
                <w:rFonts w:hint="eastAsia"/>
                <w:color w:val="auto"/>
                <w:lang w:eastAsia="zh-CN"/>
              </w:rPr>
              <w:t>Tm指堆场类型控制效率（单位：%），</w:t>
            </w:r>
          </w:p>
          <w:p w14:paraId="38742C24">
            <w:pPr>
              <w:bidi w:val="0"/>
              <w:rPr>
                <w:rFonts w:hint="eastAsia"/>
                <w:lang w:val="en-US" w:eastAsia="zh-CN"/>
              </w:rPr>
            </w:pPr>
            <w:r>
              <w:rPr>
                <w:rFonts w:hint="eastAsia"/>
                <w:color w:val="auto"/>
                <w:lang w:eastAsia="zh-CN"/>
              </w:rPr>
              <w:t>项目</w:t>
            </w:r>
            <w:r>
              <w:rPr>
                <w:rFonts w:hint="eastAsia"/>
                <w:color w:val="auto"/>
                <w:lang w:val="en-US" w:eastAsia="zh-CN"/>
              </w:rPr>
              <w:t>碎石、细砂储存于封闭式仓（仅保留物料进出口）</w:t>
            </w:r>
            <w:r>
              <w:rPr>
                <w:rFonts w:hint="eastAsia"/>
                <w:color w:val="auto"/>
                <w:lang w:eastAsia="zh-CN"/>
              </w:rPr>
              <w:t>，并配套喷淋系统进行喷淋抑尘，物料以密闭运输车方式进出，厂区道路硬化，定时人工洒水抑尘和冲洗清扫，出入口配备车辆冲洗设备。根据《固体物料堆存颗粒物产排污核算系数手册》附录4控制措施的控制效率和附录5堆场类型控制效率，洒水粉尘控制效率74%，出入车辆冲洗粉尘控制效率78%，项目</w:t>
            </w:r>
            <w:r>
              <w:rPr>
                <w:rFonts w:hint="eastAsia"/>
                <w:color w:val="auto"/>
                <w:lang w:val="en-US" w:eastAsia="zh-CN"/>
              </w:rPr>
              <w:t>仅</w:t>
            </w:r>
            <w:r>
              <w:rPr>
                <w:rFonts w:hint="eastAsia"/>
                <w:color w:val="auto"/>
                <w:lang w:eastAsia="zh-CN"/>
              </w:rPr>
              <w:t>保留物料进出口，</w:t>
            </w:r>
            <w:r>
              <w:rPr>
                <w:rFonts w:hint="eastAsia"/>
                <w:color w:val="auto"/>
                <w:lang w:val="en-US" w:eastAsia="zh-CN"/>
              </w:rPr>
              <w:t>侧面及顶部设有围墙封闭，进料口与3#物料库连接</w:t>
            </w:r>
            <w:r>
              <w:rPr>
                <w:rFonts w:hint="eastAsia"/>
                <w:color w:val="auto"/>
                <w:lang w:eastAsia="zh-CN"/>
              </w:rPr>
              <w:t>，</w:t>
            </w:r>
            <w:r>
              <w:rPr>
                <w:rFonts w:hint="eastAsia"/>
                <w:color w:val="auto"/>
                <w:lang w:val="en-US" w:eastAsia="zh-CN"/>
              </w:rPr>
              <w:t>因此砂石料</w:t>
            </w:r>
            <w:r>
              <w:rPr>
                <w:rFonts w:hint="eastAsia"/>
                <w:color w:val="auto"/>
                <w:lang w:eastAsia="zh-CN"/>
              </w:rPr>
              <w:t>堆场类型控制效率按</w:t>
            </w:r>
            <w:r>
              <w:rPr>
                <w:rFonts w:hint="eastAsia"/>
                <w:color w:val="auto"/>
                <w:lang w:val="en-US" w:eastAsia="zh-CN"/>
              </w:rPr>
              <w:t>密闭式</w:t>
            </w:r>
            <w:r>
              <w:rPr>
                <w:rFonts w:hint="eastAsia"/>
                <w:color w:val="auto"/>
                <w:lang w:eastAsia="zh-CN"/>
              </w:rPr>
              <w:t>堆场控制效率</w:t>
            </w:r>
            <w:r>
              <w:rPr>
                <w:rFonts w:hint="eastAsia"/>
                <w:color w:val="auto"/>
                <w:lang w:val="en-US" w:eastAsia="zh-CN"/>
              </w:rPr>
              <w:t>99</w:t>
            </w:r>
            <w:r>
              <w:rPr>
                <w:rFonts w:hint="eastAsia"/>
                <w:color w:val="auto"/>
                <w:lang w:eastAsia="zh-CN"/>
              </w:rPr>
              <w:t>%计</w:t>
            </w:r>
            <w:r>
              <w:rPr>
                <w:rFonts w:hint="eastAsia"/>
                <w:lang w:val="en-US" w:eastAsia="zh-CN"/>
              </w:rPr>
              <w:t>。</w:t>
            </w:r>
          </w:p>
          <w:p w14:paraId="0CBD9F47">
            <w:pPr>
              <w:bidi w:val="0"/>
              <w:rPr>
                <w:rFonts w:hint="default"/>
                <w:color w:val="auto"/>
                <w:lang w:val="en-US" w:eastAsia="zh-CN"/>
              </w:rPr>
            </w:pPr>
            <w:r>
              <w:rPr>
                <w:rFonts w:hint="eastAsia"/>
                <w:color w:val="auto"/>
                <w:lang w:val="en-US" w:eastAsia="zh-CN"/>
              </w:rPr>
              <w:t>砂石堆存时长按7920h/a（330d/a，24h/d）计。</w:t>
            </w:r>
            <w:r>
              <w:rPr>
                <w:rFonts w:hint="eastAsia"/>
                <w:color w:val="auto"/>
                <w:lang w:eastAsia="zh-CN"/>
              </w:rPr>
              <w:t>故经计算，本项目</w:t>
            </w:r>
            <w:r>
              <w:rPr>
                <w:rFonts w:hint="eastAsia"/>
                <w:color w:val="auto"/>
                <w:lang w:val="en-US" w:eastAsia="zh-CN"/>
              </w:rPr>
              <w:t>石料</w:t>
            </w:r>
            <w:r>
              <w:rPr>
                <w:rFonts w:hint="eastAsia"/>
                <w:color w:val="auto"/>
                <w:lang w:eastAsia="zh-CN"/>
              </w:rPr>
              <w:t>装卸粉尘和堆场风蚀扬尘排放量</w:t>
            </w:r>
            <w:r>
              <w:rPr>
                <w:rFonts w:hint="eastAsia"/>
                <w:color w:val="auto"/>
                <w:lang w:val="en-US" w:eastAsia="zh-CN"/>
              </w:rPr>
              <w:t>共计</w:t>
            </w:r>
            <w:r>
              <w:rPr>
                <w:rFonts w:hint="eastAsia"/>
                <w:color w:val="auto"/>
                <w:lang w:eastAsia="zh-CN"/>
              </w:rPr>
              <w:t>为</w:t>
            </w:r>
            <w:r>
              <w:rPr>
                <w:rFonts w:hint="eastAsia"/>
                <w:color w:val="auto"/>
                <w:lang w:val="en-US" w:eastAsia="zh-CN"/>
              </w:rPr>
              <w:t>0.194</w:t>
            </w:r>
            <w:r>
              <w:rPr>
                <w:rFonts w:hint="eastAsia"/>
                <w:color w:val="auto"/>
                <w:lang w:eastAsia="zh-CN"/>
              </w:rPr>
              <w:t>t/a，</w:t>
            </w:r>
            <w:r>
              <w:rPr>
                <w:rFonts w:hint="eastAsia"/>
                <w:color w:val="auto"/>
                <w:lang w:val="en-US" w:eastAsia="zh-CN"/>
              </w:rPr>
              <w:t>最大</w:t>
            </w:r>
            <w:r>
              <w:rPr>
                <w:rFonts w:hint="eastAsia"/>
                <w:color w:val="auto"/>
                <w:lang w:eastAsia="zh-CN"/>
              </w:rPr>
              <w:t>排放速率为</w:t>
            </w:r>
            <w:r>
              <w:rPr>
                <w:rFonts w:hint="eastAsia"/>
                <w:color w:val="auto"/>
                <w:lang w:val="en-US" w:eastAsia="zh-CN"/>
              </w:rPr>
              <w:t>0.025</w:t>
            </w:r>
            <w:r>
              <w:rPr>
                <w:rFonts w:hint="eastAsia"/>
                <w:color w:val="auto"/>
                <w:lang w:eastAsia="zh-CN"/>
              </w:rPr>
              <w:t>kg/h。</w:t>
            </w:r>
          </w:p>
          <w:p w14:paraId="5A400E3D">
            <w:pPr>
              <w:bidi w:val="0"/>
              <w:rPr>
                <w:rFonts w:hint="eastAsia"/>
                <w:b/>
                <w:bCs/>
                <w:color w:val="auto"/>
                <w:lang w:val="en-US" w:eastAsia="zh-CN"/>
              </w:rPr>
            </w:pPr>
            <w:r>
              <w:rPr>
                <w:rFonts w:hint="eastAsia"/>
                <w:b/>
                <w:bCs/>
                <w:color w:val="auto"/>
                <w:lang w:val="en-US" w:eastAsia="zh-CN"/>
              </w:rPr>
              <w:t>（2）运输车辆扬尘</w:t>
            </w:r>
          </w:p>
          <w:p w14:paraId="497DC6AA">
            <w:pPr>
              <w:bidi w:val="0"/>
              <w:rPr>
                <w:rFonts w:hint="eastAsia"/>
                <w:color w:val="auto"/>
                <w:lang w:val="en-US" w:eastAsia="zh-CN"/>
              </w:rPr>
            </w:pPr>
            <w:r>
              <w:rPr>
                <w:rFonts w:hint="eastAsia"/>
                <w:color w:val="auto"/>
                <w:lang w:val="en-US" w:eastAsia="zh-CN"/>
              </w:rPr>
              <w:t>项目汽车运输扬尘对一定范围内环境会造成污染。扬尘量的大小与车流量、道路状况、气候条件、汽车行驶速度等均有关系。根据汽车道路扬尘扩散规律，在大气干燥和地面风速低于4m/s条件下，汽车行驶时引起的路面扬尘量与汽车速度成正比，与汽车质量成正比，与道路表面扬尘量成正比，在道路完全干燥的情况下，可按下列经验公式计算：</w:t>
            </w:r>
          </w:p>
          <w:p w14:paraId="351EA06D">
            <w:pPr>
              <w:bidi w:val="0"/>
              <w:jc w:val="center"/>
              <w:rPr>
                <w:rFonts w:hint="eastAsia"/>
                <w:color w:val="auto"/>
                <w:lang w:val="en-US" w:eastAsia="zh-CN"/>
              </w:rPr>
            </w:pPr>
            <w:r>
              <w:rPr>
                <w:rFonts w:hint="default"/>
                <w:color w:val="auto"/>
                <w:lang w:val="en-US" w:eastAsia="zh-CN"/>
              </w:rPr>
              <w:drawing>
                <wp:inline distT="0" distB="0" distL="114300" distR="114300">
                  <wp:extent cx="2434590" cy="288290"/>
                  <wp:effectExtent l="0" t="0" r="3810" b="1651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2"/>
                          <a:stretch>
                            <a:fillRect/>
                          </a:stretch>
                        </pic:blipFill>
                        <pic:spPr>
                          <a:xfrm>
                            <a:off x="0" y="0"/>
                            <a:ext cx="2434590" cy="288290"/>
                          </a:xfrm>
                          <a:prstGeom prst="rect">
                            <a:avLst/>
                          </a:prstGeom>
                          <a:noFill/>
                          <a:ln>
                            <a:noFill/>
                          </a:ln>
                        </pic:spPr>
                      </pic:pic>
                    </a:graphicData>
                  </a:graphic>
                </wp:inline>
              </w:drawing>
            </w:r>
          </w:p>
          <w:p w14:paraId="795230F3">
            <w:pPr>
              <w:bidi w:val="0"/>
              <w:rPr>
                <w:rFonts w:hint="eastAsia"/>
                <w:color w:val="auto"/>
                <w:lang w:val="en-US" w:eastAsia="zh-CN"/>
              </w:rPr>
            </w:pPr>
            <w:r>
              <w:rPr>
                <w:rFonts w:hint="eastAsia"/>
                <w:color w:val="auto"/>
                <w:lang w:val="en-US" w:eastAsia="zh-CN"/>
              </w:rPr>
              <w:t>式中：Q：汽车行驶时的扬尘，kg/km·辆；</w:t>
            </w:r>
          </w:p>
          <w:p w14:paraId="5B20AE59">
            <w:pPr>
              <w:bidi w:val="0"/>
              <w:rPr>
                <w:rFonts w:hint="eastAsia"/>
                <w:color w:val="auto"/>
                <w:lang w:val="en-US" w:eastAsia="zh-CN"/>
              </w:rPr>
            </w:pPr>
            <w:r>
              <w:rPr>
                <w:rFonts w:hint="eastAsia"/>
                <w:color w:val="auto"/>
                <w:lang w:val="en-US" w:eastAsia="zh-CN"/>
              </w:rPr>
              <w:t>V：汽车速度，km/h；</w:t>
            </w:r>
          </w:p>
          <w:p w14:paraId="09A3859C">
            <w:pPr>
              <w:bidi w:val="0"/>
              <w:rPr>
                <w:rFonts w:hint="eastAsia"/>
                <w:color w:val="auto"/>
                <w:lang w:val="en-US" w:eastAsia="zh-CN"/>
              </w:rPr>
            </w:pPr>
            <w:r>
              <w:rPr>
                <w:rFonts w:hint="eastAsia"/>
                <w:color w:val="auto"/>
                <w:lang w:val="en-US" w:eastAsia="zh-CN"/>
              </w:rPr>
              <w:t>W：汽车载重量，吨；</w:t>
            </w:r>
          </w:p>
          <w:p w14:paraId="70E62F7D">
            <w:pPr>
              <w:bidi w:val="0"/>
              <w:rPr>
                <w:rFonts w:hint="eastAsia"/>
                <w:color w:val="auto"/>
                <w:lang w:val="en-US" w:eastAsia="zh-CN"/>
              </w:rPr>
            </w:pPr>
            <w:r>
              <w:rPr>
                <w:rFonts w:hint="eastAsia"/>
                <w:color w:val="auto"/>
                <w:lang w:val="en-US" w:eastAsia="zh-CN"/>
              </w:rPr>
              <w:t>P：道路表面粉尘量，kg/m</w:t>
            </w:r>
            <w:r>
              <w:rPr>
                <w:rFonts w:hint="eastAsia"/>
                <w:color w:val="auto"/>
                <w:vertAlign w:val="superscript"/>
                <w:lang w:val="en-US" w:eastAsia="zh-CN"/>
              </w:rPr>
              <w:t>2</w:t>
            </w:r>
            <w:r>
              <w:rPr>
                <w:rFonts w:hint="eastAsia"/>
                <w:color w:val="auto"/>
                <w:lang w:val="en-US" w:eastAsia="zh-CN"/>
              </w:rPr>
              <w:t>。</w:t>
            </w:r>
          </w:p>
          <w:p w14:paraId="66374D7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本项目的车辆在厂区内行驶距离按0.</w:t>
            </w:r>
            <w:r>
              <w:rPr>
                <w:rFonts w:hint="eastAsia" w:ascii="Times New Roman" w:hAnsi="Times New Roman" w:eastAsia="宋体" w:cs="Times New Roman"/>
                <w:color w:val="auto"/>
                <w:sz w:val="24"/>
                <w:szCs w:val="24"/>
                <w:lang w:val="en-US" w:eastAsia="zh-CN"/>
              </w:rPr>
              <w:t>1</w:t>
            </w:r>
            <w:r>
              <w:rPr>
                <w:rFonts w:hint="eastAsia" w:cs="Times New Roman"/>
                <w:color w:val="auto"/>
                <w:sz w:val="24"/>
                <w:szCs w:val="24"/>
                <w:lang w:val="en-US" w:eastAsia="zh-CN"/>
              </w:rPr>
              <w:t>5</w:t>
            </w:r>
            <w:r>
              <w:rPr>
                <w:rFonts w:hint="default" w:ascii="Times New Roman" w:hAnsi="Times New Roman" w:eastAsia="宋体" w:cs="Times New Roman"/>
                <w:color w:val="auto"/>
                <w:sz w:val="24"/>
                <w:szCs w:val="24"/>
                <w:lang w:val="en-US" w:eastAsia="zh-CN"/>
              </w:rPr>
              <w:t>km进行计算，</w:t>
            </w:r>
            <w:r>
              <w:rPr>
                <w:rFonts w:hint="eastAsia" w:ascii="Times New Roman" w:hAnsi="Times New Roman" w:eastAsia="宋体" w:cs="Times New Roman"/>
                <w:color w:val="auto"/>
                <w:sz w:val="24"/>
                <w:szCs w:val="24"/>
                <w:lang w:val="en-US" w:eastAsia="zh-CN"/>
              </w:rPr>
              <w:t>项目</w:t>
            </w:r>
            <w:r>
              <w:rPr>
                <w:rFonts w:hint="eastAsia" w:cs="Times New Roman"/>
                <w:color w:val="auto"/>
                <w:sz w:val="24"/>
                <w:szCs w:val="24"/>
                <w:lang w:val="en-US" w:eastAsia="zh-CN"/>
              </w:rPr>
              <w:t>通过车辆运输进厂的</w:t>
            </w:r>
            <w:r>
              <w:rPr>
                <w:rFonts w:hint="eastAsia" w:ascii="Times New Roman" w:hAnsi="Times New Roman" w:eastAsia="宋体" w:cs="Times New Roman"/>
                <w:color w:val="auto"/>
                <w:sz w:val="24"/>
                <w:szCs w:val="24"/>
                <w:lang w:val="en-US" w:eastAsia="zh-CN"/>
              </w:rPr>
              <w:t>主要原料（水泥、</w:t>
            </w:r>
            <w:r>
              <w:rPr>
                <w:rFonts w:hint="eastAsia" w:cs="Times New Roman"/>
                <w:color w:val="auto"/>
                <w:sz w:val="24"/>
                <w:szCs w:val="24"/>
                <w:lang w:val="en-US" w:eastAsia="zh-CN"/>
              </w:rPr>
              <w:t>粉煤灰、矿粉、碎石、细砂</w:t>
            </w:r>
            <w:r>
              <w:rPr>
                <w:rFonts w:hint="eastAsia" w:ascii="Times New Roman" w:hAnsi="Times New Roman" w:eastAsia="宋体" w:cs="Times New Roman"/>
                <w:color w:val="auto"/>
                <w:sz w:val="24"/>
                <w:szCs w:val="24"/>
                <w:lang w:val="en-US" w:eastAsia="zh-CN"/>
              </w:rPr>
              <w:t>等）约</w:t>
            </w:r>
            <w:r>
              <w:rPr>
                <w:rFonts w:hint="eastAsia" w:cs="Times New Roman"/>
                <w:color w:val="auto"/>
                <w:sz w:val="24"/>
                <w:szCs w:val="24"/>
                <w:lang w:val="en-US" w:eastAsia="zh-CN"/>
              </w:rPr>
              <w:t>207</w:t>
            </w:r>
            <w:r>
              <w:rPr>
                <w:rFonts w:hint="eastAsia" w:ascii="Times New Roman" w:hAnsi="Times New Roman" w:eastAsia="宋体" w:cs="Times New Roman"/>
                <w:color w:val="auto"/>
                <w:sz w:val="24"/>
                <w:szCs w:val="24"/>
                <w:lang w:val="en-US" w:eastAsia="zh-CN"/>
              </w:rPr>
              <w:t>万t/a及</w:t>
            </w:r>
            <w:r>
              <w:rPr>
                <w:rFonts w:hint="eastAsia" w:cs="Times New Roman"/>
                <w:color w:val="auto"/>
                <w:sz w:val="24"/>
                <w:szCs w:val="24"/>
                <w:lang w:val="en-US" w:eastAsia="zh-CN"/>
              </w:rPr>
              <w:t>产品236万</w:t>
            </w:r>
            <w:r>
              <w:rPr>
                <w:rFonts w:hint="eastAsia" w:ascii="Times New Roman" w:hAnsi="Times New Roman" w:eastAsia="宋体" w:cs="Times New Roman"/>
                <w:color w:val="auto"/>
                <w:sz w:val="24"/>
                <w:szCs w:val="24"/>
                <w:lang w:eastAsia="zh-CN"/>
              </w:rPr>
              <w:t>t/a，共计约</w:t>
            </w:r>
            <w:r>
              <w:rPr>
                <w:rFonts w:hint="eastAsia" w:cs="Times New Roman"/>
                <w:color w:val="auto"/>
                <w:sz w:val="24"/>
                <w:szCs w:val="24"/>
                <w:lang w:val="en-US" w:eastAsia="zh-CN"/>
              </w:rPr>
              <w:t>443</w:t>
            </w:r>
            <w:r>
              <w:rPr>
                <w:rFonts w:hint="eastAsia" w:ascii="Times New Roman" w:hAnsi="Times New Roman" w:eastAsia="宋体" w:cs="Times New Roman"/>
                <w:color w:val="auto"/>
                <w:sz w:val="24"/>
                <w:szCs w:val="24"/>
                <w:lang w:val="en-US" w:eastAsia="zh-CN"/>
              </w:rPr>
              <w:t>万</w:t>
            </w:r>
            <w:r>
              <w:rPr>
                <w:rFonts w:hint="eastAsia" w:ascii="Times New Roman" w:hAnsi="Times New Roman" w:eastAsia="宋体" w:cs="Times New Roman"/>
                <w:color w:val="auto"/>
                <w:sz w:val="24"/>
                <w:szCs w:val="24"/>
                <w:lang w:eastAsia="zh-CN"/>
              </w:rPr>
              <w:t>t/a。车辆载重规格按30t计，年发车</w:t>
            </w:r>
            <w:r>
              <w:rPr>
                <w:rFonts w:hint="eastAsia" w:cs="Times New Roman"/>
                <w:color w:val="auto"/>
                <w:sz w:val="24"/>
                <w:szCs w:val="24"/>
                <w:lang w:val="en-US" w:eastAsia="zh-CN"/>
              </w:rPr>
              <w:t>147667</w:t>
            </w:r>
            <w:r>
              <w:rPr>
                <w:rFonts w:hint="eastAsia" w:ascii="Times New Roman" w:hAnsi="Times New Roman" w:eastAsia="宋体" w:cs="Times New Roman"/>
                <w:color w:val="auto"/>
                <w:sz w:val="24"/>
                <w:szCs w:val="24"/>
                <w:lang w:eastAsia="zh-CN"/>
              </w:rPr>
              <w:t>辆次</w:t>
            </w:r>
            <w:r>
              <w:rPr>
                <w:rFonts w:hint="eastAsia" w:ascii="Times New Roman" w:hAnsi="Times New Roman" w:eastAsia="宋体" w:cs="Times New Roman"/>
                <w:color w:val="auto"/>
                <w:sz w:val="24"/>
                <w:szCs w:val="24"/>
                <w:lang w:val="en-US" w:eastAsia="zh-CN"/>
              </w:rPr>
              <w:t>，综上每天发车空、重载各约</w:t>
            </w:r>
            <w:r>
              <w:rPr>
                <w:rFonts w:hint="eastAsia" w:cs="Times New Roman"/>
                <w:color w:val="auto"/>
                <w:sz w:val="24"/>
                <w:szCs w:val="24"/>
                <w:lang w:val="en-US" w:eastAsia="zh-CN"/>
              </w:rPr>
              <w:t>447</w:t>
            </w:r>
            <w:r>
              <w:rPr>
                <w:rFonts w:hint="eastAsia" w:ascii="Times New Roman" w:hAnsi="Times New Roman" w:eastAsia="宋体" w:cs="Times New Roman"/>
                <w:color w:val="auto"/>
                <w:sz w:val="24"/>
                <w:szCs w:val="24"/>
                <w:lang w:val="en-US" w:eastAsia="zh-CN"/>
              </w:rPr>
              <w:t>辆（次），空车重约10t，载重车重约40t，以速度10km/h行驶，考虑项目厂区地面均已硬化，在不洒水的情况下，道路表面粉尘量以0.05kg/m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计，则项目运输车辆动力起尘量约为</w:t>
            </w:r>
            <w:r>
              <w:rPr>
                <w:rFonts w:hint="eastAsia" w:cs="Times New Roman"/>
                <w:color w:val="auto"/>
                <w:sz w:val="24"/>
                <w:szCs w:val="24"/>
                <w:lang w:val="en-US" w:eastAsia="zh-CN"/>
              </w:rPr>
              <w:t>17.3kg</w:t>
            </w:r>
            <w:r>
              <w:rPr>
                <w:rFonts w:hint="eastAsia" w:ascii="Times New Roman" w:hAnsi="Times New Roman" w:eastAsia="宋体" w:cs="Times New Roman"/>
                <w:color w:val="auto"/>
                <w:sz w:val="24"/>
                <w:szCs w:val="24"/>
                <w:lang w:val="en-US" w:eastAsia="zh-CN"/>
              </w:rPr>
              <w:t>/d。项目车辆运输避开夜间和午间，因此每日运输时间按8h计，年</w:t>
            </w:r>
            <w:r>
              <w:rPr>
                <w:rFonts w:hint="eastAsia" w:cs="Times New Roman"/>
                <w:color w:val="auto"/>
                <w:sz w:val="24"/>
                <w:szCs w:val="24"/>
                <w:lang w:val="en-US" w:eastAsia="zh-CN"/>
              </w:rPr>
              <w:t>330</w:t>
            </w:r>
            <w:r>
              <w:rPr>
                <w:rFonts w:hint="eastAsia" w:ascii="Times New Roman" w:hAnsi="Times New Roman" w:eastAsia="宋体" w:cs="Times New Roman"/>
                <w:color w:val="auto"/>
                <w:sz w:val="24"/>
                <w:szCs w:val="24"/>
                <w:lang w:val="en-US" w:eastAsia="zh-CN"/>
              </w:rPr>
              <w:t>天。项目车辆运输扬尘产生量约为</w:t>
            </w:r>
            <w:r>
              <w:rPr>
                <w:rFonts w:hint="eastAsia" w:cs="Times New Roman"/>
                <w:color w:val="auto"/>
                <w:sz w:val="24"/>
                <w:szCs w:val="24"/>
                <w:lang w:val="en-US" w:eastAsia="zh-CN"/>
              </w:rPr>
              <w:t>5.71</w:t>
            </w:r>
            <w:r>
              <w:rPr>
                <w:rFonts w:hint="eastAsia" w:ascii="Times New Roman" w:hAnsi="Times New Roman" w:eastAsia="宋体" w:cs="Times New Roman"/>
                <w:color w:val="auto"/>
                <w:sz w:val="24"/>
                <w:szCs w:val="24"/>
                <w:lang w:val="en-US" w:eastAsia="zh-CN"/>
              </w:rPr>
              <w:t>t/a。</w:t>
            </w:r>
          </w:p>
          <w:p w14:paraId="5A35DAA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项目厂区地面</w:t>
            </w:r>
            <w:r>
              <w:rPr>
                <w:rFonts w:hint="eastAsia" w:ascii="Times New Roman" w:hAnsi="Times New Roman" w:eastAsia="宋体" w:cs="Times New Roman"/>
                <w:color w:val="auto"/>
                <w:sz w:val="24"/>
                <w:szCs w:val="24"/>
                <w:lang w:val="en-US" w:eastAsia="zh-CN"/>
              </w:rPr>
              <w:t>硬化</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同时</w:t>
            </w:r>
            <w:r>
              <w:rPr>
                <w:rFonts w:hint="default" w:ascii="Times New Roman" w:hAnsi="Times New Roman" w:eastAsia="宋体" w:cs="Times New Roman"/>
                <w:color w:val="auto"/>
                <w:sz w:val="24"/>
                <w:szCs w:val="24"/>
                <w:lang w:val="en-US" w:eastAsia="zh-CN"/>
              </w:rPr>
              <w:t>拟对厂区内路面进行定时</w:t>
            </w:r>
            <w:r>
              <w:rPr>
                <w:rFonts w:hint="eastAsia" w:ascii="Times New Roman" w:hAnsi="Times New Roman" w:eastAsia="宋体" w:cs="Times New Roman"/>
                <w:color w:val="auto"/>
                <w:sz w:val="24"/>
                <w:szCs w:val="24"/>
                <w:lang w:val="en-US" w:eastAsia="zh-CN"/>
              </w:rPr>
              <w:t>人工</w:t>
            </w:r>
            <w:r>
              <w:rPr>
                <w:rFonts w:hint="default" w:ascii="Times New Roman" w:hAnsi="Times New Roman" w:eastAsia="宋体" w:cs="Times New Roman"/>
                <w:color w:val="auto"/>
                <w:sz w:val="24"/>
                <w:szCs w:val="24"/>
                <w:lang w:val="en-US" w:eastAsia="zh-CN"/>
              </w:rPr>
              <w:t>洒水</w:t>
            </w:r>
            <w:r>
              <w:rPr>
                <w:rFonts w:hint="eastAsia" w:ascii="Times New Roman" w:hAnsi="Times New Roman" w:eastAsia="宋体" w:cs="Times New Roman"/>
                <w:color w:val="auto"/>
                <w:sz w:val="24"/>
                <w:szCs w:val="24"/>
                <w:lang w:val="en-US" w:eastAsia="zh-CN"/>
              </w:rPr>
              <w:t>和清扫</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进出车辆设洗车台冲洗，</w:t>
            </w:r>
            <w:r>
              <w:rPr>
                <w:rFonts w:hint="default" w:ascii="Times New Roman" w:hAnsi="Times New Roman" w:eastAsia="宋体" w:cs="Times New Roman"/>
                <w:color w:val="auto"/>
                <w:sz w:val="24"/>
                <w:szCs w:val="24"/>
                <w:lang w:val="en-US" w:eastAsia="zh-CN"/>
              </w:rPr>
              <w:t>以减少道路扬尘。参考《</w:t>
            </w:r>
            <w:r>
              <w:rPr>
                <w:rFonts w:hint="eastAsia" w:cs="Times New Roman"/>
                <w:color w:val="auto"/>
                <w:sz w:val="24"/>
                <w:szCs w:val="24"/>
                <w:lang w:val="en-US" w:eastAsia="zh-CN"/>
              </w:rPr>
              <w:t>固体物料堆存颗粒物产排污核算系数手册</w:t>
            </w:r>
            <w:r>
              <w:rPr>
                <w:rFonts w:hint="default" w:ascii="Times New Roman" w:hAnsi="Times New Roman" w:eastAsia="宋体" w:cs="Times New Roman"/>
                <w:color w:val="auto"/>
                <w:sz w:val="24"/>
                <w:szCs w:val="24"/>
                <w:lang w:val="en-US" w:eastAsia="zh-CN"/>
              </w:rPr>
              <w:t>》附录4控制措施的控制效率，洒水降尘控制效率约74%</w:t>
            </w:r>
            <w:r>
              <w:rPr>
                <w:rFonts w:hint="eastAsia" w:ascii="Times New Roman" w:hAnsi="Times New Roman" w:eastAsia="宋体" w:cs="Times New Roman"/>
                <w:color w:val="auto"/>
                <w:sz w:val="24"/>
                <w:szCs w:val="24"/>
                <w:lang w:val="en-US" w:eastAsia="zh-CN"/>
              </w:rPr>
              <w:t>，出入车辆冲洗粉尘控制效率78%，则</w:t>
            </w:r>
            <w:r>
              <w:rPr>
                <w:rFonts w:hint="default" w:ascii="Times New Roman" w:hAnsi="Times New Roman" w:eastAsia="宋体" w:cs="Times New Roman"/>
                <w:color w:val="auto"/>
                <w:sz w:val="24"/>
                <w:szCs w:val="24"/>
                <w:lang w:val="en-US" w:eastAsia="zh-CN"/>
              </w:rPr>
              <w:t>采取洒水降尘措施后，项目</w:t>
            </w:r>
            <w:r>
              <w:rPr>
                <w:rFonts w:hint="eastAsia" w:ascii="Times New Roman" w:hAnsi="Times New Roman" w:eastAsia="宋体" w:cs="Times New Roman"/>
                <w:color w:val="auto"/>
                <w:sz w:val="24"/>
                <w:szCs w:val="24"/>
                <w:lang w:val="en-US" w:eastAsia="zh-CN"/>
              </w:rPr>
              <w:t>车辆扬尘</w:t>
            </w:r>
            <w:r>
              <w:rPr>
                <w:rFonts w:hint="default" w:ascii="Times New Roman" w:hAnsi="Times New Roman" w:eastAsia="宋体" w:cs="Times New Roman"/>
                <w:color w:val="auto"/>
                <w:sz w:val="24"/>
                <w:szCs w:val="24"/>
                <w:lang w:val="en-US" w:eastAsia="zh-CN"/>
              </w:rPr>
              <w:t>量为</w:t>
            </w:r>
            <w:r>
              <w:rPr>
                <w:rFonts w:hint="eastAsia" w:cs="Times New Roman"/>
                <w:color w:val="auto"/>
                <w:sz w:val="24"/>
                <w:szCs w:val="24"/>
                <w:lang w:val="en-US" w:eastAsia="zh-CN"/>
              </w:rPr>
              <w:t>0.327</w:t>
            </w:r>
            <w:r>
              <w:rPr>
                <w:rFonts w:hint="default" w:ascii="Times New Roman" w:hAnsi="Times New Roman" w:eastAsia="宋体" w:cs="Times New Roman"/>
                <w:color w:val="auto"/>
                <w:sz w:val="24"/>
                <w:szCs w:val="24"/>
                <w:lang w:val="en-US" w:eastAsia="zh-CN"/>
              </w:rPr>
              <w:t>t/a，排放速率为</w:t>
            </w:r>
            <w:r>
              <w:rPr>
                <w:rFonts w:hint="eastAsia" w:cs="Times New Roman"/>
                <w:color w:val="auto"/>
                <w:sz w:val="24"/>
                <w:szCs w:val="24"/>
                <w:lang w:val="en-US" w:eastAsia="zh-CN"/>
              </w:rPr>
              <w:t>0.124</w:t>
            </w:r>
            <w:r>
              <w:rPr>
                <w:rFonts w:hint="default" w:ascii="Times New Roman" w:hAnsi="Times New Roman" w:eastAsia="宋体" w:cs="Times New Roman"/>
                <w:color w:val="auto"/>
                <w:sz w:val="24"/>
                <w:szCs w:val="24"/>
                <w:lang w:val="en-US" w:eastAsia="zh-CN"/>
              </w:rPr>
              <w:t>kg/h。</w:t>
            </w:r>
          </w:p>
          <w:p w14:paraId="0336F7C1">
            <w:pPr>
              <w:bidi w:val="0"/>
              <w:rPr>
                <w:rFonts w:hint="default"/>
                <w:b/>
                <w:bCs/>
                <w:color w:val="auto"/>
                <w:lang w:val="en-US" w:eastAsia="zh-CN"/>
              </w:rPr>
            </w:pPr>
            <w:r>
              <w:rPr>
                <w:rFonts w:hint="eastAsia"/>
                <w:b/>
                <w:bCs/>
                <w:color w:val="auto"/>
                <w:lang w:eastAsia="zh-CN"/>
              </w:rPr>
              <w:t>（</w:t>
            </w:r>
            <w:r>
              <w:rPr>
                <w:rFonts w:hint="eastAsia"/>
                <w:b/>
                <w:bCs/>
                <w:color w:val="auto"/>
                <w:lang w:val="en-US" w:eastAsia="zh-CN"/>
              </w:rPr>
              <w:t>3</w:t>
            </w:r>
            <w:r>
              <w:rPr>
                <w:rFonts w:hint="eastAsia"/>
                <w:b/>
                <w:bCs/>
                <w:color w:val="auto"/>
                <w:lang w:eastAsia="zh-CN"/>
              </w:rPr>
              <w:t>）粉料仓</w:t>
            </w:r>
            <w:r>
              <w:rPr>
                <w:rFonts w:hint="eastAsia"/>
                <w:b/>
                <w:bCs/>
                <w:color w:val="auto"/>
                <w:lang w:val="en-US" w:eastAsia="zh-CN"/>
              </w:rPr>
              <w:t>呼吸尘</w:t>
            </w:r>
          </w:p>
          <w:p w14:paraId="289DD46A">
            <w:pPr>
              <w:bidi w:val="0"/>
              <w:rPr>
                <w:rFonts w:hint="default"/>
                <w:color w:val="auto"/>
                <w:lang w:val="en-US" w:eastAsia="zh-CN"/>
              </w:rPr>
            </w:pPr>
            <w:r>
              <w:rPr>
                <w:rFonts w:hint="default"/>
                <w:color w:val="auto"/>
                <w:lang w:val="en-US" w:eastAsia="zh-CN"/>
              </w:rPr>
              <w:t>项目水泥、</w:t>
            </w:r>
            <w:r>
              <w:rPr>
                <w:rFonts w:hint="eastAsia"/>
                <w:color w:val="auto"/>
                <w:lang w:val="en-US" w:eastAsia="zh-CN"/>
              </w:rPr>
              <w:t>矿粉、粉煤灰</w:t>
            </w:r>
            <w:r>
              <w:rPr>
                <w:rFonts w:hint="default"/>
                <w:color w:val="auto"/>
                <w:lang w:val="en-US" w:eastAsia="zh-CN"/>
              </w:rPr>
              <w:t>为粉状料，通过密闭运输车和管道输送至</w:t>
            </w:r>
            <w:r>
              <w:rPr>
                <w:rFonts w:hint="eastAsia"/>
                <w:color w:val="auto"/>
                <w:lang w:val="en-US" w:eastAsia="zh-CN"/>
              </w:rPr>
              <w:t>粉料仓</w:t>
            </w:r>
            <w:r>
              <w:rPr>
                <w:rFonts w:hint="default"/>
                <w:color w:val="auto"/>
                <w:lang w:val="en-US" w:eastAsia="zh-CN"/>
              </w:rPr>
              <w:t>储存，项目设</w:t>
            </w:r>
            <w:r>
              <w:rPr>
                <w:rFonts w:hint="eastAsia"/>
                <w:color w:val="auto"/>
                <w:lang w:val="en-US" w:eastAsia="zh-CN"/>
              </w:rPr>
              <w:t>两套混凝土搅拌站，其粉料仓</w:t>
            </w:r>
            <w:r>
              <w:rPr>
                <w:rFonts w:hint="default"/>
                <w:color w:val="auto"/>
                <w:lang w:val="en-US" w:eastAsia="zh-CN"/>
              </w:rPr>
              <w:t>共计</w:t>
            </w:r>
            <w:r>
              <w:rPr>
                <w:rFonts w:hint="eastAsia"/>
                <w:color w:val="auto"/>
                <w:lang w:val="en-US" w:eastAsia="zh-CN"/>
              </w:rPr>
              <w:t>12</w:t>
            </w:r>
            <w:r>
              <w:rPr>
                <w:rFonts w:hint="default"/>
                <w:color w:val="auto"/>
                <w:lang w:val="en-US" w:eastAsia="zh-CN"/>
              </w:rPr>
              <w:t>个，其中水泥仓</w:t>
            </w:r>
            <w:r>
              <w:rPr>
                <w:rFonts w:hint="eastAsia"/>
                <w:color w:val="auto"/>
                <w:lang w:val="en-US" w:eastAsia="zh-CN"/>
              </w:rPr>
              <w:t>8个</w:t>
            </w:r>
            <w:r>
              <w:rPr>
                <w:rFonts w:hint="default"/>
                <w:color w:val="auto"/>
                <w:lang w:val="en-US" w:eastAsia="zh-CN"/>
              </w:rPr>
              <w:t>、</w:t>
            </w:r>
            <w:r>
              <w:rPr>
                <w:rFonts w:hint="eastAsia"/>
                <w:color w:val="auto"/>
                <w:lang w:val="en-US" w:eastAsia="zh-CN"/>
              </w:rPr>
              <w:t>矿粉</w:t>
            </w:r>
            <w:r>
              <w:rPr>
                <w:rFonts w:hint="default"/>
                <w:color w:val="auto"/>
                <w:lang w:val="en-US" w:eastAsia="zh-CN"/>
              </w:rPr>
              <w:t>仓</w:t>
            </w:r>
            <w:r>
              <w:rPr>
                <w:rFonts w:hint="eastAsia"/>
                <w:color w:val="auto"/>
                <w:lang w:val="en-US" w:eastAsia="zh-CN"/>
              </w:rPr>
              <w:t>2</w:t>
            </w:r>
            <w:r>
              <w:rPr>
                <w:rFonts w:hint="default"/>
                <w:color w:val="auto"/>
                <w:lang w:val="en-US" w:eastAsia="zh-CN"/>
              </w:rPr>
              <w:t>个</w:t>
            </w:r>
            <w:r>
              <w:rPr>
                <w:rFonts w:hint="eastAsia"/>
                <w:color w:val="auto"/>
                <w:lang w:val="en-US" w:eastAsia="zh-CN"/>
              </w:rPr>
              <w:t>、粉煤灰仓2个</w:t>
            </w:r>
            <w:r>
              <w:rPr>
                <w:rFonts w:hint="default"/>
                <w:color w:val="auto"/>
                <w:lang w:val="en-US" w:eastAsia="zh-CN"/>
              </w:rPr>
              <w:t>，均配有呼吸口，呼吸口位于</w:t>
            </w:r>
            <w:r>
              <w:rPr>
                <w:rFonts w:hint="eastAsia"/>
                <w:color w:val="auto"/>
                <w:lang w:val="en-US" w:eastAsia="zh-CN"/>
              </w:rPr>
              <w:t>筒仓</w:t>
            </w:r>
            <w:r>
              <w:rPr>
                <w:rFonts w:hint="default"/>
                <w:color w:val="auto"/>
                <w:lang w:val="en-US" w:eastAsia="zh-CN"/>
              </w:rPr>
              <w:t>顶部。当进出料时，由于压差，</w:t>
            </w:r>
            <w:r>
              <w:rPr>
                <w:rFonts w:hint="eastAsia"/>
                <w:color w:val="auto"/>
                <w:lang w:val="en-US" w:eastAsia="zh-CN"/>
              </w:rPr>
              <w:t>粉料仓</w:t>
            </w:r>
            <w:r>
              <w:rPr>
                <w:rFonts w:hint="default"/>
                <w:color w:val="auto"/>
                <w:lang w:val="en-US" w:eastAsia="zh-CN"/>
              </w:rPr>
              <w:t>将产生呼吸现象，</w:t>
            </w:r>
            <w:r>
              <w:rPr>
                <w:rFonts w:hint="eastAsia"/>
                <w:color w:val="auto"/>
                <w:lang w:val="en-US" w:eastAsia="zh-CN"/>
              </w:rPr>
              <w:t>仓</w:t>
            </w:r>
            <w:r>
              <w:rPr>
                <w:rFonts w:hint="default"/>
                <w:color w:val="auto"/>
                <w:lang w:val="en-US" w:eastAsia="zh-CN"/>
              </w:rPr>
              <w:t>体内粉尘从呼吸口排出</w:t>
            </w:r>
            <w:r>
              <w:rPr>
                <w:rFonts w:hint="eastAsia"/>
                <w:color w:val="auto"/>
                <w:lang w:val="en-US" w:eastAsia="zh-CN"/>
              </w:rPr>
              <w:t>仓</w:t>
            </w:r>
            <w:r>
              <w:rPr>
                <w:rFonts w:hint="default"/>
                <w:color w:val="auto"/>
                <w:lang w:val="en-US" w:eastAsia="zh-CN"/>
              </w:rPr>
              <w:t>外，从而产生呼吸尘。</w:t>
            </w:r>
          </w:p>
          <w:p w14:paraId="3A7E4B44">
            <w:pPr>
              <w:bidi w:val="0"/>
              <w:rPr>
                <w:rFonts w:hint="eastAsia" w:ascii="Times New Roman" w:hAnsi="Times New Roman" w:eastAsia="宋体" w:cs="Times New Roman"/>
                <w:color w:val="auto"/>
                <w:szCs w:val="24"/>
                <w:lang w:val="en-US" w:eastAsia="zh-CN"/>
              </w:rPr>
            </w:pPr>
            <w:r>
              <w:rPr>
                <w:rFonts w:hint="eastAsia"/>
                <w:color w:val="auto"/>
                <w:lang w:val="en-US" w:eastAsia="zh-CN"/>
              </w:rPr>
              <w:t>项目粉料仓物料主要用于生产预拌商品混凝土，参考</w:t>
            </w:r>
            <w:r>
              <w:rPr>
                <w:rFonts w:hint="default"/>
                <w:color w:val="auto"/>
                <w:lang w:val="en-US" w:eastAsia="zh-CN"/>
              </w:rPr>
              <w:t>《排放源统计调查产污核算方法和系数手册》</w:t>
            </w:r>
            <w:r>
              <w:rPr>
                <w:rFonts w:hint="eastAsia"/>
                <w:color w:val="auto"/>
                <w:lang w:val="en-US" w:eastAsia="zh-CN"/>
              </w:rPr>
              <w:t>“</w:t>
            </w:r>
            <w:r>
              <w:rPr>
                <w:rFonts w:hint="default"/>
                <w:color w:val="auto"/>
                <w:lang w:val="en-US" w:eastAsia="zh-CN"/>
              </w:rPr>
              <w:t>3021水泥制品制造</w:t>
            </w:r>
            <w:r>
              <w:rPr>
                <w:rFonts w:hint="eastAsia"/>
                <w:color w:val="auto"/>
                <w:lang w:val="en-US" w:eastAsia="zh-CN"/>
              </w:rPr>
              <w:t>（含3022砼结构构件、3029其他水泥类似制品制造）行业”</w:t>
            </w:r>
            <w:r>
              <w:rPr>
                <w:rFonts w:hint="default"/>
                <w:color w:val="auto"/>
                <w:lang w:val="en-US" w:eastAsia="zh-CN"/>
              </w:rPr>
              <w:t>行业系数手册</w:t>
            </w:r>
            <w:r>
              <w:rPr>
                <w:rFonts w:hint="eastAsia"/>
                <w:color w:val="auto"/>
                <w:lang w:val="en-US" w:eastAsia="zh-CN"/>
              </w:rPr>
              <w:t>产污系数计算，详见表4.2-2。</w:t>
            </w:r>
          </w:p>
          <w:p w14:paraId="23E1CA5B">
            <w:pPr>
              <w:pStyle w:val="33"/>
              <w:bidi w:val="0"/>
              <w:rPr>
                <w:rFonts w:hint="eastAsia"/>
                <w:color w:val="auto"/>
                <w:sz w:val="24"/>
                <w:szCs w:val="24"/>
                <w:lang w:val="en-US" w:eastAsia="zh-CN"/>
              </w:rPr>
            </w:pPr>
            <w:r>
              <w:rPr>
                <w:rFonts w:hint="eastAsia"/>
                <w:color w:val="auto"/>
                <w:sz w:val="24"/>
                <w:szCs w:val="24"/>
              </w:rPr>
              <w:t>表4.2-</w:t>
            </w:r>
            <w:r>
              <w:rPr>
                <w:rFonts w:hint="eastAsia"/>
                <w:color w:val="auto"/>
                <w:sz w:val="24"/>
                <w:szCs w:val="24"/>
                <w:lang w:val="en-US" w:eastAsia="zh-CN"/>
              </w:rPr>
              <w:t>2</w:t>
            </w:r>
            <w:r>
              <w:rPr>
                <w:rFonts w:hint="eastAsia"/>
                <w:color w:val="auto"/>
                <w:sz w:val="24"/>
                <w:szCs w:val="24"/>
              </w:rPr>
              <w:t xml:space="preserve"> </w:t>
            </w:r>
            <w:r>
              <w:rPr>
                <w:rFonts w:hint="eastAsia"/>
                <w:color w:val="auto"/>
                <w:sz w:val="24"/>
                <w:szCs w:val="24"/>
                <w:lang w:val="en-US" w:eastAsia="zh-CN"/>
              </w:rPr>
              <w:t>3021 水泥制品制造（含3022砼结构构件、3029其他水泥类似制品制造）行业产污系数</w:t>
            </w:r>
          </w:p>
          <w:tbl>
            <w:tblPr>
              <w:tblStyle w:val="21"/>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5"/>
              <w:gridCol w:w="856"/>
              <w:gridCol w:w="898"/>
              <w:gridCol w:w="896"/>
              <w:gridCol w:w="707"/>
              <w:gridCol w:w="426"/>
              <w:gridCol w:w="1112"/>
              <w:gridCol w:w="1349"/>
              <w:gridCol w:w="989"/>
            </w:tblGrid>
            <w:tr w14:paraId="4DB81A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8" w:type="dxa"/>
                  <w:tcBorders>
                    <w:tl2br w:val="nil"/>
                    <w:tr2bl w:val="nil"/>
                  </w:tcBorders>
                  <w:noWrap w:val="0"/>
                  <w:vAlign w:val="center"/>
                </w:tcPr>
                <w:p w14:paraId="67C3D109">
                  <w:pPr>
                    <w:pStyle w:val="33"/>
                    <w:keepLines w:val="0"/>
                    <w:pageBreakBefore w:val="0"/>
                    <w:widowControl w:val="0"/>
                    <w:kinsoku/>
                    <w:wordWrap/>
                    <w:overflowPunct/>
                    <w:topLinePunct w:val="0"/>
                    <w:autoSpaceDE/>
                    <w:autoSpaceDN/>
                    <w:bidi w:val="0"/>
                    <w:adjustRightInd/>
                    <w:snapToGrid/>
                    <w:spacing w:before="0" w:beforeLines="0" w:after="0" w:afterLines="0"/>
                    <w:textAlignment w:val="auto"/>
                    <w:rPr>
                      <w:rFonts w:hint="eastAsia"/>
                      <w:color w:val="auto"/>
                      <w:lang w:val="en-US" w:eastAsia="zh-CN"/>
                    </w:rPr>
                  </w:pPr>
                  <w:r>
                    <w:rPr>
                      <w:rFonts w:hint="eastAsia"/>
                      <w:color w:val="auto"/>
                      <w:lang w:val="en-US" w:eastAsia="zh-CN"/>
                    </w:rPr>
                    <w:t>工段</w:t>
                  </w:r>
                </w:p>
                <w:p w14:paraId="26555AD7">
                  <w:pPr>
                    <w:pStyle w:val="33"/>
                    <w:keepLines w:val="0"/>
                    <w:pageBreakBefore w:val="0"/>
                    <w:widowControl w:val="0"/>
                    <w:kinsoku/>
                    <w:wordWrap/>
                    <w:overflowPunct/>
                    <w:topLinePunct w:val="0"/>
                    <w:autoSpaceDE/>
                    <w:autoSpaceDN/>
                    <w:bidi w:val="0"/>
                    <w:adjustRightInd/>
                    <w:snapToGrid/>
                    <w:spacing w:before="0" w:beforeLines="0" w:after="0" w:afterLines="0"/>
                    <w:textAlignment w:val="auto"/>
                    <w:rPr>
                      <w:rFonts w:hint="eastAsia"/>
                      <w:color w:val="auto"/>
                      <w:lang w:val="en-US" w:eastAsia="zh-CN"/>
                    </w:rPr>
                  </w:pPr>
                  <w:r>
                    <w:rPr>
                      <w:rFonts w:hint="eastAsia"/>
                      <w:color w:val="auto"/>
                      <w:lang w:val="en-US" w:eastAsia="zh-CN"/>
                    </w:rPr>
                    <w:t>名称</w:t>
                  </w:r>
                </w:p>
              </w:tc>
              <w:tc>
                <w:tcPr>
                  <w:tcW w:w="859" w:type="dxa"/>
                  <w:tcBorders>
                    <w:tl2br w:val="nil"/>
                    <w:tr2bl w:val="nil"/>
                  </w:tcBorders>
                  <w:noWrap w:val="0"/>
                  <w:vAlign w:val="center"/>
                </w:tcPr>
                <w:p w14:paraId="378D0091">
                  <w:pPr>
                    <w:pStyle w:val="33"/>
                    <w:keepLines w:val="0"/>
                    <w:pageBreakBefore w:val="0"/>
                    <w:widowControl w:val="0"/>
                    <w:kinsoku/>
                    <w:wordWrap/>
                    <w:overflowPunct/>
                    <w:topLinePunct w:val="0"/>
                    <w:autoSpaceDE/>
                    <w:autoSpaceDN/>
                    <w:bidi w:val="0"/>
                    <w:adjustRightInd/>
                    <w:snapToGrid/>
                    <w:spacing w:before="0" w:beforeLines="0" w:after="0" w:afterLines="0"/>
                    <w:textAlignment w:val="auto"/>
                    <w:rPr>
                      <w:rFonts w:hint="eastAsia"/>
                      <w:color w:val="auto"/>
                      <w:lang w:val="en-US" w:eastAsia="zh-CN"/>
                    </w:rPr>
                  </w:pPr>
                  <w:r>
                    <w:rPr>
                      <w:rFonts w:hint="eastAsia"/>
                      <w:color w:val="auto"/>
                      <w:lang w:val="en-US" w:eastAsia="zh-CN"/>
                    </w:rPr>
                    <w:t>产品</w:t>
                  </w:r>
                </w:p>
                <w:p w14:paraId="7074F8F7">
                  <w:pPr>
                    <w:pStyle w:val="33"/>
                    <w:keepLines w:val="0"/>
                    <w:pageBreakBefore w:val="0"/>
                    <w:widowControl w:val="0"/>
                    <w:kinsoku/>
                    <w:wordWrap/>
                    <w:overflowPunct/>
                    <w:topLinePunct w:val="0"/>
                    <w:autoSpaceDE/>
                    <w:autoSpaceDN/>
                    <w:bidi w:val="0"/>
                    <w:adjustRightInd/>
                    <w:snapToGrid/>
                    <w:spacing w:before="0" w:beforeLines="0" w:after="0" w:afterLines="0"/>
                    <w:textAlignment w:val="auto"/>
                    <w:rPr>
                      <w:rFonts w:hint="eastAsia"/>
                      <w:color w:val="auto"/>
                      <w:lang w:val="en-US" w:eastAsia="zh-CN"/>
                    </w:rPr>
                  </w:pPr>
                  <w:r>
                    <w:rPr>
                      <w:rFonts w:hint="eastAsia"/>
                      <w:color w:val="auto"/>
                      <w:lang w:val="en-US" w:eastAsia="zh-CN"/>
                    </w:rPr>
                    <w:t>名称</w:t>
                  </w:r>
                </w:p>
              </w:tc>
              <w:tc>
                <w:tcPr>
                  <w:tcW w:w="900" w:type="dxa"/>
                  <w:tcBorders>
                    <w:tl2br w:val="nil"/>
                    <w:tr2bl w:val="nil"/>
                  </w:tcBorders>
                  <w:noWrap w:val="0"/>
                  <w:vAlign w:val="center"/>
                </w:tcPr>
                <w:p w14:paraId="40F07600">
                  <w:pPr>
                    <w:pStyle w:val="33"/>
                    <w:keepLines w:val="0"/>
                    <w:pageBreakBefore w:val="0"/>
                    <w:widowControl w:val="0"/>
                    <w:kinsoku/>
                    <w:wordWrap/>
                    <w:overflowPunct/>
                    <w:topLinePunct w:val="0"/>
                    <w:autoSpaceDE/>
                    <w:autoSpaceDN/>
                    <w:bidi w:val="0"/>
                    <w:adjustRightInd/>
                    <w:snapToGrid/>
                    <w:spacing w:before="0" w:beforeLines="0" w:after="0" w:afterLines="0"/>
                    <w:textAlignment w:val="auto"/>
                    <w:rPr>
                      <w:rFonts w:hint="eastAsia"/>
                      <w:color w:val="auto"/>
                      <w:lang w:val="en-US" w:eastAsia="zh-CN"/>
                    </w:rPr>
                  </w:pPr>
                  <w:r>
                    <w:rPr>
                      <w:rFonts w:hint="eastAsia"/>
                      <w:color w:val="auto"/>
                      <w:lang w:val="en-US" w:eastAsia="zh-CN"/>
                    </w:rPr>
                    <w:t>原料</w:t>
                  </w:r>
                </w:p>
                <w:p w14:paraId="6403BEED">
                  <w:pPr>
                    <w:pStyle w:val="33"/>
                    <w:keepLines w:val="0"/>
                    <w:pageBreakBefore w:val="0"/>
                    <w:widowControl w:val="0"/>
                    <w:kinsoku/>
                    <w:wordWrap/>
                    <w:overflowPunct/>
                    <w:topLinePunct w:val="0"/>
                    <w:autoSpaceDE/>
                    <w:autoSpaceDN/>
                    <w:bidi w:val="0"/>
                    <w:adjustRightInd/>
                    <w:snapToGrid/>
                    <w:spacing w:before="0" w:beforeLines="0" w:after="0" w:afterLines="0"/>
                    <w:textAlignment w:val="auto"/>
                    <w:rPr>
                      <w:rFonts w:hint="eastAsia"/>
                      <w:color w:val="auto"/>
                      <w:lang w:val="en-US" w:eastAsia="zh-CN"/>
                    </w:rPr>
                  </w:pPr>
                  <w:r>
                    <w:rPr>
                      <w:rFonts w:hint="eastAsia"/>
                      <w:color w:val="auto"/>
                      <w:lang w:val="en-US" w:eastAsia="zh-CN"/>
                    </w:rPr>
                    <w:t>名称</w:t>
                  </w:r>
                </w:p>
              </w:tc>
              <w:tc>
                <w:tcPr>
                  <w:tcW w:w="900" w:type="dxa"/>
                  <w:tcBorders>
                    <w:tl2br w:val="nil"/>
                    <w:tr2bl w:val="nil"/>
                  </w:tcBorders>
                  <w:noWrap w:val="0"/>
                  <w:vAlign w:val="center"/>
                </w:tcPr>
                <w:p w14:paraId="6B546E00">
                  <w:pPr>
                    <w:pStyle w:val="33"/>
                    <w:keepLines w:val="0"/>
                    <w:pageBreakBefore w:val="0"/>
                    <w:widowControl w:val="0"/>
                    <w:kinsoku/>
                    <w:wordWrap/>
                    <w:overflowPunct/>
                    <w:topLinePunct w:val="0"/>
                    <w:autoSpaceDE/>
                    <w:autoSpaceDN/>
                    <w:bidi w:val="0"/>
                    <w:adjustRightInd/>
                    <w:snapToGrid/>
                    <w:spacing w:before="0" w:beforeLines="0" w:after="0" w:afterLines="0"/>
                    <w:textAlignment w:val="auto"/>
                    <w:rPr>
                      <w:rFonts w:hint="eastAsia"/>
                      <w:color w:val="auto"/>
                      <w:lang w:val="en-US" w:eastAsia="zh-CN"/>
                    </w:rPr>
                  </w:pPr>
                  <w:r>
                    <w:rPr>
                      <w:rFonts w:hint="eastAsia"/>
                      <w:color w:val="auto"/>
                      <w:lang w:val="en-US" w:eastAsia="zh-CN"/>
                    </w:rPr>
                    <w:t>工艺</w:t>
                  </w:r>
                </w:p>
                <w:p w14:paraId="64FC8907">
                  <w:pPr>
                    <w:pStyle w:val="33"/>
                    <w:keepLines w:val="0"/>
                    <w:pageBreakBefore w:val="0"/>
                    <w:widowControl w:val="0"/>
                    <w:kinsoku/>
                    <w:wordWrap/>
                    <w:overflowPunct/>
                    <w:topLinePunct w:val="0"/>
                    <w:autoSpaceDE/>
                    <w:autoSpaceDN/>
                    <w:bidi w:val="0"/>
                    <w:adjustRightInd/>
                    <w:snapToGrid/>
                    <w:spacing w:before="0" w:beforeLines="0" w:after="0" w:afterLines="0"/>
                    <w:textAlignment w:val="auto"/>
                    <w:rPr>
                      <w:rFonts w:hint="eastAsia"/>
                      <w:color w:val="auto"/>
                      <w:lang w:val="en-US" w:eastAsia="zh-CN"/>
                    </w:rPr>
                  </w:pPr>
                  <w:r>
                    <w:rPr>
                      <w:rFonts w:hint="eastAsia"/>
                      <w:color w:val="auto"/>
                      <w:lang w:val="en-US" w:eastAsia="zh-CN"/>
                    </w:rPr>
                    <w:t>名称</w:t>
                  </w:r>
                </w:p>
              </w:tc>
              <w:tc>
                <w:tcPr>
                  <w:tcW w:w="709" w:type="dxa"/>
                  <w:tcBorders>
                    <w:tl2br w:val="nil"/>
                    <w:tr2bl w:val="nil"/>
                  </w:tcBorders>
                  <w:noWrap w:val="0"/>
                  <w:vAlign w:val="center"/>
                </w:tcPr>
                <w:p w14:paraId="49825766">
                  <w:pPr>
                    <w:pStyle w:val="33"/>
                    <w:keepLines w:val="0"/>
                    <w:pageBreakBefore w:val="0"/>
                    <w:widowControl w:val="0"/>
                    <w:kinsoku/>
                    <w:wordWrap/>
                    <w:overflowPunct/>
                    <w:topLinePunct w:val="0"/>
                    <w:autoSpaceDE/>
                    <w:autoSpaceDN/>
                    <w:bidi w:val="0"/>
                    <w:adjustRightInd/>
                    <w:snapToGrid/>
                    <w:spacing w:before="0" w:beforeLines="0" w:after="0" w:afterLines="0"/>
                    <w:textAlignment w:val="auto"/>
                    <w:rPr>
                      <w:rFonts w:hint="eastAsia"/>
                      <w:color w:val="auto"/>
                      <w:lang w:val="en-US" w:eastAsia="zh-CN"/>
                    </w:rPr>
                  </w:pPr>
                  <w:r>
                    <w:rPr>
                      <w:rFonts w:hint="eastAsia"/>
                      <w:color w:val="auto"/>
                      <w:lang w:val="en-US" w:eastAsia="zh-CN"/>
                    </w:rPr>
                    <w:t>规模</w:t>
                  </w:r>
                </w:p>
                <w:p w14:paraId="370EE5DE">
                  <w:pPr>
                    <w:pStyle w:val="33"/>
                    <w:keepLines w:val="0"/>
                    <w:pageBreakBefore w:val="0"/>
                    <w:widowControl w:val="0"/>
                    <w:kinsoku/>
                    <w:wordWrap/>
                    <w:overflowPunct/>
                    <w:topLinePunct w:val="0"/>
                    <w:autoSpaceDE/>
                    <w:autoSpaceDN/>
                    <w:bidi w:val="0"/>
                    <w:adjustRightInd/>
                    <w:snapToGrid/>
                    <w:spacing w:before="0" w:beforeLines="0" w:after="0" w:afterLines="0"/>
                    <w:textAlignment w:val="auto"/>
                    <w:rPr>
                      <w:rFonts w:hint="eastAsia"/>
                      <w:color w:val="auto"/>
                      <w:lang w:val="en-US" w:eastAsia="zh-CN"/>
                    </w:rPr>
                  </w:pPr>
                  <w:r>
                    <w:rPr>
                      <w:rFonts w:hint="eastAsia"/>
                      <w:color w:val="auto"/>
                      <w:lang w:val="en-US" w:eastAsia="zh-CN"/>
                    </w:rPr>
                    <w:t>等级</w:t>
                  </w:r>
                </w:p>
              </w:tc>
              <w:tc>
                <w:tcPr>
                  <w:tcW w:w="1514" w:type="dxa"/>
                  <w:gridSpan w:val="2"/>
                  <w:tcBorders>
                    <w:tl2br w:val="nil"/>
                    <w:tr2bl w:val="nil"/>
                  </w:tcBorders>
                  <w:noWrap w:val="0"/>
                  <w:vAlign w:val="center"/>
                </w:tcPr>
                <w:p w14:paraId="5415D509">
                  <w:pPr>
                    <w:pStyle w:val="33"/>
                    <w:keepLines w:val="0"/>
                    <w:pageBreakBefore w:val="0"/>
                    <w:widowControl w:val="0"/>
                    <w:kinsoku/>
                    <w:wordWrap/>
                    <w:overflowPunct/>
                    <w:topLinePunct w:val="0"/>
                    <w:autoSpaceDE/>
                    <w:autoSpaceDN/>
                    <w:bidi w:val="0"/>
                    <w:adjustRightInd/>
                    <w:snapToGrid/>
                    <w:spacing w:before="0" w:beforeLines="0" w:after="0" w:afterLines="0"/>
                    <w:textAlignment w:val="auto"/>
                    <w:rPr>
                      <w:rFonts w:hint="eastAsia"/>
                      <w:color w:val="auto"/>
                      <w:lang w:val="en-US" w:eastAsia="zh-CN"/>
                    </w:rPr>
                  </w:pPr>
                  <w:r>
                    <w:rPr>
                      <w:rFonts w:hint="eastAsia"/>
                      <w:color w:val="auto"/>
                      <w:lang w:val="en-US" w:eastAsia="zh-CN"/>
                    </w:rPr>
                    <w:t>污染物指标</w:t>
                  </w:r>
                </w:p>
              </w:tc>
              <w:tc>
                <w:tcPr>
                  <w:tcW w:w="1356" w:type="dxa"/>
                  <w:tcBorders>
                    <w:tl2br w:val="nil"/>
                    <w:tr2bl w:val="nil"/>
                  </w:tcBorders>
                  <w:noWrap w:val="0"/>
                  <w:vAlign w:val="center"/>
                </w:tcPr>
                <w:p w14:paraId="435822DD">
                  <w:pPr>
                    <w:pStyle w:val="33"/>
                    <w:keepLines w:val="0"/>
                    <w:pageBreakBefore w:val="0"/>
                    <w:widowControl w:val="0"/>
                    <w:kinsoku/>
                    <w:wordWrap/>
                    <w:overflowPunct/>
                    <w:topLinePunct w:val="0"/>
                    <w:autoSpaceDE/>
                    <w:autoSpaceDN/>
                    <w:bidi w:val="0"/>
                    <w:adjustRightInd/>
                    <w:snapToGrid/>
                    <w:spacing w:before="0" w:beforeLines="0" w:after="0" w:afterLines="0"/>
                    <w:textAlignment w:val="auto"/>
                    <w:rPr>
                      <w:rFonts w:hint="eastAsia"/>
                      <w:color w:val="auto"/>
                      <w:lang w:val="en-US" w:eastAsia="zh-CN"/>
                    </w:rPr>
                  </w:pPr>
                  <w:r>
                    <w:rPr>
                      <w:rFonts w:hint="eastAsia"/>
                      <w:color w:val="auto"/>
                      <w:lang w:val="en-US" w:eastAsia="zh-CN"/>
                    </w:rPr>
                    <w:t>系数</w:t>
                  </w:r>
                </w:p>
                <w:p w14:paraId="2898EF68">
                  <w:pPr>
                    <w:pStyle w:val="33"/>
                    <w:keepLines w:val="0"/>
                    <w:pageBreakBefore w:val="0"/>
                    <w:widowControl w:val="0"/>
                    <w:kinsoku/>
                    <w:wordWrap/>
                    <w:overflowPunct/>
                    <w:topLinePunct w:val="0"/>
                    <w:autoSpaceDE/>
                    <w:autoSpaceDN/>
                    <w:bidi w:val="0"/>
                    <w:adjustRightInd/>
                    <w:snapToGrid/>
                    <w:spacing w:before="0" w:beforeLines="0" w:after="0" w:afterLines="0"/>
                    <w:textAlignment w:val="auto"/>
                    <w:rPr>
                      <w:rFonts w:hint="eastAsia"/>
                      <w:color w:val="auto"/>
                      <w:lang w:val="en-US" w:eastAsia="zh-CN"/>
                    </w:rPr>
                  </w:pPr>
                  <w:r>
                    <w:rPr>
                      <w:rFonts w:hint="eastAsia"/>
                      <w:color w:val="auto"/>
                      <w:lang w:val="en-US" w:eastAsia="zh-CN"/>
                    </w:rPr>
                    <w:t>单位</w:t>
                  </w:r>
                </w:p>
              </w:tc>
              <w:tc>
                <w:tcPr>
                  <w:tcW w:w="992" w:type="dxa"/>
                  <w:tcBorders>
                    <w:tl2br w:val="nil"/>
                    <w:tr2bl w:val="nil"/>
                  </w:tcBorders>
                  <w:noWrap w:val="0"/>
                  <w:vAlign w:val="center"/>
                </w:tcPr>
                <w:p w14:paraId="2B540E96">
                  <w:pPr>
                    <w:pStyle w:val="33"/>
                    <w:keepLines w:val="0"/>
                    <w:pageBreakBefore w:val="0"/>
                    <w:widowControl w:val="0"/>
                    <w:kinsoku/>
                    <w:wordWrap/>
                    <w:overflowPunct/>
                    <w:topLinePunct w:val="0"/>
                    <w:autoSpaceDE/>
                    <w:autoSpaceDN/>
                    <w:bidi w:val="0"/>
                    <w:adjustRightInd/>
                    <w:snapToGrid/>
                    <w:spacing w:before="0" w:beforeLines="0" w:after="0" w:afterLines="0"/>
                    <w:textAlignment w:val="auto"/>
                    <w:rPr>
                      <w:rFonts w:hint="eastAsia"/>
                      <w:color w:val="auto"/>
                      <w:lang w:val="en-US" w:eastAsia="zh-CN"/>
                    </w:rPr>
                  </w:pPr>
                  <w:r>
                    <w:rPr>
                      <w:rFonts w:hint="eastAsia"/>
                      <w:color w:val="auto"/>
                      <w:lang w:val="en-US" w:eastAsia="zh-CN"/>
                    </w:rPr>
                    <w:t>产污</w:t>
                  </w:r>
                </w:p>
                <w:p w14:paraId="047BB0F0">
                  <w:pPr>
                    <w:pStyle w:val="33"/>
                    <w:keepLines w:val="0"/>
                    <w:pageBreakBefore w:val="0"/>
                    <w:widowControl w:val="0"/>
                    <w:kinsoku/>
                    <w:wordWrap/>
                    <w:overflowPunct/>
                    <w:topLinePunct w:val="0"/>
                    <w:autoSpaceDE/>
                    <w:autoSpaceDN/>
                    <w:bidi w:val="0"/>
                    <w:adjustRightInd/>
                    <w:snapToGrid/>
                    <w:spacing w:before="0" w:beforeLines="0" w:after="0" w:afterLines="0"/>
                    <w:textAlignment w:val="auto"/>
                    <w:rPr>
                      <w:rFonts w:hint="eastAsia"/>
                      <w:color w:val="auto"/>
                      <w:lang w:val="en-US" w:eastAsia="zh-CN"/>
                    </w:rPr>
                  </w:pPr>
                  <w:r>
                    <w:rPr>
                      <w:rFonts w:hint="eastAsia"/>
                      <w:color w:val="auto"/>
                      <w:lang w:val="en-US" w:eastAsia="zh-CN"/>
                    </w:rPr>
                    <w:t>系数</w:t>
                  </w:r>
                </w:p>
              </w:tc>
            </w:tr>
            <w:tr w14:paraId="4001A7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8" w:type="dxa"/>
                  <w:vMerge w:val="restart"/>
                  <w:tcBorders>
                    <w:tl2br w:val="nil"/>
                    <w:tr2bl w:val="nil"/>
                  </w:tcBorders>
                  <w:noWrap w:val="0"/>
                  <w:vAlign w:val="center"/>
                </w:tcPr>
                <w:p w14:paraId="60C868CD">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物料</w:t>
                  </w:r>
                </w:p>
                <w:p w14:paraId="022E06B1">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输送</w:t>
                  </w:r>
                </w:p>
              </w:tc>
              <w:tc>
                <w:tcPr>
                  <w:tcW w:w="859" w:type="dxa"/>
                  <w:vMerge w:val="restart"/>
                  <w:tcBorders>
                    <w:tl2br w:val="nil"/>
                    <w:tr2bl w:val="nil"/>
                  </w:tcBorders>
                  <w:noWrap w:val="0"/>
                  <w:vAlign w:val="center"/>
                </w:tcPr>
                <w:p w14:paraId="715616B8">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混凝土制品</w:t>
                  </w:r>
                </w:p>
              </w:tc>
              <w:tc>
                <w:tcPr>
                  <w:tcW w:w="900" w:type="dxa"/>
                  <w:vMerge w:val="restart"/>
                  <w:tcBorders>
                    <w:tl2br w:val="nil"/>
                    <w:tr2bl w:val="nil"/>
                  </w:tcBorders>
                  <w:noWrap w:val="0"/>
                  <w:vAlign w:val="center"/>
                </w:tcPr>
                <w:p w14:paraId="03F78D6D">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水泥、矿粉、粉煤灰等</w:t>
                  </w:r>
                </w:p>
              </w:tc>
              <w:tc>
                <w:tcPr>
                  <w:tcW w:w="900" w:type="dxa"/>
                  <w:vMerge w:val="restart"/>
                  <w:tcBorders>
                    <w:tl2br w:val="nil"/>
                    <w:tr2bl w:val="nil"/>
                  </w:tcBorders>
                  <w:noWrap w:val="0"/>
                  <w:vAlign w:val="center"/>
                </w:tcPr>
                <w:p w14:paraId="52C1EDA4">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物料</w:t>
                  </w:r>
                </w:p>
                <w:p w14:paraId="0FEDACFD">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输送</w:t>
                  </w:r>
                </w:p>
                <w:p w14:paraId="1E597595">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储存</w:t>
                  </w:r>
                </w:p>
              </w:tc>
              <w:tc>
                <w:tcPr>
                  <w:tcW w:w="709" w:type="dxa"/>
                  <w:vMerge w:val="restart"/>
                  <w:tcBorders>
                    <w:tl2br w:val="nil"/>
                    <w:tr2bl w:val="nil"/>
                  </w:tcBorders>
                  <w:noWrap w:val="0"/>
                  <w:vAlign w:val="center"/>
                </w:tcPr>
                <w:p w14:paraId="2C4C3C04">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所有规模</w:t>
                  </w:r>
                </w:p>
              </w:tc>
              <w:tc>
                <w:tcPr>
                  <w:tcW w:w="396" w:type="dxa"/>
                  <w:vMerge w:val="restart"/>
                  <w:tcBorders>
                    <w:tl2br w:val="nil"/>
                    <w:tr2bl w:val="nil"/>
                  </w:tcBorders>
                  <w:noWrap w:val="0"/>
                  <w:vAlign w:val="center"/>
                </w:tcPr>
                <w:p w14:paraId="7035A6AA">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废气</w:t>
                  </w:r>
                </w:p>
              </w:tc>
              <w:tc>
                <w:tcPr>
                  <w:tcW w:w="1118" w:type="dxa"/>
                  <w:tcBorders>
                    <w:tl2br w:val="nil"/>
                    <w:tr2bl w:val="nil"/>
                  </w:tcBorders>
                  <w:noWrap w:val="0"/>
                  <w:vAlign w:val="center"/>
                </w:tcPr>
                <w:p w14:paraId="7C2065BE">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废气量</w:t>
                  </w:r>
                </w:p>
              </w:tc>
              <w:tc>
                <w:tcPr>
                  <w:tcW w:w="1356" w:type="dxa"/>
                  <w:tcBorders>
                    <w:tl2br w:val="nil"/>
                    <w:tr2bl w:val="nil"/>
                  </w:tcBorders>
                  <w:noWrap w:val="0"/>
                  <w:vAlign w:val="center"/>
                </w:tcPr>
                <w:p w14:paraId="2FE47150">
                  <w:pPr>
                    <w:pStyle w:val="28"/>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标立方米/吨-产品</w:t>
                  </w:r>
                </w:p>
              </w:tc>
              <w:tc>
                <w:tcPr>
                  <w:tcW w:w="992" w:type="dxa"/>
                  <w:tcBorders>
                    <w:tl2br w:val="nil"/>
                    <w:tr2bl w:val="nil"/>
                  </w:tcBorders>
                  <w:noWrap w:val="0"/>
                  <w:vAlign w:val="center"/>
                </w:tcPr>
                <w:p w14:paraId="2CF8DF17">
                  <w:pPr>
                    <w:pStyle w:val="28"/>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22.0</w:t>
                  </w:r>
                </w:p>
              </w:tc>
            </w:tr>
            <w:tr w14:paraId="42B472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8" w:type="dxa"/>
                  <w:vMerge w:val="continue"/>
                  <w:tcBorders>
                    <w:tl2br w:val="nil"/>
                    <w:tr2bl w:val="nil"/>
                  </w:tcBorders>
                  <w:noWrap w:val="0"/>
                  <w:vAlign w:val="center"/>
                </w:tcPr>
                <w:p w14:paraId="4D4BBC3B">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p>
              </w:tc>
              <w:tc>
                <w:tcPr>
                  <w:tcW w:w="859" w:type="dxa"/>
                  <w:vMerge w:val="continue"/>
                  <w:tcBorders>
                    <w:tl2br w:val="nil"/>
                    <w:tr2bl w:val="nil"/>
                  </w:tcBorders>
                  <w:noWrap w:val="0"/>
                  <w:vAlign w:val="center"/>
                </w:tcPr>
                <w:p w14:paraId="50DE1D4C">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p>
              </w:tc>
              <w:tc>
                <w:tcPr>
                  <w:tcW w:w="900" w:type="dxa"/>
                  <w:vMerge w:val="continue"/>
                  <w:tcBorders>
                    <w:tl2br w:val="nil"/>
                    <w:tr2bl w:val="nil"/>
                  </w:tcBorders>
                  <w:noWrap w:val="0"/>
                  <w:vAlign w:val="center"/>
                </w:tcPr>
                <w:p w14:paraId="51CD7C36">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p>
              </w:tc>
              <w:tc>
                <w:tcPr>
                  <w:tcW w:w="900" w:type="dxa"/>
                  <w:vMerge w:val="continue"/>
                  <w:tcBorders>
                    <w:tl2br w:val="nil"/>
                    <w:tr2bl w:val="nil"/>
                  </w:tcBorders>
                  <w:noWrap w:val="0"/>
                  <w:vAlign w:val="center"/>
                </w:tcPr>
                <w:p w14:paraId="45A73FA3">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p>
              </w:tc>
              <w:tc>
                <w:tcPr>
                  <w:tcW w:w="709" w:type="dxa"/>
                  <w:vMerge w:val="continue"/>
                  <w:tcBorders>
                    <w:tl2br w:val="nil"/>
                    <w:tr2bl w:val="nil"/>
                  </w:tcBorders>
                  <w:noWrap w:val="0"/>
                  <w:vAlign w:val="center"/>
                </w:tcPr>
                <w:p w14:paraId="0698C5FC">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p>
              </w:tc>
              <w:tc>
                <w:tcPr>
                  <w:tcW w:w="396" w:type="dxa"/>
                  <w:vMerge w:val="continue"/>
                  <w:tcBorders>
                    <w:tl2br w:val="nil"/>
                    <w:tr2bl w:val="nil"/>
                  </w:tcBorders>
                  <w:noWrap w:val="0"/>
                  <w:vAlign w:val="center"/>
                </w:tcPr>
                <w:p w14:paraId="0DED6A2A">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p>
              </w:tc>
              <w:tc>
                <w:tcPr>
                  <w:tcW w:w="1118" w:type="dxa"/>
                  <w:tcBorders>
                    <w:tl2br w:val="nil"/>
                    <w:tr2bl w:val="nil"/>
                  </w:tcBorders>
                  <w:noWrap w:val="0"/>
                  <w:vAlign w:val="center"/>
                </w:tcPr>
                <w:p w14:paraId="08F34C97">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颗粒物</w:t>
                  </w:r>
                </w:p>
              </w:tc>
              <w:tc>
                <w:tcPr>
                  <w:tcW w:w="1356" w:type="dxa"/>
                  <w:tcBorders>
                    <w:tl2br w:val="nil"/>
                    <w:tr2bl w:val="nil"/>
                  </w:tcBorders>
                  <w:noWrap w:val="0"/>
                  <w:vAlign w:val="center"/>
                </w:tcPr>
                <w:p w14:paraId="36582E29">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千克/吨-产品</w:t>
                  </w:r>
                </w:p>
              </w:tc>
              <w:tc>
                <w:tcPr>
                  <w:tcW w:w="992" w:type="dxa"/>
                  <w:tcBorders>
                    <w:tl2br w:val="nil"/>
                    <w:tr2bl w:val="nil"/>
                  </w:tcBorders>
                  <w:noWrap w:val="0"/>
                  <w:vAlign w:val="center"/>
                </w:tcPr>
                <w:p w14:paraId="5889382C">
                  <w:pPr>
                    <w:pStyle w:val="28"/>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0.12</w:t>
                  </w:r>
                </w:p>
              </w:tc>
            </w:tr>
            <w:tr w14:paraId="48752D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8" w:type="dxa"/>
                  <w:vMerge w:val="restart"/>
                  <w:tcBorders>
                    <w:tl2br w:val="nil"/>
                    <w:tr2bl w:val="nil"/>
                  </w:tcBorders>
                  <w:noWrap w:val="0"/>
                  <w:vAlign w:val="center"/>
                </w:tcPr>
                <w:p w14:paraId="2A690893">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物料</w:t>
                  </w:r>
                </w:p>
                <w:p w14:paraId="145BB5D3">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搅拌</w:t>
                  </w:r>
                </w:p>
              </w:tc>
              <w:tc>
                <w:tcPr>
                  <w:tcW w:w="859" w:type="dxa"/>
                  <w:vMerge w:val="continue"/>
                  <w:tcBorders>
                    <w:tl2br w:val="nil"/>
                    <w:tr2bl w:val="nil"/>
                  </w:tcBorders>
                  <w:noWrap w:val="0"/>
                  <w:vAlign w:val="center"/>
                </w:tcPr>
                <w:p w14:paraId="618F0312">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p>
              </w:tc>
              <w:tc>
                <w:tcPr>
                  <w:tcW w:w="900" w:type="dxa"/>
                  <w:vMerge w:val="continue"/>
                  <w:tcBorders>
                    <w:tl2br w:val="nil"/>
                    <w:tr2bl w:val="nil"/>
                  </w:tcBorders>
                  <w:noWrap w:val="0"/>
                  <w:vAlign w:val="center"/>
                </w:tcPr>
                <w:p w14:paraId="6C4B1313">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p>
              </w:tc>
              <w:tc>
                <w:tcPr>
                  <w:tcW w:w="900" w:type="dxa"/>
                  <w:vMerge w:val="restart"/>
                  <w:tcBorders>
                    <w:tl2br w:val="nil"/>
                    <w:tr2bl w:val="nil"/>
                  </w:tcBorders>
                  <w:noWrap w:val="0"/>
                  <w:vAlign w:val="center"/>
                </w:tcPr>
                <w:p w14:paraId="677ED3D9">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物料</w:t>
                  </w:r>
                </w:p>
                <w:p w14:paraId="74D2CC44">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混合</w:t>
                  </w:r>
                </w:p>
                <w:p w14:paraId="0BAA71E6">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搅拌</w:t>
                  </w:r>
                </w:p>
              </w:tc>
              <w:tc>
                <w:tcPr>
                  <w:tcW w:w="709" w:type="dxa"/>
                  <w:vMerge w:val="continue"/>
                  <w:tcBorders>
                    <w:tl2br w:val="nil"/>
                    <w:tr2bl w:val="nil"/>
                  </w:tcBorders>
                  <w:noWrap w:val="0"/>
                  <w:vAlign w:val="center"/>
                </w:tcPr>
                <w:p w14:paraId="0DEECFA7">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p>
              </w:tc>
              <w:tc>
                <w:tcPr>
                  <w:tcW w:w="396" w:type="dxa"/>
                  <w:vMerge w:val="restart"/>
                  <w:tcBorders>
                    <w:tl2br w:val="nil"/>
                    <w:tr2bl w:val="nil"/>
                  </w:tcBorders>
                  <w:noWrap w:val="0"/>
                  <w:vAlign w:val="center"/>
                </w:tcPr>
                <w:p w14:paraId="7428E141">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废气</w:t>
                  </w:r>
                </w:p>
              </w:tc>
              <w:tc>
                <w:tcPr>
                  <w:tcW w:w="1118" w:type="dxa"/>
                  <w:tcBorders>
                    <w:tl2br w:val="nil"/>
                    <w:tr2bl w:val="nil"/>
                  </w:tcBorders>
                  <w:noWrap w:val="0"/>
                  <w:vAlign w:val="center"/>
                </w:tcPr>
                <w:p w14:paraId="6155053B">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废气量</w:t>
                  </w:r>
                </w:p>
              </w:tc>
              <w:tc>
                <w:tcPr>
                  <w:tcW w:w="1356" w:type="dxa"/>
                  <w:tcBorders>
                    <w:tl2br w:val="nil"/>
                    <w:tr2bl w:val="nil"/>
                  </w:tcBorders>
                  <w:noWrap w:val="0"/>
                  <w:vAlign w:val="center"/>
                </w:tcPr>
                <w:p w14:paraId="185367DF">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标立方米/吨-产品</w:t>
                  </w:r>
                </w:p>
              </w:tc>
              <w:tc>
                <w:tcPr>
                  <w:tcW w:w="992" w:type="dxa"/>
                  <w:tcBorders>
                    <w:tl2br w:val="nil"/>
                    <w:tr2bl w:val="nil"/>
                  </w:tcBorders>
                  <w:noWrap w:val="0"/>
                  <w:vAlign w:val="center"/>
                </w:tcPr>
                <w:p w14:paraId="46FDBBD2">
                  <w:pPr>
                    <w:pStyle w:val="28"/>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25</w:t>
                  </w:r>
                </w:p>
              </w:tc>
            </w:tr>
            <w:tr w14:paraId="6D32C1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8" w:type="dxa"/>
                  <w:vMerge w:val="continue"/>
                  <w:tcBorders>
                    <w:tl2br w:val="nil"/>
                    <w:tr2bl w:val="nil"/>
                  </w:tcBorders>
                  <w:noWrap w:val="0"/>
                  <w:vAlign w:val="center"/>
                </w:tcPr>
                <w:p w14:paraId="3E5EB315">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p>
              </w:tc>
              <w:tc>
                <w:tcPr>
                  <w:tcW w:w="859" w:type="dxa"/>
                  <w:vMerge w:val="continue"/>
                  <w:tcBorders>
                    <w:tl2br w:val="nil"/>
                    <w:tr2bl w:val="nil"/>
                  </w:tcBorders>
                  <w:noWrap w:val="0"/>
                  <w:vAlign w:val="center"/>
                </w:tcPr>
                <w:p w14:paraId="57CA46A2">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p>
              </w:tc>
              <w:tc>
                <w:tcPr>
                  <w:tcW w:w="900" w:type="dxa"/>
                  <w:vMerge w:val="continue"/>
                  <w:tcBorders>
                    <w:tl2br w:val="nil"/>
                    <w:tr2bl w:val="nil"/>
                  </w:tcBorders>
                  <w:noWrap w:val="0"/>
                  <w:vAlign w:val="center"/>
                </w:tcPr>
                <w:p w14:paraId="5384696E">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p>
              </w:tc>
              <w:tc>
                <w:tcPr>
                  <w:tcW w:w="900" w:type="dxa"/>
                  <w:vMerge w:val="continue"/>
                  <w:tcBorders>
                    <w:tl2br w:val="nil"/>
                    <w:tr2bl w:val="nil"/>
                  </w:tcBorders>
                  <w:noWrap w:val="0"/>
                  <w:vAlign w:val="center"/>
                </w:tcPr>
                <w:p w14:paraId="282A2424">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p>
              </w:tc>
              <w:tc>
                <w:tcPr>
                  <w:tcW w:w="709" w:type="dxa"/>
                  <w:vMerge w:val="continue"/>
                  <w:tcBorders>
                    <w:tl2br w:val="nil"/>
                    <w:tr2bl w:val="nil"/>
                  </w:tcBorders>
                  <w:noWrap w:val="0"/>
                  <w:vAlign w:val="center"/>
                </w:tcPr>
                <w:p w14:paraId="1854BE8A">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p>
              </w:tc>
              <w:tc>
                <w:tcPr>
                  <w:tcW w:w="396" w:type="dxa"/>
                  <w:vMerge w:val="continue"/>
                  <w:tcBorders>
                    <w:tl2br w:val="nil"/>
                    <w:tr2bl w:val="nil"/>
                  </w:tcBorders>
                  <w:noWrap w:val="0"/>
                  <w:vAlign w:val="center"/>
                </w:tcPr>
                <w:p w14:paraId="331BC664">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p>
              </w:tc>
              <w:tc>
                <w:tcPr>
                  <w:tcW w:w="1118" w:type="dxa"/>
                  <w:tcBorders>
                    <w:tl2br w:val="nil"/>
                    <w:tr2bl w:val="nil"/>
                  </w:tcBorders>
                  <w:noWrap w:val="0"/>
                  <w:vAlign w:val="center"/>
                </w:tcPr>
                <w:p w14:paraId="508D5C36">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颗粒物</w:t>
                  </w:r>
                </w:p>
              </w:tc>
              <w:tc>
                <w:tcPr>
                  <w:tcW w:w="1356" w:type="dxa"/>
                  <w:tcBorders>
                    <w:tl2br w:val="nil"/>
                    <w:tr2bl w:val="nil"/>
                  </w:tcBorders>
                  <w:noWrap w:val="0"/>
                  <w:vAlign w:val="center"/>
                </w:tcPr>
                <w:p w14:paraId="48D5B998">
                  <w:pPr>
                    <w:pStyle w:val="28"/>
                    <w:keepLines w:val="0"/>
                    <w:pageBreakBefore w:val="0"/>
                    <w:widowControl w:val="0"/>
                    <w:kinsoku/>
                    <w:wordWrap/>
                    <w:overflowPunct/>
                    <w:topLinePunct w:val="0"/>
                    <w:autoSpaceDE/>
                    <w:autoSpaceDN/>
                    <w:bidi w:val="0"/>
                    <w:adjustRightInd/>
                    <w:snapToGrid/>
                    <w:textAlignment w:val="auto"/>
                    <w:rPr>
                      <w:rFonts w:hint="eastAsia"/>
                      <w:color w:val="auto"/>
                      <w:lang w:val="en-US" w:eastAsia="zh-CN"/>
                    </w:rPr>
                  </w:pPr>
                  <w:r>
                    <w:rPr>
                      <w:rFonts w:hint="eastAsia"/>
                      <w:color w:val="auto"/>
                      <w:lang w:val="en-US" w:eastAsia="zh-CN"/>
                    </w:rPr>
                    <w:t>千克/吨-产品</w:t>
                  </w:r>
                </w:p>
              </w:tc>
              <w:tc>
                <w:tcPr>
                  <w:tcW w:w="992" w:type="dxa"/>
                  <w:tcBorders>
                    <w:tl2br w:val="nil"/>
                    <w:tr2bl w:val="nil"/>
                  </w:tcBorders>
                  <w:noWrap w:val="0"/>
                  <w:vAlign w:val="center"/>
                </w:tcPr>
                <w:p w14:paraId="2FD3F391">
                  <w:pPr>
                    <w:pStyle w:val="28"/>
                    <w:keepLines w:val="0"/>
                    <w:pageBreakBefore w:val="0"/>
                    <w:widowControl w:val="0"/>
                    <w:kinsoku/>
                    <w:wordWrap/>
                    <w:overflowPunct/>
                    <w:topLinePunct w:val="0"/>
                    <w:autoSpaceDE/>
                    <w:autoSpaceDN/>
                    <w:bidi w:val="0"/>
                    <w:adjustRightInd/>
                    <w:snapToGrid/>
                    <w:textAlignment w:val="auto"/>
                    <w:rPr>
                      <w:rFonts w:hint="default"/>
                      <w:color w:val="auto"/>
                      <w:lang w:val="en-US" w:eastAsia="zh-CN"/>
                    </w:rPr>
                  </w:pPr>
                  <w:r>
                    <w:rPr>
                      <w:rFonts w:hint="eastAsia"/>
                      <w:color w:val="auto"/>
                      <w:lang w:val="en-US" w:eastAsia="zh-CN"/>
                    </w:rPr>
                    <w:t>0.13</w:t>
                  </w:r>
                </w:p>
              </w:tc>
            </w:tr>
          </w:tbl>
          <w:p w14:paraId="6F3DC96D">
            <w:pPr>
              <w:keepNext w:val="0"/>
              <w:keepLines w:val="0"/>
              <w:pageBreakBefore w:val="0"/>
              <w:widowControl w:val="0"/>
              <w:kinsoku/>
              <w:wordWrap/>
              <w:overflowPunct/>
              <w:topLinePunct w:val="0"/>
              <w:autoSpaceDE/>
              <w:autoSpaceDN/>
              <w:bidi w:val="0"/>
              <w:adjustRightInd/>
              <w:snapToGrid/>
              <w:spacing w:before="157" w:beforeLines="50"/>
              <w:textAlignment w:val="auto"/>
              <w:rPr>
                <w:rFonts w:hint="eastAsia"/>
                <w:color w:val="auto"/>
                <w:lang w:val="en-US" w:eastAsia="zh-CN"/>
              </w:rPr>
            </w:pPr>
            <w:r>
              <w:rPr>
                <w:rFonts w:hint="eastAsia"/>
                <w:color w:val="auto"/>
                <w:lang w:val="en-US" w:eastAsia="zh-CN"/>
              </w:rPr>
              <w:t>参考上表4.2-2物料输送储存环节产污系数，</w:t>
            </w:r>
            <w:r>
              <w:rPr>
                <w:rFonts w:hint="default"/>
                <w:color w:val="auto"/>
                <w:lang w:val="en-US" w:eastAsia="zh-CN"/>
              </w:rPr>
              <w:t>项目</w:t>
            </w:r>
            <w:r>
              <w:rPr>
                <w:rFonts w:hint="eastAsia"/>
                <w:color w:val="auto"/>
                <w:lang w:val="en-US" w:eastAsia="zh-CN"/>
              </w:rPr>
              <w:t>预拌商品混凝土所使用的粉料的量为48万吨（水泥、粉煤灰、矿粉），各粉料仓进出料时间按2640h/a计（330d/a，8h/d），则项目粉料仓的废气产生量约为1056万m</w:t>
            </w:r>
            <w:r>
              <w:rPr>
                <w:rFonts w:hint="eastAsia"/>
                <w:color w:val="auto"/>
                <w:vertAlign w:val="superscript"/>
                <w:lang w:val="en-US" w:eastAsia="zh-CN"/>
              </w:rPr>
              <w:t>3</w:t>
            </w:r>
            <w:r>
              <w:rPr>
                <w:rFonts w:hint="eastAsia"/>
                <w:color w:val="auto"/>
                <w:lang w:val="en-US" w:eastAsia="zh-CN"/>
              </w:rPr>
              <w:t>/a（4000m</w:t>
            </w:r>
            <w:r>
              <w:rPr>
                <w:rFonts w:hint="eastAsia"/>
                <w:color w:val="auto"/>
                <w:vertAlign w:val="superscript"/>
                <w:lang w:val="en-US" w:eastAsia="zh-CN"/>
              </w:rPr>
              <w:t>3</w:t>
            </w:r>
            <w:r>
              <w:rPr>
                <w:rFonts w:hint="eastAsia"/>
                <w:color w:val="auto"/>
                <w:lang w:val="en-US" w:eastAsia="zh-CN"/>
              </w:rPr>
              <w:t>/h），粉尘产生量约为57.6t/a。</w:t>
            </w:r>
          </w:p>
          <w:p w14:paraId="70B4BDFE">
            <w:pPr>
              <w:bidi w:val="0"/>
              <w:rPr>
                <w:rFonts w:hint="default"/>
                <w:color w:val="auto"/>
                <w:lang w:val="en-US" w:eastAsia="zh-CN"/>
              </w:rPr>
            </w:pPr>
            <w:r>
              <w:rPr>
                <w:rFonts w:hint="eastAsia"/>
                <w:color w:val="auto"/>
                <w:lang w:val="en-US" w:eastAsia="zh-CN"/>
              </w:rPr>
              <w:t>根据建设方提供资料，HZS270VD混凝土搅拌机</w:t>
            </w:r>
            <w:r>
              <w:rPr>
                <w:rFonts w:hint="default"/>
                <w:color w:val="auto"/>
                <w:lang w:val="en-US" w:eastAsia="zh-CN"/>
              </w:rPr>
              <w:t>各</w:t>
            </w:r>
            <w:r>
              <w:rPr>
                <w:rFonts w:hint="eastAsia"/>
                <w:color w:val="auto"/>
                <w:lang w:val="en-US" w:eastAsia="zh-CN"/>
              </w:rPr>
              <w:t>粉料</w:t>
            </w:r>
            <w:r>
              <w:rPr>
                <w:rFonts w:hint="default"/>
                <w:color w:val="auto"/>
                <w:lang w:val="en-US" w:eastAsia="zh-CN"/>
              </w:rPr>
              <w:t>仓</w:t>
            </w:r>
            <w:r>
              <w:rPr>
                <w:rFonts w:hint="eastAsia"/>
                <w:color w:val="auto"/>
                <w:lang w:val="en-US" w:eastAsia="zh-CN"/>
              </w:rPr>
              <w:t>均</w:t>
            </w:r>
            <w:r>
              <w:rPr>
                <w:rFonts w:hint="default"/>
                <w:color w:val="auto"/>
                <w:lang w:val="en-US" w:eastAsia="zh-CN"/>
              </w:rPr>
              <w:t>配套集成式‌脉冲布袋除尘装置（除尘效率≥99.</w:t>
            </w:r>
            <w:r>
              <w:rPr>
                <w:rFonts w:hint="eastAsia"/>
                <w:color w:val="auto"/>
                <w:lang w:val="en-US" w:eastAsia="zh-CN"/>
              </w:rPr>
              <w:t>7</w:t>
            </w:r>
            <w:r>
              <w:rPr>
                <w:rFonts w:hint="default"/>
                <w:color w:val="auto"/>
                <w:lang w:val="en-US" w:eastAsia="zh-CN"/>
              </w:rPr>
              <w:t>%）‌，呼吸尘直接通过呼吸口进入除尘器处理后</w:t>
            </w:r>
            <w:r>
              <w:rPr>
                <w:rFonts w:hint="eastAsia"/>
                <w:color w:val="auto"/>
                <w:lang w:val="en-US" w:eastAsia="zh-CN"/>
              </w:rPr>
              <w:t>，在搅拌楼内部无组织排放。车间配备有喷淋降尘装置，参考《工业源固体物料堆场颗粒物核算系数手册》附录4控制措施的控制效率，洒水粉尘控制效率74%，项目粉料仓为全部密闭，粉料仓除尘器的收集效率按100%计算，则项目粉料仓的排放粉尘排放量约为0.045t/a，粉料仓进出料时长按2640h/a计（330d/a，8h/d），则项目粉料仓进出料粉尘排放速率约为0.017kg/h。具体产排核算情况详见表4.2-4。</w:t>
            </w:r>
          </w:p>
          <w:p w14:paraId="4258A330">
            <w:pPr>
              <w:bidi w:val="0"/>
              <w:rPr>
                <w:rFonts w:hint="eastAsia"/>
                <w:b/>
                <w:bCs/>
                <w:color w:val="auto"/>
                <w:lang w:val="en-US" w:eastAsia="zh-CN"/>
              </w:rPr>
            </w:pPr>
            <w:r>
              <w:rPr>
                <w:rFonts w:hint="eastAsia"/>
                <w:b/>
                <w:bCs/>
                <w:color w:val="auto"/>
                <w:lang w:val="en-US" w:eastAsia="zh-CN"/>
              </w:rPr>
              <w:t>（4）砂石计量配料粉尘</w:t>
            </w:r>
          </w:p>
          <w:p w14:paraId="585969A8">
            <w:pPr>
              <w:bidi w:val="0"/>
              <w:rPr>
                <w:rFonts w:hint="default"/>
                <w:color w:val="auto"/>
                <w:lang w:val="en-US" w:eastAsia="zh-CN"/>
              </w:rPr>
            </w:pPr>
            <w:r>
              <w:rPr>
                <w:rFonts w:hint="eastAsia"/>
                <w:color w:val="auto"/>
                <w:lang w:val="en-US" w:eastAsia="zh-CN"/>
              </w:rPr>
              <w:t>项目生产时，由铲车将堆场的细砂、碎石等物料从堆仓运至计量配料处，下落至下方配料斗进行称量，再下落至皮带运输至后续搅拌机内。项目砂石输送带廊道密闭，输送带进出口配套喷淋装置，粉尘逸散量较小，因此主要计量配料粉尘来自细砂、碎石下落至料斗和输送皮带时，由于高度落差产生的粉尘。参考《逸散性工业粉尘控制技术》中粒料加工厂砂和砾石卸料排污系数为0.01kg/t原料，项目砂、石总用量约为152万t/a，则计算得项目砂石计量配料粉尘产生量约为15.2t/a。</w:t>
            </w:r>
          </w:p>
          <w:p w14:paraId="269F2A27">
            <w:pPr>
              <w:bidi w:val="0"/>
              <w:rPr>
                <w:rFonts w:hint="eastAsia"/>
                <w:color w:val="auto"/>
                <w:lang w:val="en-US" w:eastAsia="zh-CN"/>
              </w:rPr>
            </w:pPr>
            <w:r>
              <w:rPr>
                <w:rFonts w:hint="eastAsia"/>
                <w:color w:val="auto"/>
                <w:lang w:val="en-US" w:eastAsia="zh-CN"/>
              </w:rPr>
              <w:t>项目砂石进料区配套喷淋装置抑尘，参考《固体物料堆存颗粒物产排污核算系数手册》附录4控制措施的控制效率，洒水粉尘控制效率74%，则项目砂石计量配料粉尘排放量约为3.952t/a，砂石计量配料时长按2640h/a计（330d/a，8h/d），则项目砂石计量配料粉尘排放速率约为1.497kg/h。</w:t>
            </w:r>
          </w:p>
          <w:p w14:paraId="0E66E7A9">
            <w:pPr>
              <w:bidi w:val="0"/>
              <w:rPr>
                <w:rFonts w:hint="eastAsia"/>
                <w:b/>
                <w:bCs/>
                <w:color w:val="auto"/>
                <w:lang w:val="en-US" w:eastAsia="zh-CN"/>
              </w:rPr>
            </w:pPr>
            <w:r>
              <w:rPr>
                <w:rFonts w:hint="eastAsia"/>
                <w:b/>
                <w:bCs/>
                <w:color w:val="auto"/>
                <w:lang w:val="en-US" w:eastAsia="zh-CN"/>
              </w:rPr>
              <w:t>（5）搅拌粉尘</w:t>
            </w:r>
          </w:p>
          <w:p w14:paraId="43C4C133">
            <w:pPr>
              <w:bidi w:val="0"/>
              <w:rPr>
                <w:rFonts w:hint="eastAsia"/>
                <w:color w:val="auto"/>
                <w:lang w:val="en-US" w:eastAsia="zh-CN"/>
              </w:rPr>
            </w:pPr>
            <w:r>
              <w:rPr>
                <w:rFonts w:hint="eastAsia"/>
                <w:color w:val="auto"/>
                <w:lang w:val="en-US" w:eastAsia="zh-CN"/>
              </w:rPr>
              <w:t>搅拌过程主要为将水泥、石、砂、矿粉、粉煤灰、外加剂剂、水等搅制为预拌混凝土后进行后续工序，对粉料的扰动将会产生粉尘。</w:t>
            </w:r>
          </w:p>
          <w:p w14:paraId="332F026C">
            <w:pPr>
              <w:bidi w:val="0"/>
              <w:rPr>
                <w:rFonts w:hint="default"/>
                <w:color w:val="auto"/>
                <w:lang w:val="en-US" w:eastAsia="zh-CN"/>
              </w:rPr>
            </w:pPr>
            <w:r>
              <w:rPr>
                <w:rFonts w:hint="eastAsia"/>
                <w:color w:val="auto"/>
                <w:lang w:val="en-US" w:eastAsia="zh-CN"/>
              </w:rPr>
              <w:t>参考</w:t>
            </w:r>
            <w:r>
              <w:rPr>
                <w:rFonts w:hint="default"/>
                <w:color w:val="auto"/>
                <w:lang w:val="en-US" w:eastAsia="zh-CN"/>
              </w:rPr>
              <w:t>《排放源统计调查产污核算方法和系数手册》“3021 水泥制品制造</w:t>
            </w:r>
            <w:r>
              <w:rPr>
                <w:rFonts w:hint="eastAsia"/>
                <w:color w:val="auto"/>
                <w:lang w:val="en-US" w:eastAsia="zh-CN"/>
              </w:rPr>
              <w:t>（含3022砼结构构件、3029其他水泥类似制品制造）行业</w:t>
            </w:r>
            <w:r>
              <w:rPr>
                <w:rFonts w:hint="default"/>
                <w:color w:val="auto"/>
                <w:lang w:val="en-US" w:eastAsia="zh-CN"/>
              </w:rPr>
              <w:t>”行业系数手册</w:t>
            </w:r>
            <w:r>
              <w:rPr>
                <w:rFonts w:hint="eastAsia"/>
                <w:color w:val="auto"/>
                <w:lang w:val="en-US" w:eastAsia="zh-CN"/>
              </w:rPr>
              <w:t>产污系数，详见表4.2-2。项目搅拌后产生的预拌混凝土量约为230万t/a（主要原料+结合水），颗粒物产污系数为0.13千克/吨-产品，则项目搅拌过程中颗粒物产生量约为299t/a。</w:t>
            </w:r>
          </w:p>
          <w:p w14:paraId="56B5F7D9">
            <w:pPr>
              <w:bidi w:val="0"/>
              <w:rPr>
                <w:rFonts w:hint="default"/>
                <w:color w:val="auto"/>
                <w:lang w:val="en-US" w:eastAsia="zh-CN"/>
              </w:rPr>
            </w:pPr>
            <w:r>
              <w:rPr>
                <w:rFonts w:hint="eastAsia"/>
                <w:color w:val="auto"/>
                <w:lang w:val="en-US" w:eastAsia="zh-CN"/>
              </w:rPr>
              <w:t>项目在搅拌前配料工序添加了水，可有效降低粉状原料搅拌过程中起尘，同时搅拌楼封闭建设，搅拌机运行时密闭，搅拌楼加设喷淋装置抑尘，综合抑尘效率按99.74%计（密闭运行抑尘效率99%以上，喷淋降尘74%），则项目搅拌工序粉尘排放量约为0.777t/a，搅拌工作时长按8h/d（2640h/a）计，则搅拌粉尘排放速率约为0.294kg/h。</w:t>
            </w:r>
          </w:p>
          <w:p w14:paraId="4055EE29">
            <w:pPr>
              <w:bidi w:val="0"/>
              <w:rPr>
                <w:rFonts w:hint="eastAsia"/>
                <w:b/>
                <w:bCs/>
                <w:lang w:val="en-US" w:eastAsia="zh-CN"/>
              </w:rPr>
            </w:pPr>
            <w:r>
              <w:rPr>
                <w:rFonts w:hint="eastAsia"/>
                <w:b/>
                <w:bCs/>
                <w:lang w:val="en-US" w:eastAsia="zh-CN"/>
              </w:rPr>
              <w:t>（6）石料破碎、筛分粉尘</w:t>
            </w:r>
          </w:p>
          <w:p w14:paraId="374F3FEC">
            <w:pPr>
              <w:bidi w:val="0"/>
              <w:rPr>
                <w:rFonts w:hint="eastAsia"/>
                <w:lang w:val="en-US" w:eastAsia="zh-CN"/>
              </w:rPr>
            </w:pPr>
            <w:r>
              <w:rPr>
                <w:rFonts w:hint="eastAsia"/>
                <w:lang w:val="en-US" w:eastAsia="zh-CN"/>
              </w:rPr>
              <w:t>项目位于3#物料库内的建筑垃圾回收生产线主要利用项目周边建设项目地基开挖时开采的</w:t>
            </w:r>
            <w:r>
              <w:rPr>
                <w:rFonts w:hint="eastAsia"/>
                <w:color w:val="auto"/>
                <w:lang w:val="en-US" w:eastAsia="zh-CN"/>
              </w:rPr>
              <w:t>工程渣土、拆除建筑垃圾（不含装修垃圾或二装垃圾），</w:t>
            </w:r>
            <w:r>
              <w:rPr>
                <w:rFonts w:hint="eastAsia"/>
                <w:highlight w:val="none"/>
                <w:lang w:val="en-US" w:eastAsia="zh-CN"/>
              </w:rPr>
              <w:t>以建设项目地基开挖过程中产生的石方料为主要原料生产机制砂和碎石，</w:t>
            </w:r>
            <w:r>
              <w:rPr>
                <w:rFonts w:hint="eastAsia"/>
                <w:lang w:val="en-US" w:eastAsia="zh-CN"/>
              </w:rPr>
              <w:t>采取二级破碎加工与湿法制砂工艺，其中破碎和筛分工序会产生粉尘。</w:t>
            </w:r>
          </w:p>
          <w:p w14:paraId="08D546E9">
            <w:pPr>
              <w:bidi w:val="0"/>
              <w:rPr>
                <w:rFonts w:hint="eastAsia"/>
                <w:lang w:val="en-US" w:eastAsia="zh-CN"/>
              </w:rPr>
            </w:pPr>
            <w:r>
              <w:rPr>
                <w:rFonts w:hint="eastAsia"/>
                <w:lang w:val="en-US" w:eastAsia="zh-CN"/>
              </w:rPr>
              <w:t>参考《逸散性工业粉尘控制技术》（中国环境科学出版社）及相关企业的实际运营经验数据，一级破碎的产尘量约为0.005kg/t原料，二级破碎产尘量约为0.03kg/t原料，振动筛产尘量约为0.03kg/t。本项目年加工石方152万t，则一级破碎原料量为152万t/a，二级破碎产品量为152万t/a，过筛产品量为152万t/a。对应的一破、二破、筛分产生的粉尘量分别为7.6t/a、45.6t/a、45.6t/a。</w:t>
            </w:r>
          </w:p>
          <w:p w14:paraId="0F8176B7">
            <w:pPr>
              <w:bidi w:val="0"/>
              <w:rPr>
                <w:rFonts w:hint="eastAsia"/>
                <w:color w:val="auto"/>
                <w:sz w:val="24"/>
                <w:lang w:eastAsia="zh-CN"/>
              </w:rPr>
            </w:pPr>
            <w:r>
              <w:rPr>
                <w:rFonts w:hint="eastAsia"/>
                <w:lang w:val="en-US" w:eastAsia="zh-CN"/>
              </w:rPr>
              <w:t>本项目拟分别对鄂式破碎机、重型反击破碎机、</w:t>
            </w:r>
            <w:r>
              <w:rPr>
                <w:rFonts w:hint="eastAsia"/>
              </w:rPr>
              <w:t>立轴冲击破碎机</w:t>
            </w:r>
            <w:r>
              <w:rPr>
                <w:rFonts w:hint="eastAsia"/>
                <w:lang w:val="en-US" w:eastAsia="zh-CN"/>
              </w:rPr>
              <w:t>、振动筛及振动给料机等产尘点上方设置集气罩收集粉尘，车间内产生的粉尘集中收集后通过一套</w:t>
            </w:r>
            <w:r>
              <w:rPr>
                <w:rFonts w:hint="eastAsia" w:ascii="Times New Roman" w:hAnsi="Times New Roman" w:eastAsia="宋体" w:cs="Times New Roman"/>
                <w:color w:val="auto"/>
                <w:sz w:val="24"/>
                <w:lang w:val="en-US" w:eastAsia="zh-CN"/>
              </w:rPr>
              <w:t>布袋除尘器</w:t>
            </w:r>
            <w:r>
              <w:rPr>
                <w:rFonts w:hint="eastAsia"/>
                <w:lang w:val="en-US" w:eastAsia="zh-CN"/>
              </w:rPr>
              <w:t>处理达标后引至</w:t>
            </w:r>
            <w:r>
              <w:rPr>
                <w:rFonts w:hint="default"/>
                <w:lang w:val="en-US" w:eastAsia="zh-CN"/>
              </w:rPr>
              <w:t>1</w:t>
            </w:r>
            <w:r>
              <w:rPr>
                <w:rFonts w:hint="eastAsia"/>
                <w:lang w:val="en-US" w:eastAsia="zh-CN"/>
              </w:rPr>
              <w:t>根</w:t>
            </w:r>
            <w:r>
              <w:rPr>
                <w:rFonts w:hint="default"/>
                <w:lang w:val="en-US" w:eastAsia="zh-CN"/>
              </w:rPr>
              <w:t>15m</w:t>
            </w:r>
            <w:r>
              <w:rPr>
                <w:rFonts w:hint="eastAsia"/>
                <w:lang w:val="en-US" w:eastAsia="zh-CN"/>
              </w:rPr>
              <w:t>高的排气筒DA001排放。</w:t>
            </w:r>
            <w:r>
              <w:rPr>
                <w:rFonts w:hint="eastAsia" w:eastAsia="宋体"/>
                <w:color w:val="auto"/>
                <w:sz w:val="24"/>
                <w:lang w:val="en-US" w:eastAsia="zh-CN"/>
              </w:rPr>
              <w:t>根据</w:t>
            </w:r>
            <w:r>
              <w:rPr>
                <w:rFonts w:hint="eastAsia"/>
                <w:color w:val="auto"/>
                <w:sz w:val="24"/>
                <w:lang w:val="en-US" w:eastAsia="zh-CN"/>
              </w:rPr>
              <w:t>《</w:t>
            </w:r>
            <w:r>
              <w:rPr>
                <w:rFonts w:hint="eastAsia" w:eastAsia="宋体"/>
                <w:color w:val="auto"/>
                <w:sz w:val="24"/>
                <w:lang w:val="en-US" w:eastAsia="zh-CN"/>
              </w:rPr>
              <w:t>局部排风设施控制风速检测与评估技术规范</w:t>
            </w:r>
            <w:r>
              <w:rPr>
                <w:rFonts w:hint="eastAsia"/>
                <w:color w:val="auto"/>
                <w:sz w:val="24"/>
                <w:lang w:val="en-US" w:eastAsia="zh-CN"/>
              </w:rPr>
              <w:t>》</w:t>
            </w:r>
            <w:r>
              <w:rPr>
                <w:rFonts w:hint="eastAsia" w:eastAsia="宋体"/>
                <w:color w:val="auto"/>
                <w:sz w:val="24"/>
                <w:lang w:val="en-US" w:eastAsia="zh-CN"/>
              </w:rPr>
              <w:t>（AQ/T4274</w:t>
            </w:r>
            <w:r>
              <w:rPr>
                <w:rFonts w:hint="eastAsia"/>
                <w:color w:val="auto"/>
                <w:sz w:val="24"/>
                <w:lang w:val="en-US" w:eastAsia="zh-CN"/>
              </w:rPr>
              <w:t>-</w:t>
            </w:r>
            <w:r>
              <w:rPr>
                <w:rFonts w:hint="eastAsia" w:eastAsia="宋体"/>
                <w:color w:val="auto"/>
                <w:sz w:val="24"/>
                <w:lang w:val="en-US" w:eastAsia="zh-CN"/>
              </w:rPr>
              <w:t>2016）</w:t>
            </w:r>
            <w:r>
              <w:rPr>
                <w:rFonts w:hint="eastAsia" w:ascii="Times New Roman" w:hAnsi="Times New Roman" w:eastAsia="宋体" w:cs="Times New Roman"/>
                <w:color w:val="auto"/>
                <w:kern w:val="0"/>
                <w:sz w:val="24"/>
                <w:lang w:bidi="ar"/>
              </w:rPr>
              <w:t>表1局部排风设施控制风速限值标准</w:t>
            </w:r>
            <w:r>
              <w:rPr>
                <w:rFonts w:hint="eastAsia" w:ascii="Times New Roman" w:hAnsi="Times New Roman" w:eastAsia="宋体" w:cs="Times New Roman"/>
                <w:color w:val="auto"/>
                <w:kern w:val="0"/>
                <w:sz w:val="24"/>
                <w:lang w:val="en-US" w:eastAsia="zh-CN" w:bidi="ar"/>
              </w:rPr>
              <w:t>可知，</w:t>
            </w:r>
            <w:r>
              <w:rPr>
                <w:rFonts w:hint="eastAsia"/>
                <w:bCs/>
                <w:color w:val="auto"/>
                <w:sz w:val="24"/>
                <w:lang w:val="en-US" w:eastAsia="zh-CN"/>
              </w:rPr>
              <w:t>采用上吸式集气罩收集粉尘控制风速为1.2m/s进行，因此，本评价要求项目集气罩罩口风速按不低于1.2m/s进行设计，确保粉尘收集效果。</w:t>
            </w:r>
            <w:r>
              <w:rPr>
                <w:rFonts w:hint="eastAsia"/>
                <w:color w:val="auto"/>
                <w:sz w:val="24"/>
                <w:lang w:val="en-US" w:eastAsia="zh-CN"/>
              </w:rPr>
              <w:t>为防止集气罩与生产设备过低影响正常生产，项目集气罩与生产设备需要保证一定的距离，大约0.3~0.5m左右，</w:t>
            </w:r>
            <w:r>
              <w:rPr>
                <w:color w:val="auto"/>
                <w:sz w:val="24"/>
              </w:rPr>
              <w:t>为确保项目集气罩收集效果，</w:t>
            </w:r>
            <w:r>
              <w:rPr>
                <w:rFonts w:hint="eastAsia"/>
                <w:color w:val="auto"/>
                <w:sz w:val="24"/>
                <w:lang w:val="en-US" w:eastAsia="zh-CN"/>
              </w:rPr>
              <w:t>要求项目在集气罩下方与生产设备的距离段采用</w:t>
            </w:r>
            <w:r>
              <w:rPr>
                <w:color w:val="auto"/>
                <w:sz w:val="24"/>
              </w:rPr>
              <w:t>塑料挂帘</w:t>
            </w:r>
            <w:r>
              <w:rPr>
                <w:rFonts w:hint="eastAsia"/>
                <w:color w:val="auto"/>
                <w:sz w:val="24"/>
                <w:lang w:eastAsia="zh-CN"/>
              </w:rPr>
              <w:t>，</w:t>
            </w:r>
            <w:r>
              <w:rPr>
                <w:rFonts w:hint="eastAsia"/>
                <w:color w:val="auto"/>
                <w:sz w:val="24"/>
                <w:lang w:val="en-US" w:eastAsia="zh-CN"/>
              </w:rPr>
              <w:t>同时确保项目</w:t>
            </w:r>
            <w:r>
              <w:rPr>
                <w:color w:val="auto"/>
                <w:sz w:val="24"/>
              </w:rPr>
              <w:t>废气收集系统与生产设备自动同步启动</w:t>
            </w:r>
            <w:r>
              <w:rPr>
                <w:rFonts w:hint="eastAsia"/>
                <w:color w:val="auto"/>
                <w:sz w:val="24"/>
                <w:lang w:eastAsia="zh-CN"/>
              </w:rPr>
              <w:t>。</w:t>
            </w:r>
          </w:p>
          <w:p w14:paraId="32A1081C">
            <w:pPr>
              <w:bidi w:val="0"/>
              <w:rPr>
                <w:rFonts w:hint="default"/>
                <w:vertAlign w:val="baseline"/>
                <w:lang w:val="en-US" w:eastAsia="zh-CN"/>
              </w:rPr>
            </w:pPr>
            <w:r>
              <w:rPr>
                <w:rFonts w:hint="eastAsia" w:ascii="Times New Roman" w:hAnsi="Times New Roman" w:eastAsia="宋体" w:cs="Times New Roman"/>
                <w:color w:val="auto"/>
                <w:sz w:val="24"/>
                <w:szCs w:val="24"/>
                <w:lang w:val="en-US" w:eastAsia="zh-CN"/>
              </w:rPr>
              <w:t>参考《排放源统计调查产污核算方法和系数手册》“303 砖瓦、石材等建筑材料制造行业系数手册-3039其他建筑材料制造行业”行业系数手册产污系数</w:t>
            </w:r>
            <w:r>
              <w:rPr>
                <w:rFonts w:hint="eastAsia" w:cs="Times New Roman"/>
                <w:color w:val="auto"/>
                <w:sz w:val="24"/>
                <w:szCs w:val="24"/>
                <w:lang w:val="en-US" w:eastAsia="zh-CN"/>
              </w:rPr>
              <w:t>表</w:t>
            </w:r>
            <w:r>
              <w:rPr>
                <w:rFonts w:hint="eastAsia" w:ascii="Times New Roman" w:hAnsi="Times New Roman" w:eastAsia="宋体" w:cs="Times New Roman"/>
                <w:color w:val="auto"/>
                <w:sz w:val="24"/>
                <w:szCs w:val="24"/>
                <w:lang w:val="en-US" w:eastAsia="zh-CN"/>
              </w:rPr>
              <w:t>，采用袋式除尘器过滤效率可达99%，本评价按9</w:t>
            </w:r>
            <w:r>
              <w:rPr>
                <w:rFonts w:hint="eastAsia" w:cs="Times New Roman"/>
                <w:color w:val="auto"/>
                <w:sz w:val="24"/>
                <w:szCs w:val="24"/>
                <w:lang w:val="en-US" w:eastAsia="zh-CN"/>
              </w:rPr>
              <w:t>9</w:t>
            </w:r>
            <w:r>
              <w:rPr>
                <w:rFonts w:hint="eastAsia" w:ascii="Times New Roman" w:hAnsi="Times New Roman" w:eastAsia="宋体" w:cs="Times New Roman"/>
                <w:color w:val="auto"/>
                <w:sz w:val="24"/>
                <w:szCs w:val="24"/>
                <w:lang w:val="en-US" w:eastAsia="zh-CN"/>
              </w:rPr>
              <w:t>%计</w:t>
            </w:r>
            <w:r>
              <w:rPr>
                <w:rFonts w:hint="eastAsia" w:cs="Times New Roman"/>
                <w:color w:val="auto"/>
                <w:sz w:val="24"/>
                <w:szCs w:val="24"/>
                <w:lang w:val="en-US" w:eastAsia="zh-CN"/>
              </w:rPr>
              <w:t>。</w:t>
            </w:r>
            <w:r>
              <w:rPr>
                <w:rFonts w:hint="eastAsia" w:cs="Times New Roman"/>
                <w:color w:val="auto"/>
                <w:sz w:val="24"/>
                <w:szCs w:val="24"/>
                <w:vertAlign w:val="baseline"/>
                <w:lang w:val="en-US" w:eastAsia="zh-CN"/>
              </w:rPr>
              <w:t>集气罩收集效率约为90%，经集气系统收集处理后（集气罩收集面积11.5m</w:t>
            </w:r>
            <w:r>
              <w:rPr>
                <w:rFonts w:hint="eastAsia" w:cs="Times New Roman"/>
                <w:color w:val="auto"/>
                <w:sz w:val="24"/>
                <w:szCs w:val="24"/>
                <w:vertAlign w:val="superscript"/>
                <w:lang w:val="en-US" w:eastAsia="zh-CN"/>
              </w:rPr>
              <w:t>2</w:t>
            </w:r>
            <w:r>
              <w:rPr>
                <w:rFonts w:hint="eastAsia" w:cs="Times New Roman"/>
                <w:color w:val="auto"/>
                <w:sz w:val="24"/>
                <w:szCs w:val="24"/>
                <w:vertAlign w:val="baseline"/>
                <w:lang w:val="en-US" w:eastAsia="zh-CN"/>
              </w:rPr>
              <w:t>，风量50000m</w:t>
            </w:r>
            <w:r>
              <w:rPr>
                <w:rFonts w:hint="eastAsia" w:cs="Times New Roman"/>
                <w:color w:val="auto"/>
                <w:sz w:val="24"/>
                <w:szCs w:val="24"/>
                <w:vertAlign w:val="superscript"/>
                <w:lang w:val="en-US" w:eastAsia="zh-CN"/>
              </w:rPr>
              <w:t>3</w:t>
            </w:r>
            <w:r>
              <w:rPr>
                <w:rFonts w:hint="eastAsia" w:cs="Times New Roman"/>
                <w:color w:val="auto"/>
                <w:sz w:val="24"/>
                <w:szCs w:val="24"/>
                <w:vertAlign w:val="baseline"/>
                <w:lang w:val="en-US" w:eastAsia="zh-CN"/>
              </w:rPr>
              <w:t>/h），车间有组织粉尘排放量约889.2kg/a，集气系统运行时间按2640h/a计（330d/a，8h/d），则筛分和破碎工序粉尘排放量为0.337kg/h，排放浓度为6.74mg/m</w:t>
            </w:r>
            <w:r>
              <w:rPr>
                <w:rFonts w:hint="eastAsia" w:cs="Times New Roman"/>
                <w:color w:val="auto"/>
                <w:sz w:val="24"/>
                <w:szCs w:val="24"/>
                <w:vertAlign w:val="superscript"/>
                <w:lang w:val="en-US" w:eastAsia="zh-CN"/>
              </w:rPr>
              <w:t>3</w:t>
            </w:r>
            <w:r>
              <w:rPr>
                <w:rFonts w:hint="eastAsia" w:cs="Times New Roman"/>
                <w:color w:val="auto"/>
                <w:sz w:val="24"/>
                <w:szCs w:val="24"/>
                <w:vertAlign w:val="baseline"/>
                <w:lang w:val="en-US" w:eastAsia="zh-CN"/>
              </w:rPr>
              <w:t>。</w:t>
            </w:r>
          </w:p>
          <w:p w14:paraId="28EA4B26">
            <w:pPr>
              <w:bidi w:val="0"/>
              <w:rPr>
                <w:rFonts w:hint="eastAsia"/>
                <w:b/>
                <w:bCs/>
                <w:color w:val="auto"/>
                <w:lang w:val="en-US" w:eastAsia="zh-CN"/>
              </w:rPr>
            </w:pPr>
            <w:r>
              <w:rPr>
                <w:rFonts w:hint="eastAsia" w:ascii="宋体" w:hAnsi="宋体" w:eastAsia="宋体" w:cs="宋体"/>
                <w:color w:val="000000"/>
                <w:kern w:val="0"/>
                <w:sz w:val="24"/>
                <w:szCs w:val="24"/>
                <w:lang w:val="en-US" w:eastAsia="zh-CN" w:bidi="ar"/>
              </w:rPr>
              <w:t>由于本项目</w:t>
            </w:r>
            <w:r>
              <w:rPr>
                <w:rFonts w:hint="eastAsia"/>
                <w:lang w:val="en-US" w:eastAsia="zh-CN"/>
              </w:rPr>
              <w:t>各级破碎机及筛分机均位于封闭厂房内</w:t>
            </w:r>
            <w:r>
              <w:rPr>
                <w:rFonts w:hint="eastAsia" w:ascii="宋体" w:hAnsi="宋体" w:eastAsia="宋体" w:cs="宋体"/>
                <w:color w:val="000000"/>
                <w:kern w:val="0"/>
                <w:sz w:val="24"/>
                <w:szCs w:val="24"/>
                <w:lang w:val="en-US" w:eastAsia="zh-CN" w:bidi="ar"/>
              </w:rPr>
              <w:t>，</w:t>
            </w:r>
            <w:r>
              <w:rPr>
                <w:rFonts w:hint="eastAsia" w:ascii="宋体" w:hAnsi="宋体" w:cs="宋体"/>
                <w:color w:val="000000"/>
                <w:kern w:val="0"/>
                <w:sz w:val="24"/>
                <w:szCs w:val="24"/>
                <w:lang w:val="en-US" w:eastAsia="zh-CN" w:bidi="ar"/>
              </w:rPr>
              <w:t>集气罩</w:t>
            </w:r>
            <w:r>
              <w:rPr>
                <w:rFonts w:hint="eastAsia" w:ascii="宋体" w:hAnsi="宋体" w:eastAsia="宋体" w:cs="宋体"/>
                <w:color w:val="000000"/>
                <w:kern w:val="0"/>
                <w:sz w:val="24"/>
                <w:szCs w:val="24"/>
                <w:lang w:val="en-US" w:eastAsia="zh-CN" w:bidi="ar"/>
              </w:rPr>
              <w:t>未收集到的扬尘经厂房墙壁及顶棚挡后，于厂房</w:t>
            </w:r>
            <w:r>
              <w:rPr>
                <w:rFonts w:hint="eastAsia"/>
                <w:lang w:val="en-US" w:eastAsia="zh-CN"/>
              </w:rPr>
              <w:t>车间内部加设喷淋装置进行抑尘，经计算，该生产线未经集气罩收集到的粉尘排放量为9.88t/a，车间内砂石料堆场及进卸料口均为三面围挡，综合抑尘效率按97%计（密闭运行抑尘效率90%以上，喷淋降尘74%），则项目破碎及筛分工序的粉尘无组织排放量为</w:t>
            </w:r>
            <w:r>
              <w:rPr>
                <w:rFonts w:hint="eastAsia"/>
                <w:color w:val="auto"/>
                <w:lang w:val="en-US" w:eastAsia="zh-CN"/>
              </w:rPr>
              <w:t>296.4kg/a，运行时间按8h/d（2640h/a）计，则项目破碎与筛分工序粉尘无组织排放速率为0.112kg/h。</w:t>
            </w:r>
          </w:p>
          <w:p w14:paraId="4B96557D">
            <w:pPr>
              <w:bidi w:val="0"/>
              <w:rPr>
                <w:rFonts w:hint="eastAsia"/>
                <w:b/>
                <w:bCs/>
                <w:color w:val="auto"/>
                <w:lang w:val="en-US" w:eastAsia="zh-CN"/>
              </w:rPr>
            </w:pPr>
            <w:r>
              <w:rPr>
                <w:rFonts w:hint="eastAsia"/>
                <w:b/>
                <w:bCs/>
                <w:color w:val="auto"/>
                <w:lang w:val="en-US" w:eastAsia="zh-CN"/>
              </w:rPr>
              <w:t>（7）焊接烟尘</w:t>
            </w:r>
          </w:p>
          <w:p w14:paraId="5E5FDA51">
            <w:pPr>
              <w:bidi w:val="0"/>
              <w:rPr>
                <w:rFonts w:hint="eastAsia"/>
                <w:color w:val="auto"/>
                <w:lang w:val="en-US" w:eastAsia="zh-CN"/>
              </w:rPr>
            </w:pPr>
            <w:r>
              <w:rPr>
                <w:rFonts w:hint="eastAsia"/>
                <w:color w:val="auto"/>
                <w:lang w:val="en-US" w:eastAsia="zh-CN"/>
              </w:rPr>
              <w:t>本项目钢筋笼制作时需采用手工电弧焊和智能机器人焊接，需使用无铅焊材，不使用焊剂。</w:t>
            </w:r>
            <w:r>
              <w:rPr>
                <w:color w:val="auto"/>
                <w:sz w:val="24"/>
              </w:rPr>
              <w:t>焊接烟尘是由于焊芯和药皮及焊接金属在电弧高温作用下熔融时蒸发、凝结和氧化而产生的，其成分比较复杂，主要是Fe</w:t>
            </w:r>
            <w:r>
              <w:rPr>
                <w:color w:val="auto"/>
                <w:sz w:val="24"/>
                <w:vertAlign w:val="subscript"/>
              </w:rPr>
              <w:t>2</w:t>
            </w:r>
            <w:r>
              <w:rPr>
                <w:color w:val="auto"/>
                <w:sz w:val="24"/>
              </w:rPr>
              <w:t>O</w:t>
            </w:r>
            <w:r>
              <w:rPr>
                <w:color w:val="auto"/>
                <w:sz w:val="24"/>
                <w:vertAlign w:val="subscript"/>
              </w:rPr>
              <w:t>3</w:t>
            </w:r>
            <w:r>
              <w:rPr>
                <w:color w:val="auto"/>
                <w:sz w:val="24"/>
              </w:rPr>
              <w:t>、</w:t>
            </w:r>
            <w:r>
              <w:rPr>
                <w:color w:val="auto"/>
                <w:sz w:val="24"/>
                <w:shd w:val="clear" w:fill="FFFFFF"/>
              </w:rPr>
              <w:t>MnO</w:t>
            </w:r>
            <w:r>
              <w:rPr>
                <w:color w:val="auto"/>
                <w:sz w:val="24"/>
                <w:vertAlign w:val="subscript"/>
              </w:rPr>
              <w:t>2</w:t>
            </w:r>
            <w:r>
              <w:rPr>
                <w:color w:val="auto"/>
                <w:sz w:val="24"/>
              </w:rPr>
              <w:t>等金属氧化物和金属氟化物</w:t>
            </w:r>
            <w:r>
              <w:rPr>
                <w:rFonts w:hint="eastAsia"/>
                <w:color w:val="auto"/>
                <w:sz w:val="24"/>
                <w:lang w:eastAsia="zh-CN"/>
              </w:rPr>
              <w:t>，</w:t>
            </w:r>
            <w:r>
              <w:rPr>
                <w:rFonts w:hint="eastAsia"/>
                <w:color w:val="auto"/>
                <w:sz w:val="24"/>
                <w:lang w:val="en-US" w:eastAsia="zh-CN"/>
              </w:rPr>
              <w:t>不使用含铅焊材，无铅尘排放</w:t>
            </w:r>
            <w:r>
              <w:rPr>
                <w:color w:val="auto"/>
                <w:sz w:val="24"/>
              </w:rPr>
              <w:t>。</w:t>
            </w:r>
            <w:r>
              <w:rPr>
                <w:rFonts w:hint="eastAsia"/>
                <w:color w:val="auto"/>
                <w:lang w:val="en-US" w:eastAsia="zh-CN"/>
              </w:rPr>
              <w:t>参考《排放源统计调查产排污核算方法和系数手册》中33-37机械行业系数手册09焊接产污系数表，手工电弧焊颗粒物产污系数为20.2kg/t-原料（焊条），项目焊条使用量约为0.12t/a，则项目焊接烟尘颗粒物产生量约为0.00242t/a。由于项目所需焊接部位需要根据部件焊接需求而定，非固定工位，因此拟采用车间无组织排放，则项目焊接烟尘无组织排放量约为0.00242t/a，焊接工作时长按330h/a（1h/d）计，焊接烟尘无组织排放速率为0.0073kg/d。</w:t>
            </w:r>
          </w:p>
          <w:p w14:paraId="2DEF71BC">
            <w:pPr>
              <w:adjustRightInd w:val="0"/>
              <w:snapToGrid w:val="0"/>
              <w:spacing w:line="360" w:lineRule="auto"/>
              <w:ind w:firstLine="480" w:firstLineChars="200"/>
              <w:rPr>
                <w:rFonts w:hint="default" w:cs="Times New Roman"/>
                <w:color w:val="auto"/>
                <w:kern w:val="0"/>
                <w:sz w:val="24"/>
                <w:szCs w:val="24"/>
                <w:lang w:val="en-US" w:eastAsia="zh-CN" w:bidi="ar-SA"/>
              </w:rPr>
            </w:pPr>
            <w:r>
              <w:rPr>
                <w:rFonts w:hint="eastAsia" w:ascii="Times New Roman" w:hAnsi="Times New Roman" w:eastAsia="宋体" w:cs="Times New Roman"/>
                <w:color w:val="auto"/>
                <w:kern w:val="0"/>
                <w:sz w:val="24"/>
                <w:szCs w:val="24"/>
                <w:lang w:val="en-US" w:eastAsia="zh-CN"/>
              </w:rPr>
              <w:t>相关</w:t>
            </w:r>
            <w:r>
              <w:rPr>
                <w:rFonts w:hint="default" w:ascii="Times New Roman" w:hAnsi="Times New Roman" w:eastAsia="宋体" w:cs="Times New Roman"/>
                <w:color w:val="auto"/>
                <w:kern w:val="0"/>
                <w:sz w:val="24"/>
                <w:szCs w:val="24"/>
                <w:lang w:val="en-US" w:eastAsia="zh-CN"/>
              </w:rPr>
              <w:t>废气污染源源强核算结果</w:t>
            </w:r>
            <w:r>
              <w:rPr>
                <w:rFonts w:hint="default" w:ascii="Times New Roman" w:hAnsi="Times New Roman" w:eastAsia="宋体" w:cs="Times New Roman"/>
                <w:color w:val="auto"/>
                <w:kern w:val="0"/>
                <w:sz w:val="24"/>
                <w:szCs w:val="24"/>
                <w:lang w:val="en-US" w:eastAsia="zh-CN" w:bidi="ar-SA"/>
              </w:rPr>
              <w:t>及相关参数一览表4.</w:t>
            </w:r>
            <w:r>
              <w:rPr>
                <w:rFonts w:hint="eastAsia" w:ascii="Times New Roman" w:hAnsi="Times New Roman" w:eastAsia="宋体" w:cs="Times New Roman"/>
                <w:color w:val="auto"/>
                <w:kern w:val="0"/>
                <w:sz w:val="24"/>
                <w:szCs w:val="24"/>
                <w:lang w:val="en-US" w:eastAsia="zh-CN" w:bidi="ar-SA"/>
              </w:rPr>
              <w:t>2</w:t>
            </w:r>
            <w:r>
              <w:rPr>
                <w:rFonts w:hint="default" w:ascii="Times New Roman" w:hAnsi="Times New Roman" w:eastAsia="宋体" w:cs="Times New Roman"/>
                <w:color w:val="auto"/>
                <w:kern w:val="0"/>
                <w:sz w:val="24"/>
                <w:szCs w:val="24"/>
                <w:lang w:val="en-US" w:eastAsia="zh-CN" w:bidi="ar-SA"/>
              </w:rPr>
              <w:t>-</w:t>
            </w:r>
            <w:r>
              <w:rPr>
                <w:rFonts w:hint="eastAsia" w:ascii="Times New Roman" w:hAnsi="Times New Roman" w:eastAsia="宋体" w:cs="Times New Roman"/>
                <w:color w:val="auto"/>
                <w:kern w:val="0"/>
                <w:sz w:val="24"/>
                <w:szCs w:val="24"/>
                <w:lang w:val="en-US" w:eastAsia="zh-CN" w:bidi="ar-SA"/>
              </w:rPr>
              <w:t>4</w:t>
            </w:r>
            <w:r>
              <w:rPr>
                <w:rFonts w:hint="default" w:ascii="Times New Roman" w:hAnsi="Times New Roman" w:eastAsia="宋体" w:cs="Times New Roman"/>
                <w:color w:val="auto"/>
                <w:kern w:val="0"/>
                <w:sz w:val="24"/>
                <w:szCs w:val="24"/>
                <w:lang w:val="en-US" w:eastAsia="zh-CN" w:bidi="ar-SA"/>
              </w:rPr>
              <w:t>。</w:t>
            </w:r>
          </w:p>
        </w:tc>
      </w:tr>
    </w:tbl>
    <w:p w14:paraId="5BB2900C">
      <w:pPr>
        <w:pStyle w:val="17"/>
        <w:numPr>
          <w:ilvl w:val="0"/>
          <w:numId w:val="0"/>
        </w:numPr>
        <w:jc w:val="both"/>
        <w:outlineLvl w:val="9"/>
        <w:rPr>
          <w:rFonts w:hint="default" w:ascii="Times New Roman" w:hAnsi="Times New Roman" w:eastAsia="宋体" w:cs="Times New Roman"/>
          <w:snapToGrid w:val="0"/>
          <w:color w:val="auto"/>
          <w:sz w:val="30"/>
          <w:szCs w:val="30"/>
        </w:rPr>
        <w:sectPr>
          <w:pgSz w:w="11907" w:h="16840"/>
          <w:pgMar w:top="1417" w:right="1417" w:bottom="1417" w:left="1417" w:header="851" w:footer="851" w:gutter="0"/>
          <w:pgBorders>
            <w:top w:val="none" w:sz="0" w:space="0"/>
            <w:left w:val="none" w:sz="0" w:space="0"/>
            <w:bottom w:val="none" w:sz="0" w:space="0"/>
            <w:right w:val="none" w:sz="0" w:space="0"/>
          </w:pgBorders>
          <w:pgNumType w:fmt="numberInDash"/>
          <w:cols w:space="720" w:num="1"/>
          <w:docGrid w:linePitch="312" w:charSpace="0"/>
        </w:sectPr>
      </w:pP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1"/>
        <w:gridCol w:w="13383"/>
      </w:tblGrid>
      <w:tr w14:paraId="54F3F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50" w:hRule="atLeast"/>
          <w:jc w:val="center"/>
        </w:trPr>
        <w:tc>
          <w:tcPr>
            <w:tcW w:w="571" w:type="dxa"/>
            <w:noWrap w:val="0"/>
            <w:vAlign w:val="center"/>
          </w:tcPr>
          <w:p w14:paraId="048786C3">
            <w:pPr>
              <w:pStyle w:val="28"/>
              <w:bidi w:val="0"/>
              <w:rPr>
                <w:rFonts w:hint="default" w:ascii="Times New Roman" w:hAnsi="Times New Roman" w:eastAsia="宋体" w:cs="Times New Roman"/>
                <w:color w:val="auto"/>
                <w:szCs w:val="24"/>
                <w:vertAlign w:val="baseline"/>
                <w:lang w:eastAsia="zh-CN"/>
              </w:rPr>
            </w:pPr>
            <w:r>
              <w:rPr>
                <w:rFonts w:hint="default"/>
                <w:color w:val="auto"/>
              </w:rPr>
              <w:t>运营期环境影响和保护措施</w:t>
            </w:r>
          </w:p>
        </w:tc>
        <w:tc>
          <w:tcPr>
            <w:tcW w:w="13383" w:type="dxa"/>
            <w:noWrap w:val="0"/>
            <w:vAlign w:val="center"/>
          </w:tcPr>
          <w:p w14:paraId="00FC4D8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4"/>
                <w:szCs w:val="24"/>
                <w:lang w:eastAsia="zh-CN"/>
              </w:rPr>
              <w:t>表</w:t>
            </w:r>
            <w:r>
              <w:rPr>
                <w:rFonts w:hint="default" w:ascii="Times New Roman" w:hAnsi="Times New Roman" w:eastAsia="宋体" w:cs="Times New Roman"/>
                <w:b/>
                <w:bCs/>
                <w:color w:val="auto"/>
                <w:sz w:val="24"/>
                <w:szCs w:val="24"/>
                <w:lang w:val="en-US" w:eastAsia="zh-CN"/>
              </w:rPr>
              <w:t>4</w:t>
            </w:r>
            <w:r>
              <w:rPr>
                <w:rFonts w:hint="eastAsia" w:ascii="Times New Roman" w:hAnsi="Times New Roman" w:eastAsia="宋体" w:cs="Times New Roman"/>
                <w:b/>
                <w:bCs/>
                <w:color w:val="auto"/>
                <w:sz w:val="24"/>
                <w:szCs w:val="24"/>
                <w:lang w:val="en-US" w:eastAsia="zh-CN"/>
              </w:rPr>
              <w:t>.2</w:t>
            </w:r>
            <w:r>
              <w:rPr>
                <w:rFonts w:hint="default" w:ascii="Times New Roman" w:hAnsi="Times New Roman" w:eastAsia="宋体" w:cs="Times New Roman"/>
                <w:b/>
                <w:bCs/>
                <w:color w:val="auto"/>
                <w:sz w:val="24"/>
                <w:szCs w:val="24"/>
                <w:lang w:val="en-US" w:eastAsia="zh-CN"/>
              </w:rPr>
              <w:t>-</w:t>
            </w:r>
            <w:r>
              <w:rPr>
                <w:rFonts w:hint="eastAsia" w:ascii="Times New Roman" w:hAnsi="Times New Roman" w:eastAsia="宋体" w:cs="Times New Roman"/>
                <w:b/>
                <w:bCs/>
                <w:color w:val="auto"/>
                <w:sz w:val="24"/>
                <w:szCs w:val="24"/>
                <w:lang w:val="en-US" w:eastAsia="zh-CN"/>
              </w:rPr>
              <w:t>4</w:t>
            </w:r>
            <w:r>
              <w:rPr>
                <w:rFonts w:hint="default" w:ascii="Times New Roman" w:hAnsi="Times New Roman" w:eastAsia="宋体" w:cs="Times New Roman"/>
                <w:b/>
                <w:bCs/>
                <w:color w:val="auto"/>
                <w:sz w:val="24"/>
                <w:szCs w:val="24"/>
                <w:lang w:val="en-US" w:eastAsia="zh-CN"/>
              </w:rPr>
              <w:t xml:space="preserve"> 项目</w:t>
            </w:r>
            <w:r>
              <w:rPr>
                <w:rFonts w:hint="default" w:ascii="Times New Roman" w:hAnsi="Times New Roman" w:eastAsia="宋体" w:cs="Times New Roman"/>
                <w:b/>
                <w:bCs/>
                <w:color w:val="auto"/>
                <w:sz w:val="24"/>
                <w:szCs w:val="24"/>
                <w:lang w:eastAsia="zh-CN"/>
              </w:rPr>
              <w:t>废气污染源源强核算结果及相关参数一览表</w:t>
            </w:r>
          </w:p>
          <w:p w14:paraId="1C6626A3">
            <w:pPr>
              <w:adjustRightInd w:val="0"/>
              <w:snapToGrid w:val="0"/>
              <w:spacing w:line="320" w:lineRule="exact"/>
              <w:ind w:firstLine="720" w:firstLineChars="300"/>
              <w:jc w:val="left"/>
              <w:rPr>
                <w:rFonts w:hint="default" w:ascii="Times New Roman" w:hAnsi="Times New Roman" w:eastAsia="宋体" w:cs="Times New Roman"/>
                <w:color w:val="auto"/>
                <w:sz w:val="24"/>
                <w:szCs w:val="24"/>
                <w:vertAlign w:val="baseline"/>
                <w:lang w:eastAsia="zh-CN"/>
              </w:rPr>
            </w:pPr>
          </w:p>
        </w:tc>
      </w:tr>
    </w:tbl>
    <w:p w14:paraId="014D1F55">
      <w:pPr>
        <w:pStyle w:val="17"/>
        <w:numPr>
          <w:ilvl w:val="0"/>
          <w:numId w:val="0"/>
        </w:numPr>
        <w:jc w:val="both"/>
        <w:outlineLvl w:val="9"/>
        <w:rPr>
          <w:rFonts w:hint="default" w:ascii="Times New Roman" w:hAnsi="Times New Roman" w:eastAsia="宋体" w:cs="Times New Roman"/>
          <w:snapToGrid w:val="0"/>
          <w:color w:val="auto"/>
          <w:sz w:val="30"/>
          <w:szCs w:val="30"/>
        </w:rPr>
        <w:sectPr>
          <w:pgSz w:w="16840" w:h="11907" w:orient="landscape"/>
          <w:pgMar w:top="1417" w:right="1417" w:bottom="1417" w:left="1417" w:header="851" w:footer="851" w:gutter="0"/>
          <w:pgBorders>
            <w:top w:val="none" w:sz="0" w:space="0"/>
            <w:left w:val="none" w:sz="0" w:space="0"/>
            <w:bottom w:val="none" w:sz="0" w:space="0"/>
            <w:right w:val="none" w:sz="0" w:space="0"/>
          </w:pgBorders>
          <w:pgNumType w:fmt="numberInDash"/>
          <w:cols w:space="720" w:num="1"/>
          <w:docGrid w:linePitch="312" w:charSpace="0"/>
        </w:sectPr>
      </w:pPr>
    </w:p>
    <w:tbl>
      <w:tblPr>
        <w:tblStyle w:val="20"/>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90"/>
        <w:gridCol w:w="8491"/>
      </w:tblGrid>
      <w:tr w14:paraId="4E7592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40" w:hRule="atLeast"/>
          <w:jc w:val="center"/>
        </w:trPr>
        <w:tc>
          <w:tcPr>
            <w:tcW w:w="490" w:type="dxa"/>
            <w:noWrap w:val="0"/>
            <w:tcMar>
              <w:left w:w="28" w:type="dxa"/>
              <w:right w:w="28" w:type="dxa"/>
            </w:tcMar>
            <w:vAlign w:val="center"/>
          </w:tcPr>
          <w:p w14:paraId="725F56F8">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运营</w:t>
            </w:r>
          </w:p>
          <w:p w14:paraId="6BEFF91B">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期环</w:t>
            </w:r>
          </w:p>
          <w:p w14:paraId="62A9807B">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境影</w:t>
            </w:r>
          </w:p>
          <w:p w14:paraId="776B3BAB">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响和</w:t>
            </w:r>
          </w:p>
          <w:p w14:paraId="4A953FAC">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保护</w:t>
            </w:r>
          </w:p>
          <w:p w14:paraId="736406C3">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bCs/>
                <w:color w:val="auto"/>
                <w:szCs w:val="21"/>
              </w:rPr>
              <w:t>措施</w:t>
            </w:r>
          </w:p>
        </w:tc>
        <w:tc>
          <w:tcPr>
            <w:tcW w:w="8491" w:type="dxa"/>
            <w:noWrap w:val="0"/>
            <w:vAlign w:val="center"/>
          </w:tcPr>
          <w:p w14:paraId="32B94814">
            <w:pPr>
              <w:pStyle w:val="4"/>
              <w:rPr>
                <w:rFonts w:hint="eastAsia"/>
                <w:color w:val="auto"/>
                <w:lang w:val="en-US" w:eastAsia="zh-CN"/>
              </w:rPr>
            </w:pPr>
            <w:r>
              <w:rPr>
                <w:rFonts w:hint="eastAsia"/>
                <w:color w:val="auto"/>
                <w:lang w:val="en-US" w:eastAsia="zh-CN"/>
              </w:rPr>
              <w:t>4.2.2废气污染源汇总</w:t>
            </w:r>
          </w:p>
          <w:p w14:paraId="4ED5C1DE">
            <w:pPr>
              <w:rPr>
                <w:rFonts w:hint="eastAsia"/>
                <w:color w:val="auto"/>
                <w:lang w:val="en-US" w:eastAsia="zh-CN"/>
              </w:rPr>
            </w:pPr>
            <w:r>
              <w:rPr>
                <w:rFonts w:hint="eastAsia"/>
                <w:color w:val="auto"/>
                <w:lang w:val="en-US" w:eastAsia="zh-CN"/>
              </w:rPr>
              <w:t>根据前小节计算结果，主要污染源为2#搅拌楼的搅拌粉尘、粉料仓呼吸尘，3#物料库的筛分及破碎粉尘、石方料装卸粉尘、砂石料堆场风蚀扬尘以及砂石计料粉尘，5#生产车间的焊接烟尘以及厂内的运输粉尘。</w:t>
            </w:r>
          </w:p>
          <w:p w14:paraId="3B65717C">
            <w:pPr>
              <w:rPr>
                <w:rFonts w:hint="default"/>
                <w:color w:val="auto"/>
                <w:lang w:val="en-US" w:eastAsia="zh-CN"/>
              </w:rPr>
            </w:pPr>
            <w:r>
              <w:rPr>
                <w:rFonts w:hint="eastAsia"/>
                <w:color w:val="auto"/>
                <w:lang w:val="en-US" w:eastAsia="zh-CN"/>
              </w:rPr>
              <w:t>其中</w:t>
            </w:r>
            <w:r>
              <w:rPr>
                <w:rFonts w:hint="eastAsia" w:cs="Times New Roman"/>
                <w:color w:val="auto"/>
                <w:kern w:val="0"/>
                <w:sz w:val="24"/>
                <w:szCs w:val="24"/>
                <w:lang w:val="en-US" w:eastAsia="zh-CN"/>
              </w:rPr>
              <w:t>2#搅拌楼的</w:t>
            </w:r>
            <w:r>
              <w:rPr>
                <w:rFonts w:hint="eastAsia"/>
                <w:color w:val="auto"/>
                <w:lang w:val="en-US" w:eastAsia="zh-CN"/>
              </w:rPr>
              <w:t>搅拌粉尘、粉料仓呼吸尘均为无组织排放，排放总量为0.822t/a，最大排放速率为0.311kg/h。3#物料库石方料装卸及砂石料堆场风蚀扬尘、砂石计料粉尘等无组织合计排放总量为4.442t/a，最大排放速率为1.634kg/h，3#物料库的筛分及破碎粉尘有组织排放总量为0.889t/a，排放速率0.337kg/h，排放浓度6.74mg/m</w:t>
            </w:r>
            <w:r>
              <w:rPr>
                <w:rFonts w:hint="eastAsia"/>
                <w:color w:val="auto"/>
                <w:vertAlign w:val="superscript"/>
                <w:lang w:val="en-US" w:eastAsia="zh-CN"/>
              </w:rPr>
              <w:t>3</w:t>
            </w:r>
            <w:r>
              <w:rPr>
                <w:rFonts w:hint="eastAsia"/>
                <w:color w:val="auto"/>
                <w:lang w:val="en-US" w:eastAsia="zh-CN"/>
              </w:rPr>
              <w:t>。5#生产车间的焊接烟尘排放总量0.00242t/a，最大排放速率为0.0074kg/h，厂内运输粉尘排放总量</w:t>
            </w:r>
            <w:r>
              <w:rPr>
                <w:rFonts w:hint="eastAsia"/>
                <w:color w:val="auto"/>
              </w:rPr>
              <w:t>0.327</w:t>
            </w:r>
            <w:r>
              <w:rPr>
                <w:rFonts w:hint="eastAsia"/>
                <w:color w:val="auto"/>
                <w:lang w:val="en-US" w:eastAsia="zh-CN"/>
              </w:rPr>
              <w:t>t/a</w:t>
            </w:r>
            <w:r>
              <w:rPr>
                <w:rFonts w:hint="eastAsia"/>
                <w:color w:val="auto"/>
                <w:lang w:eastAsia="zh-CN"/>
              </w:rPr>
              <w:t>，</w:t>
            </w:r>
            <w:r>
              <w:rPr>
                <w:rFonts w:hint="eastAsia"/>
                <w:color w:val="auto"/>
                <w:lang w:val="en-US" w:eastAsia="zh-CN"/>
              </w:rPr>
              <w:t>排放速率</w:t>
            </w:r>
            <w:r>
              <w:rPr>
                <w:rFonts w:hint="eastAsia"/>
                <w:color w:val="auto"/>
              </w:rPr>
              <w:t>0.124</w:t>
            </w:r>
            <w:r>
              <w:rPr>
                <w:rFonts w:hint="eastAsia"/>
                <w:color w:val="auto"/>
                <w:lang w:val="en-US" w:eastAsia="zh-CN"/>
              </w:rPr>
              <w:t>kg/h。因此全厂粉尘排放量合计6.483t/a。</w:t>
            </w:r>
          </w:p>
          <w:p w14:paraId="0952BED2">
            <w:pPr>
              <w:pStyle w:val="4"/>
              <w:bidi w:val="0"/>
              <w:rPr>
                <w:color w:val="auto"/>
              </w:rPr>
            </w:pPr>
            <w:r>
              <w:rPr>
                <w:color w:val="auto"/>
              </w:rPr>
              <w:t>4.</w:t>
            </w:r>
            <w:r>
              <w:rPr>
                <w:rFonts w:hint="eastAsia"/>
                <w:color w:val="auto"/>
                <w:lang w:val="en-US" w:eastAsia="zh-CN"/>
              </w:rPr>
              <w:t>2</w:t>
            </w:r>
            <w:r>
              <w:rPr>
                <w:color w:val="auto"/>
              </w:rPr>
              <w:t>.</w:t>
            </w:r>
            <w:r>
              <w:rPr>
                <w:rFonts w:hint="eastAsia"/>
                <w:color w:val="auto"/>
                <w:lang w:val="en-US" w:eastAsia="zh-CN"/>
              </w:rPr>
              <w:t>3</w:t>
            </w:r>
            <w:r>
              <w:rPr>
                <w:color w:val="auto"/>
              </w:rPr>
              <w:t xml:space="preserve"> </w:t>
            </w:r>
            <w:r>
              <w:rPr>
                <w:rFonts w:hint="eastAsia"/>
                <w:color w:val="auto"/>
              </w:rPr>
              <w:t>非正常排放</w:t>
            </w:r>
          </w:p>
          <w:p w14:paraId="2DE76551">
            <w:pPr>
              <w:bidi w:val="0"/>
              <w:rPr>
                <w:rFonts w:hint="eastAsia"/>
                <w:color w:val="auto"/>
                <w:lang w:val="en-US" w:eastAsia="zh-CN"/>
              </w:rPr>
            </w:pPr>
            <w:r>
              <w:rPr>
                <w:rFonts w:hint="eastAsia"/>
                <w:color w:val="auto"/>
                <w:lang w:val="en-US" w:eastAsia="zh-CN"/>
              </w:rPr>
              <w:t>项目正常情况为常年生产状态，年工作日330天，实行昼间单制，8h/d，夜间不生产，本次非正常排放情况考虑2#搅拌楼粉料仓顶自带‌脉冲布袋除尘装置或3#物料库发生故障布袋除尘装置，废气处理达不到设计效率。由于项目废气处理设施主要为过滤式，故障时主要为滤材局部破损等，基本不会完全失效，本次非正常工况按废气处理设施处理效率下降至按50%计，非正常排放时间1h计算，非正常排放量核算见4.2-5。</w:t>
            </w:r>
          </w:p>
          <w:p w14:paraId="29F4509C">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4"/>
                <w:szCs w:val="24"/>
                <w:lang w:eastAsia="zh-CN"/>
              </w:rPr>
              <w:t>表4.</w:t>
            </w:r>
            <w:r>
              <w:rPr>
                <w:rFonts w:hint="eastAsia" w:ascii="Times New Roman" w:hAnsi="Times New Roman" w:eastAsia="宋体" w:cs="Times New Roman"/>
                <w:b/>
                <w:bCs/>
                <w:color w:val="auto"/>
                <w:sz w:val="24"/>
                <w:szCs w:val="24"/>
                <w:lang w:val="en-US" w:eastAsia="zh-CN"/>
              </w:rPr>
              <w:t>2-5</w:t>
            </w:r>
            <w:r>
              <w:rPr>
                <w:rFonts w:hint="default" w:ascii="Times New Roman" w:hAnsi="Times New Roman" w:eastAsia="宋体" w:cs="Times New Roman"/>
                <w:b/>
                <w:bCs/>
                <w:color w:val="auto"/>
                <w:sz w:val="24"/>
                <w:szCs w:val="24"/>
                <w:lang w:eastAsia="zh-CN"/>
              </w:rPr>
              <w:t xml:space="preserve"> 项目废气污染物非正常排放核算表</w:t>
            </w:r>
          </w:p>
          <w:p w14:paraId="21098BC2">
            <w:pPr>
              <w:bidi w:val="0"/>
              <w:rPr>
                <w:rFonts w:hint="eastAsia"/>
                <w:color w:val="auto"/>
                <w:lang w:val="en-US" w:eastAsia="zh-CN"/>
              </w:rPr>
            </w:pPr>
            <w:r>
              <w:rPr>
                <w:rFonts w:hint="eastAsia"/>
                <w:color w:val="auto"/>
                <w:lang w:val="en-US" w:eastAsia="zh-CN"/>
              </w:rPr>
              <w:t>由表4.2-5可知，本项目废气设施在故障等情况发生时，非正常事故源搅拌站粉料仓呼吸尘以及建筑垃圾回收利用生产线的</w:t>
            </w:r>
            <w:r>
              <w:rPr>
                <w:rFonts w:hint="eastAsia"/>
                <w:lang w:val="en-US" w:eastAsia="zh-CN"/>
              </w:rPr>
              <w:t>筛分破碎粉尘的排气筒DA001颗粒物</w:t>
            </w:r>
            <w:r>
              <w:rPr>
                <w:rFonts w:hint="eastAsia"/>
                <w:color w:val="auto"/>
                <w:lang w:val="en-US" w:eastAsia="zh-CN"/>
              </w:rPr>
              <w:t>排放将形成超标排放，其余废气污染源排放源强也有所增加，对周边大气环境不利影响程度有较大增加。因此，发生事故时，建设单位应立即停止相应生产工序作业，待设备修复正常后再重新投产，采取以上应对措施后，非正常排放对周边影响是短暂的，但是建设单位依然要尽量避免，日常落实设备维护，定期更换清理过滤材料，保证处理效率。</w:t>
            </w:r>
          </w:p>
          <w:p w14:paraId="73FCE094">
            <w:pPr>
              <w:pStyle w:val="4"/>
              <w:bidi w:val="0"/>
              <w:rPr>
                <w:rFonts w:hint="default"/>
                <w:color w:val="auto"/>
                <w:lang w:val="en-US" w:eastAsia="zh-CN"/>
              </w:rPr>
            </w:pPr>
            <w:r>
              <w:rPr>
                <w:rFonts w:hint="default"/>
                <w:color w:val="auto"/>
                <w:lang w:val="en-US" w:eastAsia="zh-CN"/>
              </w:rPr>
              <w:t>4.</w:t>
            </w:r>
            <w:r>
              <w:rPr>
                <w:rFonts w:hint="eastAsia"/>
                <w:color w:val="auto"/>
                <w:lang w:val="en-US" w:eastAsia="zh-CN"/>
              </w:rPr>
              <w:t>2</w:t>
            </w:r>
            <w:r>
              <w:rPr>
                <w:rFonts w:hint="default"/>
                <w:color w:val="auto"/>
                <w:lang w:val="en-US" w:eastAsia="zh-CN"/>
              </w:rPr>
              <w:t>.</w:t>
            </w:r>
            <w:r>
              <w:rPr>
                <w:rFonts w:hint="eastAsia"/>
                <w:color w:val="auto"/>
                <w:lang w:val="en-US" w:eastAsia="zh-CN"/>
              </w:rPr>
              <w:t>4</w:t>
            </w:r>
            <w:r>
              <w:rPr>
                <w:rFonts w:hint="default"/>
                <w:color w:val="auto"/>
              </w:rPr>
              <w:t>运营期大气影响和污染防治措施</w:t>
            </w:r>
            <w:r>
              <w:rPr>
                <w:rFonts w:hint="eastAsia"/>
                <w:color w:val="auto"/>
                <w:lang w:eastAsia="zh-CN"/>
              </w:rPr>
              <w:t>可行性</w:t>
            </w:r>
            <w:r>
              <w:rPr>
                <w:rFonts w:hint="default"/>
                <w:color w:val="auto"/>
              </w:rPr>
              <w:t>分析</w:t>
            </w:r>
          </w:p>
          <w:p w14:paraId="3AA6280F">
            <w:pPr>
              <w:pStyle w:val="49"/>
              <w:bidi w:val="0"/>
              <w:rPr>
                <w:rFonts w:hint="default" w:ascii="Times New Roman" w:hAnsi="Times New Roman" w:cs="Times New Roman"/>
                <w:b/>
                <w:bCs/>
                <w:color w:val="auto"/>
                <w:highlight w:val="none"/>
                <w:lang w:val="en-US" w:eastAsia="zh-CN"/>
              </w:rPr>
            </w:pPr>
            <w:bookmarkStart w:id="34" w:name="_Toc7339_WPSOffice_Level2"/>
            <w:r>
              <w:rPr>
                <w:rFonts w:hint="eastAsia" w:ascii="Times New Roman" w:hAnsi="Times New Roman" w:cs="Times New Roman"/>
                <w:b/>
                <w:bCs/>
                <w:color w:val="auto"/>
                <w:highlight w:val="none"/>
                <w:lang w:val="en-US" w:eastAsia="zh-CN"/>
              </w:rPr>
              <w:t>(</w:t>
            </w:r>
            <w:r>
              <w:rPr>
                <w:rFonts w:hint="default" w:ascii="Times New Roman" w:hAnsi="Times New Roman" w:cs="Times New Roman"/>
                <w:b/>
                <w:bCs/>
                <w:color w:val="auto"/>
                <w:highlight w:val="none"/>
                <w:lang w:val="en-US" w:eastAsia="zh-CN"/>
              </w:rPr>
              <w:t>1</w:t>
            </w:r>
            <w:r>
              <w:rPr>
                <w:rFonts w:hint="eastAsia" w:ascii="Times New Roman" w:hAnsi="Times New Roman" w:cs="Times New Roman"/>
                <w:b/>
                <w:bCs/>
                <w:color w:val="auto"/>
                <w:highlight w:val="none"/>
                <w:lang w:val="en-US" w:eastAsia="zh-CN"/>
              </w:rPr>
              <w:t>)</w:t>
            </w:r>
            <w:r>
              <w:rPr>
                <w:rFonts w:hint="default" w:ascii="Times New Roman" w:hAnsi="Times New Roman" w:cs="Times New Roman"/>
                <w:b/>
                <w:bCs/>
                <w:color w:val="auto"/>
                <w:highlight w:val="none"/>
                <w:lang w:val="en-US" w:eastAsia="zh-CN"/>
              </w:rPr>
              <w:t>大气环境影响预测</w:t>
            </w:r>
          </w:p>
          <w:p w14:paraId="10ACC5E5">
            <w:pPr>
              <w:pStyle w:val="5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w:t>
            </w:r>
            <w:r>
              <w:rPr>
                <w:rFonts w:hint="default" w:ascii="Times New Roman" w:hAnsi="Times New Roman" w:cs="Times New Roman"/>
                <w:color w:val="auto"/>
                <w:highlight w:val="none"/>
                <w:lang w:eastAsia="zh-CN"/>
              </w:rPr>
              <w:t>项目</w:t>
            </w:r>
            <w:r>
              <w:rPr>
                <w:rFonts w:hint="eastAsia" w:cs="Times New Roman"/>
                <w:color w:val="auto"/>
                <w:highlight w:val="none"/>
                <w:lang w:val="en-US" w:eastAsia="zh-CN"/>
              </w:rPr>
              <w:t>废气源强分析结果</w:t>
            </w:r>
            <w:r>
              <w:rPr>
                <w:rFonts w:hint="default" w:ascii="Times New Roman" w:hAnsi="Times New Roman" w:cs="Times New Roman"/>
                <w:color w:val="auto"/>
                <w:highlight w:val="none"/>
                <w:lang w:eastAsia="zh-CN"/>
              </w:rPr>
              <w:t>，本评价</w:t>
            </w:r>
            <w:r>
              <w:rPr>
                <w:rFonts w:hint="eastAsia" w:cs="Times New Roman"/>
                <w:color w:val="auto"/>
                <w:highlight w:val="none"/>
                <w:lang w:val="en-US" w:eastAsia="zh-CN"/>
              </w:rPr>
              <w:t>预测</w:t>
            </w:r>
            <w:r>
              <w:rPr>
                <w:rFonts w:hint="default" w:ascii="Times New Roman" w:hAnsi="Times New Roman" w:cs="Times New Roman"/>
                <w:color w:val="auto"/>
                <w:highlight w:val="none"/>
                <w:lang w:eastAsia="zh-CN"/>
              </w:rPr>
              <w:t>因子取颗粒物，项目大气</w:t>
            </w:r>
            <w:r>
              <w:rPr>
                <w:rFonts w:hint="default" w:ascii="Times New Roman" w:hAnsi="Times New Roman" w:cs="Times New Roman"/>
                <w:color w:val="auto"/>
                <w:highlight w:val="none"/>
              </w:rPr>
              <w:t>评价因子和评价标准详见表</w:t>
            </w:r>
            <w:r>
              <w:rPr>
                <w:rFonts w:hint="default" w:ascii="Times New Roman" w:hAnsi="Times New Roman" w:cs="Times New Roman"/>
                <w:color w:val="auto"/>
                <w:highlight w:val="none"/>
                <w:lang w:val="en-US" w:eastAsia="zh-CN"/>
              </w:rPr>
              <w:t>4.2-</w:t>
            </w:r>
            <w:r>
              <w:rPr>
                <w:rFonts w:hint="eastAsia" w:cs="Times New Roman"/>
                <w:color w:val="auto"/>
                <w:highlight w:val="none"/>
                <w:lang w:val="en-US" w:eastAsia="zh-CN"/>
              </w:rPr>
              <w:t>6</w:t>
            </w:r>
            <w:r>
              <w:rPr>
                <w:rFonts w:hint="default" w:ascii="Times New Roman" w:hAnsi="Times New Roman" w:cs="Times New Roman"/>
                <w:color w:val="auto"/>
                <w:highlight w:val="none"/>
              </w:rPr>
              <w:t>。</w:t>
            </w:r>
          </w:p>
          <w:p w14:paraId="6F592048">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表4.2-</w:t>
            </w:r>
            <w:r>
              <w:rPr>
                <w:rFonts w:hint="eastAsia" w:ascii="Times New Roman" w:hAnsi="Times New Roman" w:eastAsia="宋体" w:cs="Times New Roman"/>
                <w:b/>
                <w:bCs/>
                <w:color w:val="auto"/>
                <w:sz w:val="24"/>
                <w:szCs w:val="24"/>
                <w:lang w:val="en-US" w:eastAsia="zh-CN"/>
              </w:rPr>
              <w:t>6</w:t>
            </w:r>
            <w:r>
              <w:rPr>
                <w:rFonts w:hint="default" w:ascii="Times New Roman" w:hAnsi="Times New Roman" w:eastAsia="宋体" w:cs="Times New Roman"/>
                <w:b/>
                <w:bCs/>
                <w:color w:val="auto"/>
                <w:sz w:val="24"/>
                <w:szCs w:val="24"/>
                <w:lang w:val="en-US" w:eastAsia="zh-CN"/>
              </w:rPr>
              <w:t xml:space="preserve"> 项目评价因子和评价标准一览表</w:t>
            </w:r>
          </w:p>
          <w:tbl>
            <w:tblPr>
              <w:tblStyle w:val="2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64"/>
              <w:gridCol w:w="1964"/>
              <w:gridCol w:w="1661"/>
              <w:gridCol w:w="3583"/>
            </w:tblGrid>
            <w:tr w14:paraId="5929BC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3" w:type="pct"/>
                  <w:noWrap w:val="0"/>
                  <w:vAlign w:val="center"/>
                </w:tcPr>
                <w:p w14:paraId="05604A5F">
                  <w:pPr>
                    <w:pStyle w:val="51"/>
                    <w:keepNext/>
                    <w:keepLines w:val="0"/>
                    <w:pageBreakBefore w:val="0"/>
                    <w:widowControl w:val="0"/>
                    <w:kinsoku/>
                    <w:wordWrap/>
                    <w:overflowPunct w:val="0"/>
                    <w:topLinePunct w:val="0"/>
                    <w:autoSpaceDE/>
                    <w:autoSpaceDN/>
                    <w:bidi w:val="0"/>
                    <w:adjustRightInd/>
                    <w:snapToGrid w:val="0"/>
                    <w:spacing w:line="240" w:lineRule="auto"/>
                    <w:ind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评价因子</w:t>
                  </w:r>
                </w:p>
              </w:tc>
              <w:tc>
                <w:tcPr>
                  <w:tcW w:w="1187" w:type="pct"/>
                  <w:noWrap w:val="0"/>
                  <w:vAlign w:val="center"/>
                </w:tcPr>
                <w:p w14:paraId="48E13BA0">
                  <w:pPr>
                    <w:pStyle w:val="51"/>
                    <w:keepNext/>
                    <w:keepLines w:val="0"/>
                    <w:pageBreakBefore w:val="0"/>
                    <w:widowControl w:val="0"/>
                    <w:kinsoku/>
                    <w:wordWrap/>
                    <w:overflowPunct w:val="0"/>
                    <w:topLinePunct w:val="0"/>
                    <w:autoSpaceDE/>
                    <w:autoSpaceDN/>
                    <w:bidi w:val="0"/>
                    <w:adjustRightInd/>
                    <w:snapToGrid w:val="0"/>
                    <w:spacing w:line="240" w:lineRule="auto"/>
                    <w:ind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平均时段</w:t>
                  </w:r>
                </w:p>
              </w:tc>
              <w:tc>
                <w:tcPr>
                  <w:tcW w:w="1004" w:type="pct"/>
                  <w:noWrap w:val="0"/>
                  <w:vAlign w:val="center"/>
                </w:tcPr>
                <w:p w14:paraId="235C7EA9">
                  <w:pPr>
                    <w:pStyle w:val="51"/>
                    <w:keepNext/>
                    <w:keepLines w:val="0"/>
                    <w:pageBreakBefore w:val="0"/>
                    <w:widowControl w:val="0"/>
                    <w:kinsoku/>
                    <w:wordWrap/>
                    <w:overflowPunct w:val="0"/>
                    <w:topLinePunct w:val="0"/>
                    <w:autoSpaceDE/>
                    <w:autoSpaceDN/>
                    <w:bidi w:val="0"/>
                    <w:adjustRightInd/>
                    <w:snapToGrid w:val="0"/>
                    <w:spacing w:line="240" w:lineRule="auto"/>
                    <w:ind w:firstLineChars="0"/>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标准值/</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μg/m</w:t>
                  </w:r>
                  <w:r>
                    <w:rPr>
                      <w:rFonts w:hint="default" w:ascii="Times New Roman" w:hAnsi="Times New Roman" w:cs="Times New Roman"/>
                      <w:color w:val="auto"/>
                      <w:sz w:val="21"/>
                      <w:szCs w:val="21"/>
                      <w:highlight w:val="none"/>
                      <w:vertAlign w:val="superscript"/>
                    </w:rPr>
                    <w:t>3</w:t>
                  </w:r>
                  <w:r>
                    <w:rPr>
                      <w:rFonts w:hint="eastAsia" w:ascii="Times New Roman" w:hAnsi="Times New Roman" w:cs="Times New Roman"/>
                      <w:color w:val="auto"/>
                      <w:sz w:val="21"/>
                      <w:szCs w:val="21"/>
                      <w:highlight w:val="none"/>
                      <w:lang w:eastAsia="zh-CN"/>
                    </w:rPr>
                    <w:t>)</w:t>
                  </w:r>
                </w:p>
              </w:tc>
              <w:tc>
                <w:tcPr>
                  <w:tcW w:w="2165" w:type="pct"/>
                  <w:noWrap w:val="0"/>
                  <w:vAlign w:val="center"/>
                </w:tcPr>
                <w:p w14:paraId="472E5F10">
                  <w:pPr>
                    <w:pStyle w:val="51"/>
                    <w:keepNext/>
                    <w:keepLines w:val="0"/>
                    <w:pageBreakBefore w:val="0"/>
                    <w:widowControl w:val="0"/>
                    <w:kinsoku/>
                    <w:wordWrap/>
                    <w:overflowPunct w:val="0"/>
                    <w:topLinePunct w:val="0"/>
                    <w:autoSpaceDE/>
                    <w:autoSpaceDN/>
                    <w:bidi w:val="0"/>
                    <w:adjustRightInd/>
                    <w:snapToGrid w:val="0"/>
                    <w:spacing w:line="240" w:lineRule="auto"/>
                    <w:ind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标准来源</w:t>
                  </w:r>
                </w:p>
              </w:tc>
            </w:tr>
            <w:tr w14:paraId="57C2B4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43" w:type="pct"/>
                  <w:shd w:val="clear" w:color="auto" w:fill="auto"/>
                  <w:noWrap w:val="0"/>
                  <w:vAlign w:val="center"/>
                </w:tcPr>
                <w:p w14:paraId="71399269">
                  <w:pPr>
                    <w:pStyle w:val="51"/>
                    <w:keepNext/>
                    <w:keepLines w:val="0"/>
                    <w:pageBreakBefore w:val="0"/>
                    <w:widowControl w:val="0"/>
                    <w:kinsoku/>
                    <w:wordWrap/>
                    <w:overflowPunct w:val="0"/>
                    <w:topLinePunct w:val="0"/>
                    <w:autoSpaceDE/>
                    <w:autoSpaceDN/>
                    <w:bidi w:val="0"/>
                    <w:adjustRightInd/>
                    <w:snapToGrid w:val="0"/>
                    <w:spacing w:line="240" w:lineRule="auto"/>
                    <w:ind w:left="0" w:leftChars="0" w:firstLine="0" w:firstLineChars="0"/>
                    <w:textAlignment w:val="auto"/>
                    <w:rPr>
                      <w:rFonts w:hint="default" w:ascii="Times New Roman" w:hAnsi="Times New Roman" w:eastAsia="宋体" w:cs="Times New Roman"/>
                      <w:bCs/>
                      <w:color w:val="auto"/>
                      <w:kern w:val="44"/>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TSP</w:t>
                  </w:r>
                </w:p>
              </w:tc>
              <w:tc>
                <w:tcPr>
                  <w:tcW w:w="1187" w:type="pct"/>
                  <w:shd w:val="clear" w:color="auto" w:fill="auto"/>
                  <w:noWrap w:val="0"/>
                  <w:vAlign w:val="center"/>
                </w:tcPr>
                <w:p w14:paraId="3C006427">
                  <w:pPr>
                    <w:pStyle w:val="51"/>
                    <w:keepNext/>
                    <w:keepLines w:val="0"/>
                    <w:pageBreakBefore w:val="0"/>
                    <w:widowControl w:val="0"/>
                    <w:kinsoku/>
                    <w:wordWrap/>
                    <w:overflowPunct w:val="0"/>
                    <w:topLinePunct w:val="0"/>
                    <w:autoSpaceDE/>
                    <w:autoSpaceDN/>
                    <w:bidi w:val="0"/>
                    <w:adjustRightInd/>
                    <w:snapToGrid w:val="0"/>
                    <w:spacing w:line="240" w:lineRule="auto"/>
                    <w:ind w:left="0" w:leftChars="0" w:firstLine="0" w:firstLineChars="0"/>
                    <w:textAlignment w:val="auto"/>
                    <w:rPr>
                      <w:rFonts w:hint="default" w:ascii="Times New Roman" w:hAnsi="Times New Roman" w:eastAsia="宋体" w:cs="Times New Roman"/>
                      <w:bCs/>
                      <w:color w:val="auto"/>
                      <w:kern w:val="44"/>
                      <w:sz w:val="21"/>
                      <w:szCs w:val="21"/>
                      <w:highlight w:val="none"/>
                      <w:lang w:val="en-US" w:eastAsia="zh-CN" w:bidi="ar-SA"/>
                    </w:rPr>
                  </w:pPr>
                  <w:r>
                    <w:rPr>
                      <w:rFonts w:hint="default" w:ascii="Times New Roman" w:hAnsi="Times New Roman" w:cs="Times New Roman"/>
                      <w:color w:val="auto"/>
                      <w:sz w:val="21"/>
                      <w:szCs w:val="21"/>
                      <w:highlight w:val="none"/>
                    </w:rPr>
                    <w:t>1小时均值</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按日均值的3倍进行折算</w:t>
                  </w:r>
                  <w:r>
                    <w:rPr>
                      <w:rFonts w:hint="eastAsia" w:ascii="Times New Roman" w:hAnsi="Times New Roman" w:cs="Times New Roman"/>
                      <w:color w:val="auto"/>
                      <w:sz w:val="21"/>
                      <w:szCs w:val="21"/>
                      <w:highlight w:val="none"/>
                      <w:lang w:val="en-US" w:eastAsia="zh-CN"/>
                    </w:rPr>
                    <w:t>)</w:t>
                  </w:r>
                </w:p>
              </w:tc>
              <w:tc>
                <w:tcPr>
                  <w:tcW w:w="1004" w:type="pct"/>
                  <w:shd w:val="clear" w:color="auto" w:fill="auto"/>
                  <w:noWrap w:val="0"/>
                  <w:vAlign w:val="center"/>
                </w:tcPr>
                <w:p w14:paraId="789FF215">
                  <w:pPr>
                    <w:pStyle w:val="51"/>
                    <w:keepNext/>
                    <w:keepLines w:val="0"/>
                    <w:pageBreakBefore w:val="0"/>
                    <w:widowControl w:val="0"/>
                    <w:kinsoku/>
                    <w:wordWrap/>
                    <w:overflowPunct w:val="0"/>
                    <w:topLinePunct w:val="0"/>
                    <w:autoSpaceDE/>
                    <w:autoSpaceDN/>
                    <w:bidi w:val="0"/>
                    <w:adjustRightInd/>
                    <w:snapToGrid w:val="0"/>
                    <w:spacing w:line="240" w:lineRule="auto"/>
                    <w:ind w:left="0" w:leftChars="0" w:firstLine="0" w:firstLineChars="0"/>
                    <w:textAlignment w:val="auto"/>
                    <w:rPr>
                      <w:rFonts w:hint="default" w:ascii="Times New Roman" w:hAnsi="Times New Roman" w:eastAsia="宋体" w:cs="Times New Roman"/>
                      <w:bCs/>
                      <w:color w:val="auto"/>
                      <w:kern w:val="44"/>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900</w:t>
                  </w:r>
                </w:p>
              </w:tc>
              <w:tc>
                <w:tcPr>
                  <w:tcW w:w="2165" w:type="pct"/>
                  <w:noWrap w:val="0"/>
                  <w:vAlign w:val="center"/>
                </w:tcPr>
                <w:p w14:paraId="1BAFACAD">
                  <w:pPr>
                    <w:pStyle w:val="51"/>
                    <w:keepNext/>
                    <w:keepLines w:val="0"/>
                    <w:pageBreakBefore w:val="0"/>
                    <w:widowControl w:val="0"/>
                    <w:kinsoku/>
                    <w:wordWrap/>
                    <w:overflowPunct w:val="0"/>
                    <w:topLinePunct w:val="0"/>
                    <w:autoSpaceDE/>
                    <w:autoSpaceDN/>
                    <w:bidi w:val="0"/>
                    <w:adjustRightInd/>
                    <w:snapToGrid w:val="0"/>
                    <w:spacing w:line="240" w:lineRule="auto"/>
                    <w:ind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《环境空气质量标准》</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GB309</w:t>
                  </w:r>
                  <w:r>
                    <w:rPr>
                      <w:rFonts w:hint="default" w:ascii="Times New Roman" w:hAnsi="Times New Roman" w:cs="Times New Roman"/>
                      <w:color w:val="auto"/>
                      <w:sz w:val="21"/>
                      <w:szCs w:val="21"/>
                      <w:highlight w:val="none"/>
                      <w:lang w:eastAsia="zh-CN"/>
                    </w:rPr>
                    <w:t>6-2</w:t>
                  </w:r>
                  <w:r>
                    <w:rPr>
                      <w:rFonts w:hint="default" w:ascii="Times New Roman" w:hAnsi="Times New Roman" w:cs="Times New Roman"/>
                      <w:color w:val="auto"/>
                      <w:sz w:val="21"/>
                      <w:szCs w:val="21"/>
                      <w:highlight w:val="none"/>
                    </w:rPr>
                    <w:t>012</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及其修改单中的二级标准</w:t>
                  </w:r>
                </w:p>
              </w:tc>
            </w:tr>
          </w:tbl>
          <w:p w14:paraId="0D62D9C6">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2"/>
              <w:rPr>
                <w:rFonts w:hint="default" w:ascii="Times New Roman" w:hAnsi="Times New Roman" w:cs="Times New Roman"/>
                <w:b w:val="0"/>
                <w:bCs/>
                <w:color w:val="auto"/>
                <w:sz w:val="24"/>
                <w:szCs w:val="24"/>
                <w:highlight w:val="none"/>
              </w:rPr>
            </w:pPr>
            <w:bookmarkStart w:id="35" w:name="_Toc7085"/>
            <w:bookmarkStart w:id="36" w:name="_Toc14272"/>
            <w:r>
              <w:rPr>
                <w:rFonts w:hint="eastAsia" w:cs="Times New Roman"/>
                <w:b w:val="0"/>
                <w:bCs/>
                <w:color w:val="auto"/>
                <w:sz w:val="24"/>
                <w:szCs w:val="24"/>
                <w:highlight w:val="none"/>
                <w:lang w:val="en-US" w:eastAsia="zh-CN"/>
              </w:rPr>
              <w:t>(</w:t>
            </w:r>
            <w:r>
              <w:rPr>
                <w:rFonts w:hint="default" w:ascii="Times New Roman" w:hAnsi="Times New Roman" w:cs="Times New Roman"/>
                <w:b w:val="0"/>
                <w:bCs/>
                <w:color w:val="auto"/>
                <w:sz w:val="24"/>
                <w:szCs w:val="24"/>
                <w:highlight w:val="none"/>
                <w:lang w:val="en-US" w:eastAsia="zh-CN"/>
              </w:rPr>
              <w:t>2</w:t>
            </w:r>
            <w:r>
              <w:rPr>
                <w:rFonts w:hint="eastAsia" w:cs="Times New Roman"/>
                <w:b w:val="0"/>
                <w:bCs/>
                <w:color w:val="auto"/>
                <w:sz w:val="24"/>
                <w:szCs w:val="24"/>
                <w:highlight w:val="none"/>
                <w:lang w:val="en-US" w:eastAsia="zh-CN"/>
              </w:rPr>
              <w:t>)</w:t>
            </w:r>
            <w:r>
              <w:rPr>
                <w:rFonts w:hint="default" w:ascii="Times New Roman" w:hAnsi="Times New Roman" w:cs="Times New Roman"/>
                <w:b w:val="0"/>
                <w:bCs/>
                <w:color w:val="auto"/>
                <w:sz w:val="24"/>
                <w:szCs w:val="24"/>
                <w:highlight w:val="none"/>
              </w:rPr>
              <w:t>污染源</w:t>
            </w:r>
            <w:r>
              <w:rPr>
                <w:rFonts w:hint="default" w:ascii="Times New Roman" w:hAnsi="Times New Roman" w:cs="Times New Roman"/>
                <w:b w:val="0"/>
                <w:bCs/>
                <w:color w:val="auto"/>
                <w:sz w:val="24"/>
                <w:szCs w:val="24"/>
                <w:highlight w:val="none"/>
                <w:lang w:val="en-US" w:eastAsia="zh-CN"/>
              </w:rPr>
              <w:t>的</w:t>
            </w:r>
            <w:r>
              <w:rPr>
                <w:rFonts w:hint="default" w:ascii="Times New Roman" w:hAnsi="Times New Roman" w:cs="Times New Roman"/>
                <w:b w:val="0"/>
                <w:bCs/>
                <w:color w:val="auto"/>
                <w:sz w:val="24"/>
                <w:szCs w:val="24"/>
                <w:highlight w:val="none"/>
              </w:rPr>
              <w:t>源强预测</w:t>
            </w:r>
            <w:bookmarkEnd w:id="35"/>
            <w:bookmarkEnd w:id="36"/>
          </w:p>
          <w:p w14:paraId="0A4EA3E0">
            <w:pPr>
              <w:pStyle w:val="39"/>
              <w:keepNext w:val="0"/>
              <w:keepLines w:val="0"/>
              <w:pageBreakBefore w:val="0"/>
              <w:widowControl w:val="0"/>
              <w:kinsoku/>
              <w:wordWrap/>
              <w:overflowPunct/>
              <w:topLinePunct w:val="0"/>
              <w:autoSpaceDE/>
              <w:autoSpaceDN/>
              <w:bidi w:val="0"/>
              <w:adjustRightInd/>
              <w:snapToGrid/>
              <w:ind w:firstLine="48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根据工程分析结果可知，项目废气排放主要污染物及源强详见表</w:t>
            </w:r>
            <w:r>
              <w:rPr>
                <w:rFonts w:hint="default" w:ascii="Times New Roman" w:hAnsi="Times New Roman" w:cs="Times New Roman"/>
                <w:color w:val="auto"/>
                <w:sz w:val="24"/>
                <w:szCs w:val="24"/>
                <w:highlight w:val="none"/>
                <w:lang w:val="en-US" w:eastAsia="zh-CN"/>
              </w:rPr>
              <w:t>4.2-</w:t>
            </w:r>
            <w:r>
              <w:rPr>
                <w:rFonts w:hint="eastAsia" w:ascii="Times New Roman" w:hAnsi="Times New Roman" w:cs="Times New Roman"/>
                <w:color w:val="auto"/>
                <w:sz w:val="24"/>
                <w:szCs w:val="24"/>
                <w:highlight w:val="none"/>
                <w:lang w:val="en-US" w:eastAsia="zh-CN"/>
              </w:rPr>
              <w:t>7</w:t>
            </w:r>
            <w:r>
              <w:rPr>
                <w:rFonts w:hint="default" w:ascii="Times New Roman" w:hAnsi="Times New Roman" w:cs="Times New Roman"/>
                <w:color w:val="auto"/>
                <w:sz w:val="24"/>
                <w:szCs w:val="24"/>
                <w:highlight w:val="none"/>
              </w:rPr>
              <w:t>。</w:t>
            </w:r>
          </w:p>
          <w:p w14:paraId="1BE2C545">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表4.2-</w:t>
            </w:r>
            <w:r>
              <w:rPr>
                <w:rFonts w:hint="eastAsia" w:ascii="Times New Roman" w:hAnsi="Times New Roman" w:eastAsia="宋体" w:cs="Times New Roman"/>
                <w:b/>
                <w:bCs/>
                <w:color w:val="auto"/>
                <w:sz w:val="24"/>
                <w:szCs w:val="24"/>
                <w:lang w:val="en-US" w:eastAsia="zh-CN"/>
              </w:rPr>
              <w:t>7</w:t>
            </w:r>
            <w:r>
              <w:rPr>
                <w:rFonts w:hint="default" w:ascii="Times New Roman" w:hAnsi="Times New Roman" w:eastAsia="宋体" w:cs="Times New Roman"/>
                <w:b/>
                <w:bCs/>
                <w:color w:val="auto"/>
                <w:sz w:val="24"/>
                <w:szCs w:val="24"/>
                <w:lang w:val="en-US" w:eastAsia="zh-CN"/>
              </w:rPr>
              <w:t xml:space="preserve"> 项目面源废气预测参数一览表</w:t>
            </w:r>
          </w:p>
          <w:p w14:paraId="0250F50B">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2"/>
              <w:rPr>
                <w:rFonts w:hint="default" w:ascii="Times New Roman" w:hAnsi="Times New Roman" w:cs="Times New Roman"/>
                <w:b w:val="0"/>
                <w:bCs/>
                <w:color w:val="auto"/>
                <w:sz w:val="24"/>
                <w:szCs w:val="24"/>
                <w:highlight w:val="none"/>
                <w:lang w:val="en-GB"/>
              </w:rPr>
            </w:pPr>
            <w:bookmarkStart w:id="37" w:name="_Toc17348"/>
            <w:bookmarkStart w:id="38" w:name="_Toc7617"/>
            <w:r>
              <w:rPr>
                <w:rFonts w:hint="eastAsia" w:cs="Times New Roman"/>
                <w:b w:val="0"/>
                <w:bCs/>
                <w:color w:val="auto"/>
                <w:sz w:val="24"/>
                <w:szCs w:val="24"/>
                <w:highlight w:val="none"/>
                <w:lang w:val="en-US" w:eastAsia="zh-CN"/>
              </w:rPr>
              <w:t>(</w:t>
            </w:r>
            <w:r>
              <w:rPr>
                <w:rFonts w:hint="default" w:ascii="Times New Roman" w:hAnsi="Times New Roman" w:cs="Times New Roman"/>
                <w:b w:val="0"/>
                <w:bCs/>
                <w:color w:val="auto"/>
                <w:sz w:val="24"/>
                <w:szCs w:val="24"/>
                <w:highlight w:val="none"/>
                <w:lang w:val="en-US" w:eastAsia="zh-CN"/>
              </w:rPr>
              <w:t>3</w:t>
            </w:r>
            <w:r>
              <w:rPr>
                <w:rFonts w:hint="eastAsia" w:cs="Times New Roman"/>
                <w:b w:val="0"/>
                <w:bCs/>
                <w:color w:val="auto"/>
                <w:sz w:val="24"/>
                <w:szCs w:val="24"/>
                <w:highlight w:val="none"/>
                <w:lang w:val="en-US" w:eastAsia="zh-CN"/>
              </w:rPr>
              <w:t>)</w:t>
            </w:r>
            <w:r>
              <w:rPr>
                <w:rFonts w:hint="default" w:ascii="Times New Roman" w:hAnsi="Times New Roman" w:cs="Times New Roman"/>
                <w:b w:val="0"/>
                <w:bCs/>
                <w:color w:val="auto"/>
                <w:sz w:val="24"/>
                <w:szCs w:val="24"/>
                <w:highlight w:val="none"/>
                <w:lang w:val="en-GB"/>
              </w:rPr>
              <w:t>评价</w:t>
            </w:r>
            <w:r>
              <w:rPr>
                <w:rFonts w:hint="default" w:ascii="Times New Roman" w:hAnsi="Times New Roman" w:eastAsia="宋体" w:cs="Times New Roman"/>
                <w:b w:val="0"/>
                <w:bCs/>
                <w:color w:val="auto"/>
                <w:sz w:val="24"/>
                <w:szCs w:val="24"/>
                <w:highlight w:val="none"/>
                <w:lang w:val="en-GB"/>
              </w:rPr>
              <w:t>结果</w:t>
            </w:r>
            <w:r>
              <w:rPr>
                <w:rFonts w:hint="default" w:ascii="Times New Roman" w:hAnsi="Times New Roman" w:cs="Times New Roman"/>
                <w:b w:val="0"/>
                <w:bCs/>
                <w:color w:val="auto"/>
                <w:sz w:val="24"/>
                <w:szCs w:val="24"/>
                <w:highlight w:val="none"/>
                <w:lang w:val="en-GB"/>
              </w:rPr>
              <w:t>分析</w:t>
            </w:r>
            <w:bookmarkEnd w:id="37"/>
            <w:bookmarkEnd w:id="38"/>
          </w:p>
          <w:p w14:paraId="13FC27F8">
            <w:pPr>
              <w:pStyle w:val="52"/>
              <w:keepNext w:val="0"/>
              <w:keepLines w:val="0"/>
              <w:pageBreakBefore w:val="0"/>
              <w:widowControl w:val="0"/>
              <w:kinsoku/>
              <w:wordWrap/>
              <w:overflowPunct/>
              <w:topLinePunct w:val="0"/>
              <w:autoSpaceDE/>
              <w:autoSpaceDN/>
              <w:bidi w:val="0"/>
              <w:textAlignment w:val="auto"/>
              <w:rPr>
                <w:rFonts w:hint="default" w:ascii="Times New Roman" w:hAnsi="Times New Roman" w:cs="Times New Roman"/>
                <w:color w:val="auto"/>
                <w:szCs w:val="22"/>
                <w:highlight w:val="none"/>
                <w:lang w:val="en-GB"/>
              </w:rPr>
            </w:pPr>
            <w:r>
              <w:rPr>
                <w:rFonts w:hint="default" w:ascii="Times New Roman" w:hAnsi="Times New Roman" w:cs="Times New Roman"/>
                <w:color w:val="auto"/>
                <w:szCs w:val="22"/>
                <w:highlight w:val="none"/>
                <w:lang w:val="en-GB"/>
              </w:rPr>
              <w:t>①估算模式及参数</w:t>
            </w:r>
          </w:p>
          <w:p w14:paraId="6F2DEA6C">
            <w:pPr>
              <w:pStyle w:val="52"/>
              <w:rPr>
                <w:rFonts w:hint="default" w:ascii="Times New Roman" w:hAnsi="Times New Roman" w:cs="Times New Roman"/>
                <w:color w:val="auto"/>
                <w:szCs w:val="24"/>
                <w:highlight w:val="none"/>
                <w:lang w:eastAsia="zh-CN"/>
              </w:rPr>
            </w:pPr>
            <w:r>
              <w:rPr>
                <w:rFonts w:hint="eastAsia" w:cs="Times New Roman"/>
                <w:color w:val="auto"/>
                <w:szCs w:val="22"/>
                <w:highlight w:val="none"/>
                <w:lang w:val="en-GB" w:eastAsia="zh-CN"/>
              </w:rPr>
              <w:t>项目</w:t>
            </w:r>
            <w:r>
              <w:rPr>
                <w:rFonts w:hint="default" w:ascii="Times New Roman" w:hAnsi="Times New Roman" w:cs="Times New Roman"/>
                <w:color w:val="auto"/>
                <w:szCs w:val="22"/>
                <w:highlight w:val="none"/>
                <w:lang w:val="en-GB"/>
              </w:rPr>
              <w:t>废气排放预测采用《环境影响评价技术导则</w:t>
            </w:r>
            <w:r>
              <w:rPr>
                <w:rFonts w:hint="default" w:ascii="Times New Roman" w:hAnsi="Times New Roman" w:cs="Times New Roman"/>
                <w:color w:val="auto"/>
                <w:szCs w:val="22"/>
                <w:highlight w:val="none"/>
                <w:lang w:val="en-US" w:eastAsia="zh-CN"/>
              </w:rPr>
              <w:t xml:space="preserve"> </w:t>
            </w:r>
            <w:r>
              <w:rPr>
                <w:rFonts w:hint="default" w:ascii="Times New Roman" w:hAnsi="Times New Roman" w:cs="Times New Roman"/>
                <w:color w:val="auto"/>
                <w:szCs w:val="22"/>
                <w:highlight w:val="none"/>
                <w:lang w:val="en-GB" w:eastAsia="zh-CN"/>
              </w:rPr>
              <w:t>大气</w:t>
            </w:r>
            <w:r>
              <w:rPr>
                <w:rFonts w:hint="default" w:ascii="Times New Roman" w:hAnsi="Times New Roman" w:cs="Times New Roman"/>
                <w:color w:val="auto"/>
                <w:szCs w:val="22"/>
                <w:highlight w:val="none"/>
                <w:lang w:val="en-GB"/>
              </w:rPr>
              <w:t>环境》</w:t>
            </w:r>
            <w:r>
              <w:rPr>
                <w:rFonts w:hint="eastAsia" w:cs="Times New Roman"/>
                <w:color w:val="auto"/>
                <w:szCs w:val="22"/>
                <w:highlight w:val="none"/>
                <w:lang w:val="en-GB" w:eastAsia="zh-CN"/>
              </w:rPr>
              <w:t>(</w:t>
            </w:r>
            <w:r>
              <w:rPr>
                <w:rFonts w:hint="default" w:ascii="Times New Roman" w:hAnsi="Times New Roman" w:cs="Times New Roman"/>
                <w:color w:val="auto"/>
                <w:szCs w:val="22"/>
                <w:highlight w:val="none"/>
                <w:lang w:val="en-GB"/>
              </w:rPr>
              <w:t>HJ2.2-2018</w:t>
            </w:r>
            <w:r>
              <w:rPr>
                <w:rFonts w:hint="eastAsia" w:cs="Times New Roman"/>
                <w:color w:val="auto"/>
                <w:szCs w:val="22"/>
                <w:highlight w:val="none"/>
                <w:lang w:val="en-GB" w:eastAsia="zh-CN"/>
              </w:rPr>
              <w:t>)</w:t>
            </w:r>
            <w:r>
              <w:rPr>
                <w:rFonts w:hint="default" w:ascii="Times New Roman" w:hAnsi="Times New Roman" w:cs="Times New Roman"/>
                <w:color w:val="auto"/>
                <w:szCs w:val="22"/>
                <w:highlight w:val="none"/>
                <w:lang w:val="en-GB"/>
              </w:rPr>
              <w:t>推荐的AERSCREEN估算模式，估算模式所用参数</w:t>
            </w:r>
            <w:r>
              <w:rPr>
                <w:rFonts w:hint="default" w:ascii="Times New Roman" w:hAnsi="Times New Roman" w:cs="Times New Roman"/>
                <w:color w:val="auto"/>
                <w:szCs w:val="22"/>
                <w:highlight w:val="none"/>
                <w:lang w:val="en-US" w:eastAsia="zh-CN"/>
              </w:rPr>
              <w:t>4.2-</w:t>
            </w:r>
            <w:r>
              <w:rPr>
                <w:rFonts w:hint="eastAsia" w:cs="Times New Roman"/>
                <w:color w:val="auto"/>
                <w:szCs w:val="22"/>
                <w:highlight w:val="none"/>
                <w:lang w:val="en-US" w:eastAsia="zh-CN"/>
              </w:rPr>
              <w:t>8</w:t>
            </w:r>
            <w:r>
              <w:rPr>
                <w:rFonts w:hint="default" w:ascii="Times New Roman" w:hAnsi="Times New Roman" w:cs="Times New Roman"/>
                <w:color w:val="auto"/>
                <w:szCs w:val="24"/>
                <w:highlight w:val="none"/>
                <w:lang w:eastAsia="zh-CN"/>
              </w:rPr>
              <w:t>。</w:t>
            </w:r>
          </w:p>
          <w:p w14:paraId="699932D8">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表4.2-</w:t>
            </w:r>
            <w:r>
              <w:rPr>
                <w:rFonts w:hint="eastAsia" w:ascii="Times New Roman" w:hAnsi="Times New Roman" w:eastAsia="宋体" w:cs="Times New Roman"/>
                <w:b/>
                <w:bCs/>
                <w:color w:val="auto"/>
                <w:sz w:val="24"/>
                <w:szCs w:val="24"/>
                <w:lang w:val="en-US" w:eastAsia="zh-CN"/>
              </w:rPr>
              <w:t>8</w:t>
            </w:r>
            <w:r>
              <w:rPr>
                <w:rFonts w:hint="default" w:ascii="Times New Roman" w:hAnsi="Times New Roman" w:eastAsia="宋体" w:cs="Times New Roman"/>
                <w:b/>
                <w:bCs/>
                <w:color w:val="auto"/>
                <w:sz w:val="24"/>
                <w:szCs w:val="24"/>
                <w:lang w:val="en-US" w:eastAsia="zh-CN"/>
              </w:rPr>
              <w:t xml:space="preserve">  项目废气预测参数一览表</w:t>
            </w:r>
          </w:p>
          <w:p w14:paraId="16B87B74">
            <w:pPr>
              <w:pStyle w:val="52"/>
              <w:spacing w:before="120" w:beforeLines="50"/>
              <w:rPr>
                <w:rFonts w:hint="default" w:ascii="Times New Roman" w:hAnsi="Times New Roman" w:cs="Times New Roman"/>
                <w:color w:val="auto"/>
                <w:szCs w:val="22"/>
                <w:highlight w:val="none"/>
                <w:lang w:val="en-GB"/>
              </w:rPr>
            </w:pPr>
            <w:r>
              <w:rPr>
                <w:rFonts w:hint="default" w:ascii="Times New Roman" w:hAnsi="Times New Roman" w:cs="Times New Roman"/>
                <w:color w:val="auto"/>
                <w:szCs w:val="22"/>
                <w:highlight w:val="none"/>
                <w:lang w:val="en-GB"/>
              </w:rPr>
              <w:t>②预测质量浓度及占标率分析</w:t>
            </w:r>
          </w:p>
          <w:p w14:paraId="11CCB0B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Cs w:val="22"/>
                <w:highlight w:val="none"/>
                <w:lang w:val="en-US" w:eastAsia="zh-CN"/>
              </w:rPr>
            </w:pPr>
            <w:r>
              <w:rPr>
                <w:rFonts w:hint="default" w:ascii="Times New Roman" w:hAnsi="Times New Roman" w:cs="Times New Roman"/>
                <w:color w:val="auto"/>
                <w:szCs w:val="22"/>
                <w:highlight w:val="none"/>
                <w:lang w:val="en-GB"/>
              </w:rPr>
              <w:t>项目废气预测质量浓度及占标率分析结果详见表</w:t>
            </w:r>
            <w:r>
              <w:rPr>
                <w:rFonts w:hint="default" w:ascii="Times New Roman" w:hAnsi="Times New Roman" w:cs="Times New Roman"/>
                <w:color w:val="auto"/>
                <w:szCs w:val="22"/>
                <w:highlight w:val="none"/>
                <w:lang w:val="en-US" w:eastAsia="zh-CN"/>
              </w:rPr>
              <w:t>4.2-</w:t>
            </w:r>
            <w:bookmarkEnd w:id="34"/>
            <w:bookmarkStart w:id="39" w:name="_Toc27919_WPSOffice_Level2"/>
            <w:r>
              <w:rPr>
                <w:rFonts w:hint="eastAsia" w:ascii="Times New Roman" w:hAnsi="Times New Roman" w:cs="Times New Roman"/>
                <w:color w:val="auto"/>
                <w:szCs w:val="22"/>
                <w:highlight w:val="none"/>
                <w:lang w:val="en-US" w:eastAsia="zh-CN"/>
              </w:rPr>
              <w:t>9</w:t>
            </w:r>
            <w:r>
              <w:rPr>
                <w:rFonts w:hint="default" w:ascii="Times New Roman" w:hAnsi="Times New Roman" w:cs="Times New Roman"/>
                <w:color w:val="auto"/>
                <w:szCs w:val="22"/>
                <w:highlight w:val="none"/>
                <w:lang w:val="en-US" w:eastAsia="zh-CN"/>
              </w:rPr>
              <w:t>。</w:t>
            </w:r>
          </w:p>
          <w:p w14:paraId="343592F9">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表4.2-</w:t>
            </w:r>
            <w:r>
              <w:rPr>
                <w:rFonts w:hint="eastAsia" w:ascii="Times New Roman" w:hAnsi="Times New Roman" w:eastAsia="宋体" w:cs="Times New Roman"/>
                <w:b/>
                <w:bCs/>
                <w:color w:val="auto"/>
                <w:sz w:val="24"/>
                <w:szCs w:val="24"/>
                <w:lang w:val="en-US" w:eastAsia="zh-CN"/>
              </w:rPr>
              <w:t>9</w:t>
            </w:r>
            <w:r>
              <w:rPr>
                <w:rFonts w:hint="default" w:ascii="Times New Roman" w:hAnsi="Times New Roman" w:eastAsia="宋体" w:cs="Times New Roman"/>
                <w:b/>
                <w:bCs/>
                <w:color w:val="auto"/>
                <w:sz w:val="24"/>
                <w:szCs w:val="24"/>
                <w:lang w:val="en-US" w:eastAsia="zh-CN"/>
              </w:rPr>
              <w:t xml:space="preserve">  项目正常工况下大气污染物影响估算结果表</w:t>
            </w:r>
            <w:bookmarkEnd w:id="39"/>
          </w:p>
          <w:p w14:paraId="39D04101">
            <w:pPr>
              <w:pStyle w:val="39"/>
              <w:keepNext w:val="0"/>
              <w:keepLines w:val="0"/>
              <w:pageBreakBefore w:val="0"/>
              <w:widowControl/>
              <w:kinsoku/>
              <w:wordWrap/>
              <w:overflowPunct/>
              <w:topLinePunct w:val="0"/>
              <w:autoSpaceDE/>
              <w:autoSpaceDN/>
              <w:bidi w:val="0"/>
              <w:adjustRightInd/>
              <w:snapToGrid/>
              <w:spacing w:before="157" w:beforeLines="50" w:line="348" w:lineRule="auto"/>
              <w:ind w:firstLine="480"/>
              <w:jc w:val="both"/>
              <w:textAlignment w:val="auto"/>
              <w:rPr>
                <w:rFonts w:hint="default" w:ascii="Times New Roman" w:hAnsi="Times New Roman" w:eastAsia="宋体" w:cs="Times New Roman"/>
                <w:color w:val="auto"/>
                <w:kern w:val="2"/>
                <w:sz w:val="24"/>
                <w:szCs w:val="24"/>
                <w:highlight w:val="none"/>
                <w:lang w:eastAsia="zh-CN"/>
              </w:rPr>
            </w:pPr>
            <w:r>
              <w:rPr>
                <w:rFonts w:hint="default" w:ascii="Times New Roman" w:hAnsi="Times New Roman" w:eastAsia="宋体" w:cs="Times New Roman"/>
                <w:color w:val="auto"/>
                <w:sz w:val="24"/>
                <w:highlight w:val="none"/>
                <w:lang w:val="en-US" w:eastAsia="zh-CN"/>
              </w:rPr>
              <w:t>根据表4.</w:t>
            </w:r>
            <w:r>
              <w:rPr>
                <w:rFonts w:hint="eastAsia" w:ascii="Times New Roman" w:hAnsi="Times New Roman" w:cs="Times New Roman"/>
                <w:color w:val="auto"/>
                <w:sz w:val="24"/>
                <w:highlight w:val="none"/>
                <w:lang w:val="en-US" w:eastAsia="zh-CN"/>
              </w:rPr>
              <w:t>2</w:t>
            </w:r>
            <w:r>
              <w:rPr>
                <w:rFonts w:hint="default" w:ascii="Times New Roman" w:hAnsi="Times New Roman" w:eastAsia="宋体" w:cs="Times New Roman"/>
                <w:color w:val="auto"/>
                <w:sz w:val="24"/>
                <w:highlight w:val="none"/>
                <w:lang w:val="en-US" w:eastAsia="zh-CN"/>
              </w:rPr>
              <w:t>-</w:t>
            </w:r>
            <w:r>
              <w:rPr>
                <w:rFonts w:hint="eastAsia" w:ascii="Times New Roman" w:hAnsi="Times New Roman" w:cs="Times New Roman"/>
                <w:color w:val="auto"/>
                <w:sz w:val="24"/>
                <w:highlight w:val="none"/>
                <w:lang w:val="en-US" w:eastAsia="zh-CN"/>
              </w:rPr>
              <w:t>9</w:t>
            </w:r>
            <w:r>
              <w:rPr>
                <w:rFonts w:hint="default" w:ascii="Times New Roman" w:hAnsi="Times New Roman" w:eastAsia="宋体" w:cs="Times New Roman"/>
                <w:color w:val="auto"/>
                <w:sz w:val="24"/>
                <w:highlight w:val="none"/>
                <w:lang w:val="en-US" w:eastAsia="zh-CN"/>
              </w:rPr>
              <w:t>估算结果，项目</w:t>
            </w:r>
            <w:r>
              <w:rPr>
                <w:rFonts w:hint="eastAsia" w:ascii="Times New Roman" w:hAnsi="Times New Roman" w:cs="Times New Roman"/>
                <w:color w:val="auto"/>
                <w:sz w:val="24"/>
                <w:highlight w:val="none"/>
                <w:lang w:val="en-US" w:eastAsia="zh-CN"/>
              </w:rPr>
              <w:t>无组织排放的颗粒物</w:t>
            </w:r>
            <w:r>
              <w:rPr>
                <w:rFonts w:hint="default" w:ascii="Times New Roman" w:hAnsi="Times New Roman" w:eastAsia="宋体" w:cs="Times New Roman"/>
                <w:color w:val="auto"/>
                <w:sz w:val="24"/>
                <w:highlight w:val="none"/>
                <w:lang w:val="en-US" w:eastAsia="zh-CN"/>
              </w:rPr>
              <w:t>P</w:t>
            </w:r>
            <w:r>
              <w:rPr>
                <w:rFonts w:hint="default" w:ascii="Times New Roman" w:hAnsi="Times New Roman" w:eastAsia="宋体" w:cs="Times New Roman"/>
                <w:color w:val="auto"/>
                <w:sz w:val="24"/>
                <w:highlight w:val="none"/>
                <w:vertAlign w:val="subscript"/>
                <w:lang w:val="en-US" w:eastAsia="zh-CN"/>
              </w:rPr>
              <w:t>max</w:t>
            </w:r>
            <w:r>
              <w:rPr>
                <w:rFonts w:hint="default" w:ascii="Times New Roman" w:hAnsi="Times New Roman" w:eastAsia="宋体" w:cs="Times New Roman"/>
                <w:color w:val="auto"/>
                <w:sz w:val="24"/>
                <w:highlight w:val="none"/>
                <w:lang w:val="en-US" w:eastAsia="zh-CN"/>
              </w:rPr>
              <w:t>为</w:t>
            </w:r>
            <w:r>
              <w:rPr>
                <w:rFonts w:hint="eastAsia" w:ascii="Times New Roman" w:hAnsi="Times New Roman" w:cs="Times New Roman"/>
                <w:color w:val="auto"/>
                <w:sz w:val="24"/>
                <w:highlight w:val="none"/>
                <w:lang w:val="en-US" w:eastAsia="zh-CN"/>
              </w:rPr>
              <w:t>9.36</w:t>
            </w:r>
            <w:r>
              <w:rPr>
                <w:rFonts w:hint="default"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kern w:val="2"/>
                <w:sz w:val="24"/>
                <w:szCs w:val="24"/>
                <w:highlight w:val="none"/>
                <w:lang w:val="en-US" w:eastAsia="zh-CN"/>
              </w:rPr>
              <w:t>颗粒物</w:t>
            </w:r>
            <w:r>
              <w:rPr>
                <w:rFonts w:hint="default" w:ascii="Times New Roman" w:hAnsi="Times New Roman" w:eastAsia="宋体" w:cs="Times New Roman"/>
                <w:color w:val="auto"/>
                <w:kern w:val="2"/>
                <w:sz w:val="24"/>
                <w:szCs w:val="24"/>
                <w:highlight w:val="none"/>
                <w:lang w:eastAsia="zh-CN"/>
              </w:rPr>
              <w:t>预测质量浓度可满足《环境空气质量标准》</w:t>
            </w:r>
            <w:r>
              <w:rPr>
                <w:rFonts w:hint="eastAsia"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lang w:eastAsia="zh-CN"/>
              </w:rPr>
              <w:t>GB3096-2012</w:t>
            </w:r>
            <w:r>
              <w:rPr>
                <w:rFonts w:hint="eastAsia" w:eastAsia="宋体" w:cs="Times New Roman"/>
                <w:color w:val="auto"/>
                <w:kern w:val="2"/>
                <w:sz w:val="24"/>
                <w:szCs w:val="24"/>
                <w:highlight w:val="none"/>
                <w:lang w:eastAsia="zh-CN"/>
              </w:rPr>
              <w:t>)</w:t>
            </w:r>
            <w:r>
              <w:rPr>
                <w:rFonts w:hint="default" w:ascii="Times New Roman" w:hAnsi="Times New Roman" w:eastAsia="宋体" w:cs="Times New Roman"/>
                <w:color w:val="auto"/>
                <w:kern w:val="2"/>
                <w:sz w:val="24"/>
                <w:szCs w:val="24"/>
                <w:highlight w:val="none"/>
                <w:lang w:eastAsia="zh-CN"/>
              </w:rPr>
              <w:t>及其修改单中的二级标准的限值要求，本工程实施后污染物排放对区域污染物浓度增</w:t>
            </w:r>
            <w:r>
              <w:rPr>
                <w:rFonts w:hint="eastAsia" w:eastAsia="宋体" w:cs="Times New Roman"/>
                <w:color w:val="auto"/>
                <w:kern w:val="2"/>
                <w:sz w:val="24"/>
                <w:szCs w:val="24"/>
                <w:highlight w:val="none"/>
                <w:lang w:eastAsia="zh-CN"/>
              </w:rPr>
              <w:t>量的</w:t>
            </w:r>
            <w:r>
              <w:rPr>
                <w:rFonts w:hint="default" w:ascii="Times New Roman" w:hAnsi="Times New Roman" w:eastAsia="宋体" w:cs="Times New Roman"/>
                <w:color w:val="auto"/>
                <w:kern w:val="2"/>
                <w:sz w:val="24"/>
                <w:szCs w:val="24"/>
                <w:highlight w:val="none"/>
                <w:lang w:eastAsia="zh-CN"/>
              </w:rPr>
              <w:t>贡献值</w:t>
            </w:r>
            <w:r>
              <w:rPr>
                <w:rFonts w:hint="eastAsia" w:ascii="Times New Roman" w:hAnsi="Times New Roman" w:cs="Times New Roman"/>
                <w:color w:val="auto"/>
                <w:kern w:val="2"/>
                <w:sz w:val="24"/>
                <w:szCs w:val="24"/>
                <w:highlight w:val="none"/>
                <w:lang w:val="en-US" w:eastAsia="zh-CN"/>
              </w:rPr>
              <w:t>不大</w:t>
            </w:r>
            <w:r>
              <w:rPr>
                <w:rFonts w:hint="default" w:ascii="Times New Roman" w:hAnsi="Times New Roman" w:eastAsia="宋体" w:cs="Times New Roman"/>
                <w:color w:val="auto"/>
                <w:kern w:val="2"/>
                <w:sz w:val="24"/>
                <w:szCs w:val="24"/>
                <w:highlight w:val="none"/>
                <w:lang w:eastAsia="zh-CN"/>
              </w:rPr>
              <w:t>，对周边环境空气敏感点产生的影响较低。</w:t>
            </w:r>
          </w:p>
          <w:p w14:paraId="216F39B7">
            <w:pPr>
              <w:bidi w:val="0"/>
              <w:rPr>
                <w:rFonts w:hint="default"/>
                <w:b/>
                <w:bCs/>
                <w:lang w:val="en-US" w:eastAsia="zh-CN"/>
              </w:rPr>
            </w:pPr>
            <w:r>
              <w:rPr>
                <w:rFonts w:hint="eastAsia"/>
                <w:b/>
                <w:bCs/>
                <w:lang w:val="en-US" w:eastAsia="zh-CN"/>
              </w:rPr>
              <w:t>（2）有组织粉尘</w:t>
            </w:r>
            <w:r>
              <w:rPr>
                <w:rFonts w:hint="default"/>
                <w:b/>
                <w:bCs/>
                <w:lang w:val="en-US" w:eastAsia="zh-CN"/>
              </w:rPr>
              <w:t>处理措施</w:t>
            </w:r>
          </w:p>
          <w:p w14:paraId="4B79A0B5">
            <w:pPr>
              <w:bidi w:val="0"/>
              <w:rPr>
                <w:rFonts w:hint="default"/>
                <w:b/>
                <w:bCs/>
                <w:lang w:val="en-US" w:eastAsia="zh-CN"/>
              </w:rPr>
            </w:pPr>
            <w:r>
              <w:rPr>
                <w:rFonts w:hint="default"/>
                <w:b/>
                <w:bCs/>
                <w:lang w:val="en-US" w:eastAsia="zh-CN"/>
              </w:rPr>
              <w:t>①工艺流程</w:t>
            </w:r>
          </w:p>
          <w:p w14:paraId="7FD0D57A">
            <w:pPr>
              <w:bidi w:val="0"/>
              <w:rPr>
                <w:rFonts w:hint="default"/>
                <w:lang w:val="en-US" w:eastAsia="zh-CN"/>
              </w:rPr>
            </w:pPr>
            <w:r>
              <w:rPr>
                <w:rFonts w:hint="eastAsia"/>
                <w:lang w:val="en-US" w:eastAsia="zh-CN"/>
              </w:rPr>
              <w:t>项目对3#物料库内的筛分和破碎工序的设备进出料口上方设置集气罩，通过集气罩收集各类粉尘，而后将收集的废气通入布袋除尘装置对废气加以处理后通过1根15m高排气筒DA001排放。治理工艺流程详见下图4.2-1。</w:t>
            </w:r>
          </w:p>
          <w:p w14:paraId="3921D52A">
            <w:pPr>
              <w:pStyle w:val="30"/>
              <w:ind w:left="0" w:leftChars="0" w:firstLine="0" w:firstLineChars="0"/>
              <w:rPr>
                <w:rFonts w:hint="eastAsia"/>
                <w:lang w:val="en-US" w:eastAsia="zh-CN"/>
              </w:rPr>
            </w:pPr>
          </w:p>
          <w:p w14:paraId="34079CB3">
            <w:pPr>
              <w:pStyle w:val="33"/>
              <w:bidi w:val="0"/>
              <w:rPr>
                <w:rFonts w:hint="default" w:ascii="Times New Roman" w:hAnsi="Times New Roman" w:eastAsia="宋体" w:cs="Times New Roman"/>
                <w:b/>
                <w:color w:val="auto"/>
                <w:spacing w:val="0"/>
                <w:w w:val="100"/>
                <w:kern w:val="2"/>
                <w:position w:val="0"/>
                <w:sz w:val="24"/>
                <w:szCs w:val="24"/>
                <w:highlight w:val="none"/>
                <w:lang w:val="en-US" w:eastAsia="zh-CN" w:bidi="ar-SA"/>
              </w:rPr>
            </w:pPr>
            <w:r>
              <w:rPr>
                <w:rFonts w:hint="eastAsia" w:ascii="Times New Roman" w:hAnsi="Times New Roman" w:eastAsia="宋体" w:cs="Times New Roman"/>
                <w:b/>
                <w:color w:val="auto"/>
                <w:spacing w:val="0"/>
                <w:w w:val="100"/>
                <w:kern w:val="2"/>
                <w:position w:val="0"/>
                <w:sz w:val="24"/>
                <w:szCs w:val="24"/>
                <w:highlight w:val="none"/>
                <w:lang w:val="en-US" w:eastAsia="zh-CN" w:bidi="ar-SA"/>
              </w:rPr>
              <w:t>图4.2-1  项目有组织粉尘治理工艺示意图</w:t>
            </w:r>
          </w:p>
          <w:p w14:paraId="386883C7">
            <w:pPr>
              <w:bidi w:val="0"/>
              <w:rPr>
                <w:rFonts w:hint="eastAsia"/>
                <w:b/>
                <w:bCs/>
                <w:lang w:eastAsia="zh-CN"/>
              </w:rPr>
            </w:pPr>
            <w:r>
              <w:rPr>
                <w:b/>
                <w:bCs/>
              </w:rPr>
              <w:t>②</w:t>
            </w:r>
            <w:r>
              <w:rPr>
                <w:rFonts w:hint="eastAsia"/>
                <w:b/>
                <w:bCs/>
                <w:lang w:eastAsia="zh-CN"/>
              </w:rPr>
              <w:t>技术可行分析</w:t>
            </w:r>
          </w:p>
          <w:p w14:paraId="1ED811BD">
            <w:pPr>
              <w:bidi w:val="0"/>
              <w:rPr>
                <w:rFonts w:hint="eastAsia" w:ascii="Times New Roman" w:hAnsi="Times New Roman" w:eastAsia="宋体" w:cs="Times New Roman"/>
                <w:color w:val="auto"/>
                <w:szCs w:val="24"/>
                <w:lang w:val="en-US" w:eastAsia="zh-CN"/>
              </w:rPr>
            </w:pPr>
            <w:r>
              <w:rPr>
                <w:rFonts w:hint="eastAsia"/>
                <w:lang w:val="en-US" w:eastAsia="zh-CN"/>
              </w:rPr>
              <w:t>布袋除尘装置：是将含尘气体通过负压吸入除尘器，通过滤袋时粉尘被拦截在表面，洁净气体透过滤袋排出。当滤袋表面积灰增厚，脉冲阀启动，压缩空气通过喷吹管瞬间反向喷吹滤袋，使粉尘脱落至灰斗，实现自动清灰。该种设备具有除尘效率高，清灰无需停机，滤袋寿命长，兼具高效、耐用、低耗三大优势。根据环境保护产品技术要求脉冲喷吹类袋式除尘器（HJ/T 328-2006）表1可知，袋式除尘器的治理效率可达99.7%以上。</w:t>
            </w:r>
          </w:p>
          <w:p w14:paraId="02E537B5">
            <w:pPr>
              <w:bidi w:val="0"/>
              <w:rPr>
                <w:rFonts w:hint="default"/>
                <w:lang w:val="en-US" w:eastAsia="zh-CN"/>
              </w:rPr>
            </w:pPr>
            <w:r>
              <w:rPr>
                <w:rFonts w:hint="eastAsia"/>
                <w:lang w:val="en-US" w:eastAsia="zh-CN"/>
              </w:rPr>
              <w:t>本项目涉及水泥工业的原辅材料使用，因此本评价废气可行技术参照《排污许可证申请与核发技术规范 水泥工业》（HJ847-2017）中附录B进行分析，具体详见表4.2-6。</w:t>
            </w:r>
          </w:p>
          <w:p w14:paraId="6015ACB5">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表4.</w:t>
            </w:r>
            <w:r>
              <w:rPr>
                <w:rFonts w:hint="eastAsia" w:ascii="Times New Roman" w:hAnsi="Times New Roman" w:eastAsia="宋体" w:cs="Times New Roman"/>
                <w:b/>
                <w:bCs/>
                <w:color w:val="auto"/>
                <w:sz w:val="24"/>
                <w:szCs w:val="24"/>
                <w:lang w:val="en-US" w:eastAsia="zh-CN"/>
              </w:rPr>
              <w:t>2-10  废气治理可行技术参考表（摘录）</w:t>
            </w:r>
          </w:p>
          <w:tbl>
            <w:tblPr>
              <w:tblStyle w:val="2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2"/>
              <w:gridCol w:w="967"/>
              <w:gridCol w:w="1390"/>
              <w:gridCol w:w="1790"/>
              <w:gridCol w:w="1792"/>
              <w:gridCol w:w="1171"/>
            </w:tblGrid>
            <w:tr w14:paraId="46B32E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2" w:type="pct"/>
                  <w:vMerge w:val="restart"/>
                  <w:tcBorders>
                    <w:tl2br w:val="nil"/>
                    <w:tr2bl w:val="nil"/>
                  </w:tcBorders>
                  <w:noWrap w:val="0"/>
                  <w:vAlign w:val="center"/>
                </w:tcPr>
                <w:p w14:paraId="0BC36EE1">
                  <w:pPr>
                    <w:pStyle w:val="28"/>
                    <w:bidi w:val="0"/>
                    <w:rPr>
                      <w:rFonts w:hint="eastAsia"/>
                      <w:highlight w:val="none"/>
                      <w:lang w:eastAsia="zh-CN"/>
                    </w:rPr>
                  </w:pPr>
                  <w:r>
                    <w:rPr>
                      <w:rFonts w:hint="eastAsia"/>
                      <w:highlight w:val="none"/>
                      <w:lang w:eastAsia="zh-CN"/>
                    </w:rPr>
                    <w:t>废气排放口</w:t>
                  </w:r>
                </w:p>
              </w:tc>
              <w:tc>
                <w:tcPr>
                  <w:tcW w:w="584" w:type="pct"/>
                  <w:vMerge w:val="restart"/>
                  <w:tcBorders>
                    <w:tl2br w:val="nil"/>
                    <w:tr2bl w:val="nil"/>
                  </w:tcBorders>
                  <w:noWrap w:val="0"/>
                  <w:vAlign w:val="center"/>
                </w:tcPr>
                <w:p w14:paraId="0A3BCADB">
                  <w:pPr>
                    <w:pStyle w:val="28"/>
                    <w:bidi w:val="0"/>
                    <w:rPr>
                      <w:rFonts w:hint="eastAsia"/>
                      <w:lang w:eastAsia="zh-CN"/>
                    </w:rPr>
                  </w:pPr>
                  <w:r>
                    <w:rPr>
                      <w:rFonts w:hint="eastAsia"/>
                      <w:lang w:eastAsia="zh-CN"/>
                    </w:rPr>
                    <w:t>主要污染物</w:t>
                  </w:r>
                </w:p>
              </w:tc>
              <w:tc>
                <w:tcPr>
                  <w:tcW w:w="1922" w:type="pct"/>
                  <w:gridSpan w:val="2"/>
                  <w:tcBorders>
                    <w:tl2br w:val="nil"/>
                    <w:tr2bl w:val="nil"/>
                  </w:tcBorders>
                  <w:noWrap w:val="0"/>
                  <w:vAlign w:val="center"/>
                </w:tcPr>
                <w:p w14:paraId="3C5068E8">
                  <w:pPr>
                    <w:pStyle w:val="28"/>
                    <w:bidi w:val="0"/>
                    <w:rPr>
                      <w:rFonts w:hint="eastAsia"/>
                      <w:lang w:eastAsia="zh-CN"/>
                    </w:rPr>
                  </w:pPr>
                  <w:r>
                    <w:rPr>
                      <w:rFonts w:hint="eastAsia"/>
                      <w:lang w:eastAsia="zh-CN"/>
                    </w:rPr>
                    <w:t>可行技术</w:t>
                  </w:r>
                </w:p>
              </w:tc>
              <w:tc>
                <w:tcPr>
                  <w:tcW w:w="1082" w:type="pct"/>
                  <w:vMerge w:val="restart"/>
                  <w:tcBorders>
                    <w:tl2br w:val="nil"/>
                    <w:tr2bl w:val="nil"/>
                  </w:tcBorders>
                  <w:noWrap w:val="0"/>
                  <w:vAlign w:val="center"/>
                </w:tcPr>
                <w:p w14:paraId="44B7624A">
                  <w:pPr>
                    <w:pStyle w:val="28"/>
                    <w:bidi w:val="0"/>
                    <w:rPr>
                      <w:rFonts w:hint="eastAsia"/>
                      <w:lang w:eastAsia="zh-CN"/>
                    </w:rPr>
                  </w:pPr>
                  <w:r>
                    <w:rPr>
                      <w:rFonts w:hint="eastAsia"/>
                      <w:lang w:eastAsia="zh-CN"/>
                    </w:rPr>
                    <w:t>本项目</w:t>
                  </w:r>
                </w:p>
              </w:tc>
              <w:tc>
                <w:tcPr>
                  <w:tcW w:w="708" w:type="pct"/>
                  <w:vMerge w:val="restart"/>
                  <w:tcBorders>
                    <w:tl2br w:val="nil"/>
                    <w:tr2bl w:val="nil"/>
                  </w:tcBorders>
                  <w:noWrap w:val="0"/>
                  <w:vAlign w:val="center"/>
                </w:tcPr>
                <w:p w14:paraId="014F803F">
                  <w:pPr>
                    <w:pStyle w:val="28"/>
                    <w:bidi w:val="0"/>
                    <w:rPr>
                      <w:rFonts w:hint="eastAsia"/>
                      <w:lang w:eastAsia="zh-CN"/>
                    </w:rPr>
                  </w:pPr>
                  <w:r>
                    <w:rPr>
                      <w:rFonts w:hint="eastAsia"/>
                      <w:lang w:eastAsia="zh-CN"/>
                    </w:rPr>
                    <w:t>是否可行</w:t>
                  </w:r>
                </w:p>
              </w:tc>
            </w:tr>
            <w:tr w14:paraId="7F4381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2" w:type="pct"/>
                  <w:vMerge w:val="continue"/>
                  <w:tcBorders>
                    <w:tl2br w:val="nil"/>
                    <w:tr2bl w:val="nil"/>
                  </w:tcBorders>
                  <w:noWrap w:val="0"/>
                  <w:vAlign w:val="center"/>
                </w:tcPr>
                <w:p w14:paraId="2C08073F">
                  <w:pPr>
                    <w:pStyle w:val="28"/>
                    <w:bidi w:val="0"/>
                    <w:rPr>
                      <w:rFonts w:hint="eastAsia"/>
                      <w:highlight w:val="none"/>
                      <w:lang w:eastAsia="zh-CN"/>
                    </w:rPr>
                  </w:pPr>
                </w:p>
              </w:tc>
              <w:tc>
                <w:tcPr>
                  <w:tcW w:w="584" w:type="pct"/>
                  <w:vMerge w:val="continue"/>
                  <w:tcBorders>
                    <w:tl2br w:val="nil"/>
                    <w:tr2bl w:val="nil"/>
                  </w:tcBorders>
                  <w:noWrap w:val="0"/>
                  <w:vAlign w:val="center"/>
                </w:tcPr>
                <w:p w14:paraId="37262911">
                  <w:pPr>
                    <w:pStyle w:val="28"/>
                    <w:bidi w:val="0"/>
                    <w:rPr>
                      <w:rFonts w:hint="eastAsia"/>
                      <w:lang w:eastAsia="zh-CN"/>
                    </w:rPr>
                  </w:pPr>
                </w:p>
              </w:tc>
              <w:tc>
                <w:tcPr>
                  <w:tcW w:w="840" w:type="pct"/>
                  <w:tcBorders>
                    <w:tl2br w:val="nil"/>
                    <w:tr2bl w:val="nil"/>
                  </w:tcBorders>
                  <w:noWrap w:val="0"/>
                  <w:vAlign w:val="center"/>
                </w:tcPr>
                <w:p w14:paraId="3D12BF44">
                  <w:pPr>
                    <w:pStyle w:val="28"/>
                    <w:bidi w:val="0"/>
                    <w:rPr>
                      <w:rFonts w:hint="eastAsia"/>
                      <w:lang w:eastAsia="zh-CN"/>
                    </w:rPr>
                  </w:pPr>
                  <w:r>
                    <w:rPr>
                      <w:rFonts w:hint="eastAsia"/>
                      <w:lang w:eastAsia="zh-CN"/>
                    </w:rPr>
                    <w:t>一般地区排污单位</w:t>
                  </w:r>
                </w:p>
              </w:tc>
              <w:tc>
                <w:tcPr>
                  <w:tcW w:w="1081" w:type="pct"/>
                  <w:tcBorders>
                    <w:tl2br w:val="nil"/>
                    <w:tr2bl w:val="nil"/>
                  </w:tcBorders>
                  <w:noWrap w:val="0"/>
                  <w:vAlign w:val="center"/>
                </w:tcPr>
                <w:p w14:paraId="7E270155">
                  <w:pPr>
                    <w:pStyle w:val="28"/>
                    <w:bidi w:val="0"/>
                    <w:rPr>
                      <w:rFonts w:hint="eastAsia"/>
                      <w:lang w:eastAsia="zh-CN"/>
                    </w:rPr>
                  </w:pPr>
                  <w:r>
                    <w:rPr>
                      <w:rFonts w:hint="eastAsia"/>
                      <w:lang w:eastAsia="zh-CN"/>
                    </w:rPr>
                    <w:t>重点地区</w:t>
                  </w:r>
                </w:p>
                <w:p w14:paraId="716BAA27">
                  <w:pPr>
                    <w:pStyle w:val="28"/>
                    <w:bidi w:val="0"/>
                    <w:rPr>
                      <w:rFonts w:hint="eastAsia"/>
                      <w:lang w:eastAsia="zh-CN"/>
                    </w:rPr>
                  </w:pPr>
                  <w:r>
                    <w:rPr>
                      <w:rFonts w:hint="eastAsia"/>
                      <w:lang w:eastAsia="zh-CN"/>
                    </w:rPr>
                    <w:t>排污单位</w:t>
                  </w:r>
                </w:p>
              </w:tc>
              <w:tc>
                <w:tcPr>
                  <w:tcW w:w="1082" w:type="pct"/>
                  <w:vMerge w:val="continue"/>
                  <w:tcBorders>
                    <w:tl2br w:val="nil"/>
                    <w:tr2bl w:val="nil"/>
                  </w:tcBorders>
                  <w:noWrap w:val="0"/>
                  <w:vAlign w:val="center"/>
                </w:tcPr>
                <w:p w14:paraId="22DFBF31">
                  <w:pPr>
                    <w:pStyle w:val="28"/>
                    <w:bidi w:val="0"/>
                    <w:rPr>
                      <w:rFonts w:hint="eastAsia"/>
                      <w:lang w:eastAsia="zh-CN"/>
                    </w:rPr>
                  </w:pPr>
                </w:p>
              </w:tc>
              <w:tc>
                <w:tcPr>
                  <w:tcW w:w="708" w:type="pct"/>
                  <w:vMerge w:val="continue"/>
                  <w:tcBorders>
                    <w:tl2br w:val="nil"/>
                    <w:tr2bl w:val="nil"/>
                  </w:tcBorders>
                  <w:noWrap w:val="0"/>
                  <w:vAlign w:val="center"/>
                </w:tcPr>
                <w:p w14:paraId="07FD4A72">
                  <w:pPr>
                    <w:pStyle w:val="28"/>
                    <w:bidi w:val="0"/>
                    <w:rPr>
                      <w:rFonts w:hint="eastAsia"/>
                      <w:lang w:eastAsia="zh-CN"/>
                    </w:rPr>
                  </w:pPr>
                </w:p>
              </w:tc>
            </w:tr>
            <w:tr w14:paraId="06061A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2" w:type="pct"/>
                  <w:tcBorders>
                    <w:tl2br w:val="nil"/>
                    <w:tr2bl w:val="nil"/>
                  </w:tcBorders>
                  <w:noWrap w:val="0"/>
                  <w:vAlign w:val="center"/>
                </w:tcPr>
                <w:p w14:paraId="5786ECB6">
                  <w:pPr>
                    <w:pStyle w:val="28"/>
                    <w:bidi w:val="0"/>
                    <w:rPr>
                      <w:rFonts w:hint="eastAsia"/>
                      <w:highlight w:val="none"/>
                      <w:lang w:eastAsia="zh-CN"/>
                    </w:rPr>
                  </w:pPr>
                  <w:r>
                    <w:rPr>
                      <w:rFonts w:hint="eastAsia"/>
                      <w:highlight w:val="none"/>
                      <w:lang w:val="en-US" w:eastAsia="zh-CN"/>
                    </w:rPr>
                    <w:t>破碎机、</w:t>
                  </w:r>
                  <w:r>
                    <w:rPr>
                      <w:rFonts w:hint="eastAsia"/>
                      <w:highlight w:val="none"/>
                      <w:lang w:eastAsia="zh-CN"/>
                    </w:rPr>
                    <w:t>包装机及其他通风生产设备等排气筒</w:t>
                  </w:r>
                </w:p>
              </w:tc>
              <w:tc>
                <w:tcPr>
                  <w:tcW w:w="584" w:type="pct"/>
                  <w:tcBorders>
                    <w:tl2br w:val="nil"/>
                    <w:tr2bl w:val="nil"/>
                  </w:tcBorders>
                  <w:noWrap w:val="0"/>
                  <w:vAlign w:val="center"/>
                </w:tcPr>
                <w:p w14:paraId="52904E79">
                  <w:pPr>
                    <w:pStyle w:val="28"/>
                    <w:bidi w:val="0"/>
                    <w:rPr>
                      <w:rFonts w:hint="eastAsia"/>
                      <w:lang w:eastAsia="zh-CN"/>
                    </w:rPr>
                  </w:pPr>
                  <w:r>
                    <w:rPr>
                      <w:rFonts w:hint="eastAsia"/>
                      <w:lang w:eastAsia="zh-CN"/>
                    </w:rPr>
                    <w:t>颗粒物</w:t>
                  </w:r>
                </w:p>
              </w:tc>
              <w:tc>
                <w:tcPr>
                  <w:tcW w:w="840" w:type="pct"/>
                  <w:tcBorders>
                    <w:tl2br w:val="nil"/>
                    <w:tr2bl w:val="nil"/>
                  </w:tcBorders>
                  <w:noWrap w:val="0"/>
                  <w:vAlign w:val="center"/>
                </w:tcPr>
                <w:p w14:paraId="54173CEE">
                  <w:pPr>
                    <w:pStyle w:val="28"/>
                    <w:bidi w:val="0"/>
                    <w:rPr>
                      <w:rFonts w:hint="eastAsia"/>
                      <w:lang w:eastAsia="zh-CN"/>
                    </w:rPr>
                  </w:pPr>
                  <w:r>
                    <w:rPr>
                      <w:rFonts w:hint="eastAsia"/>
                      <w:lang w:eastAsia="zh-CN"/>
                    </w:rPr>
                    <w:t>袋式除尘器</w:t>
                  </w:r>
                </w:p>
              </w:tc>
              <w:tc>
                <w:tcPr>
                  <w:tcW w:w="1081" w:type="pct"/>
                  <w:tcBorders>
                    <w:tl2br w:val="nil"/>
                    <w:tr2bl w:val="nil"/>
                  </w:tcBorders>
                  <w:noWrap w:val="0"/>
                  <w:vAlign w:val="center"/>
                </w:tcPr>
                <w:p w14:paraId="33ABD5D1">
                  <w:pPr>
                    <w:pStyle w:val="28"/>
                    <w:bidi w:val="0"/>
                    <w:rPr>
                      <w:rFonts w:hint="eastAsia"/>
                      <w:lang w:eastAsia="zh-CN"/>
                    </w:rPr>
                  </w:pPr>
                  <w:r>
                    <w:rPr>
                      <w:rFonts w:hint="eastAsia"/>
                      <w:lang w:eastAsia="zh-CN"/>
                    </w:rPr>
                    <w:t>覆膜滤料袋式除尘器</w:t>
                  </w:r>
                </w:p>
              </w:tc>
              <w:tc>
                <w:tcPr>
                  <w:tcW w:w="1082" w:type="pct"/>
                  <w:tcBorders>
                    <w:tl2br w:val="nil"/>
                    <w:tr2bl w:val="nil"/>
                  </w:tcBorders>
                  <w:noWrap w:val="0"/>
                  <w:vAlign w:val="center"/>
                </w:tcPr>
                <w:p w14:paraId="0D73CABD">
                  <w:pPr>
                    <w:pStyle w:val="28"/>
                    <w:bidi w:val="0"/>
                    <w:rPr>
                      <w:rFonts w:hint="eastAsia"/>
                      <w:lang w:eastAsia="zh-CN"/>
                    </w:rPr>
                  </w:pPr>
                  <w:r>
                    <w:rPr>
                      <w:rFonts w:hint="eastAsia"/>
                      <w:lang w:eastAsia="zh-CN"/>
                    </w:rPr>
                    <w:t>布袋除尘装置</w:t>
                  </w:r>
                </w:p>
              </w:tc>
              <w:tc>
                <w:tcPr>
                  <w:tcW w:w="708" w:type="pct"/>
                  <w:tcBorders>
                    <w:tl2br w:val="nil"/>
                    <w:tr2bl w:val="nil"/>
                  </w:tcBorders>
                  <w:noWrap w:val="0"/>
                  <w:vAlign w:val="center"/>
                </w:tcPr>
                <w:p w14:paraId="4D7F6412">
                  <w:pPr>
                    <w:pStyle w:val="28"/>
                    <w:bidi w:val="0"/>
                    <w:rPr>
                      <w:rFonts w:hint="eastAsia"/>
                      <w:lang w:eastAsia="zh-CN"/>
                    </w:rPr>
                  </w:pPr>
                  <w:r>
                    <w:rPr>
                      <w:rFonts w:hint="eastAsia"/>
                      <w:lang w:eastAsia="zh-CN"/>
                    </w:rPr>
                    <w:t>是</w:t>
                  </w:r>
                </w:p>
              </w:tc>
            </w:tr>
          </w:tbl>
          <w:p w14:paraId="5985CEBA">
            <w:pPr>
              <w:bidi w:val="0"/>
              <w:rPr>
                <w:rFonts w:hint="default" w:ascii="Times New Roman" w:hAnsi="Times New Roman" w:eastAsia="宋体" w:cs="Times New Roman"/>
                <w:color w:val="auto"/>
                <w:szCs w:val="24"/>
                <w:lang w:val="en-US" w:eastAsia="zh-CN"/>
              </w:rPr>
            </w:pPr>
            <w:r>
              <w:rPr>
                <w:rFonts w:hint="eastAsia"/>
                <w:lang w:val="en-US" w:eastAsia="zh-CN"/>
              </w:rPr>
              <w:t>根据上表可知，项目破碎、筛分粉尘采用</w:t>
            </w:r>
            <w:r>
              <w:rPr>
                <w:rFonts w:hint="eastAsia"/>
                <w:lang w:eastAsia="zh-CN"/>
              </w:rPr>
              <w:t>布袋除尘装置</w:t>
            </w:r>
            <w:r>
              <w:rPr>
                <w:rFonts w:hint="eastAsia"/>
                <w:lang w:val="en-US" w:eastAsia="zh-CN"/>
              </w:rPr>
              <w:t>处理属于可行技术。根据上文预测，经收集处理后的有组织排放粉料仓呼吸尘（排气筒DA001）颗粒物排放浓度</w:t>
            </w:r>
            <w:r>
              <w:rPr>
                <w:rFonts w:hint="eastAsia"/>
                <w:highlight w:val="none"/>
                <w:lang w:val="en-US" w:eastAsia="zh-CN"/>
              </w:rPr>
              <w:t>约为6.74mg/m</w:t>
            </w:r>
            <w:r>
              <w:rPr>
                <w:rFonts w:hint="eastAsia"/>
                <w:highlight w:val="none"/>
                <w:vertAlign w:val="superscript"/>
                <w:lang w:val="en-US" w:eastAsia="zh-CN"/>
              </w:rPr>
              <w:t>3</w:t>
            </w:r>
            <w:r>
              <w:rPr>
                <w:rFonts w:hint="eastAsia"/>
                <w:highlight w:val="none"/>
                <w:lang w:val="en-US" w:eastAsia="zh-CN"/>
              </w:rPr>
              <w:t>，可达《大气污染物综合排放标准》（GB16297-1996）表2中大气污染物排放限值要求（即颗粒物≤120mg/m</w:t>
            </w:r>
            <w:r>
              <w:rPr>
                <w:rFonts w:hint="eastAsia"/>
                <w:highlight w:val="none"/>
                <w:vertAlign w:val="superscript"/>
                <w:lang w:val="en-US" w:eastAsia="zh-CN"/>
              </w:rPr>
              <w:t>3</w:t>
            </w:r>
            <w:r>
              <w:rPr>
                <w:rFonts w:hint="eastAsia"/>
                <w:highlight w:val="none"/>
                <w:lang w:val="en-US" w:eastAsia="zh-CN"/>
              </w:rPr>
              <w:t>）。</w:t>
            </w:r>
          </w:p>
          <w:p w14:paraId="0333F569">
            <w:pPr>
              <w:bidi w:val="0"/>
              <w:rPr>
                <w:rFonts w:hint="eastAsia"/>
                <w:b/>
                <w:bCs/>
                <w:color w:val="auto"/>
                <w:lang w:val="en-US" w:eastAsia="zh-CN"/>
              </w:rPr>
            </w:pPr>
          </w:p>
          <w:p w14:paraId="0A523CC9">
            <w:pPr>
              <w:bidi w:val="0"/>
              <w:rPr>
                <w:b/>
                <w:bCs/>
                <w:color w:val="auto"/>
              </w:rPr>
            </w:pPr>
            <w:r>
              <w:rPr>
                <w:rFonts w:hint="eastAsia"/>
                <w:b/>
                <w:bCs/>
                <w:color w:val="auto"/>
                <w:lang w:val="en-US" w:eastAsia="zh-CN"/>
              </w:rPr>
              <w:t>（3）粉尘无组织废气</w:t>
            </w:r>
            <w:r>
              <w:rPr>
                <w:rFonts w:hint="eastAsia"/>
                <w:b/>
                <w:bCs/>
                <w:color w:val="auto"/>
              </w:rPr>
              <w:t>排放控制要求</w:t>
            </w:r>
          </w:p>
          <w:p w14:paraId="5820356F">
            <w:pPr>
              <w:bidi w:val="0"/>
              <w:rPr>
                <w:rFonts w:hint="eastAsia"/>
                <w:color w:val="auto"/>
                <w:lang w:val="en-US" w:eastAsia="zh-CN"/>
              </w:rPr>
            </w:pPr>
            <w:r>
              <w:rPr>
                <w:rFonts w:hint="eastAsia"/>
                <w:color w:val="auto"/>
                <w:lang w:eastAsia="zh-CN"/>
              </w:rPr>
              <w:t>参考</w:t>
            </w:r>
            <w:r>
              <w:rPr>
                <w:rFonts w:hint="default"/>
                <w:color w:val="auto"/>
              </w:rPr>
              <w:t xml:space="preserve">《排污许可证申请与核发技术规范 </w:t>
            </w:r>
            <w:r>
              <w:rPr>
                <w:rFonts w:hint="eastAsia"/>
                <w:color w:val="auto"/>
                <w:lang w:eastAsia="zh-CN"/>
              </w:rPr>
              <w:t>水泥工业</w:t>
            </w:r>
            <w:r>
              <w:rPr>
                <w:rFonts w:hint="default"/>
                <w:color w:val="auto"/>
              </w:rPr>
              <w:t>》</w:t>
            </w:r>
            <w:r>
              <w:rPr>
                <w:rFonts w:hint="eastAsia"/>
                <w:color w:val="auto"/>
                <w:lang w:val="en-US" w:eastAsia="zh-CN"/>
              </w:rPr>
              <w:t>（HJ847-2017）表4水泥工业排污单位无组织控制要求，本项目粉尘无组织控制措施如下：</w:t>
            </w:r>
          </w:p>
          <w:p w14:paraId="1BE62742">
            <w:pPr>
              <w:bidi w:val="0"/>
              <w:rPr>
                <w:rFonts w:hint="eastAsia"/>
                <w:color w:val="auto"/>
                <w:lang w:val="en-US" w:eastAsia="zh-CN"/>
              </w:rPr>
            </w:pPr>
            <w:r>
              <w:rPr>
                <w:rFonts w:hint="eastAsia"/>
                <w:color w:val="auto"/>
                <w:lang w:val="en-US" w:eastAsia="zh-CN"/>
              </w:rPr>
              <w:t>①砂石储存骨料仓采取三面及顶部围蔽防尘，仅保留进出料面敞开，配套喷淋装置喷淋抑尘；</w:t>
            </w:r>
          </w:p>
          <w:p w14:paraId="6CD835EE">
            <w:pPr>
              <w:bidi w:val="0"/>
              <w:rPr>
                <w:rFonts w:hint="eastAsia"/>
                <w:color w:val="auto"/>
                <w:lang w:val="en-US" w:eastAsia="zh-CN"/>
              </w:rPr>
            </w:pPr>
            <w:r>
              <w:rPr>
                <w:rFonts w:hint="eastAsia"/>
                <w:color w:val="auto"/>
                <w:lang w:val="en-US" w:eastAsia="zh-CN"/>
              </w:rPr>
              <w:t>②搅拌站整体封闭设置，搅拌机搅拌密闭运行，对称量进料层、搅拌层、装车层加设喷淋装置抑尘；</w:t>
            </w:r>
          </w:p>
          <w:p w14:paraId="5CA11819">
            <w:pPr>
              <w:bidi w:val="0"/>
              <w:rPr>
                <w:rFonts w:hint="eastAsia"/>
                <w:color w:val="auto"/>
                <w:lang w:val="en-US" w:eastAsia="zh-CN"/>
              </w:rPr>
            </w:pPr>
            <w:r>
              <w:rPr>
                <w:rFonts w:hint="eastAsia"/>
                <w:color w:val="auto"/>
                <w:lang w:val="en-US" w:eastAsia="zh-CN"/>
              </w:rPr>
              <w:t>③物料厂内运输环节扬尘通过严格控制车辆运载量、低速行驶，厂区路面硬化并定期人工洒水抑尘和清扫降尘，对于砂石料、水泥等易产尘材料采用密闭运输车进行运输，运输前砂石表面加湿，在厂区出入口设置洗车台进行车辆冲洗，降低运输扬尘；</w:t>
            </w:r>
          </w:p>
          <w:p w14:paraId="5786DB2C">
            <w:pPr>
              <w:bidi w:val="0"/>
              <w:rPr>
                <w:rFonts w:hint="eastAsia"/>
                <w:color w:val="auto"/>
                <w:lang w:val="en-US" w:eastAsia="zh-CN"/>
              </w:rPr>
            </w:pPr>
            <w:r>
              <w:rPr>
                <w:rFonts w:hint="eastAsia"/>
                <w:color w:val="auto"/>
                <w:lang w:val="en-US" w:eastAsia="zh-CN"/>
              </w:rPr>
              <w:t>③厂内砂石料输送带仅保留进卸料口，廊道封闭，在输送带进出口、砂石进料区配套喷淋装置喷淋抑尘；</w:t>
            </w:r>
          </w:p>
          <w:p w14:paraId="5368D00F">
            <w:pPr>
              <w:bidi w:val="0"/>
              <w:rPr>
                <w:rFonts w:hint="eastAsia"/>
                <w:color w:val="auto"/>
                <w:lang w:val="en-US" w:eastAsia="zh-CN"/>
              </w:rPr>
            </w:pPr>
            <w:r>
              <w:rPr>
                <w:rFonts w:hint="eastAsia"/>
                <w:color w:val="auto"/>
                <w:lang w:val="en-US" w:eastAsia="zh-CN"/>
              </w:rPr>
              <w:t>④厂内配置1台雾炮机，在装卸作业时喷雾降尘；在遇到风力4级及以上天气时，停止装卸物料作业；</w:t>
            </w:r>
          </w:p>
          <w:p w14:paraId="6E20D689">
            <w:pPr>
              <w:bidi w:val="0"/>
              <w:rPr>
                <w:rFonts w:hint="default"/>
                <w:color w:val="auto"/>
                <w:lang w:val="en-US" w:eastAsia="zh-CN"/>
              </w:rPr>
            </w:pPr>
            <w:r>
              <w:rPr>
                <w:rFonts w:hint="eastAsia"/>
                <w:color w:val="auto"/>
                <w:lang w:val="en-US" w:eastAsia="zh-CN"/>
              </w:rPr>
              <w:t>⑤厂内位于2#搅拌楼内的粉料仓顶部均自带一套脉冲布袋除尘器，粉料仓呼吸尘经自带除尘器处理后在封闭的搅拌楼内排放，搅拌楼内加设喷淋装置抑尘；</w:t>
            </w:r>
          </w:p>
          <w:p w14:paraId="7F01C802">
            <w:pPr>
              <w:bidi w:val="0"/>
              <w:rPr>
                <w:rFonts w:hint="eastAsia"/>
                <w:color w:val="auto"/>
                <w:lang w:val="en-US" w:eastAsia="zh-CN"/>
              </w:rPr>
            </w:pPr>
            <w:r>
              <w:rPr>
                <w:rFonts w:hint="eastAsia"/>
                <w:color w:val="auto"/>
                <w:lang w:val="en-US" w:eastAsia="zh-CN"/>
              </w:rPr>
              <w:t>⑥</w:t>
            </w:r>
            <w:r>
              <w:rPr>
                <w:rFonts w:hint="eastAsia"/>
                <w:lang w:val="en-US" w:eastAsia="zh-CN"/>
              </w:rPr>
              <w:t>破碎、筛分粉尘经集气罩收集后通过袋式除尘器处理后通过15m高DA001排气筒排放，未被集气罩收集的部分粉尘在车间内采用喷淋除尘设备进行抑尘。</w:t>
            </w:r>
          </w:p>
          <w:p w14:paraId="70199A1E">
            <w:pPr>
              <w:bidi w:val="0"/>
              <w:rPr>
                <w:rFonts w:hint="eastAsia"/>
                <w:color w:val="auto"/>
                <w:lang w:val="en-US" w:eastAsia="zh-CN"/>
              </w:rPr>
            </w:pPr>
            <w:r>
              <w:rPr>
                <w:rFonts w:hint="eastAsia"/>
                <w:color w:val="auto"/>
                <w:lang w:val="en-US" w:eastAsia="zh-CN"/>
              </w:rPr>
              <w:t>⑦</w:t>
            </w:r>
            <w:r>
              <w:rPr>
                <w:rFonts w:hint="eastAsia"/>
                <w:color w:val="auto"/>
                <w:highlight w:val="none"/>
                <w:lang w:val="en-US" w:eastAsia="zh-CN"/>
              </w:rPr>
              <w:t>焊接烟尘采用车间无组织排放；</w:t>
            </w:r>
            <w:r>
              <w:rPr>
                <w:rFonts w:hint="eastAsia"/>
                <w:color w:val="auto"/>
                <w:lang w:val="en-US" w:eastAsia="zh-CN"/>
              </w:rPr>
              <w:t>加强日常作业管理，及时清扫重力沉降在地面的积尘；</w:t>
            </w:r>
          </w:p>
          <w:p w14:paraId="0BD3AECE">
            <w:pPr>
              <w:bidi w:val="0"/>
              <w:rPr>
                <w:rFonts w:hint="eastAsia"/>
                <w:color w:val="auto"/>
                <w:lang w:val="en-US" w:eastAsia="zh-CN"/>
              </w:rPr>
            </w:pPr>
            <w:r>
              <w:rPr>
                <w:rFonts w:hint="eastAsia"/>
                <w:color w:val="auto"/>
                <w:lang w:val="en-US" w:eastAsia="zh-CN"/>
              </w:rPr>
              <w:t>⑧加强对废气收集处理系统的维护保养，保证收集处理系统稳定正常运行；</w:t>
            </w:r>
          </w:p>
          <w:p w14:paraId="021A8635">
            <w:pPr>
              <w:bidi w:val="0"/>
              <w:rPr>
                <w:rFonts w:hint="eastAsia"/>
                <w:color w:val="auto"/>
                <w:lang w:val="en-US" w:eastAsia="zh-CN"/>
              </w:rPr>
            </w:pPr>
            <w:r>
              <w:rPr>
                <w:rFonts w:hint="eastAsia"/>
                <w:color w:val="auto"/>
                <w:lang w:val="en-US" w:eastAsia="zh-CN"/>
              </w:rPr>
              <w:t>⑨靠近生产区的西侧、西南侧与南侧围墙设置喷淋装置，进一步降尘。</w:t>
            </w:r>
          </w:p>
          <w:p w14:paraId="49447524">
            <w:pPr>
              <w:bidi w:val="0"/>
              <w:rPr>
                <w:rFonts w:hint="eastAsia"/>
                <w:color w:val="auto"/>
                <w:lang w:val="en-US" w:eastAsia="zh-CN"/>
              </w:rPr>
            </w:pPr>
            <w:r>
              <w:rPr>
                <w:rFonts w:hint="eastAsia"/>
                <w:color w:val="auto"/>
                <w:lang w:val="en-US" w:eastAsia="zh-CN"/>
              </w:rPr>
              <w:t>经采取以上废气排放管控措施后，可有效降低项目生产过程中无组织排放粉尘对周边环境空气的影响。项目最近敏感目标为西北侧约260m的石溪村，距离较远且位于项目所在区域主导风向的侧风向，因此建设单位在切实落实本项目提出废气环保措施，并确保项目废气设施正常运转的情况下，项目粉尘对周边大气环境及敏感目标影响较小，采取的措施合理可行。</w:t>
            </w:r>
          </w:p>
          <w:p w14:paraId="622700EB">
            <w:pPr>
              <w:pStyle w:val="4"/>
              <w:keepNext w:val="0"/>
              <w:keepLines w:val="0"/>
              <w:pageBreakBefore w:val="0"/>
              <w:widowControl w:val="0"/>
              <w:kinsoku/>
              <w:wordWrap/>
              <w:overflowPunct/>
              <w:topLinePunct w:val="0"/>
              <w:autoSpaceDE/>
              <w:autoSpaceDN/>
              <w:bidi w:val="0"/>
              <w:adjustRightInd w:val="0"/>
              <w:snapToGrid w:val="0"/>
              <w:textAlignment w:val="auto"/>
              <w:rPr>
                <w:rFonts w:hint="default"/>
                <w:color w:val="auto"/>
                <w:lang w:val="en-US" w:eastAsia="zh-CN"/>
              </w:rPr>
            </w:pPr>
            <w:r>
              <w:rPr>
                <w:rFonts w:hint="eastAsia"/>
                <w:color w:val="auto"/>
                <w:lang w:val="en-US" w:eastAsia="zh-CN"/>
              </w:rPr>
              <w:t>4.2.5环境防护距离分析</w:t>
            </w:r>
          </w:p>
          <w:p w14:paraId="5793ECA2">
            <w:pPr>
              <w:bidi w:val="0"/>
              <w:rPr>
                <w:color w:val="auto"/>
              </w:rPr>
            </w:pPr>
            <w:r>
              <w:rPr>
                <w:rFonts w:hint="eastAsia"/>
                <w:color w:val="auto"/>
              </w:rPr>
              <w:t>根据《建设项目环境影响报告表编制技术指南(污染影响类)(试行)》(</w:t>
            </w:r>
            <w:r>
              <w:rPr>
                <w:color w:val="auto"/>
                <w:lang w:val="zh-CN"/>
              </w:rPr>
              <w:t>环办环评〔2020〕33号</w:t>
            </w:r>
            <w:r>
              <w:rPr>
                <w:rFonts w:hint="eastAsia"/>
                <w:color w:val="auto"/>
              </w:rPr>
              <w:t>)要求可知，目前不对项目</w:t>
            </w:r>
            <w:r>
              <w:rPr>
                <w:color w:val="auto"/>
              </w:rPr>
              <w:t>大气环境防护距离及卫生防护</w:t>
            </w:r>
            <w:r>
              <w:rPr>
                <w:rFonts w:hint="eastAsia"/>
                <w:color w:val="auto"/>
              </w:rPr>
              <w:t>距离进行要求。</w:t>
            </w:r>
            <w:r>
              <w:rPr>
                <w:b/>
                <w:bCs/>
                <w:color w:val="auto"/>
              </w:rPr>
              <w:t>根据环境影响评价网(</w:t>
            </w:r>
            <w:r>
              <w:rPr>
                <w:b/>
                <w:bCs/>
                <w:color w:val="auto"/>
                <w:lang w:val="zh-CN"/>
              </w:rPr>
              <w:t>生态环境部环境工程评估中心</w:t>
            </w:r>
            <w:r>
              <w:rPr>
                <w:b/>
                <w:bCs/>
                <w:color w:val="auto"/>
              </w:rPr>
              <w:t>)关于</w:t>
            </w:r>
            <w:r>
              <w:rPr>
                <w:b/>
                <w:bCs/>
                <w:color w:val="auto"/>
                <w:lang w:val="zh-CN"/>
              </w:rPr>
              <w:t>《建设项目环境影响报告表》内容、格式及编制技术指南常见问题解答</w:t>
            </w:r>
            <w:r>
              <w:rPr>
                <w:color w:val="auto"/>
                <w:lang w:val="zh-CN"/>
              </w:rPr>
              <w:t>：“</w:t>
            </w:r>
            <w:r>
              <w:rPr>
                <w:color w:val="auto"/>
              </w:rPr>
              <w:t>《建设项目环境影响评价技术导则 总纲》(HJ2.1-2016)未对卫生防护距离提出评价要求，建设项目环境影响报告表编制技术指南(以下简称技术指南)不</w:t>
            </w:r>
            <w:r>
              <w:rPr>
                <w:rFonts w:hint="eastAsia"/>
                <w:color w:val="auto"/>
                <w:lang w:eastAsia="zh-CN"/>
              </w:rPr>
              <w:t>作要求</w:t>
            </w:r>
            <w:r>
              <w:rPr>
                <w:color w:val="auto"/>
              </w:rPr>
              <w:t>。对于判定为需要开展大气专项评价的建设项目，根据《环境影响评价技术导则 大气环境》(HJ2.2-2018)需要计算大气环境防护距离的，应按要求计算</w:t>
            </w:r>
            <w:r>
              <w:rPr>
                <w:rFonts w:hint="eastAsia"/>
                <w:color w:val="auto"/>
                <w:lang w:eastAsia="zh-CN"/>
              </w:rPr>
              <w:t>”</w:t>
            </w:r>
            <w:r>
              <w:rPr>
                <w:color w:val="auto"/>
              </w:rPr>
              <w:t>。本项目不涉及大气专项评价，因此，在企业落实有效的废气收集、处理措施的前提下，可不设置</w:t>
            </w:r>
            <w:r>
              <w:rPr>
                <w:rFonts w:hint="eastAsia"/>
                <w:color w:val="auto"/>
                <w:lang w:val="en-US" w:eastAsia="zh-CN"/>
              </w:rPr>
              <w:t>大气</w:t>
            </w:r>
            <w:r>
              <w:rPr>
                <w:color w:val="auto"/>
              </w:rPr>
              <w:t>环境防护距离。</w:t>
            </w:r>
          </w:p>
          <w:p w14:paraId="10C933FA">
            <w:pPr>
              <w:pStyle w:val="4"/>
              <w:adjustRightInd w:val="0"/>
              <w:snapToGrid w:val="0"/>
              <w:rPr>
                <w:rFonts w:hint="eastAsia" w:ascii="Times New Roman" w:hAnsi="Times New Roman"/>
                <w:color w:val="auto"/>
                <w:lang w:val="en-US" w:eastAsia="zh-CN"/>
              </w:rPr>
            </w:pPr>
            <w:r>
              <w:rPr>
                <w:rFonts w:hint="eastAsia" w:ascii="Times New Roman" w:hAnsi="Times New Roman"/>
                <w:color w:val="auto"/>
                <w:lang w:val="en-US" w:eastAsia="zh-CN"/>
              </w:rPr>
              <w:t>4.2.6对周边福清市海兴食品有限公司的影响分析</w:t>
            </w:r>
          </w:p>
          <w:p w14:paraId="7DE7EA5A">
            <w:pPr>
              <w:rPr>
                <w:rFonts w:hint="default"/>
                <w:color w:val="auto"/>
                <w:lang w:val="en-US" w:eastAsia="zh-CN"/>
              </w:rPr>
            </w:pPr>
            <w:r>
              <w:rPr>
                <w:rFonts w:hint="eastAsia" w:ascii="Times New Roman" w:hAnsi="Times New Roman"/>
                <w:color w:val="auto"/>
                <w:sz w:val="24"/>
                <w:szCs w:val="24"/>
                <w:lang w:val="en-US" w:eastAsia="zh-CN"/>
              </w:rPr>
              <w:t>根据前文分析，项目日常运行主要产生废气污染物为颗粒物，全厂排放速率为</w:t>
            </w:r>
            <w:r>
              <w:rPr>
                <w:rFonts w:hint="eastAsia"/>
                <w:color w:val="auto"/>
                <w:sz w:val="24"/>
                <w:szCs w:val="24"/>
                <w:lang w:val="en-US" w:eastAsia="zh-CN"/>
              </w:rPr>
              <w:t>2.4134</w:t>
            </w:r>
            <w:r>
              <w:rPr>
                <w:rFonts w:hint="eastAsia" w:ascii="Times New Roman" w:hAnsi="Times New Roman"/>
                <w:color w:val="auto"/>
                <w:sz w:val="24"/>
                <w:szCs w:val="24"/>
                <w:lang w:val="en-US" w:eastAsia="zh-CN"/>
              </w:rPr>
              <w:t>kg/h，排放量为</w:t>
            </w:r>
            <w:r>
              <w:rPr>
                <w:rFonts w:hint="eastAsia"/>
                <w:color w:val="auto"/>
                <w:lang w:val="en-US" w:eastAsia="zh-CN"/>
              </w:rPr>
              <w:t>6.483</w:t>
            </w:r>
            <w:r>
              <w:rPr>
                <w:rFonts w:hint="eastAsia" w:ascii="Times New Roman" w:hAnsi="Times New Roman"/>
                <w:color w:val="auto"/>
                <w:sz w:val="24"/>
                <w:szCs w:val="24"/>
                <w:lang w:val="en-US" w:eastAsia="zh-CN"/>
              </w:rPr>
              <w:t>t/a，</w:t>
            </w:r>
            <w:r>
              <w:rPr>
                <w:rFonts w:hint="eastAsia"/>
                <w:color w:val="auto"/>
                <w:sz w:val="24"/>
                <w:szCs w:val="24"/>
                <w:lang w:val="en-US" w:eastAsia="zh-CN"/>
              </w:rPr>
              <w:t>根据废气污染源预测结果，项目</w:t>
            </w:r>
            <w:r>
              <w:rPr>
                <w:rFonts w:hint="eastAsia" w:ascii="Times New Roman" w:hAnsi="Times New Roman" w:cs="Times New Roman"/>
                <w:color w:val="auto"/>
                <w:sz w:val="24"/>
                <w:szCs w:val="24"/>
                <w:highlight w:val="none"/>
                <w:lang w:val="en-US" w:eastAsia="zh-CN"/>
              </w:rPr>
              <w:t>无组织排放的颗粒物</w:t>
            </w:r>
            <w:r>
              <w:rPr>
                <w:rFonts w:hint="eastAsia" w:cs="Times New Roman"/>
                <w:color w:val="auto"/>
                <w:sz w:val="24"/>
                <w:szCs w:val="24"/>
                <w:highlight w:val="none"/>
                <w:lang w:val="en-US" w:eastAsia="zh-CN"/>
              </w:rPr>
              <w:t>贡献浓度最大值为0.0883m</w:t>
            </w:r>
            <w:r>
              <w:rPr>
                <w:rFonts w:hint="default" w:ascii="Times New Roman" w:hAnsi="Times New Roman" w:cs="Times New Roman"/>
                <w:color w:val="auto"/>
                <w:sz w:val="24"/>
                <w:szCs w:val="24"/>
                <w:highlight w:val="none"/>
              </w:rPr>
              <w:t>g/m</w:t>
            </w:r>
            <w:r>
              <w:rPr>
                <w:rFonts w:hint="default" w:ascii="Times New Roman" w:hAnsi="Times New Roman" w:cs="Times New Roman"/>
                <w:color w:val="auto"/>
                <w:sz w:val="24"/>
                <w:szCs w:val="24"/>
                <w:highlight w:val="none"/>
                <w:vertAlign w:val="superscript"/>
              </w:rPr>
              <w:t>3</w:t>
            </w:r>
            <w:r>
              <w:rPr>
                <w:rFonts w:hint="eastAsia" w:cs="Times New Roman"/>
                <w:color w:val="auto"/>
                <w:sz w:val="24"/>
                <w:szCs w:val="24"/>
                <w:highlight w:val="none"/>
                <w:lang w:val="en-US" w:eastAsia="zh-CN"/>
              </w:rPr>
              <w:t>，占标率为</w:t>
            </w:r>
            <w:r>
              <w:rPr>
                <w:rFonts w:hint="eastAsia" w:ascii="Times New Roman" w:hAnsi="Times New Roman" w:cs="Times New Roman"/>
                <w:color w:val="auto"/>
                <w:sz w:val="24"/>
                <w:szCs w:val="24"/>
                <w:highlight w:val="none"/>
                <w:lang w:val="en-US" w:eastAsia="zh-CN"/>
              </w:rPr>
              <w:t>9.36</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color w:val="auto"/>
                <w:sz w:val="24"/>
                <w:szCs w:val="24"/>
                <w:lang w:val="en-US" w:eastAsia="zh-CN"/>
              </w:rPr>
              <w:t>厂界颗粒物排放浓度</w:t>
            </w:r>
            <w:r>
              <w:rPr>
                <w:rFonts w:hint="eastAsia"/>
                <w:color w:val="auto"/>
                <w:sz w:val="24"/>
                <w:szCs w:val="24"/>
                <w:lang w:val="en-US" w:eastAsia="zh-CN"/>
              </w:rPr>
              <w:t>符合</w:t>
            </w:r>
            <w:r>
              <w:rPr>
                <w:rFonts w:hint="eastAsia" w:ascii="Times New Roman" w:hAnsi="Times New Roman" w:eastAsia="宋体"/>
                <w:b w:val="0"/>
                <w:bCs w:val="0"/>
                <w:color w:val="auto"/>
                <w:sz w:val="24"/>
                <w:szCs w:val="24"/>
                <w:shd w:val="clear" w:color="auto" w:fill="FFFFFF"/>
                <w:lang w:eastAsia="zh-CN"/>
              </w:rPr>
              <w:t>《水泥工业大气污染物排放标准》（DB35/1311-2013）表3排放限值</w:t>
            </w:r>
            <w:r>
              <w:rPr>
                <w:rFonts w:hint="eastAsia" w:ascii="Times New Roman" w:hAnsi="Times New Roman"/>
                <w:color w:val="auto"/>
                <w:sz w:val="24"/>
                <w:szCs w:val="24"/>
                <w:lang w:val="en-US" w:eastAsia="zh-CN"/>
              </w:rPr>
              <w:t>。</w:t>
            </w:r>
            <w:r>
              <w:rPr>
                <w:rFonts w:hint="eastAsia"/>
                <w:color w:val="auto"/>
                <w:sz w:val="24"/>
                <w:szCs w:val="24"/>
                <w:lang w:val="en-US" w:eastAsia="zh-CN"/>
              </w:rPr>
              <w:t>项目</w:t>
            </w:r>
            <w:r>
              <w:rPr>
                <w:rFonts w:hint="eastAsia" w:ascii="Times New Roman" w:hAnsi="Times New Roman" w:eastAsia="宋体" w:cs="Times New Roman"/>
                <w:color w:val="auto"/>
                <w:spacing w:val="0"/>
                <w:sz w:val="24"/>
                <w:szCs w:val="24"/>
                <w:highlight w:val="none"/>
                <w:lang w:val="en-US" w:eastAsia="zh-CN"/>
              </w:rPr>
              <w:t>通过合理布局，将靠近</w:t>
            </w:r>
            <w:r>
              <w:rPr>
                <w:rFonts w:hint="eastAsia" w:ascii="Times New Roman" w:hAnsi="Times New Roman"/>
                <w:color w:val="auto"/>
                <w:lang w:val="en-US" w:eastAsia="zh-CN"/>
              </w:rPr>
              <w:t>福清市海兴食品有限公司</w:t>
            </w:r>
            <w:r>
              <w:rPr>
                <w:rFonts w:hint="eastAsia" w:cs="Times New Roman"/>
                <w:color w:val="auto"/>
                <w:spacing w:val="0"/>
                <w:sz w:val="24"/>
                <w:szCs w:val="24"/>
                <w:highlight w:val="none"/>
                <w:lang w:val="en-US" w:eastAsia="zh-CN"/>
              </w:rPr>
              <w:t>位置布置为小车停车区（混凝土运输车停车区位于搅拌楼附近），将主要产尘车间搅拌楼、物料库等布置在远离海兴食品公司一侧，以减少对海兴食品公司的影响，同时</w:t>
            </w:r>
            <w:r>
              <w:rPr>
                <w:rFonts w:hint="eastAsia" w:ascii="Times New Roman" w:hAnsi="Times New Roman"/>
                <w:color w:val="auto"/>
                <w:lang w:val="en-US" w:eastAsia="zh-CN"/>
              </w:rPr>
              <w:t>海兴食品公司位于企业东侧，当地主导风向为东北-西南风向，海兴食品</w:t>
            </w:r>
            <w:r>
              <w:rPr>
                <w:rFonts w:hint="eastAsia"/>
                <w:color w:val="auto"/>
                <w:lang w:val="en-US" w:eastAsia="zh-CN"/>
              </w:rPr>
              <w:t>不</w:t>
            </w:r>
            <w:r>
              <w:rPr>
                <w:rFonts w:hint="eastAsia" w:ascii="Times New Roman" w:hAnsi="Times New Roman"/>
                <w:color w:val="auto"/>
                <w:lang w:val="en-US" w:eastAsia="zh-CN"/>
              </w:rPr>
              <w:t>位于本项目主导风向</w:t>
            </w:r>
            <w:r>
              <w:rPr>
                <w:rFonts w:hint="eastAsia"/>
                <w:color w:val="auto"/>
                <w:lang w:val="en-US" w:eastAsia="zh-CN"/>
              </w:rPr>
              <w:t>的下风向</w:t>
            </w:r>
            <w:r>
              <w:rPr>
                <w:rFonts w:hint="eastAsia" w:ascii="Times New Roman" w:hAnsi="Times New Roman"/>
                <w:color w:val="auto"/>
                <w:lang w:val="en-US" w:eastAsia="zh-CN"/>
              </w:rPr>
              <w:t>，因此本项目</w:t>
            </w:r>
            <w:r>
              <w:rPr>
                <w:rFonts w:hint="eastAsia"/>
                <w:color w:val="auto"/>
                <w:lang w:val="en-US" w:eastAsia="zh-CN"/>
              </w:rPr>
              <w:t>废气排放</w:t>
            </w:r>
            <w:r>
              <w:rPr>
                <w:rFonts w:hint="eastAsia" w:ascii="Times New Roman" w:hAnsi="Times New Roman"/>
                <w:color w:val="auto"/>
                <w:lang w:val="en-US" w:eastAsia="zh-CN"/>
              </w:rPr>
              <w:t>对其影响较小。</w:t>
            </w:r>
          </w:p>
          <w:p w14:paraId="1F378D31">
            <w:pPr>
              <w:pStyle w:val="4"/>
              <w:adjustRightInd w:val="0"/>
              <w:snapToGrid w:val="0"/>
              <w:rPr>
                <w:color w:val="auto"/>
              </w:rPr>
            </w:pPr>
            <w:r>
              <w:rPr>
                <w:color w:val="auto"/>
              </w:rPr>
              <w:t>4.</w:t>
            </w:r>
            <w:r>
              <w:rPr>
                <w:rFonts w:hint="eastAsia"/>
                <w:color w:val="auto"/>
                <w:lang w:val="en-US" w:eastAsia="zh-CN"/>
              </w:rPr>
              <w:t>2</w:t>
            </w:r>
            <w:r>
              <w:rPr>
                <w:color w:val="auto"/>
              </w:rPr>
              <w:t>.</w:t>
            </w:r>
            <w:r>
              <w:rPr>
                <w:rFonts w:hint="eastAsia"/>
                <w:color w:val="auto"/>
                <w:lang w:val="en-US" w:eastAsia="zh-CN"/>
              </w:rPr>
              <w:t>7</w:t>
            </w:r>
            <w:r>
              <w:rPr>
                <w:color w:val="auto"/>
              </w:rPr>
              <w:t>自行监测计划</w:t>
            </w:r>
          </w:p>
          <w:p w14:paraId="3FB5C490">
            <w:pPr>
              <w:bidi w:val="0"/>
              <w:rPr>
                <w:rFonts w:hint="eastAsia"/>
                <w:color w:val="auto"/>
              </w:rPr>
            </w:pPr>
            <w:r>
              <w:rPr>
                <w:rFonts w:hint="eastAsia"/>
                <w:color w:val="auto"/>
                <w:lang w:val="en-US" w:eastAsia="zh-CN"/>
              </w:rPr>
              <w:t>根据</w:t>
            </w:r>
            <w:r>
              <w:rPr>
                <w:rFonts w:hint="eastAsia"/>
                <w:color w:val="auto"/>
              </w:rPr>
              <w:t>《排污单位自行监测技术指南 总则》(HJ 819-2017)</w:t>
            </w:r>
            <w:r>
              <w:rPr>
                <w:rFonts w:hint="eastAsia"/>
                <w:color w:val="auto"/>
                <w:lang w:eastAsia="zh-CN"/>
              </w:rPr>
              <w:t>、</w:t>
            </w:r>
            <w:r>
              <w:rPr>
                <w:rFonts w:hint="default"/>
                <w:color w:val="auto"/>
              </w:rPr>
              <w:t>《排污单位自行监测技术指南</w:t>
            </w:r>
            <w:r>
              <w:rPr>
                <w:rFonts w:hint="default"/>
                <w:color w:val="auto"/>
                <w:highlight w:val="none"/>
              </w:rPr>
              <w:t xml:space="preserve"> </w:t>
            </w:r>
            <w:r>
              <w:rPr>
                <w:rFonts w:hint="eastAsia"/>
                <w:color w:val="auto"/>
                <w:highlight w:val="none"/>
                <w:lang w:eastAsia="zh-CN"/>
              </w:rPr>
              <w:t>水泥工业</w:t>
            </w:r>
            <w:r>
              <w:rPr>
                <w:rFonts w:hint="default"/>
                <w:color w:val="auto"/>
              </w:rPr>
              <w:t>》(HJ</w:t>
            </w:r>
            <w:r>
              <w:rPr>
                <w:rFonts w:hint="eastAsia"/>
                <w:color w:val="auto"/>
                <w:lang w:val="en-US" w:eastAsia="zh-CN"/>
              </w:rPr>
              <w:t>848-2017</w:t>
            </w:r>
            <w:r>
              <w:rPr>
                <w:rFonts w:hint="default"/>
                <w:color w:val="auto"/>
              </w:rPr>
              <w:t>)</w:t>
            </w:r>
            <w:r>
              <w:rPr>
                <w:rFonts w:hint="eastAsia"/>
                <w:color w:val="auto"/>
              </w:rPr>
              <w:t>等要求，提出项目运营期废气自行监测计划，具体详见表4.</w:t>
            </w:r>
            <w:r>
              <w:rPr>
                <w:rFonts w:hint="eastAsia"/>
                <w:color w:val="auto"/>
                <w:lang w:val="en-US" w:eastAsia="zh-CN"/>
              </w:rPr>
              <w:t>2</w:t>
            </w:r>
            <w:r>
              <w:rPr>
                <w:rFonts w:hint="eastAsia"/>
                <w:color w:val="auto"/>
              </w:rPr>
              <w:t>-</w:t>
            </w:r>
            <w:r>
              <w:rPr>
                <w:rFonts w:hint="eastAsia"/>
                <w:color w:val="auto"/>
                <w:lang w:val="en-US" w:eastAsia="zh-CN"/>
              </w:rPr>
              <w:t>10</w:t>
            </w:r>
            <w:r>
              <w:rPr>
                <w:rFonts w:hint="eastAsia"/>
                <w:color w:val="auto"/>
              </w:rPr>
              <w:t>。</w:t>
            </w:r>
          </w:p>
          <w:p w14:paraId="6B502ADD">
            <w:pPr>
              <w:pStyle w:val="30"/>
              <w:rPr>
                <w:rFonts w:hint="eastAsia"/>
                <w:color w:val="auto"/>
              </w:rPr>
            </w:pPr>
          </w:p>
          <w:p w14:paraId="67244223">
            <w:pPr>
              <w:pStyle w:val="32"/>
              <w:rPr>
                <w:rFonts w:hint="eastAsia"/>
                <w:lang w:val="en-US" w:eastAsia="zh-CN"/>
              </w:rPr>
            </w:pPr>
          </w:p>
          <w:p w14:paraId="73902CD0">
            <w:pPr>
              <w:pStyle w:val="33"/>
              <w:bidi w:val="0"/>
              <w:rPr>
                <w:rFonts w:hint="default"/>
                <w:color w:val="auto"/>
                <w:sz w:val="24"/>
                <w:szCs w:val="24"/>
                <w:lang w:val="en-US" w:eastAsia="zh-CN"/>
              </w:rPr>
            </w:pPr>
            <w:r>
              <w:rPr>
                <w:color w:val="auto"/>
                <w:sz w:val="24"/>
                <w:szCs w:val="24"/>
              </w:rPr>
              <w:t>表4.</w:t>
            </w:r>
            <w:r>
              <w:rPr>
                <w:rFonts w:hint="eastAsia"/>
                <w:color w:val="auto"/>
                <w:sz w:val="24"/>
                <w:szCs w:val="24"/>
                <w:lang w:val="en-US" w:eastAsia="zh-CN"/>
              </w:rPr>
              <w:t>2-11</w:t>
            </w:r>
            <w:r>
              <w:rPr>
                <w:rFonts w:hint="eastAsia"/>
                <w:color w:val="auto"/>
                <w:sz w:val="24"/>
                <w:szCs w:val="24"/>
              </w:rPr>
              <w:t xml:space="preserve"> </w:t>
            </w:r>
            <w:r>
              <w:rPr>
                <w:color w:val="auto"/>
                <w:sz w:val="24"/>
                <w:szCs w:val="24"/>
              </w:rPr>
              <w:t>项目废气自行监测计划</w:t>
            </w:r>
          </w:p>
          <w:tbl>
            <w:tblPr>
              <w:tblStyle w:val="2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224"/>
              <w:gridCol w:w="3449"/>
              <w:gridCol w:w="1599"/>
            </w:tblGrid>
            <w:tr w14:paraId="376E5C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948" w:type="pct"/>
                  <w:noWrap w:val="0"/>
                  <w:vAlign w:val="center"/>
                </w:tcPr>
                <w:p w14:paraId="738D1E59">
                  <w:pPr>
                    <w:pStyle w:val="28"/>
                    <w:bidi w:val="0"/>
                    <w:rPr>
                      <w:b/>
                      <w:bCs/>
                      <w:color w:val="auto"/>
                    </w:rPr>
                  </w:pPr>
                  <w:r>
                    <w:rPr>
                      <w:b/>
                      <w:bCs/>
                      <w:color w:val="auto"/>
                    </w:rPr>
                    <w:t>监测点位</w:t>
                  </w:r>
                </w:p>
              </w:tc>
              <w:tc>
                <w:tcPr>
                  <w:tcW w:w="2084" w:type="pct"/>
                  <w:noWrap w:val="0"/>
                  <w:vAlign w:val="center"/>
                </w:tcPr>
                <w:p w14:paraId="4DDE9CF2">
                  <w:pPr>
                    <w:pStyle w:val="28"/>
                    <w:bidi w:val="0"/>
                    <w:rPr>
                      <w:rFonts w:hint="eastAsia"/>
                      <w:b/>
                      <w:bCs/>
                      <w:color w:val="auto"/>
                      <w:lang w:val="en-US" w:eastAsia="zh-CN"/>
                    </w:rPr>
                  </w:pPr>
                  <w:r>
                    <w:rPr>
                      <w:b/>
                      <w:bCs/>
                      <w:color w:val="auto"/>
                    </w:rPr>
                    <w:t>监测</w:t>
                  </w:r>
                  <w:r>
                    <w:rPr>
                      <w:rFonts w:hint="eastAsia"/>
                      <w:b/>
                      <w:bCs/>
                      <w:color w:val="auto"/>
                      <w:lang w:val="en-US" w:eastAsia="zh-CN"/>
                    </w:rPr>
                    <w:t>指标</w:t>
                  </w:r>
                </w:p>
              </w:tc>
              <w:tc>
                <w:tcPr>
                  <w:tcW w:w="966" w:type="pct"/>
                  <w:noWrap w:val="0"/>
                  <w:vAlign w:val="center"/>
                </w:tcPr>
                <w:p w14:paraId="4EDE9CA0">
                  <w:pPr>
                    <w:pStyle w:val="28"/>
                    <w:bidi w:val="0"/>
                    <w:rPr>
                      <w:b/>
                      <w:bCs/>
                      <w:color w:val="auto"/>
                    </w:rPr>
                  </w:pPr>
                  <w:r>
                    <w:rPr>
                      <w:rFonts w:hint="eastAsia"/>
                      <w:b/>
                      <w:bCs/>
                      <w:color w:val="auto"/>
                    </w:rPr>
                    <w:t>监测</w:t>
                  </w:r>
                  <w:r>
                    <w:rPr>
                      <w:b/>
                      <w:bCs/>
                      <w:color w:val="auto"/>
                    </w:rPr>
                    <w:t>频次</w:t>
                  </w:r>
                </w:p>
              </w:tc>
            </w:tr>
            <w:tr w14:paraId="759625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948" w:type="pct"/>
                  <w:noWrap w:val="0"/>
                  <w:vAlign w:val="center"/>
                </w:tcPr>
                <w:p w14:paraId="26747717">
                  <w:pPr>
                    <w:pStyle w:val="28"/>
                    <w:bidi w:val="0"/>
                    <w:rPr>
                      <w:rFonts w:hint="eastAsia"/>
                      <w:color w:val="auto"/>
                      <w:lang w:val="en-US" w:eastAsia="zh-CN"/>
                    </w:rPr>
                  </w:pPr>
                  <w:r>
                    <w:rPr>
                      <w:rFonts w:hint="eastAsia"/>
                      <w:color w:val="auto"/>
                      <w:lang w:val="en-US" w:eastAsia="zh-CN"/>
                    </w:rPr>
                    <w:t>厂界(上风向1个点位、</w:t>
                  </w:r>
                </w:p>
                <w:p w14:paraId="78182502">
                  <w:pPr>
                    <w:pStyle w:val="28"/>
                    <w:bidi w:val="0"/>
                    <w:rPr>
                      <w:rFonts w:hint="eastAsia"/>
                      <w:color w:val="auto"/>
                      <w:lang w:val="en-US" w:eastAsia="zh-CN"/>
                    </w:rPr>
                  </w:pPr>
                  <w:r>
                    <w:rPr>
                      <w:rFonts w:hint="eastAsia"/>
                      <w:color w:val="auto"/>
                      <w:lang w:val="en-US" w:eastAsia="zh-CN"/>
                    </w:rPr>
                    <w:t>下风向3个点位)</w:t>
                  </w:r>
                </w:p>
              </w:tc>
              <w:tc>
                <w:tcPr>
                  <w:tcW w:w="2084" w:type="pct"/>
                  <w:noWrap w:val="0"/>
                  <w:vAlign w:val="center"/>
                </w:tcPr>
                <w:p w14:paraId="4CEA4761">
                  <w:pPr>
                    <w:pStyle w:val="28"/>
                    <w:bidi w:val="0"/>
                    <w:rPr>
                      <w:rFonts w:hint="eastAsia"/>
                      <w:color w:val="auto"/>
                      <w:lang w:val="en-US" w:eastAsia="zh-CN"/>
                    </w:rPr>
                  </w:pPr>
                  <w:r>
                    <w:rPr>
                      <w:rFonts w:hint="eastAsia"/>
                      <w:color w:val="auto"/>
                      <w:lang w:val="en-US" w:eastAsia="zh-CN"/>
                    </w:rPr>
                    <w:t>颗粒物</w:t>
                  </w:r>
                </w:p>
              </w:tc>
              <w:tc>
                <w:tcPr>
                  <w:tcW w:w="966" w:type="pct"/>
                  <w:noWrap w:val="0"/>
                  <w:vAlign w:val="center"/>
                </w:tcPr>
                <w:p w14:paraId="744DB707">
                  <w:pPr>
                    <w:pStyle w:val="28"/>
                    <w:bidi w:val="0"/>
                    <w:rPr>
                      <w:rFonts w:hint="eastAsia"/>
                      <w:color w:val="auto"/>
                      <w:lang w:val="en-US" w:eastAsia="zh-CN"/>
                    </w:rPr>
                  </w:pPr>
                  <w:r>
                    <w:rPr>
                      <w:rFonts w:hint="eastAsia"/>
                      <w:color w:val="auto"/>
                      <w:lang w:val="en-US" w:eastAsia="zh-CN"/>
                    </w:rPr>
                    <w:t>1次</w:t>
                  </w:r>
                  <w:r>
                    <w:rPr>
                      <w:color w:val="auto"/>
                    </w:rPr>
                    <w:t>/</w:t>
                  </w:r>
                  <w:r>
                    <w:rPr>
                      <w:rFonts w:hint="eastAsia"/>
                      <w:color w:val="auto"/>
                      <w:lang w:val="en-US" w:eastAsia="zh-CN"/>
                    </w:rPr>
                    <w:t>季度</w:t>
                  </w:r>
                </w:p>
              </w:tc>
            </w:tr>
            <w:tr w14:paraId="66E4E4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948" w:type="pct"/>
                  <w:noWrap w:val="0"/>
                  <w:vAlign w:val="center"/>
                </w:tcPr>
                <w:p w14:paraId="60F2A993">
                  <w:pPr>
                    <w:pStyle w:val="28"/>
                    <w:bidi w:val="0"/>
                    <w:rPr>
                      <w:rFonts w:hint="eastAsia"/>
                      <w:color w:val="auto"/>
                      <w:lang w:val="en-US" w:eastAsia="zh-CN"/>
                    </w:rPr>
                  </w:pPr>
                  <w:r>
                    <w:rPr>
                      <w:rFonts w:hint="eastAsia" w:ascii="Times New Roman" w:hAnsi="Times New Roman" w:eastAsia="宋体" w:cs="Times New Roman"/>
                      <w:color w:val="auto"/>
                      <w:lang w:val="en-US" w:eastAsia="zh-CN"/>
                    </w:rPr>
                    <w:t>石溪村</w:t>
                  </w:r>
                </w:p>
              </w:tc>
              <w:tc>
                <w:tcPr>
                  <w:tcW w:w="2084" w:type="pct"/>
                  <w:noWrap w:val="0"/>
                  <w:vAlign w:val="center"/>
                </w:tcPr>
                <w:p w14:paraId="3FB540B6">
                  <w:pPr>
                    <w:pStyle w:val="28"/>
                    <w:bidi w:val="0"/>
                    <w:rPr>
                      <w:rFonts w:hint="eastAsia"/>
                      <w:color w:val="auto"/>
                      <w:lang w:val="en-US" w:eastAsia="zh-CN"/>
                    </w:rPr>
                  </w:pPr>
                  <w:r>
                    <w:rPr>
                      <w:rFonts w:hint="eastAsia"/>
                      <w:color w:val="auto"/>
                      <w:lang w:val="en-US" w:eastAsia="zh-CN"/>
                    </w:rPr>
                    <w:t>颗粒物</w:t>
                  </w:r>
                </w:p>
              </w:tc>
              <w:tc>
                <w:tcPr>
                  <w:tcW w:w="966" w:type="pct"/>
                  <w:noWrap w:val="0"/>
                  <w:vAlign w:val="center"/>
                </w:tcPr>
                <w:p w14:paraId="4E35739D">
                  <w:pPr>
                    <w:pStyle w:val="28"/>
                    <w:bidi w:val="0"/>
                    <w:rPr>
                      <w:rFonts w:hint="eastAsia"/>
                      <w:color w:val="auto"/>
                      <w:lang w:val="en-US" w:eastAsia="zh-CN"/>
                    </w:rPr>
                  </w:pPr>
                  <w:r>
                    <w:rPr>
                      <w:rFonts w:hint="eastAsia"/>
                      <w:color w:val="auto"/>
                      <w:lang w:val="en-US" w:eastAsia="zh-CN"/>
                    </w:rPr>
                    <w:t>1次</w:t>
                  </w:r>
                  <w:r>
                    <w:rPr>
                      <w:color w:val="auto"/>
                    </w:rPr>
                    <w:t>/</w:t>
                  </w:r>
                  <w:r>
                    <w:rPr>
                      <w:rFonts w:hint="eastAsia"/>
                      <w:color w:val="auto"/>
                      <w:lang w:val="en-US" w:eastAsia="zh-CN"/>
                    </w:rPr>
                    <w:t>年</w:t>
                  </w:r>
                </w:p>
              </w:tc>
            </w:tr>
          </w:tbl>
          <w:p w14:paraId="4A2A6940">
            <w:pPr>
              <w:keepNext w:val="0"/>
              <w:keepLines w:val="0"/>
              <w:pageBreakBefore w:val="0"/>
              <w:widowControl w:val="0"/>
              <w:kinsoku/>
              <w:wordWrap/>
              <w:overflowPunct/>
              <w:topLinePunct w:val="0"/>
              <w:autoSpaceDE/>
              <w:autoSpaceDN/>
              <w:bidi w:val="0"/>
              <w:adjustRightInd/>
              <w:snapToGrid/>
              <w:spacing w:before="157" w:beforeLines="50"/>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另外建议企业在生产期间，对石溪村每年开展一次环境质量监测，若该区域TSP环境质量监测结果较现状监测结果有较大提升，本项目建设单位需进一步采取抑尘措施，加强厂区密闭和生产管理，增加喷淋频次和道路地面清扫频次，对厂区</w:t>
            </w:r>
            <w:r>
              <w:rPr>
                <w:color w:val="auto"/>
              </w:rPr>
              <w:t>产生粉尘排放的设备设施</w:t>
            </w:r>
            <w:r>
              <w:rPr>
                <w:rFonts w:hint="eastAsia"/>
                <w:color w:val="auto"/>
                <w:lang w:val="en-US" w:eastAsia="zh-CN"/>
              </w:rPr>
              <w:t>进行排查，避免非正常粉尘的排放</w:t>
            </w:r>
            <w:r>
              <w:rPr>
                <w:rFonts w:hint="eastAsia" w:ascii="Times New Roman" w:hAnsi="Times New Roman" w:eastAsia="宋体" w:cs="Times New Roman"/>
                <w:color w:val="auto"/>
                <w:lang w:val="en-US" w:eastAsia="zh-CN"/>
              </w:rPr>
              <w:t>。</w:t>
            </w:r>
          </w:p>
          <w:p w14:paraId="79316552">
            <w:pPr>
              <w:pStyle w:val="3"/>
              <w:bidi w:val="0"/>
              <w:rPr>
                <w:rFonts w:hint="default"/>
                <w:color w:val="auto"/>
              </w:rPr>
            </w:pPr>
            <w:r>
              <w:rPr>
                <w:rFonts w:hint="default"/>
                <w:color w:val="auto"/>
              </w:rPr>
              <w:t>4.</w:t>
            </w:r>
            <w:r>
              <w:rPr>
                <w:rFonts w:hint="eastAsia"/>
                <w:color w:val="auto"/>
                <w:lang w:val="en-US" w:eastAsia="zh-CN"/>
              </w:rPr>
              <w:t>3</w:t>
            </w:r>
            <w:r>
              <w:rPr>
                <w:rFonts w:hint="default"/>
                <w:color w:val="auto"/>
              </w:rPr>
              <w:t>运营期</w:t>
            </w:r>
            <w:r>
              <w:rPr>
                <w:rFonts w:hint="default"/>
                <w:color w:val="auto"/>
                <w:lang w:eastAsia="zh-CN"/>
              </w:rPr>
              <w:t>水</w:t>
            </w:r>
            <w:r>
              <w:rPr>
                <w:rFonts w:hint="default"/>
                <w:color w:val="auto"/>
              </w:rPr>
              <w:t>环境影响分析和污染防治措施</w:t>
            </w:r>
          </w:p>
          <w:p w14:paraId="337E850E">
            <w:pPr>
              <w:pStyle w:val="4"/>
              <w:bidi w:val="0"/>
              <w:rPr>
                <w:rFonts w:hint="default"/>
                <w:color w:val="auto"/>
              </w:rPr>
            </w:pPr>
            <w:r>
              <w:rPr>
                <w:rFonts w:hint="default"/>
                <w:color w:val="auto"/>
                <w:lang w:val="en-US" w:eastAsia="zh-CN"/>
              </w:rPr>
              <w:t>4.</w:t>
            </w:r>
            <w:r>
              <w:rPr>
                <w:rFonts w:hint="eastAsia"/>
                <w:color w:val="auto"/>
                <w:lang w:val="en-US" w:eastAsia="zh-CN"/>
              </w:rPr>
              <w:t>3</w:t>
            </w:r>
            <w:r>
              <w:rPr>
                <w:rFonts w:hint="default"/>
                <w:color w:val="auto"/>
                <w:lang w:val="en-US" w:eastAsia="zh-CN"/>
              </w:rPr>
              <w:t>.1</w:t>
            </w:r>
            <w:r>
              <w:rPr>
                <w:rFonts w:hint="default"/>
                <w:color w:val="auto"/>
              </w:rPr>
              <w:t>运营期</w:t>
            </w:r>
            <w:r>
              <w:rPr>
                <w:rFonts w:hint="eastAsia"/>
                <w:color w:val="auto"/>
                <w:lang w:eastAsia="zh-CN"/>
              </w:rPr>
              <w:t>废水</w:t>
            </w:r>
            <w:r>
              <w:rPr>
                <w:rFonts w:hint="default"/>
                <w:color w:val="auto"/>
              </w:rPr>
              <w:t>源强核算</w:t>
            </w:r>
          </w:p>
          <w:p w14:paraId="7D1A38E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项目运营期生产废水</w:t>
            </w:r>
            <w:r>
              <w:rPr>
                <w:rFonts w:hint="eastAsia" w:cs="Times New Roman"/>
                <w:color w:val="auto"/>
                <w:sz w:val="24"/>
                <w:szCs w:val="24"/>
                <w:highlight w:val="none"/>
                <w:lang w:val="en-US" w:eastAsia="zh-CN"/>
              </w:rPr>
              <w:t>中</w:t>
            </w:r>
            <w:r>
              <w:rPr>
                <w:rFonts w:hint="eastAsia" w:ascii="Times New Roman" w:hAnsi="Times New Roman" w:eastAsia="宋体" w:cs="Times New Roman"/>
                <w:color w:val="auto"/>
                <w:sz w:val="24"/>
                <w:szCs w:val="24"/>
                <w:highlight w:val="none"/>
                <w:lang w:val="en-US" w:eastAsia="zh-CN"/>
              </w:rPr>
              <w:t>设备清洗废水、</w:t>
            </w:r>
            <w:r>
              <w:rPr>
                <w:rFonts w:hint="eastAsia" w:cs="Times New Roman"/>
                <w:color w:val="auto"/>
                <w:sz w:val="24"/>
                <w:szCs w:val="24"/>
                <w:highlight w:val="none"/>
                <w:lang w:val="en-US" w:eastAsia="zh-CN"/>
              </w:rPr>
              <w:t>生产区</w:t>
            </w:r>
            <w:r>
              <w:rPr>
                <w:rFonts w:hint="eastAsia" w:ascii="Times New Roman" w:hAnsi="Times New Roman" w:eastAsia="宋体" w:cs="Times New Roman"/>
                <w:color w:val="auto"/>
                <w:sz w:val="24"/>
                <w:szCs w:val="24"/>
                <w:highlight w:val="none"/>
                <w:lang w:val="en-US" w:eastAsia="zh-CN"/>
              </w:rPr>
              <w:t>地面冲洗废水</w:t>
            </w:r>
            <w:r>
              <w:rPr>
                <w:rFonts w:hint="eastAsia" w:cs="Times New Roman"/>
                <w:color w:val="auto"/>
                <w:sz w:val="24"/>
                <w:szCs w:val="24"/>
                <w:highlight w:val="none"/>
                <w:lang w:val="en-US" w:eastAsia="zh-CN"/>
              </w:rPr>
              <w:t>、试验清洗废水等</w:t>
            </w:r>
            <w:r>
              <w:rPr>
                <w:rFonts w:hint="eastAsia" w:ascii="Times New Roman" w:hAnsi="Times New Roman" w:eastAsia="宋体" w:cs="Times New Roman"/>
                <w:color w:val="auto"/>
                <w:sz w:val="24"/>
                <w:szCs w:val="24"/>
                <w:highlight w:val="none"/>
                <w:lang w:val="en-US" w:eastAsia="zh-CN"/>
              </w:rPr>
              <w:t>经生产废水处理系统（斜坡沉淀</w:t>
            </w:r>
            <w:r>
              <w:rPr>
                <w:rFonts w:hint="eastAsia" w:cs="Times New Roman"/>
                <w:color w:val="auto"/>
                <w:sz w:val="24"/>
                <w:szCs w:val="24"/>
                <w:highlight w:val="none"/>
                <w:lang w:val="en-US" w:eastAsia="zh-CN"/>
              </w:rPr>
              <w:t>池</w:t>
            </w:r>
            <w:r>
              <w:rPr>
                <w:rFonts w:hint="eastAsia" w:ascii="Times New Roman" w:hAnsi="Times New Roman" w:eastAsia="宋体" w:cs="Times New Roman"/>
                <w:color w:val="auto"/>
                <w:sz w:val="24"/>
                <w:szCs w:val="24"/>
                <w:highlight w:val="none"/>
                <w:lang w:val="en-US" w:eastAsia="zh-CN"/>
              </w:rPr>
              <w:t>）处理后全部回用于生产搅拌，无外排</w:t>
            </w:r>
            <w:r>
              <w:rPr>
                <w:rFonts w:hint="eastAsia" w:cs="Times New Roman"/>
                <w:color w:val="auto"/>
                <w:sz w:val="24"/>
                <w:szCs w:val="24"/>
                <w:highlight w:val="none"/>
                <w:lang w:val="en-US" w:eastAsia="zh-CN"/>
              </w:rPr>
              <w:t>；洗车废水经洗车台配套沉淀池处理后回用于车辆冲洗，不外排；洗砂废水经加药沉淀处理后回用于洗砂工序，不外排；经收集的生产区初期雨水在雨水收集池中暂存，分批引至</w:t>
            </w:r>
            <w:r>
              <w:rPr>
                <w:rFonts w:hint="eastAsia" w:ascii="Times New Roman" w:hAnsi="Times New Roman" w:eastAsia="宋体" w:cs="Times New Roman"/>
                <w:color w:val="auto"/>
                <w:sz w:val="24"/>
                <w:szCs w:val="24"/>
                <w:highlight w:val="none"/>
                <w:lang w:val="en-US" w:eastAsia="zh-CN"/>
              </w:rPr>
              <w:t>生产废水处理系统（斜坡沉淀</w:t>
            </w:r>
            <w:r>
              <w:rPr>
                <w:rFonts w:hint="eastAsia" w:cs="Times New Roman"/>
                <w:color w:val="auto"/>
                <w:sz w:val="24"/>
                <w:szCs w:val="24"/>
                <w:highlight w:val="none"/>
                <w:lang w:val="en-US" w:eastAsia="zh-CN"/>
              </w:rPr>
              <w:t>池</w:t>
            </w:r>
            <w:r>
              <w:rPr>
                <w:rFonts w:hint="eastAsia" w:ascii="Times New Roman" w:hAnsi="Times New Roman" w:eastAsia="宋体" w:cs="Times New Roman"/>
                <w:color w:val="auto"/>
                <w:sz w:val="24"/>
                <w:szCs w:val="24"/>
                <w:highlight w:val="none"/>
                <w:lang w:val="en-US" w:eastAsia="zh-CN"/>
              </w:rPr>
              <w:t>）处理后，全部回用于</w:t>
            </w:r>
            <w:r>
              <w:rPr>
                <w:rFonts w:hint="eastAsia" w:cs="Times New Roman"/>
                <w:color w:val="auto"/>
                <w:sz w:val="24"/>
                <w:szCs w:val="24"/>
                <w:highlight w:val="none"/>
                <w:lang w:val="en-US" w:eastAsia="zh-CN"/>
              </w:rPr>
              <w:t>搅拌用水</w:t>
            </w:r>
            <w:r>
              <w:rPr>
                <w:rFonts w:hint="eastAsia" w:ascii="Times New Roman" w:hAnsi="Times New Roman" w:eastAsia="宋体" w:cs="Times New Roman"/>
                <w:color w:val="auto"/>
                <w:sz w:val="24"/>
                <w:szCs w:val="24"/>
                <w:highlight w:val="none"/>
                <w:lang w:val="en-US" w:eastAsia="zh-CN"/>
              </w:rPr>
              <w:t>，不外排。项目</w:t>
            </w:r>
            <w:r>
              <w:rPr>
                <w:rFonts w:hint="eastAsia" w:cs="Times New Roman"/>
                <w:color w:val="auto"/>
                <w:sz w:val="24"/>
                <w:szCs w:val="24"/>
                <w:highlight w:val="none"/>
                <w:lang w:val="en-US" w:eastAsia="zh-CN"/>
              </w:rPr>
              <w:t>运营期</w:t>
            </w:r>
            <w:r>
              <w:rPr>
                <w:rFonts w:hint="eastAsia"/>
                <w:color w:val="auto"/>
                <w:sz w:val="24"/>
              </w:rPr>
              <w:t>生活用水</w:t>
            </w:r>
            <w:r>
              <w:rPr>
                <w:rFonts w:hint="eastAsia"/>
                <w:color w:val="auto"/>
                <w:sz w:val="24"/>
                <w:lang w:val="en-US" w:eastAsia="zh-CN"/>
              </w:rPr>
              <w:t>将由周边市政管网</w:t>
            </w:r>
            <w:r>
              <w:rPr>
                <w:rFonts w:hint="eastAsia"/>
                <w:color w:val="auto"/>
                <w:sz w:val="24"/>
              </w:rPr>
              <w:t>生活给水系统直接供给。</w:t>
            </w:r>
          </w:p>
          <w:p w14:paraId="66812C3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根据</w:t>
            </w:r>
            <w:r>
              <w:rPr>
                <w:rFonts w:hint="eastAsia" w:cs="Times New Roman"/>
                <w:color w:val="auto"/>
                <w:sz w:val="24"/>
                <w:szCs w:val="24"/>
                <w:highlight w:val="none"/>
                <w:lang w:val="en-US" w:eastAsia="zh-CN"/>
              </w:rPr>
              <w:t>前文</w:t>
            </w:r>
            <w:r>
              <w:rPr>
                <w:rFonts w:hint="eastAsia" w:ascii="Times New Roman" w:hAnsi="Times New Roman" w:eastAsia="宋体" w:cs="Times New Roman"/>
                <w:color w:val="auto"/>
                <w:sz w:val="24"/>
                <w:szCs w:val="24"/>
                <w:highlight w:val="none"/>
                <w:lang w:val="en-US" w:eastAsia="zh-CN"/>
              </w:rPr>
              <w:t>水平衡分析可知，项目职工日常生活污水产生量约为</w:t>
            </w:r>
            <w:r>
              <w:rPr>
                <w:rFonts w:hint="eastAsia" w:cs="Times New Roman"/>
                <w:color w:val="auto"/>
                <w:sz w:val="24"/>
                <w:szCs w:val="24"/>
                <w:highlight w:val="none"/>
                <w:lang w:val="en-US" w:eastAsia="zh-CN"/>
              </w:rPr>
              <w:t>4.5</w:t>
            </w:r>
            <w:r>
              <w:rPr>
                <w:rFonts w:hint="eastAsia" w:ascii="Times New Roman" w:hAnsi="Times New Roman" w:eastAsia="宋体" w:cs="Times New Roman"/>
                <w:color w:val="auto"/>
                <w:sz w:val="24"/>
                <w:szCs w:val="24"/>
                <w:highlight w:val="none"/>
                <w:lang w:val="en-US" w:eastAsia="zh-CN"/>
              </w:rPr>
              <w:t>t/d(</w:t>
            </w:r>
            <w:r>
              <w:rPr>
                <w:rFonts w:hint="eastAsia" w:cs="Times New Roman"/>
                <w:color w:val="auto"/>
                <w:sz w:val="24"/>
                <w:szCs w:val="24"/>
                <w:highlight w:val="none"/>
                <w:lang w:val="en-US" w:eastAsia="zh-CN"/>
              </w:rPr>
              <w:t>1485</w:t>
            </w:r>
            <w:r>
              <w:rPr>
                <w:rFonts w:hint="eastAsia" w:ascii="Times New Roman" w:hAnsi="Times New Roman" w:eastAsia="宋体" w:cs="Times New Roman"/>
                <w:color w:val="auto"/>
                <w:sz w:val="24"/>
                <w:szCs w:val="24"/>
                <w:highlight w:val="none"/>
                <w:lang w:val="en-US" w:eastAsia="zh-CN"/>
              </w:rPr>
              <w:t>t/a)。参考《给排水设计手册》(第五册城镇排水)</w:t>
            </w:r>
            <w:r>
              <w:rPr>
                <w:rFonts w:hint="eastAsia" w:cs="Times New Roman"/>
                <w:color w:val="auto"/>
                <w:sz w:val="24"/>
                <w:szCs w:val="24"/>
                <w:highlight w:val="none"/>
                <w:lang w:val="en-US" w:eastAsia="zh-CN"/>
              </w:rPr>
              <w:t>中4.2城镇污水水质</w:t>
            </w:r>
            <w:r>
              <w:rPr>
                <w:rFonts w:hint="eastAsia" w:ascii="Times New Roman" w:hAnsi="Times New Roman" w:eastAsia="宋体" w:cs="Times New Roman"/>
                <w:color w:val="auto"/>
                <w:sz w:val="24"/>
                <w:szCs w:val="24"/>
                <w:highlight w:val="none"/>
                <w:lang w:val="en-US" w:eastAsia="zh-CN"/>
              </w:rPr>
              <w:t>，项目职工产生的日常生活污水中各主要污染物浓度按COD：</w:t>
            </w:r>
            <w:r>
              <w:rPr>
                <w:rFonts w:hint="eastAsia" w:cs="Times New Roman"/>
                <w:color w:val="auto"/>
                <w:sz w:val="24"/>
                <w:szCs w:val="24"/>
                <w:highlight w:val="none"/>
                <w:lang w:val="en-US" w:eastAsia="zh-CN"/>
              </w:rPr>
              <w:t>300</w:t>
            </w:r>
            <w:r>
              <w:rPr>
                <w:rFonts w:hint="eastAsia" w:ascii="Times New Roman" w:hAnsi="Times New Roman" w:eastAsia="宋体" w:cs="Times New Roman"/>
                <w:color w:val="auto"/>
                <w:sz w:val="24"/>
                <w:szCs w:val="24"/>
                <w:highlight w:val="none"/>
                <w:lang w:val="en-US" w:eastAsia="zh-CN"/>
              </w:rPr>
              <w:t>mg/L，BOD</w:t>
            </w:r>
            <w:r>
              <w:rPr>
                <w:rFonts w:hint="eastAsia" w:ascii="Times New Roman" w:hAnsi="Times New Roman" w:eastAsia="宋体" w:cs="Times New Roman"/>
                <w:color w:val="auto"/>
                <w:sz w:val="24"/>
                <w:szCs w:val="24"/>
                <w:highlight w:val="none"/>
                <w:vertAlign w:val="subscript"/>
                <w:lang w:val="en-US" w:eastAsia="zh-CN"/>
              </w:rPr>
              <w:t>5</w:t>
            </w:r>
            <w:r>
              <w:rPr>
                <w:rFonts w:hint="eastAsia" w:ascii="Times New Roman" w:hAnsi="Times New Roman" w:eastAsia="宋体" w:cs="Times New Roman"/>
                <w:color w:val="auto"/>
                <w:sz w:val="24"/>
                <w:szCs w:val="24"/>
                <w:highlight w:val="none"/>
                <w:lang w:val="en-US" w:eastAsia="zh-CN"/>
              </w:rPr>
              <w:t>：</w:t>
            </w:r>
            <w:r>
              <w:rPr>
                <w:rFonts w:hint="eastAsia" w:cs="Times New Roman"/>
                <w:color w:val="auto"/>
                <w:sz w:val="24"/>
                <w:szCs w:val="24"/>
                <w:highlight w:val="none"/>
                <w:lang w:val="en-US" w:eastAsia="zh-CN"/>
              </w:rPr>
              <w:t>150</w:t>
            </w:r>
            <w:r>
              <w:rPr>
                <w:rFonts w:hint="eastAsia" w:ascii="Times New Roman" w:hAnsi="Times New Roman" w:eastAsia="宋体" w:cs="Times New Roman"/>
                <w:color w:val="auto"/>
                <w:sz w:val="24"/>
                <w:szCs w:val="24"/>
                <w:highlight w:val="none"/>
                <w:lang w:val="en-US" w:eastAsia="zh-CN"/>
              </w:rPr>
              <w:t>mg/L，SS：2</w:t>
            </w:r>
            <w:r>
              <w:rPr>
                <w:rFonts w:hint="eastAsia" w:cs="Times New Roman"/>
                <w:color w:val="auto"/>
                <w:sz w:val="24"/>
                <w:szCs w:val="24"/>
                <w:highlight w:val="none"/>
                <w:lang w:val="en-US" w:eastAsia="zh-CN"/>
              </w:rPr>
              <w:t>0</w:t>
            </w:r>
            <w:r>
              <w:rPr>
                <w:rFonts w:hint="eastAsia" w:ascii="Times New Roman" w:hAnsi="Times New Roman" w:eastAsia="宋体" w:cs="Times New Roman"/>
                <w:color w:val="auto"/>
                <w:sz w:val="24"/>
                <w:szCs w:val="24"/>
                <w:highlight w:val="none"/>
                <w:lang w:val="en-US" w:eastAsia="zh-CN"/>
              </w:rPr>
              <w:t>0mg/L，NH</w:t>
            </w:r>
            <w:r>
              <w:rPr>
                <w:rFonts w:hint="eastAsia" w:ascii="Times New Roman" w:hAnsi="Times New Roman" w:eastAsia="宋体" w:cs="Times New Roman"/>
                <w:color w:val="auto"/>
                <w:sz w:val="24"/>
                <w:szCs w:val="24"/>
                <w:highlight w:val="none"/>
                <w:vertAlign w:val="subscript"/>
                <w:lang w:val="en-US" w:eastAsia="zh-CN"/>
              </w:rPr>
              <w:t>3</w:t>
            </w:r>
            <w:r>
              <w:rPr>
                <w:rFonts w:hint="eastAsia" w:ascii="Times New Roman" w:hAnsi="Times New Roman" w:eastAsia="宋体" w:cs="Times New Roman"/>
                <w:color w:val="auto"/>
                <w:sz w:val="24"/>
                <w:szCs w:val="24"/>
                <w:highlight w:val="none"/>
                <w:lang w:val="en-US" w:eastAsia="zh-CN"/>
              </w:rPr>
              <w:t>-N：</w:t>
            </w:r>
            <w:r>
              <w:rPr>
                <w:rFonts w:hint="eastAsia" w:cs="Times New Roman"/>
                <w:color w:val="auto"/>
                <w:sz w:val="24"/>
                <w:szCs w:val="24"/>
                <w:highlight w:val="none"/>
                <w:lang w:val="en-US" w:eastAsia="zh-CN"/>
              </w:rPr>
              <w:t>25</w:t>
            </w:r>
            <w:r>
              <w:rPr>
                <w:rFonts w:hint="eastAsia" w:ascii="Times New Roman" w:hAnsi="Times New Roman" w:eastAsia="宋体" w:cs="Times New Roman"/>
                <w:color w:val="auto"/>
                <w:sz w:val="24"/>
                <w:szCs w:val="24"/>
                <w:highlight w:val="none"/>
                <w:lang w:val="en-US" w:eastAsia="zh-CN"/>
              </w:rPr>
              <w:t>mg/L计算。</w:t>
            </w:r>
          </w:p>
          <w:p w14:paraId="77CA89C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职工日常生活污水</w:t>
            </w:r>
            <w:r>
              <w:rPr>
                <w:rFonts w:hint="eastAsia" w:cs="Times New Roman"/>
                <w:color w:val="auto"/>
                <w:sz w:val="24"/>
                <w:szCs w:val="24"/>
                <w:highlight w:val="none"/>
                <w:lang w:val="en-US" w:eastAsia="zh-CN"/>
              </w:rPr>
              <w:t>经厂区内部管线收集后</w:t>
            </w:r>
            <w:r>
              <w:rPr>
                <w:rFonts w:hint="eastAsia" w:ascii="Times New Roman" w:hAnsi="Times New Roman" w:eastAsia="宋体" w:cs="Times New Roman"/>
                <w:color w:val="auto"/>
                <w:sz w:val="24"/>
                <w:szCs w:val="24"/>
                <w:highlight w:val="none"/>
                <w:lang w:val="en-US" w:eastAsia="zh-CN"/>
              </w:rPr>
              <w:t>进入化粪池</w:t>
            </w:r>
            <w:r>
              <w:rPr>
                <w:rFonts w:hint="eastAsia" w:cs="Times New Roman"/>
                <w:color w:val="auto"/>
                <w:sz w:val="24"/>
                <w:szCs w:val="24"/>
                <w:highlight w:val="none"/>
                <w:lang w:val="en-US" w:eastAsia="zh-CN"/>
              </w:rPr>
              <w:t>处理后</w:t>
            </w:r>
            <w:r>
              <w:rPr>
                <w:rFonts w:hint="eastAsia" w:ascii="Times New Roman" w:hAnsi="Times New Roman" w:eastAsia="宋体" w:cs="Times New Roman"/>
                <w:color w:val="auto"/>
                <w:sz w:val="24"/>
                <w:szCs w:val="24"/>
                <w:highlight w:val="none"/>
                <w:lang w:val="en-US" w:eastAsia="zh-CN"/>
              </w:rPr>
              <w:t>，排入</w:t>
            </w:r>
            <w:r>
              <w:rPr>
                <w:rFonts w:hint="eastAsia" w:cs="Times New Roman"/>
                <w:color w:val="auto"/>
                <w:sz w:val="24"/>
                <w:szCs w:val="24"/>
                <w:highlight w:val="none"/>
                <w:lang w:val="en-US" w:eastAsia="zh-CN"/>
              </w:rPr>
              <w:t>拟建设的一体化污水处理设施，尾水水质达到</w:t>
            </w:r>
            <w:r>
              <w:rPr>
                <w:rFonts w:hint="eastAsia"/>
                <w:color w:val="auto"/>
                <w:sz w:val="24"/>
                <w:szCs w:val="20"/>
              </w:rPr>
              <w:t xml:space="preserve">《城市污水再生利用 </w:t>
            </w:r>
            <w:r>
              <w:rPr>
                <w:rFonts w:hint="eastAsia"/>
                <w:color w:val="auto"/>
                <w:sz w:val="24"/>
                <w:szCs w:val="20"/>
                <w:lang w:val="en-US" w:eastAsia="zh-CN"/>
              </w:rPr>
              <w:t>绿地灌溉水质</w:t>
            </w:r>
            <w:r>
              <w:rPr>
                <w:rFonts w:hint="eastAsia"/>
                <w:color w:val="auto"/>
                <w:sz w:val="24"/>
                <w:szCs w:val="20"/>
              </w:rPr>
              <w:t>》（G</w:t>
            </w:r>
            <w:r>
              <w:rPr>
                <w:color w:val="auto"/>
                <w:sz w:val="24"/>
                <w:szCs w:val="20"/>
              </w:rPr>
              <w:t>B/T</w:t>
            </w:r>
            <w:r>
              <w:rPr>
                <w:rFonts w:hint="eastAsia"/>
                <w:color w:val="auto"/>
                <w:sz w:val="24"/>
                <w:szCs w:val="20"/>
                <w:lang w:val="en-US" w:eastAsia="zh-CN"/>
              </w:rPr>
              <w:t>25499</w:t>
            </w:r>
            <w:r>
              <w:rPr>
                <w:color w:val="auto"/>
                <w:sz w:val="24"/>
                <w:szCs w:val="20"/>
              </w:rPr>
              <w:t>-20</w:t>
            </w:r>
            <w:r>
              <w:rPr>
                <w:rFonts w:hint="eastAsia"/>
                <w:color w:val="auto"/>
                <w:sz w:val="24"/>
                <w:szCs w:val="20"/>
                <w:lang w:val="en-US" w:eastAsia="zh-CN"/>
              </w:rPr>
              <w:t>10</w:t>
            </w:r>
            <w:r>
              <w:rPr>
                <w:rFonts w:hint="eastAsia"/>
                <w:color w:val="auto"/>
                <w:sz w:val="24"/>
                <w:szCs w:val="20"/>
              </w:rPr>
              <w:t>）表1</w:t>
            </w:r>
            <w:r>
              <w:rPr>
                <w:rFonts w:hint="eastAsia"/>
                <w:color w:val="auto"/>
                <w:sz w:val="24"/>
                <w:szCs w:val="20"/>
                <w:lang w:val="en-US" w:eastAsia="zh-CN"/>
              </w:rPr>
              <w:t>相关标准限值</w:t>
            </w:r>
            <w:r>
              <w:rPr>
                <w:rFonts w:hint="eastAsia"/>
                <w:color w:val="auto"/>
                <w:sz w:val="24"/>
                <w:szCs w:val="20"/>
              </w:rPr>
              <w:t>后</w:t>
            </w:r>
            <w:r>
              <w:rPr>
                <w:rFonts w:hint="eastAsia"/>
                <w:color w:val="auto"/>
                <w:sz w:val="24"/>
                <w:szCs w:val="20"/>
                <w:lang w:eastAsia="zh-CN"/>
              </w:rPr>
              <w:t>，</w:t>
            </w:r>
            <w:r>
              <w:rPr>
                <w:rFonts w:hint="eastAsia"/>
                <w:color w:val="auto"/>
                <w:sz w:val="24"/>
                <w:szCs w:val="20"/>
                <w:lang w:val="en-US" w:eastAsia="zh-CN"/>
              </w:rPr>
              <w:t>近期</w:t>
            </w:r>
            <w:r>
              <w:rPr>
                <w:rFonts w:hint="eastAsia" w:cs="Times New Roman"/>
                <w:color w:val="auto"/>
                <w:sz w:val="24"/>
                <w:szCs w:val="24"/>
                <w:highlight w:val="none"/>
                <w:lang w:val="en-US" w:eastAsia="zh-CN"/>
              </w:rPr>
              <w:t>回用于绿化浇灌用水</w:t>
            </w:r>
            <w:r>
              <w:rPr>
                <w:rFonts w:hint="eastAsia" w:ascii="Times New Roman" w:hAnsi="Times New Roman" w:eastAsia="宋体" w:cs="Times New Roman"/>
                <w:color w:val="auto"/>
                <w:sz w:val="24"/>
                <w:szCs w:val="24"/>
                <w:highlight w:val="none"/>
                <w:lang w:val="en-US" w:eastAsia="zh-CN"/>
              </w:rPr>
              <w:t>。</w:t>
            </w:r>
          </w:p>
          <w:p w14:paraId="44689F9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化粪池对COD</w:t>
            </w:r>
            <w:r>
              <w:rPr>
                <w:rFonts w:hint="eastAsia" w:ascii="Times New Roman" w:hAnsi="Times New Roman" w:eastAsia="宋体" w:cs="Times New Roman"/>
                <w:color w:val="auto"/>
                <w:sz w:val="24"/>
                <w:szCs w:val="24"/>
                <w:highlight w:val="none"/>
                <w:vertAlign w:val="subscript"/>
                <w:lang w:val="en-US" w:eastAsia="zh-CN"/>
              </w:rPr>
              <w:t>Cr</w:t>
            </w:r>
            <w:r>
              <w:rPr>
                <w:rFonts w:hint="eastAsia" w:ascii="Times New Roman" w:hAnsi="Times New Roman" w:eastAsia="宋体" w:cs="Times New Roman"/>
                <w:color w:val="auto"/>
                <w:sz w:val="24"/>
                <w:szCs w:val="24"/>
                <w:highlight w:val="none"/>
                <w:lang w:val="en-US" w:eastAsia="zh-CN"/>
              </w:rPr>
              <w:t>、BOD</w:t>
            </w:r>
            <w:r>
              <w:rPr>
                <w:rFonts w:hint="eastAsia" w:ascii="Times New Roman" w:hAnsi="Times New Roman" w:eastAsia="宋体" w:cs="Times New Roman"/>
                <w:color w:val="auto"/>
                <w:sz w:val="24"/>
                <w:szCs w:val="24"/>
                <w:highlight w:val="none"/>
                <w:vertAlign w:val="subscript"/>
                <w:lang w:val="en-US" w:eastAsia="zh-CN"/>
              </w:rPr>
              <w:t>5</w:t>
            </w:r>
            <w:r>
              <w:rPr>
                <w:rFonts w:hint="eastAsia" w:ascii="Times New Roman" w:hAnsi="Times New Roman" w:eastAsia="宋体" w:cs="Times New Roman"/>
                <w:color w:val="auto"/>
                <w:sz w:val="24"/>
                <w:szCs w:val="24"/>
                <w:highlight w:val="none"/>
                <w:lang w:val="en-US" w:eastAsia="zh-CN"/>
              </w:rPr>
              <w:t>、氨氮的去除率参照2019年4月生态环境部华南环境科学研究所发布的《第二次全国污染源普查城镇生活污染源产排污系数手册》表6-4中“四区二类区生活污水污染物产生及排放系数”，经初级处理排放系数(化粪池预处理后)去除效率分别为19.3%、12.7%、0%，SS参照原</w:t>
            </w:r>
            <w:r>
              <w:rPr>
                <w:rFonts w:hint="eastAsia" w:cs="Times New Roman"/>
                <w:color w:val="auto"/>
                <w:sz w:val="24"/>
                <w:szCs w:val="24"/>
                <w:highlight w:val="none"/>
                <w:lang w:val="en-US" w:eastAsia="zh-CN"/>
              </w:rPr>
              <w:t>生态环境局</w:t>
            </w:r>
            <w:r>
              <w:rPr>
                <w:rFonts w:hint="eastAsia" w:ascii="Times New Roman" w:hAnsi="Times New Roman" w:eastAsia="宋体" w:cs="Times New Roman"/>
                <w:color w:val="auto"/>
                <w:sz w:val="24"/>
                <w:szCs w:val="24"/>
                <w:highlight w:val="none"/>
                <w:lang w:val="en-US" w:eastAsia="zh-CN"/>
              </w:rPr>
              <w:t>发布的文件《村镇生活污染防治最佳可行技术指南(试行)》(HJ-BAT-9)中化粪池对SS的去除率为60%～70%，本评价按60%计算。</w:t>
            </w:r>
          </w:p>
          <w:p w14:paraId="1B6B9BF8">
            <w:pPr>
              <w:pStyle w:val="30"/>
              <w:rPr>
                <w:rFonts w:hint="eastAsia" w:ascii="Times New Roman" w:hAnsi="Times New Roman" w:cs="Times New Roman"/>
                <w:color w:val="auto"/>
                <w:sz w:val="24"/>
                <w:szCs w:val="24"/>
                <w:highlight w:val="none"/>
                <w:lang w:val="en-US" w:eastAsia="zh-CN"/>
              </w:rPr>
            </w:pPr>
            <w:r>
              <w:rPr>
                <w:rFonts w:hint="eastAsia"/>
                <w:color w:val="auto"/>
                <w:lang w:val="en-US" w:eastAsia="zh-CN"/>
              </w:rPr>
              <w:t>本项目拟采用的一体化生物滤池式污水处理设施对</w:t>
            </w:r>
            <w:r>
              <w:rPr>
                <w:rFonts w:hint="eastAsia" w:ascii="Times New Roman" w:hAnsi="Times New Roman" w:eastAsia="宋体" w:cs="Times New Roman"/>
                <w:color w:val="auto"/>
                <w:sz w:val="24"/>
                <w:szCs w:val="24"/>
                <w:highlight w:val="none"/>
                <w:lang w:val="en-US" w:eastAsia="zh-CN"/>
              </w:rPr>
              <w:t>COD</w:t>
            </w:r>
            <w:r>
              <w:rPr>
                <w:rFonts w:hint="eastAsia" w:ascii="Times New Roman" w:hAnsi="Times New Roman" w:eastAsia="宋体" w:cs="Times New Roman"/>
                <w:color w:val="auto"/>
                <w:sz w:val="24"/>
                <w:szCs w:val="24"/>
                <w:highlight w:val="none"/>
                <w:vertAlign w:val="subscript"/>
                <w:lang w:val="en-US" w:eastAsia="zh-CN"/>
              </w:rPr>
              <w:t>Cr</w:t>
            </w:r>
            <w:r>
              <w:rPr>
                <w:rFonts w:hint="eastAsia" w:ascii="Times New Roman" w:hAnsi="Times New Roman" w:eastAsia="宋体" w:cs="Times New Roman"/>
                <w:color w:val="auto"/>
                <w:sz w:val="24"/>
                <w:szCs w:val="24"/>
                <w:highlight w:val="none"/>
                <w:lang w:val="en-US" w:eastAsia="zh-CN"/>
              </w:rPr>
              <w:t>、BOD</w:t>
            </w:r>
            <w:r>
              <w:rPr>
                <w:rFonts w:hint="eastAsia" w:ascii="Times New Roman" w:hAnsi="Times New Roman" w:eastAsia="宋体" w:cs="Times New Roman"/>
                <w:color w:val="auto"/>
                <w:sz w:val="24"/>
                <w:szCs w:val="24"/>
                <w:highlight w:val="none"/>
                <w:vertAlign w:val="subscript"/>
                <w:lang w:val="en-US" w:eastAsia="zh-CN"/>
              </w:rPr>
              <w:t>5</w:t>
            </w:r>
            <w:r>
              <w:rPr>
                <w:rFonts w:hint="eastAsia" w:ascii="Times New Roman" w:hAnsi="Times New Roman" w:eastAsia="宋体" w:cs="Times New Roman"/>
                <w:color w:val="auto"/>
                <w:sz w:val="24"/>
                <w:szCs w:val="24"/>
                <w:highlight w:val="none"/>
                <w:lang w:val="en-US" w:eastAsia="zh-CN"/>
              </w:rPr>
              <w:t>、氨氮</w:t>
            </w:r>
            <w:r>
              <w:rPr>
                <w:rFonts w:hint="eastAsia" w:ascii="Times New Roman" w:hAnsi="Times New Roman" w:cs="Times New Roman"/>
                <w:color w:val="auto"/>
                <w:sz w:val="24"/>
                <w:szCs w:val="24"/>
                <w:highlight w:val="none"/>
                <w:lang w:val="en-US" w:eastAsia="zh-CN"/>
              </w:rPr>
              <w:t>和SS的去除效率参照《生物滤池法污水处理工程技术规范》（HJ2014-2012）中“表1 生物滤池污水处理工艺污染物一般去除率”，经一体化</w:t>
            </w:r>
            <w:r>
              <w:rPr>
                <w:rFonts w:hint="eastAsia"/>
                <w:color w:val="auto"/>
                <w:lang w:val="en-US" w:eastAsia="zh-CN"/>
              </w:rPr>
              <w:t>生物滤池式污水处理设施处理的</w:t>
            </w:r>
            <w:r>
              <w:rPr>
                <w:rFonts w:hint="eastAsia" w:ascii="Times New Roman" w:hAnsi="Times New Roman" w:eastAsia="宋体" w:cs="Times New Roman"/>
                <w:color w:val="auto"/>
                <w:sz w:val="24"/>
                <w:szCs w:val="24"/>
                <w:highlight w:val="none"/>
                <w:lang w:val="en-US" w:eastAsia="zh-CN"/>
              </w:rPr>
              <w:t>COD</w:t>
            </w:r>
            <w:r>
              <w:rPr>
                <w:rFonts w:hint="eastAsia" w:ascii="Times New Roman" w:hAnsi="Times New Roman" w:eastAsia="宋体" w:cs="Times New Roman"/>
                <w:color w:val="auto"/>
                <w:sz w:val="24"/>
                <w:szCs w:val="24"/>
                <w:highlight w:val="none"/>
                <w:vertAlign w:val="subscript"/>
                <w:lang w:val="en-US" w:eastAsia="zh-CN"/>
              </w:rPr>
              <w:t>Cr</w:t>
            </w:r>
            <w:r>
              <w:rPr>
                <w:rFonts w:hint="eastAsia" w:ascii="Times New Roman" w:hAnsi="Times New Roman" w:eastAsia="宋体" w:cs="Times New Roman"/>
                <w:color w:val="auto"/>
                <w:sz w:val="24"/>
                <w:szCs w:val="24"/>
                <w:highlight w:val="none"/>
                <w:lang w:val="en-US" w:eastAsia="zh-CN"/>
              </w:rPr>
              <w:t>、BOD</w:t>
            </w:r>
            <w:r>
              <w:rPr>
                <w:rFonts w:hint="eastAsia" w:ascii="Times New Roman" w:hAnsi="Times New Roman" w:eastAsia="宋体" w:cs="Times New Roman"/>
                <w:color w:val="auto"/>
                <w:sz w:val="24"/>
                <w:szCs w:val="24"/>
                <w:highlight w:val="none"/>
                <w:vertAlign w:val="subscript"/>
                <w:lang w:val="en-US" w:eastAsia="zh-CN"/>
              </w:rPr>
              <w:t>5</w:t>
            </w:r>
            <w:r>
              <w:rPr>
                <w:rFonts w:hint="eastAsia" w:ascii="Times New Roman" w:hAnsi="Times New Roman" w:eastAsia="宋体" w:cs="Times New Roman"/>
                <w:color w:val="auto"/>
                <w:sz w:val="24"/>
                <w:szCs w:val="24"/>
                <w:highlight w:val="none"/>
                <w:lang w:val="en-US" w:eastAsia="zh-CN"/>
              </w:rPr>
              <w:t>、氨氮</w:t>
            </w:r>
            <w:r>
              <w:rPr>
                <w:rFonts w:hint="eastAsia" w:ascii="Times New Roman" w:hAnsi="Times New Roman" w:cs="Times New Roman"/>
                <w:color w:val="auto"/>
                <w:sz w:val="24"/>
                <w:szCs w:val="24"/>
                <w:highlight w:val="none"/>
                <w:lang w:val="en-US" w:eastAsia="zh-CN"/>
              </w:rPr>
              <w:t>和SS的去除率取值分别为：90%、95%、85%、90%。</w:t>
            </w:r>
          </w:p>
          <w:p w14:paraId="677291C3">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color w:val="auto"/>
                <w:sz w:val="24"/>
                <w:szCs w:val="24"/>
              </w:rPr>
            </w:pPr>
            <w:r>
              <w:rPr>
                <w:rFonts w:hint="default"/>
                <w:color w:val="auto"/>
                <w:sz w:val="24"/>
                <w:szCs w:val="24"/>
              </w:rPr>
              <w:t>项目生活污水各污染物</w:t>
            </w:r>
            <w:r>
              <w:rPr>
                <w:rFonts w:hint="eastAsia"/>
                <w:color w:val="auto"/>
                <w:sz w:val="24"/>
                <w:szCs w:val="24"/>
                <w:lang w:eastAsia="zh-CN"/>
              </w:rPr>
              <w:t>产生及排放</w:t>
            </w:r>
            <w:r>
              <w:rPr>
                <w:rFonts w:hint="default"/>
                <w:color w:val="auto"/>
                <w:sz w:val="24"/>
                <w:szCs w:val="24"/>
              </w:rPr>
              <w:t>源强情况见表</w:t>
            </w:r>
            <w:r>
              <w:rPr>
                <w:rFonts w:hint="eastAsia"/>
                <w:color w:val="auto"/>
                <w:sz w:val="24"/>
                <w:szCs w:val="24"/>
                <w:lang w:val="en-US" w:eastAsia="zh-CN"/>
              </w:rPr>
              <w:t>4.3-1</w:t>
            </w:r>
            <w:r>
              <w:rPr>
                <w:rFonts w:hint="default"/>
                <w:color w:val="auto"/>
                <w:sz w:val="24"/>
                <w:szCs w:val="24"/>
              </w:rPr>
              <w:t>。</w:t>
            </w:r>
          </w:p>
          <w:p w14:paraId="591B0CBB">
            <w:pPr>
              <w:pStyle w:val="33"/>
              <w:bidi w:val="0"/>
              <w:rPr>
                <w:color w:val="auto"/>
                <w:sz w:val="24"/>
                <w:szCs w:val="24"/>
              </w:rPr>
            </w:pPr>
            <w:r>
              <w:rPr>
                <w:color w:val="auto"/>
                <w:sz w:val="24"/>
                <w:szCs w:val="24"/>
              </w:rPr>
              <w:t>表</w:t>
            </w:r>
            <w:r>
              <w:rPr>
                <w:rFonts w:hint="eastAsia"/>
                <w:color w:val="auto"/>
                <w:sz w:val="24"/>
                <w:szCs w:val="24"/>
                <w:lang w:val="en-US" w:eastAsia="zh-CN"/>
              </w:rPr>
              <w:t xml:space="preserve">4.3-1 </w:t>
            </w:r>
            <w:r>
              <w:rPr>
                <w:rFonts w:hint="eastAsia"/>
                <w:color w:val="auto"/>
                <w:sz w:val="24"/>
                <w:szCs w:val="24"/>
              </w:rPr>
              <w:t>项目生活污水产排</w:t>
            </w:r>
            <w:r>
              <w:rPr>
                <w:color w:val="auto"/>
                <w:sz w:val="24"/>
                <w:szCs w:val="24"/>
              </w:rPr>
              <w:t>情况表</w:t>
            </w:r>
          </w:p>
          <w:p w14:paraId="19E34A88">
            <w:pPr>
              <w:keepNext w:val="0"/>
              <w:keepLines w:val="0"/>
              <w:pageBreakBefore w:val="0"/>
              <w:widowControl w:val="0"/>
              <w:kinsoku/>
              <w:wordWrap/>
              <w:overflowPunct/>
              <w:topLinePunct w:val="0"/>
              <w:autoSpaceDE/>
              <w:autoSpaceDN/>
              <w:bidi w:val="0"/>
              <w:adjustRightInd/>
              <w:snapToGrid/>
              <w:spacing w:before="157" w:beforeLines="50"/>
              <w:textAlignment w:val="auto"/>
              <w:rPr>
                <w:rFonts w:hint="eastAsia"/>
                <w:color w:val="auto"/>
                <w:lang w:val="en-US" w:eastAsia="zh-CN"/>
              </w:rPr>
            </w:pPr>
            <w:r>
              <w:rPr>
                <w:rFonts w:hint="eastAsia"/>
                <w:color w:val="auto"/>
                <w:lang w:val="en-US" w:eastAsia="zh-CN"/>
              </w:rPr>
              <w:t>根据上表可知，项目职工日常生活污水进入</w:t>
            </w:r>
            <w:r>
              <w:rPr>
                <w:rFonts w:hint="eastAsia"/>
                <w:color w:val="auto"/>
                <w:highlight w:val="none"/>
                <w:lang w:val="en-US" w:eastAsia="zh-CN"/>
              </w:rPr>
              <w:t>厂区拟建化粪池+一体化污水设施处理后</w:t>
            </w:r>
            <w:r>
              <w:rPr>
                <w:rFonts w:hint="eastAsia"/>
                <w:color w:val="auto"/>
                <w:lang w:val="en-US" w:eastAsia="zh-CN"/>
              </w:rPr>
              <w:t>，尾水水质可符合</w:t>
            </w:r>
            <w:r>
              <w:rPr>
                <w:rFonts w:hint="eastAsia"/>
                <w:color w:val="auto"/>
                <w:lang w:val="en-GB" w:eastAsia="zh-CN"/>
              </w:rPr>
              <w:t>《城市污水再生利用 绿地灌溉水质》（GB/T25499-2010）</w:t>
            </w:r>
            <w:r>
              <w:rPr>
                <w:rFonts w:hint="eastAsia"/>
                <w:color w:val="auto"/>
                <w:lang w:val="en-US" w:eastAsia="zh-CN"/>
              </w:rPr>
              <w:t>相关水质要求。</w:t>
            </w:r>
          </w:p>
          <w:p w14:paraId="112176C2">
            <w:pPr>
              <w:pStyle w:val="4"/>
              <w:keepNext w:val="0"/>
              <w:keepLines w:val="0"/>
              <w:pageBreakBefore w:val="0"/>
              <w:widowControl w:val="0"/>
              <w:kinsoku/>
              <w:wordWrap/>
              <w:overflowPunct/>
              <w:topLinePunct w:val="0"/>
              <w:autoSpaceDE/>
              <w:autoSpaceDN/>
              <w:bidi w:val="0"/>
              <w:adjustRightInd/>
              <w:snapToGrid/>
              <w:spacing w:before="157" w:beforeLines="50" w:line="360" w:lineRule="auto"/>
              <w:textAlignment w:val="auto"/>
              <w:rPr>
                <w:rFonts w:hint="default" w:ascii="Times New Roman" w:hAnsi="Times New Roman" w:eastAsia="宋体" w:cs="Times New Roman"/>
                <w:b/>
                <w:color w:val="auto"/>
                <w:sz w:val="24"/>
                <w:lang w:val="en-US" w:eastAsia="zh-CN"/>
              </w:rPr>
            </w:pPr>
            <w:r>
              <w:rPr>
                <w:rFonts w:hint="default" w:ascii="Times New Roman" w:hAnsi="Times New Roman" w:eastAsia="宋体" w:cs="Times New Roman"/>
                <w:b/>
                <w:color w:val="auto"/>
                <w:sz w:val="24"/>
                <w:lang w:val="en-US" w:eastAsia="zh-CN"/>
              </w:rPr>
              <w:t>4.</w:t>
            </w:r>
            <w:r>
              <w:rPr>
                <w:rFonts w:hint="eastAsia" w:ascii="Times New Roman" w:hAnsi="Times New Roman" w:eastAsia="宋体" w:cs="Times New Roman"/>
                <w:b/>
                <w:color w:val="auto"/>
                <w:sz w:val="24"/>
                <w:lang w:val="en-US" w:eastAsia="zh-CN"/>
              </w:rPr>
              <w:t>3</w:t>
            </w:r>
            <w:r>
              <w:rPr>
                <w:rFonts w:hint="default" w:ascii="Times New Roman" w:hAnsi="Times New Roman" w:eastAsia="宋体" w:cs="Times New Roman"/>
                <w:b/>
                <w:color w:val="auto"/>
                <w:sz w:val="24"/>
                <w:lang w:val="en-US" w:eastAsia="zh-CN"/>
              </w:rPr>
              <w:t>.2运营期水环境影响及污染防治措施可行性分析</w:t>
            </w:r>
          </w:p>
          <w:p w14:paraId="37D7D8E1">
            <w:pPr>
              <w:pStyle w:val="4"/>
              <w:keepNext w:val="0"/>
              <w:keepLines w:val="0"/>
              <w:spacing w:line="360" w:lineRule="auto"/>
              <w:rPr>
                <w:rFonts w:hint="default" w:ascii="Times New Roman" w:hAnsi="Times New Roman" w:eastAsia="宋体"/>
                <w:b/>
                <w:bCs/>
                <w:color w:val="auto"/>
                <w:sz w:val="24"/>
                <w:szCs w:val="24"/>
                <w:lang w:val="en-US" w:eastAsia="zh-CN"/>
              </w:rPr>
            </w:pPr>
            <w:r>
              <w:rPr>
                <w:rFonts w:hint="eastAsia" w:ascii="Times New Roman" w:hAnsi="Times New Roman" w:eastAsia="宋体" w:cs="Times New Roman"/>
                <w:b/>
                <w:color w:val="auto"/>
                <w:sz w:val="24"/>
              </w:rPr>
              <w:t>4.</w:t>
            </w:r>
            <w:r>
              <w:rPr>
                <w:rFonts w:hint="eastAsia" w:ascii="Times New Roman" w:hAnsi="Times New Roman" w:eastAsia="宋体" w:cs="Times New Roman"/>
                <w:b/>
                <w:color w:val="auto"/>
                <w:sz w:val="24"/>
                <w:lang w:val="en-US" w:eastAsia="zh-CN"/>
              </w:rPr>
              <w:t>3</w:t>
            </w:r>
            <w:r>
              <w:rPr>
                <w:rFonts w:hint="eastAsia" w:ascii="Times New Roman" w:hAnsi="Times New Roman" w:eastAsia="宋体" w:cs="Times New Roman"/>
                <w:b/>
                <w:color w:val="auto"/>
                <w:sz w:val="24"/>
              </w:rPr>
              <w:t>.2.</w:t>
            </w:r>
            <w:r>
              <w:rPr>
                <w:rFonts w:hint="eastAsia" w:cs="Times New Roman"/>
                <w:b/>
                <w:color w:val="auto"/>
                <w:sz w:val="24"/>
                <w:lang w:val="en-US" w:eastAsia="zh-CN"/>
              </w:rPr>
              <w:t>1</w:t>
            </w:r>
            <w:r>
              <w:rPr>
                <w:rFonts w:hint="eastAsia" w:ascii="Times New Roman" w:hAnsi="Times New Roman" w:eastAsia="宋体" w:cs="Times New Roman"/>
                <w:b/>
                <w:color w:val="auto"/>
                <w:sz w:val="24"/>
                <w:lang w:val="en-US" w:eastAsia="zh-CN"/>
              </w:rPr>
              <w:t xml:space="preserve"> 生活污水</w:t>
            </w:r>
            <w:r>
              <w:rPr>
                <w:rFonts w:hint="eastAsia" w:cs="Times New Roman"/>
                <w:b/>
                <w:color w:val="auto"/>
                <w:sz w:val="24"/>
                <w:lang w:val="en-US" w:eastAsia="zh-CN"/>
              </w:rPr>
              <w:t>处理</w:t>
            </w:r>
            <w:r>
              <w:rPr>
                <w:rFonts w:hint="eastAsia" w:ascii="Times New Roman" w:hAnsi="Times New Roman" w:eastAsia="宋体" w:cs="Times New Roman"/>
                <w:b/>
                <w:color w:val="auto"/>
                <w:sz w:val="24"/>
                <w:lang w:val="en-US" w:eastAsia="zh-CN"/>
              </w:rPr>
              <w:t>可行性分析</w:t>
            </w:r>
          </w:p>
          <w:p w14:paraId="16CFD0FE">
            <w:pPr>
              <w:bidi w:val="0"/>
              <w:rPr>
                <w:rFonts w:hint="eastAsia"/>
                <w:color w:val="auto"/>
                <w:sz w:val="24"/>
                <w:szCs w:val="24"/>
                <w:lang w:val="en-US" w:eastAsia="zh-CN"/>
              </w:rPr>
            </w:pPr>
            <w:r>
              <w:rPr>
                <w:rFonts w:hint="eastAsia"/>
                <w:color w:val="auto"/>
                <w:sz w:val="24"/>
                <w:szCs w:val="24"/>
                <w:lang w:val="en-US" w:eastAsia="zh-CN"/>
              </w:rPr>
              <w:t>据了解，项目周围现状尚未铺设市政污水管网，企业拟自建生活污水处理设施处理生活污水，工艺采用化粪池+一体化生活污水处理设施（</w:t>
            </w:r>
            <w:r>
              <w:rPr>
                <w:rFonts w:hint="eastAsia" w:ascii="Times New Roman" w:hAnsi="Times New Roman" w:cs="Times New Roman"/>
                <w:color w:val="auto"/>
                <w:sz w:val="24"/>
                <w:szCs w:val="24"/>
                <w:highlight w:val="none"/>
                <w:lang w:val="en-US" w:eastAsia="zh-CN"/>
              </w:rPr>
              <w:t>生物滤池法</w:t>
            </w:r>
            <w:r>
              <w:rPr>
                <w:rFonts w:hint="eastAsia"/>
                <w:color w:val="auto"/>
                <w:sz w:val="24"/>
                <w:szCs w:val="24"/>
                <w:lang w:val="en-US" w:eastAsia="zh-CN"/>
              </w:rPr>
              <w:t>），化粪池容积100m</w:t>
            </w:r>
            <w:r>
              <w:rPr>
                <w:rFonts w:hint="eastAsia"/>
                <w:color w:val="auto"/>
                <w:sz w:val="24"/>
                <w:szCs w:val="24"/>
                <w:vertAlign w:val="superscript"/>
                <w:lang w:val="en-US" w:eastAsia="zh-CN"/>
              </w:rPr>
              <w:t>3</w:t>
            </w:r>
            <w:r>
              <w:rPr>
                <w:rFonts w:hint="eastAsia"/>
                <w:color w:val="auto"/>
                <w:sz w:val="24"/>
                <w:szCs w:val="24"/>
                <w:lang w:val="en-US" w:eastAsia="zh-CN"/>
              </w:rPr>
              <w:t>，一体化污水处理设施处理能力7.5t/d。下述针对项目生活污水作为厂区绿化浇灌消纳的可行性进行简要分析。</w:t>
            </w:r>
          </w:p>
          <w:p w14:paraId="63E7B162">
            <w:pPr>
              <w:bidi w:val="0"/>
              <w:rPr>
                <w:rFonts w:hint="eastAsia"/>
                <w:b/>
                <w:bCs/>
                <w:color w:val="auto"/>
                <w:lang w:val="en-US" w:eastAsia="zh-CN"/>
              </w:rPr>
            </w:pPr>
            <w:r>
              <w:rPr>
                <w:rFonts w:hint="eastAsia"/>
                <w:b/>
                <w:bCs/>
                <w:color w:val="auto"/>
                <w:lang w:val="en-US" w:eastAsia="zh-CN"/>
              </w:rPr>
              <w:t>①水质的可行性分析</w:t>
            </w:r>
          </w:p>
          <w:p w14:paraId="55BED19B">
            <w:pPr>
              <w:bidi w:val="0"/>
              <w:rPr>
                <w:rFonts w:hint="eastAsia"/>
                <w:color w:val="auto"/>
                <w:lang w:val="en-US" w:eastAsia="zh-CN"/>
              </w:rPr>
            </w:pPr>
            <w:r>
              <w:rPr>
                <w:rFonts w:hint="eastAsia"/>
                <w:color w:val="auto"/>
                <w:lang w:val="en-US" w:eastAsia="zh-CN"/>
              </w:rPr>
              <w:t>根据上述分析，项目职工生活污水处理后排放量为4.5t/d（1485t/a），职工生活污水经化粪池+地埋式一体化污水处理设施处理后，主要污染物浓度为CODcr：24.21mg/L、BOD</w:t>
            </w:r>
            <w:r>
              <w:rPr>
                <w:rFonts w:hint="eastAsia"/>
                <w:color w:val="auto"/>
                <w:vertAlign w:val="subscript"/>
                <w:lang w:val="en-US" w:eastAsia="zh-CN"/>
              </w:rPr>
              <w:t>5</w:t>
            </w:r>
            <w:r>
              <w:rPr>
                <w:rFonts w:hint="eastAsia"/>
                <w:color w:val="auto"/>
                <w:lang w:val="en-US" w:eastAsia="zh-CN"/>
              </w:rPr>
              <w:t>：6.55mg/L、SS：8mg/L、氨氮：3.75mg/L，可满足</w:t>
            </w:r>
            <w:r>
              <w:rPr>
                <w:rFonts w:hint="eastAsia"/>
                <w:color w:val="auto"/>
                <w:lang w:val="en-GB" w:eastAsia="zh-CN"/>
              </w:rPr>
              <w:t>《城市污水再生利用 绿地灌溉水质》（GB/T25499-2010）</w:t>
            </w:r>
            <w:r>
              <w:rPr>
                <w:rFonts w:hint="eastAsia"/>
                <w:color w:val="auto"/>
                <w:lang w:val="en-US" w:eastAsia="zh-CN"/>
              </w:rPr>
              <w:t>相关水质要求，因此，生活污水用于厂区绿化可行。</w:t>
            </w:r>
          </w:p>
          <w:p w14:paraId="43397B26">
            <w:pPr>
              <w:bidi w:val="0"/>
              <w:rPr>
                <w:rFonts w:hint="eastAsia"/>
                <w:b/>
                <w:bCs/>
                <w:color w:val="auto"/>
                <w:lang w:val="en-US" w:eastAsia="zh-CN"/>
              </w:rPr>
            </w:pPr>
            <w:r>
              <w:rPr>
                <w:rFonts w:hint="eastAsia"/>
                <w:b/>
                <w:bCs/>
                <w:color w:val="auto"/>
                <w:lang w:val="en-US" w:eastAsia="zh-CN"/>
              </w:rPr>
              <w:t>②水量的可行性分析</w:t>
            </w:r>
          </w:p>
          <w:p w14:paraId="556AD2DF">
            <w:pPr>
              <w:bidi w:val="0"/>
              <w:rPr>
                <w:rFonts w:hint="eastAsia"/>
                <w:color w:val="auto"/>
                <w:lang w:val="en-US" w:eastAsia="zh-CN"/>
              </w:rPr>
            </w:pPr>
            <w:r>
              <w:rPr>
                <w:rFonts w:hint="eastAsia"/>
                <w:color w:val="auto"/>
                <w:lang w:val="en-US" w:eastAsia="zh-CN"/>
              </w:rPr>
              <w:t>根据企业提供资料，项目的绿地面积为3666m</w:t>
            </w:r>
            <w:r>
              <w:rPr>
                <w:rFonts w:hint="eastAsia"/>
                <w:color w:val="auto"/>
                <w:vertAlign w:val="superscript"/>
                <w:lang w:val="en-US" w:eastAsia="zh-CN"/>
              </w:rPr>
              <w:t>2</w:t>
            </w:r>
            <w:r>
              <w:rPr>
                <w:rFonts w:hint="eastAsia"/>
                <w:color w:val="auto"/>
                <w:lang w:val="en-US" w:eastAsia="zh-CN"/>
              </w:rPr>
              <w:t>，根据前文水平衡相关章节的计算，本项目绿化用水量为1539.72m</w:t>
            </w:r>
            <w:r>
              <w:rPr>
                <w:rFonts w:hint="eastAsia"/>
                <w:color w:val="auto"/>
                <w:vertAlign w:val="superscript"/>
                <w:lang w:val="en-US" w:eastAsia="zh-CN"/>
              </w:rPr>
              <w:t>3</w:t>
            </w:r>
            <w:r>
              <w:rPr>
                <w:rFonts w:hint="eastAsia"/>
                <w:color w:val="auto"/>
                <w:lang w:val="en-US" w:eastAsia="zh-CN"/>
              </w:rPr>
              <w:t>/a。由上述可知，项目生活污水的产生量为1485m</w:t>
            </w:r>
            <w:r>
              <w:rPr>
                <w:rFonts w:hint="eastAsia"/>
                <w:color w:val="auto"/>
                <w:vertAlign w:val="superscript"/>
                <w:lang w:val="en-US" w:eastAsia="zh-CN"/>
              </w:rPr>
              <w:t>3</w:t>
            </w:r>
            <w:r>
              <w:rPr>
                <w:rFonts w:hint="eastAsia"/>
                <w:color w:val="auto"/>
                <w:lang w:val="en-US" w:eastAsia="zh-CN"/>
              </w:rPr>
              <w:t>/a，因此项目生活污水由厂区绿化消纳，每年仅需补充部分新鲜水54.72m</w:t>
            </w:r>
            <w:r>
              <w:rPr>
                <w:rFonts w:hint="eastAsia"/>
                <w:color w:val="auto"/>
                <w:vertAlign w:val="superscript"/>
                <w:lang w:val="en-US" w:eastAsia="zh-CN"/>
              </w:rPr>
              <w:t>3</w:t>
            </w:r>
            <w:r>
              <w:rPr>
                <w:rFonts w:hint="eastAsia"/>
                <w:color w:val="auto"/>
                <w:lang w:val="en-US" w:eastAsia="zh-CN"/>
              </w:rPr>
              <w:t>/a用于绿化浇灌用水缺额部分，因此厂区绿化浇灌用水可以</w:t>
            </w:r>
            <w:r>
              <w:rPr>
                <w:rFonts w:hint="eastAsia" w:ascii="Times New Roman" w:hAnsi="Times New Roman" w:eastAsia="宋体"/>
                <w:color w:val="auto"/>
                <w:sz w:val="24"/>
                <w:szCs w:val="24"/>
                <w:lang w:val="en-US" w:eastAsia="zh-CN"/>
              </w:rPr>
              <w:t>完全消纳</w:t>
            </w:r>
            <w:r>
              <w:rPr>
                <w:rFonts w:hint="eastAsia"/>
                <w:color w:val="auto"/>
                <w:sz w:val="24"/>
                <w:szCs w:val="24"/>
                <w:lang w:val="en-US" w:eastAsia="zh-CN"/>
              </w:rPr>
              <w:t>经处理后的生活废水</w:t>
            </w:r>
            <w:r>
              <w:rPr>
                <w:rFonts w:hint="eastAsia"/>
                <w:color w:val="auto"/>
                <w:lang w:val="en-US" w:eastAsia="zh-CN"/>
              </w:rPr>
              <w:t>。</w:t>
            </w:r>
          </w:p>
          <w:p w14:paraId="6686C639">
            <w:pPr>
              <w:bidi w:val="0"/>
              <w:rPr>
                <w:rFonts w:hint="eastAsia"/>
                <w:b/>
                <w:bCs/>
                <w:color w:val="auto"/>
                <w:lang w:val="en-US" w:eastAsia="zh-CN"/>
              </w:rPr>
            </w:pPr>
            <w:r>
              <w:rPr>
                <w:rFonts w:hint="eastAsia"/>
                <w:b/>
                <w:bCs/>
                <w:color w:val="auto"/>
                <w:lang w:val="en-US" w:eastAsia="zh-CN"/>
              </w:rPr>
              <w:t>③降雨期间废水储存的可行性分析</w:t>
            </w:r>
          </w:p>
          <w:p w14:paraId="7249953E">
            <w:pPr>
              <w:bidi w:val="0"/>
              <w:rPr>
                <w:rFonts w:hint="eastAsia"/>
                <w:color w:val="auto"/>
                <w:lang w:val="en-US" w:eastAsia="zh-CN"/>
              </w:rPr>
            </w:pPr>
            <w:r>
              <w:rPr>
                <w:rFonts w:hint="eastAsia"/>
                <w:color w:val="auto"/>
                <w:lang w:val="en-US" w:eastAsia="zh-CN"/>
              </w:rPr>
              <w:t>若碰到梅雨季，厂区内的绿化灌溉次数减少，根据多年气象资料显示，福清地区4月～5月为梅雨季，基本上5天需要灌溉一次；因此项目需要建设一个大于36.65m</w:t>
            </w:r>
            <w:r>
              <w:rPr>
                <w:rFonts w:hint="eastAsia"/>
                <w:color w:val="auto"/>
                <w:vertAlign w:val="superscript"/>
                <w:lang w:val="en-US" w:eastAsia="zh-CN"/>
              </w:rPr>
              <w:t>3</w:t>
            </w:r>
            <w:r>
              <w:rPr>
                <w:rFonts w:hint="eastAsia"/>
                <w:color w:val="auto"/>
                <w:lang w:val="en-US" w:eastAsia="zh-CN"/>
              </w:rPr>
              <w:t>的储存池。根据企业提供资料可知，项目拟设置的</w:t>
            </w:r>
            <w:r>
              <w:rPr>
                <w:rFonts w:hint="eastAsia"/>
                <w:color w:val="auto"/>
                <w:sz w:val="24"/>
                <w:szCs w:val="24"/>
                <w:lang w:val="en-US" w:eastAsia="zh-CN"/>
              </w:rPr>
              <w:t>化粪池容积100m</w:t>
            </w:r>
            <w:r>
              <w:rPr>
                <w:rFonts w:hint="eastAsia"/>
                <w:color w:val="auto"/>
                <w:sz w:val="24"/>
                <w:szCs w:val="24"/>
                <w:vertAlign w:val="superscript"/>
                <w:lang w:val="en-US" w:eastAsia="zh-CN"/>
              </w:rPr>
              <w:t>3</w:t>
            </w:r>
            <w:r>
              <w:rPr>
                <w:rFonts w:hint="eastAsia"/>
                <w:color w:val="auto"/>
                <w:sz w:val="24"/>
                <w:szCs w:val="24"/>
                <w:lang w:val="en-US" w:eastAsia="zh-CN"/>
              </w:rPr>
              <w:t>，可满足雨季的生活污水储存</w:t>
            </w:r>
            <w:r>
              <w:rPr>
                <w:rFonts w:hint="eastAsia"/>
                <w:color w:val="auto"/>
                <w:lang w:val="en-US" w:eastAsia="zh-CN"/>
              </w:rPr>
              <w:t>。</w:t>
            </w:r>
          </w:p>
          <w:p w14:paraId="6AF80AFE">
            <w:pPr>
              <w:bidi w:val="0"/>
              <w:rPr>
                <w:rFonts w:hint="eastAsia"/>
                <w:color w:val="auto"/>
                <w:lang w:val="en-US" w:eastAsia="zh-CN"/>
              </w:rPr>
            </w:pPr>
            <w:r>
              <w:rPr>
                <w:rFonts w:hint="eastAsia"/>
                <w:color w:val="auto"/>
                <w:lang w:val="en-US" w:eastAsia="zh-CN"/>
              </w:rPr>
              <w:t>项目拟设置化粪池+一体化污水处理设施用于生活污水的处理，一体化污水处理设施采用工艺为生物接触氧化工艺。该设备埋设于地表以下，设备上面的地表可作为绿化或其他用地，不需要建房及采暖、保温。处理工艺采用推流式二级生物接触氧化，其处理效果优于完全混合式或二级串联完全混合式生物接触氧化池。并比活性污泥池体积小，对水质的适应性强，耐冲击负荷性能好，出水水质稳定，不会产生污泥膨胀。池中采用新型弹性立体填料，比表面积大，微生物易挂膜，脱膜，在同样有机物负荷条件下，对有机物去除率高，能提高空气中的氧在水中溶解度。生化池采用生物接触氧化法，其填料的体积负荷比较低，微生物处于自身氧化阶段，产泥量少，仅需三个月（90天）以上排一次泥。整个设备处理系统配有全自动电气控制系统和设备故障报警系统，运行安全可靠，平时一般不需要专人管理，只需适时地对设备进行维护和保养。地埋式生活污水处理设备集去除BOD</w:t>
            </w:r>
            <w:r>
              <w:rPr>
                <w:rFonts w:hint="eastAsia"/>
                <w:color w:val="auto"/>
                <w:vertAlign w:val="subscript"/>
                <w:lang w:val="en-US" w:eastAsia="zh-CN"/>
              </w:rPr>
              <w:t>5</w:t>
            </w:r>
            <w:r>
              <w:rPr>
                <w:rFonts w:hint="eastAsia"/>
                <w:color w:val="auto"/>
                <w:lang w:val="en-US" w:eastAsia="zh-CN"/>
              </w:rPr>
              <w:t>、COD、NH</w:t>
            </w:r>
            <w:r>
              <w:rPr>
                <w:rFonts w:hint="eastAsia"/>
                <w:color w:val="auto"/>
                <w:vertAlign w:val="subscript"/>
                <w:lang w:val="en-US" w:eastAsia="zh-CN"/>
              </w:rPr>
              <w:t>3</w:t>
            </w:r>
            <w:r>
              <w:rPr>
                <w:rFonts w:hint="eastAsia"/>
                <w:color w:val="auto"/>
                <w:lang w:val="en-US" w:eastAsia="zh-CN"/>
              </w:rPr>
              <w:t>-N于一身，具有技术性能稳定可靠，处理效果好，投资省，占地少，维护方便等优点，已经是很成熟的定型产品；生活污水经地埋式生活污水处理设备处理后，出水水质可满足</w:t>
            </w:r>
            <w:r>
              <w:rPr>
                <w:rFonts w:hint="eastAsia"/>
                <w:color w:val="auto"/>
                <w:lang w:val="en-GB" w:eastAsia="zh-CN"/>
              </w:rPr>
              <w:t>《城市污水再生利用 绿地灌溉水质》（GB/T25499-2010）</w:t>
            </w:r>
            <w:r>
              <w:rPr>
                <w:rFonts w:hint="eastAsia"/>
                <w:color w:val="auto"/>
                <w:lang w:val="en-US" w:eastAsia="zh-CN"/>
              </w:rPr>
              <w:t>相关水质要求。</w:t>
            </w:r>
          </w:p>
          <w:p w14:paraId="0ABBDB25">
            <w:pPr>
              <w:bidi w:val="0"/>
              <w:ind w:left="0" w:leftChars="0" w:firstLine="0" w:firstLineChars="0"/>
              <w:rPr>
                <w:rFonts w:hint="eastAsia"/>
                <w:b/>
                <w:bCs/>
                <w:color w:val="auto"/>
                <w:lang w:val="en-US" w:eastAsia="zh-CN"/>
              </w:rPr>
            </w:pPr>
            <w:r>
              <w:rPr>
                <w:rFonts w:hint="eastAsia"/>
                <w:b/>
                <w:bCs/>
                <w:color w:val="auto"/>
                <w:lang w:val="en-US" w:eastAsia="zh-CN"/>
              </w:rPr>
              <w:t>4.3.2.3生产废水循环回用可行性分析</w:t>
            </w:r>
          </w:p>
          <w:p w14:paraId="1EDE8796">
            <w:pPr>
              <w:bidi w:val="0"/>
              <w:rPr>
                <w:rFonts w:hint="eastAsia" w:ascii="Times New Roman" w:hAnsi="Times New Roman" w:eastAsia="宋体" w:cs="Times New Roman"/>
                <w:color w:val="auto"/>
                <w:sz w:val="24"/>
                <w:highlight w:val="none"/>
                <w:lang w:val="en-US" w:eastAsia="zh-CN"/>
              </w:rPr>
            </w:pPr>
            <w:r>
              <w:rPr>
                <w:rFonts w:hint="eastAsia"/>
                <w:color w:val="auto"/>
                <w:lang w:val="en-US" w:eastAsia="zh-CN"/>
              </w:rPr>
              <w:t>项目设备清洗用水、地面冲洗用水、试验清洗用水均通过收集后排入项目拟建设的</w:t>
            </w:r>
            <w:r>
              <w:rPr>
                <w:rFonts w:hint="eastAsia" w:ascii="Times New Roman" w:hAnsi="Times New Roman" w:eastAsia="宋体" w:cs="Times New Roman"/>
                <w:color w:val="auto"/>
                <w:sz w:val="24"/>
                <w:highlight w:val="none"/>
                <w:lang w:val="en-US" w:eastAsia="zh-CN"/>
              </w:rPr>
              <w:t>斜坡沉淀池</w:t>
            </w:r>
            <w:r>
              <w:rPr>
                <w:rFonts w:hint="eastAsia"/>
                <w:color w:val="auto"/>
                <w:lang w:val="en-US" w:eastAsia="zh-CN"/>
              </w:rPr>
              <w:t>，</w:t>
            </w:r>
            <w:r>
              <w:rPr>
                <w:rFonts w:hint="eastAsia" w:cs="Times New Roman"/>
                <w:color w:val="auto"/>
                <w:sz w:val="24"/>
                <w:highlight w:val="none"/>
                <w:lang w:val="en-US" w:eastAsia="zh-CN"/>
              </w:rPr>
              <w:t>经收集的生产区初期雨水在300m</w:t>
            </w:r>
            <w:r>
              <w:rPr>
                <w:rFonts w:hint="eastAsia" w:cs="Times New Roman"/>
                <w:color w:val="auto"/>
                <w:sz w:val="24"/>
                <w:highlight w:val="none"/>
                <w:vertAlign w:val="superscript"/>
                <w:lang w:val="en-US" w:eastAsia="zh-CN"/>
              </w:rPr>
              <w:t>3</w:t>
            </w:r>
            <w:r>
              <w:rPr>
                <w:rFonts w:hint="eastAsia" w:cs="Times New Roman"/>
                <w:color w:val="auto"/>
                <w:sz w:val="24"/>
                <w:highlight w:val="none"/>
                <w:lang w:val="en-US" w:eastAsia="zh-CN"/>
              </w:rPr>
              <w:t>雨水收集池中暂存，分批引至</w:t>
            </w:r>
            <w:r>
              <w:rPr>
                <w:rFonts w:hint="eastAsia" w:ascii="Times New Roman" w:hAnsi="Times New Roman" w:eastAsia="宋体" w:cs="Times New Roman"/>
                <w:color w:val="auto"/>
                <w:sz w:val="24"/>
                <w:highlight w:val="none"/>
                <w:lang w:val="en-US" w:eastAsia="zh-CN"/>
              </w:rPr>
              <w:t>斜坡沉淀池处理后，全部回用于混凝土搅拌，不外排</w:t>
            </w:r>
            <w:r>
              <w:rPr>
                <w:rFonts w:hint="eastAsia" w:cs="Times New Roman"/>
                <w:color w:val="auto"/>
                <w:sz w:val="24"/>
                <w:highlight w:val="none"/>
                <w:lang w:val="en-US" w:eastAsia="zh-CN"/>
              </w:rPr>
              <w:t>，定期补充新鲜水；3#物料库的洗砂废水也通过加药絮凝沉淀压滤等一系列处理工序后，回用于洗砂工序的生产，不外排，定期补充新鲜水</w:t>
            </w:r>
            <w:r>
              <w:rPr>
                <w:rFonts w:hint="eastAsia" w:ascii="Times New Roman" w:hAnsi="Times New Roman" w:eastAsia="宋体" w:cs="Times New Roman"/>
                <w:color w:val="auto"/>
                <w:sz w:val="24"/>
                <w:highlight w:val="none"/>
                <w:lang w:val="en-US" w:eastAsia="zh-CN"/>
              </w:rPr>
              <w:t>。</w:t>
            </w:r>
          </w:p>
          <w:p w14:paraId="07ED7F0F">
            <w:pPr>
              <w:tabs>
                <w:tab w:val="left" w:pos="3420"/>
              </w:tabs>
              <w:spacing w:line="360" w:lineRule="auto"/>
              <w:ind w:firstLine="480" w:firstLineChars="200"/>
              <w:rPr>
                <w:rFonts w:hint="eastAsia"/>
                <w:color w:val="auto"/>
                <w:sz w:val="24"/>
                <w:szCs w:val="24"/>
                <w:lang w:eastAsia="zh-CN"/>
              </w:rPr>
            </w:pPr>
            <w:r>
              <w:rPr>
                <w:rFonts w:hint="eastAsia" w:ascii="Times New Roman" w:hAnsi="Times New Roman" w:eastAsia="宋体"/>
                <w:color w:val="auto"/>
                <w:sz w:val="24"/>
                <w:szCs w:val="24"/>
              </w:rPr>
              <w:t>项目所采用的沉淀设施是利用水流中悬浮杂质颗粒向下沉淀速度大于水流速度</w:t>
            </w:r>
            <w:r>
              <w:rPr>
                <w:rFonts w:hint="eastAsia" w:ascii="Times New Roman" w:hAnsi="Times New Roman" w:eastAsia="宋体"/>
                <w:color w:val="auto"/>
                <w:sz w:val="24"/>
                <w:szCs w:val="24"/>
                <w:lang w:eastAsia="zh-CN"/>
              </w:rPr>
              <w:t>或</w:t>
            </w:r>
            <w:r>
              <w:rPr>
                <w:rFonts w:hint="eastAsia" w:ascii="Times New Roman" w:hAnsi="Times New Roman" w:eastAsia="宋体"/>
                <w:color w:val="auto"/>
                <w:sz w:val="24"/>
                <w:szCs w:val="24"/>
              </w:rPr>
              <w:t>向下沉淀时间小于水流流出沉淀池的时间从而能与水流分离的原理实现水的净化，沉淀的效果取决于沉淀设施中水的流速和水在池中的停留时间，参考《水处理工程师手册》（唐受印、戴友芝等编），沉淀池120min后对SS的处理效率可达90%以上</w:t>
            </w:r>
            <w:r>
              <w:rPr>
                <w:rFonts w:hint="eastAsia"/>
                <w:color w:val="auto"/>
                <w:sz w:val="24"/>
                <w:szCs w:val="24"/>
                <w:lang w:eastAsia="zh-CN"/>
              </w:rPr>
              <w:t>。</w:t>
            </w:r>
          </w:p>
          <w:p w14:paraId="4113DC46">
            <w:pPr>
              <w:tabs>
                <w:tab w:val="left" w:pos="3420"/>
              </w:tabs>
              <w:spacing w:line="360" w:lineRule="auto"/>
              <w:ind w:firstLine="480" w:firstLineChars="200"/>
              <w:rPr>
                <w:rFonts w:hint="default"/>
                <w:color w:val="auto"/>
                <w:sz w:val="24"/>
                <w:szCs w:val="24"/>
                <w:lang w:val="en-US" w:eastAsia="zh-CN"/>
              </w:rPr>
            </w:pPr>
            <w:r>
              <w:rPr>
                <w:rFonts w:hint="eastAsia"/>
                <w:color w:val="auto"/>
                <w:sz w:val="24"/>
                <w:szCs w:val="24"/>
                <w:lang w:val="en-US" w:eastAsia="zh-CN"/>
              </w:rPr>
              <w:t>而项目洗砂废水的处理所采用的是在洗砂生产线末端加设一个污水罐，而后向废水中投加聚合氯化铝（PAC）等混凝剂和聚丙烯酰胺（PAM）等絮凝剂，使水中难以自然沉降的微小悬浮颗粒（胶体颗粒）脱稳、凝聚成较大的絮状体（矾花），待絮凝反应稳定后抽至泥浆压滤机进行压滤，压滤后的清水抽回清水罐进行使用。参考《安全与环境工程》期刊李方平，王海力，王孟等，于2023年对旭龙水电站混凝土骨料冲洗废水絮凝剂筛选及絮凝条件研究，PAC与PAM联用对各类型岩石的洗砂废水中SS的去除效率在96.2%至97.5%，混合反应至沉淀分离的时间约1.5-3.5h。</w:t>
            </w:r>
          </w:p>
          <w:p w14:paraId="73D8331F">
            <w:pPr>
              <w:tabs>
                <w:tab w:val="left" w:pos="3420"/>
              </w:tabs>
              <w:spacing w:line="360" w:lineRule="auto"/>
              <w:ind w:firstLine="480" w:firstLineChars="200"/>
              <w:rPr>
                <w:rFonts w:hint="eastAsia"/>
                <w:color w:val="auto"/>
                <w:sz w:val="24"/>
                <w:szCs w:val="24"/>
                <w:lang w:eastAsia="zh-CN"/>
              </w:rPr>
            </w:pPr>
            <w:r>
              <w:rPr>
                <w:rFonts w:hint="eastAsia" w:ascii="Times New Roman" w:hAnsi="Times New Roman" w:eastAsia="宋体" w:cs="Times New Roman"/>
                <w:color w:val="auto"/>
                <w:sz w:val="24"/>
                <w:highlight w:val="none"/>
                <w:lang w:val="en-US" w:eastAsia="zh-CN"/>
              </w:rPr>
              <w:t>项目拟建设的</w:t>
            </w:r>
            <w:r>
              <w:rPr>
                <w:rFonts w:hint="eastAsia"/>
                <w:color w:val="auto"/>
                <w:vertAlign w:val="baseline"/>
                <w:lang w:val="en-US" w:eastAsia="zh-CN"/>
              </w:rPr>
              <w:t>斜坡沉淀池容积约216m</w:t>
            </w:r>
            <w:r>
              <w:rPr>
                <w:rFonts w:hint="eastAsia"/>
                <w:color w:val="auto"/>
                <w:vertAlign w:val="superscript"/>
                <w:lang w:val="en-US" w:eastAsia="zh-CN"/>
              </w:rPr>
              <w:t>3</w:t>
            </w:r>
            <w:r>
              <w:rPr>
                <w:rFonts w:hint="eastAsia"/>
                <w:color w:val="auto"/>
                <w:lang w:eastAsia="zh-CN"/>
              </w:rPr>
              <w:t>，</w:t>
            </w:r>
            <w:r>
              <w:rPr>
                <w:color w:val="auto"/>
              </w:rPr>
              <w:t>斜</w:t>
            </w:r>
            <w:r>
              <w:rPr>
                <w:rFonts w:hint="eastAsia"/>
                <w:color w:val="auto"/>
                <w:lang w:val="en-US" w:eastAsia="zh-CN"/>
              </w:rPr>
              <w:t>坡</w:t>
            </w:r>
            <w:r>
              <w:rPr>
                <w:color w:val="auto"/>
              </w:rPr>
              <w:t>沉淀池的水力停留时间</w:t>
            </w:r>
            <w:r>
              <w:rPr>
                <w:rFonts w:hint="eastAsia"/>
                <w:color w:val="auto"/>
                <w:lang w:val="en-US" w:eastAsia="zh-CN"/>
              </w:rPr>
              <w:t>按</w:t>
            </w:r>
            <w:r>
              <w:rPr>
                <w:rFonts w:hint="eastAsia" w:ascii="Times New Roman" w:hAnsi="Times New Roman" w:eastAsia="宋体"/>
                <w:color w:val="auto"/>
                <w:sz w:val="24"/>
                <w:szCs w:val="24"/>
              </w:rPr>
              <w:t>120min</w:t>
            </w:r>
            <w:r>
              <w:rPr>
                <w:rFonts w:hint="eastAsia"/>
                <w:color w:val="auto"/>
                <w:lang w:val="en-US" w:eastAsia="zh-CN"/>
              </w:rPr>
              <w:t>取值，则每日可循环4倍容积水量，即864t/d。根据前文水平衡计算，项目设备清洗用水、地面冲洗用水、试验清洗用水以及初期雨水排入斜坡沉淀池的单日最大总量为295.70t/d（36784.14t/a），仅占用斜坡沉淀池每日有效循环容积的34.22%，因此项目拟配套的斜坡沉淀池可以满足循环水的使用</w:t>
            </w:r>
            <w:r>
              <w:rPr>
                <w:rFonts w:hint="eastAsia"/>
                <w:color w:val="auto"/>
                <w:sz w:val="24"/>
                <w:szCs w:val="24"/>
                <w:lang w:eastAsia="zh-CN"/>
              </w:rPr>
              <w:t>。</w:t>
            </w:r>
          </w:p>
          <w:p w14:paraId="12FA5885">
            <w:pPr>
              <w:tabs>
                <w:tab w:val="left" w:pos="3420"/>
              </w:tabs>
              <w:spacing w:line="360" w:lineRule="auto"/>
              <w:ind w:firstLine="480" w:firstLineChars="200"/>
              <w:rPr>
                <w:rFonts w:hint="default"/>
                <w:color w:val="auto"/>
                <w:sz w:val="24"/>
                <w:szCs w:val="24"/>
                <w:lang w:val="en-US" w:eastAsia="zh-CN"/>
              </w:rPr>
            </w:pPr>
            <w:r>
              <w:rPr>
                <w:rFonts w:hint="eastAsia"/>
                <w:color w:val="auto"/>
                <w:sz w:val="24"/>
                <w:szCs w:val="24"/>
                <w:lang w:val="en-US" w:eastAsia="zh-CN"/>
              </w:rPr>
              <w:t>项目拟采购安装的洗砂生产线配套污水罐容积241.92</w:t>
            </w:r>
            <w:r>
              <w:rPr>
                <w:rFonts w:hint="eastAsia"/>
                <w:color w:val="auto"/>
                <w:vertAlign w:val="baseline"/>
                <w:lang w:val="en-US" w:eastAsia="zh-CN"/>
              </w:rPr>
              <w:t>m</w:t>
            </w:r>
            <w:r>
              <w:rPr>
                <w:rFonts w:hint="eastAsia"/>
                <w:color w:val="auto"/>
                <w:vertAlign w:val="superscript"/>
                <w:lang w:val="en-US" w:eastAsia="zh-CN"/>
              </w:rPr>
              <w:t>3</w:t>
            </w:r>
            <w:r>
              <w:rPr>
                <w:rFonts w:hint="eastAsia"/>
                <w:color w:val="auto"/>
                <w:vertAlign w:val="baseline"/>
                <w:lang w:val="en-US" w:eastAsia="zh-CN"/>
              </w:rPr>
              <w:t>，根据前文水平衡分析，项目洗砂工序耗水量为545.45t/d，</w:t>
            </w:r>
            <w:r>
              <w:rPr>
                <w:rFonts w:hint="eastAsia"/>
                <w:color w:val="auto"/>
                <w:sz w:val="24"/>
                <w:szCs w:val="24"/>
                <w:lang w:val="en-US" w:eastAsia="zh-CN"/>
              </w:rPr>
              <w:t>混合反应至沉淀分离时间按2.5h计，则每日至少可处理洗砂废水725.73t，满足洗砂工序的水使用。</w:t>
            </w:r>
          </w:p>
          <w:p w14:paraId="143AC820">
            <w:pPr>
              <w:tabs>
                <w:tab w:val="left" w:pos="3420"/>
              </w:tabs>
              <w:spacing w:line="360" w:lineRule="auto"/>
              <w:ind w:firstLine="480" w:firstLineChars="200"/>
              <w:rPr>
                <w:rFonts w:hint="eastAsia" w:ascii="Times New Roman" w:hAnsi="Times New Roman" w:eastAsia="宋体"/>
                <w:color w:val="auto"/>
                <w:sz w:val="24"/>
                <w:szCs w:val="24"/>
                <w:lang w:val="en-US" w:eastAsia="zh-CN"/>
              </w:rPr>
            </w:pPr>
            <w:r>
              <w:rPr>
                <w:rFonts w:hint="eastAsia" w:ascii="Times New Roman" w:hAnsi="Times New Roman" w:eastAsia="宋体"/>
                <w:color w:val="auto"/>
                <w:sz w:val="24"/>
                <w:szCs w:val="24"/>
              </w:rPr>
              <w:t>参考《排污许可证申请与核发技术规范 水泥工业》（HJ847-2017）</w:t>
            </w:r>
            <w:r>
              <w:rPr>
                <w:rFonts w:hint="eastAsia" w:ascii="Times New Roman" w:hAnsi="Times New Roman" w:eastAsia="宋体"/>
                <w:color w:val="auto"/>
                <w:sz w:val="24"/>
                <w:szCs w:val="24"/>
                <w:lang w:eastAsia="zh-CN"/>
              </w:rPr>
              <w:t>中附录</w:t>
            </w:r>
            <w:r>
              <w:rPr>
                <w:rFonts w:hint="eastAsia" w:ascii="Times New Roman" w:hAnsi="Times New Roman" w:eastAsia="宋体"/>
                <w:color w:val="auto"/>
                <w:sz w:val="24"/>
                <w:szCs w:val="24"/>
                <w:lang w:val="en-US" w:eastAsia="zh-CN"/>
              </w:rPr>
              <w:t>C</w:t>
            </w:r>
            <w:r>
              <w:rPr>
                <w:rFonts w:hint="eastAsia" w:ascii="Times New Roman" w:hAnsi="Times New Roman" w:eastAsia="宋体"/>
                <w:color w:val="auto"/>
                <w:sz w:val="24"/>
                <w:szCs w:val="24"/>
              </w:rPr>
              <w:t>，沉淀处理属于可行性技术</w:t>
            </w:r>
            <w:r>
              <w:rPr>
                <w:rFonts w:hint="eastAsia" w:ascii="Times New Roman" w:hAnsi="Times New Roman" w:eastAsia="宋体"/>
                <w:color w:val="auto"/>
                <w:sz w:val="24"/>
                <w:szCs w:val="24"/>
                <w:lang w:eastAsia="zh-CN"/>
              </w:rPr>
              <w:t>，详见表</w:t>
            </w:r>
            <w:r>
              <w:rPr>
                <w:rFonts w:hint="eastAsia" w:ascii="Times New Roman" w:hAnsi="Times New Roman" w:eastAsia="宋体"/>
                <w:color w:val="auto"/>
                <w:sz w:val="24"/>
                <w:szCs w:val="24"/>
                <w:lang w:val="en-US" w:eastAsia="zh-CN"/>
              </w:rPr>
              <w:t>4.3-</w:t>
            </w:r>
            <w:r>
              <w:rPr>
                <w:rFonts w:hint="eastAsia"/>
                <w:color w:val="auto"/>
                <w:sz w:val="24"/>
                <w:szCs w:val="24"/>
                <w:lang w:val="en-US" w:eastAsia="zh-CN"/>
              </w:rPr>
              <w:t>2</w:t>
            </w:r>
            <w:r>
              <w:rPr>
                <w:rFonts w:hint="eastAsia" w:ascii="Times New Roman" w:hAnsi="Times New Roman" w:eastAsia="宋体"/>
                <w:color w:val="auto"/>
                <w:sz w:val="24"/>
                <w:szCs w:val="24"/>
                <w:lang w:val="en-US" w:eastAsia="zh-CN"/>
              </w:rPr>
              <w:t>。</w:t>
            </w:r>
            <w:r>
              <w:rPr>
                <w:rFonts w:hint="eastAsia" w:ascii="Times New Roman" w:hAnsi="Times New Roman" w:eastAsia="宋体"/>
                <w:color w:val="auto"/>
                <w:sz w:val="24"/>
                <w:szCs w:val="24"/>
              </w:rPr>
              <w:t>因此，项目采用</w:t>
            </w:r>
            <w:r>
              <w:rPr>
                <w:rFonts w:hint="eastAsia"/>
                <w:color w:val="auto"/>
                <w:sz w:val="24"/>
                <w:szCs w:val="24"/>
                <w:lang w:val="en-US" w:eastAsia="zh-CN"/>
              </w:rPr>
              <w:t>沉淀池</w:t>
            </w:r>
            <w:r>
              <w:rPr>
                <w:rFonts w:hint="eastAsia" w:ascii="Times New Roman" w:hAnsi="Times New Roman" w:eastAsia="宋体"/>
                <w:color w:val="auto"/>
                <w:sz w:val="24"/>
                <w:szCs w:val="24"/>
              </w:rPr>
              <w:t>处理</w:t>
            </w:r>
            <w:r>
              <w:rPr>
                <w:rFonts w:hint="eastAsia" w:ascii="Times New Roman" w:hAnsi="Times New Roman" w:eastAsia="宋体"/>
                <w:color w:val="auto"/>
                <w:sz w:val="24"/>
                <w:szCs w:val="24"/>
                <w:lang w:val="en-US" w:eastAsia="zh-CN"/>
              </w:rPr>
              <w:t>生产</w:t>
            </w:r>
            <w:r>
              <w:rPr>
                <w:rFonts w:hint="eastAsia" w:ascii="Times New Roman" w:hAnsi="Times New Roman" w:eastAsia="宋体"/>
                <w:color w:val="auto"/>
                <w:sz w:val="24"/>
                <w:szCs w:val="24"/>
              </w:rPr>
              <w:t>废水</w:t>
            </w:r>
            <w:r>
              <w:rPr>
                <w:rFonts w:hint="eastAsia" w:ascii="Times New Roman" w:hAnsi="Times New Roman" w:eastAsia="宋体"/>
                <w:color w:val="auto"/>
                <w:sz w:val="24"/>
                <w:szCs w:val="24"/>
                <w:lang w:eastAsia="zh-CN"/>
              </w:rPr>
              <w:t>及厂区</w:t>
            </w:r>
            <w:r>
              <w:rPr>
                <w:rFonts w:hint="eastAsia"/>
                <w:color w:val="auto"/>
                <w:sz w:val="24"/>
                <w:szCs w:val="24"/>
                <w:lang w:val="en-US" w:eastAsia="zh-CN"/>
              </w:rPr>
              <w:t>地面</w:t>
            </w:r>
            <w:r>
              <w:rPr>
                <w:rFonts w:hint="eastAsia" w:ascii="Times New Roman" w:hAnsi="Times New Roman" w:eastAsia="宋体"/>
                <w:color w:val="auto"/>
                <w:sz w:val="24"/>
                <w:szCs w:val="24"/>
                <w:lang w:eastAsia="zh-CN"/>
              </w:rPr>
              <w:t>初期雨水，</w:t>
            </w:r>
            <w:r>
              <w:rPr>
                <w:rFonts w:hint="eastAsia" w:ascii="Times New Roman" w:hAnsi="Times New Roman" w:eastAsia="宋体"/>
                <w:color w:val="auto"/>
                <w:sz w:val="24"/>
                <w:szCs w:val="24"/>
              </w:rPr>
              <w:t>从技术角度分析可行。</w:t>
            </w:r>
          </w:p>
          <w:p w14:paraId="160CC760">
            <w:pPr>
              <w:tabs>
                <w:tab w:val="left" w:pos="1800"/>
                <w:tab w:val="center" w:pos="4252"/>
              </w:tabs>
              <w:jc w:val="center"/>
              <w:rPr>
                <w:rFonts w:hint="eastAsia" w:ascii="Times New Roman" w:hAnsi="Times New Roman" w:eastAsia="宋体"/>
                <w:b/>
                <w:bCs/>
                <w:caps w:val="0"/>
                <w:smallCaps w:val="0"/>
                <w:color w:val="auto"/>
                <w:sz w:val="24"/>
                <w:szCs w:val="24"/>
                <w:lang w:val="en-US" w:eastAsia="zh-CN"/>
              </w:rPr>
            </w:pPr>
            <w:r>
              <w:rPr>
                <w:rFonts w:ascii="Times New Roman" w:hAnsi="Times New Roman" w:eastAsia="宋体"/>
                <w:b/>
                <w:bCs/>
                <w:caps w:val="0"/>
                <w:smallCaps w:val="0"/>
                <w:color w:val="auto"/>
                <w:sz w:val="24"/>
                <w:szCs w:val="24"/>
              </w:rPr>
              <w:t>表</w:t>
            </w:r>
            <w:r>
              <w:rPr>
                <w:rFonts w:hint="eastAsia" w:ascii="Times New Roman" w:hAnsi="Times New Roman" w:eastAsia="宋体"/>
                <w:b/>
                <w:bCs/>
                <w:caps w:val="0"/>
                <w:smallCaps w:val="0"/>
                <w:color w:val="auto"/>
                <w:sz w:val="24"/>
                <w:szCs w:val="24"/>
                <w:lang w:val="en-US" w:eastAsia="zh-CN"/>
              </w:rPr>
              <w:t>4.3-</w:t>
            </w:r>
            <w:r>
              <w:rPr>
                <w:rFonts w:hint="eastAsia"/>
                <w:b/>
                <w:bCs/>
                <w:caps w:val="0"/>
                <w:smallCaps w:val="0"/>
                <w:color w:val="auto"/>
                <w:sz w:val="24"/>
                <w:szCs w:val="24"/>
                <w:lang w:val="en-US" w:eastAsia="zh-CN"/>
              </w:rPr>
              <w:t>2</w:t>
            </w:r>
            <w:r>
              <w:rPr>
                <w:rFonts w:hint="eastAsia" w:ascii="Times New Roman" w:hAnsi="Times New Roman" w:eastAsia="宋体"/>
                <w:b/>
                <w:bCs/>
                <w:caps w:val="0"/>
                <w:smallCaps w:val="0"/>
                <w:color w:val="auto"/>
                <w:sz w:val="24"/>
                <w:szCs w:val="24"/>
                <w:lang w:val="en-US" w:eastAsia="zh-CN"/>
              </w:rPr>
              <w:t xml:space="preserve"> 水泥工业废水污染防治可行技术</w:t>
            </w:r>
          </w:p>
          <w:tbl>
            <w:tblPr>
              <w:tblStyle w:val="2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6"/>
              <w:gridCol w:w="745"/>
              <w:gridCol w:w="1542"/>
              <w:gridCol w:w="1244"/>
              <w:gridCol w:w="1563"/>
              <w:gridCol w:w="1080"/>
              <w:gridCol w:w="1202"/>
            </w:tblGrid>
            <w:tr w14:paraId="268924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542" w:type="pct"/>
                  <w:tcBorders>
                    <w:tl2br w:val="nil"/>
                    <w:tr2bl w:val="nil"/>
                  </w:tcBorders>
                  <w:noWrap w:val="0"/>
                  <w:vAlign w:val="center"/>
                </w:tcPr>
                <w:p w14:paraId="357E9DC4">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b/>
                      <w:bCs/>
                      <w:color w:val="auto"/>
                      <w:sz w:val="21"/>
                      <w:szCs w:val="21"/>
                      <w:vertAlign w:val="baseline"/>
                      <w:lang w:val="en-US" w:eastAsia="zh-CN"/>
                    </w:rPr>
                  </w:pPr>
                  <w:r>
                    <w:rPr>
                      <w:rFonts w:hint="eastAsia" w:ascii="Times New Roman" w:hAnsi="Times New Roman" w:eastAsia="宋体"/>
                      <w:b/>
                      <w:bCs/>
                      <w:color w:val="auto"/>
                      <w:sz w:val="21"/>
                      <w:szCs w:val="21"/>
                      <w:vertAlign w:val="baseline"/>
                      <w:lang w:val="en-US" w:eastAsia="zh-CN"/>
                    </w:rPr>
                    <w:t>环境要素</w:t>
                  </w:r>
                </w:p>
              </w:tc>
              <w:tc>
                <w:tcPr>
                  <w:tcW w:w="450" w:type="pct"/>
                  <w:tcBorders>
                    <w:tl2br w:val="nil"/>
                    <w:tr2bl w:val="nil"/>
                  </w:tcBorders>
                  <w:noWrap w:val="0"/>
                  <w:vAlign w:val="center"/>
                </w:tcPr>
                <w:p w14:paraId="436F8B2E">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b/>
                      <w:bCs/>
                      <w:color w:val="auto"/>
                      <w:sz w:val="21"/>
                      <w:szCs w:val="21"/>
                      <w:vertAlign w:val="baseline"/>
                      <w:lang w:val="en-US" w:eastAsia="zh-CN"/>
                    </w:rPr>
                  </w:pPr>
                  <w:r>
                    <w:rPr>
                      <w:rFonts w:hint="eastAsia" w:ascii="Times New Roman" w:hAnsi="Times New Roman" w:eastAsia="宋体"/>
                      <w:b/>
                      <w:bCs/>
                      <w:color w:val="auto"/>
                      <w:sz w:val="21"/>
                      <w:szCs w:val="21"/>
                      <w:vertAlign w:val="baseline"/>
                      <w:lang w:val="en-US" w:eastAsia="zh-CN"/>
                    </w:rPr>
                    <w:t>排放方式</w:t>
                  </w:r>
                </w:p>
              </w:tc>
              <w:tc>
                <w:tcPr>
                  <w:tcW w:w="931" w:type="pct"/>
                  <w:tcBorders>
                    <w:tl2br w:val="nil"/>
                    <w:tr2bl w:val="nil"/>
                  </w:tcBorders>
                  <w:noWrap w:val="0"/>
                  <w:vAlign w:val="center"/>
                </w:tcPr>
                <w:p w14:paraId="792D106A">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b/>
                      <w:bCs/>
                      <w:color w:val="auto"/>
                      <w:sz w:val="21"/>
                      <w:szCs w:val="21"/>
                      <w:vertAlign w:val="baseline"/>
                      <w:lang w:val="en-US" w:eastAsia="zh-CN"/>
                    </w:rPr>
                  </w:pPr>
                  <w:r>
                    <w:rPr>
                      <w:rFonts w:hint="eastAsia" w:ascii="Times New Roman" w:hAnsi="Times New Roman" w:eastAsia="宋体"/>
                      <w:b/>
                      <w:bCs/>
                      <w:color w:val="auto"/>
                      <w:sz w:val="21"/>
                      <w:szCs w:val="21"/>
                      <w:vertAlign w:val="baseline"/>
                      <w:lang w:val="en-US" w:eastAsia="zh-CN"/>
                    </w:rPr>
                    <w:t>类型</w:t>
                  </w:r>
                </w:p>
              </w:tc>
              <w:tc>
                <w:tcPr>
                  <w:tcW w:w="751" w:type="pct"/>
                  <w:tcBorders>
                    <w:tl2br w:val="nil"/>
                    <w:tr2bl w:val="nil"/>
                  </w:tcBorders>
                  <w:noWrap w:val="0"/>
                  <w:vAlign w:val="center"/>
                </w:tcPr>
                <w:p w14:paraId="0313D7E8">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b/>
                      <w:bCs/>
                      <w:color w:val="auto"/>
                      <w:sz w:val="21"/>
                      <w:szCs w:val="21"/>
                      <w:vertAlign w:val="baseline"/>
                      <w:lang w:val="en-US" w:eastAsia="zh-CN"/>
                    </w:rPr>
                  </w:pPr>
                  <w:r>
                    <w:rPr>
                      <w:rFonts w:hint="eastAsia" w:ascii="Times New Roman" w:hAnsi="Times New Roman" w:eastAsia="宋体"/>
                      <w:b/>
                      <w:bCs/>
                      <w:color w:val="auto"/>
                      <w:sz w:val="21"/>
                      <w:szCs w:val="21"/>
                      <w:vertAlign w:val="baseline"/>
                      <w:lang w:val="en-US" w:eastAsia="zh-CN"/>
                    </w:rPr>
                    <w:t>主要污染物</w:t>
                  </w:r>
                </w:p>
              </w:tc>
              <w:tc>
                <w:tcPr>
                  <w:tcW w:w="944" w:type="pct"/>
                  <w:tcBorders>
                    <w:tl2br w:val="nil"/>
                    <w:tr2bl w:val="nil"/>
                  </w:tcBorders>
                  <w:noWrap w:val="0"/>
                  <w:vAlign w:val="center"/>
                </w:tcPr>
                <w:p w14:paraId="1B5FEDF3">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b/>
                      <w:bCs/>
                      <w:color w:val="auto"/>
                      <w:sz w:val="21"/>
                      <w:szCs w:val="21"/>
                      <w:vertAlign w:val="baseline"/>
                      <w:lang w:val="en-US" w:eastAsia="zh-CN"/>
                    </w:rPr>
                  </w:pPr>
                  <w:r>
                    <w:rPr>
                      <w:rFonts w:hint="eastAsia" w:ascii="Times New Roman" w:hAnsi="Times New Roman" w:eastAsia="宋体"/>
                      <w:b/>
                      <w:bCs/>
                      <w:color w:val="auto"/>
                      <w:sz w:val="21"/>
                      <w:szCs w:val="21"/>
                      <w:vertAlign w:val="baseline"/>
                      <w:lang w:val="en-US" w:eastAsia="zh-CN"/>
                    </w:rPr>
                    <w:t>可行技术</w:t>
                  </w:r>
                </w:p>
              </w:tc>
              <w:tc>
                <w:tcPr>
                  <w:tcW w:w="652" w:type="pct"/>
                  <w:tcBorders>
                    <w:tl2br w:val="nil"/>
                    <w:tr2bl w:val="nil"/>
                  </w:tcBorders>
                  <w:noWrap w:val="0"/>
                  <w:vAlign w:val="center"/>
                </w:tcPr>
                <w:p w14:paraId="46492529">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b/>
                      <w:bCs/>
                      <w:color w:val="auto"/>
                      <w:sz w:val="21"/>
                      <w:szCs w:val="21"/>
                      <w:vertAlign w:val="baseline"/>
                      <w:lang w:val="en-US" w:eastAsia="zh-CN"/>
                    </w:rPr>
                  </w:pPr>
                  <w:r>
                    <w:rPr>
                      <w:rFonts w:hint="eastAsia" w:ascii="Times New Roman" w:hAnsi="Times New Roman" w:eastAsia="宋体"/>
                      <w:b/>
                      <w:bCs/>
                      <w:color w:val="auto"/>
                      <w:sz w:val="21"/>
                      <w:szCs w:val="21"/>
                      <w:vertAlign w:val="baseline"/>
                      <w:lang w:val="en-US" w:eastAsia="zh-CN"/>
                    </w:rPr>
                    <w:t>本项目</w:t>
                  </w:r>
                </w:p>
              </w:tc>
              <w:tc>
                <w:tcPr>
                  <w:tcW w:w="726" w:type="pct"/>
                  <w:tcBorders>
                    <w:tl2br w:val="nil"/>
                    <w:tr2bl w:val="nil"/>
                  </w:tcBorders>
                  <w:noWrap w:val="0"/>
                  <w:vAlign w:val="center"/>
                </w:tcPr>
                <w:p w14:paraId="104C797E">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b/>
                      <w:bCs/>
                      <w:color w:val="auto"/>
                      <w:sz w:val="21"/>
                      <w:szCs w:val="21"/>
                      <w:vertAlign w:val="baseline"/>
                      <w:lang w:val="en-US" w:eastAsia="zh-CN"/>
                    </w:rPr>
                  </w:pPr>
                  <w:r>
                    <w:rPr>
                      <w:rFonts w:hint="eastAsia" w:ascii="Times New Roman" w:hAnsi="Times New Roman" w:eastAsia="宋体"/>
                      <w:b/>
                      <w:bCs/>
                      <w:color w:val="auto"/>
                      <w:sz w:val="21"/>
                      <w:szCs w:val="21"/>
                      <w:vertAlign w:val="baseline"/>
                      <w:lang w:val="en-US" w:eastAsia="zh-CN"/>
                    </w:rPr>
                    <w:t>是否可行</w:t>
                  </w:r>
                </w:p>
              </w:tc>
            </w:tr>
            <w:tr w14:paraId="7E39DC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9" w:hRule="atLeast"/>
              </w:trPr>
              <w:tc>
                <w:tcPr>
                  <w:tcW w:w="542" w:type="pct"/>
                  <w:tcBorders>
                    <w:tl2br w:val="nil"/>
                    <w:tr2bl w:val="nil"/>
                  </w:tcBorders>
                  <w:noWrap w:val="0"/>
                  <w:vAlign w:val="center"/>
                </w:tcPr>
                <w:p w14:paraId="6B1D1CBF">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vertAlign w:val="baseline"/>
                      <w:lang w:val="en-US" w:eastAsia="zh-CN"/>
                    </w:rPr>
                  </w:pPr>
                  <w:r>
                    <w:rPr>
                      <w:rFonts w:hint="eastAsia" w:ascii="Times New Roman" w:hAnsi="Times New Roman" w:eastAsia="宋体"/>
                      <w:color w:val="auto"/>
                      <w:sz w:val="21"/>
                      <w:szCs w:val="21"/>
                      <w:vertAlign w:val="baseline"/>
                      <w:lang w:val="en-US" w:eastAsia="zh-CN"/>
                    </w:rPr>
                    <w:t>废水</w:t>
                  </w:r>
                </w:p>
              </w:tc>
              <w:tc>
                <w:tcPr>
                  <w:tcW w:w="450" w:type="pct"/>
                  <w:tcBorders>
                    <w:tl2br w:val="nil"/>
                    <w:tr2bl w:val="nil"/>
                  </w:tcBorders>
                  <w:noWrap w:val="0"/>
                  <w:vAlign w:val="center"/>
                </w:tcPr>
                <w:p w14:paraId="14106D44">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vertAlign w:val="baseline"/>
                      <w:lang w:val="en-US" w:eastAsia="zh-CN"/>
                    </w:rPr>
                  </w:pPr>
                  <w:r>
                    <w:rPr>
                      <w:rFonts w:hint="eastAsia" w:ascii="Times New Roman" w:hAnsi="Times New Roman" w:eastAsia="宋体"/>
                      <w:color w:val="auto"/>
                      <w:sz w:val="21"/>
                      <w:szCs w:val="21"/>
                      <w:vertAlign w:val="baseline"/>
                      <w:lang w:val="en-US" w:eastAsia="zh-CN"/>
                    </w:rPr>
                    <w:t>循环回用</w:t>
                  </w:r>
                </w:p>
              </w:tc>
              <w:tc>
                <w:tcPr>
                  <w:tcW w:w="931" w:type="pct"/>
                  <w:tcBorders>
                    <w:tl2br w:val="nil"/>
                    <w:tr2bl w:val="nil"/>
                  </w:tcBorders>
                  <w:noWrap w:val="0"/>
                  <w:vAlign w:val="center"/>
                </w:tcPr>
                <w:p w14:paraId="42E190F6">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vertAlign w:val="baseline"/>
                      <w:lang w:val="en-US" w:eastAsia="zh-CN"/>
                    </w:rPr>
                  </w:pPr>
                  <w:r>
                    <w:rPr>
                      <w:rFonts w:hint="eastAsia" w:ascii="Times New Roman" w:hAnsi="Times New Roman" w:eastAsia="宋体"/>
                      <w:color w:val="auto"/>
                      <w:sz w:val="21"/>
                      <w:szCs w:val="21"/>
                      <w:vertAlign w:val="baseline"/>
                      <w:lang w:val="en-US" w:eastAsia="zh-CN"/>
                    </w:rPr>
                    <w:t>辅助生产废水、设备冷却排污水、循环冷却排水</w:t>
                  </w:r>
                </w:p>
              </w:tc>
              <w:tc>
                <w:tcPr>
                  <w:tcW w:w="751" w:type="pct"/>
                  <w:tcBorders>
                    <w:tl2br w:val="nil"/>
                    <w:tr2bl w:val="nil"/>
                  </w:tcBorders>
                  <w:noWrap w:val="0"/>
                  <w:vAlign w:val="center"/>
                </w:tcPr>
                <w:p w14:paraId="5F9E6F25">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vertAlign w:val="baseline"/>
                      <w:lang w:val="en-US" w:eastAsia="zh-CN"/>
                    </w:rPr>
                  </w:pPr>
                  <w:r>
                    <w:rPr>
                      <w:rFonts w:hint="eastAsia" w:ascii="Times New Roman" w:hAnsi="Times New Roman" w:eastAsia="宋体"/>
                      <w:color w:val="auto"/>
                      <w:sz w:val="21"/>
                      <w:szCs w:val="21"/>
                      <w:vertAlign w:val="baseline"/>
                      <w:lang w:val="en-US" w:eastAsia="zh-CN"/>
                    </w:rPr>
                    <w:t>化学需氧量、悬浮物、石油类、pH</w:t>
                  </w:r>
                </w:p>
              </w:tc>
              <w:tc>
                <w:tcPr>
                  <w:tcW w:w="944" w:type="pct"/>
                  <w:tcBorders>
                    <w:tl2br w:val="nil"/>
                    <w:tr2bl w:val="nil"/>
                  </w:tcBorders>
                  <w:noWrap w:val="0"/>
                  <w:vAlign w:val="center"/>
                </w:tcPr>
                <w:p w14:paraId="15A08EA2">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vertAlign w:val="baseline"/>
                      <w:lang w:val="en-US" w:eastAsia="zh-CN"/>
                    </w:rPr>
                  </w:pPr>
                  <w:r>
                    <w:rPr>
                      <w:rFonts w:hint="eastAsia" w:ascii="Times New Roman" w:hAnsi="Times New Roman" w:eastAsia="宋体"/>
                      <w:color w:val="auto"/>
                      <w:sz w:val="21"/>
                      <w:szCs w:val="21"/>
                      <w:vertAlign w:val="baseline"/>
                      <w:lang w:val="en-US" w:eastAsia="zh-CN"/>
                    </w:rPr>
                    <w:t>经</w:t>
                  </w:r>
                  <w:r>
                    <w:rPr>
                      <w:rFonts w:hint="eastAsia" w:ascii="Times New Roman" w:hAnsi="Times New Roman" w:eastAsia="宋体"/>
                      <w:b/>
                      <w:bCs/>
                      <w:color w:val="auto"/>
                      <w:sz w:val="21"/>
                      <w:szCs w:val="21"/>
                      <w:vertAlign w:val="baseline"/>
                      <w:lang w:val="en-US" w:eastAsia="zh-CN"/>
                    </w:rPr>
                    <w:t>过滤</w:t>
                  </w:r>
                  <w:r>
                    <w:rPr>
                      <w:rFonts w:hint="eastAsia" w:ascii="Times New Roman" w:hAnsi="Times New Roman" w:eastAsia="宋体"/>
                      <w:color w:val="auto"/>
                      <w:sz w:val="21"/>
                      <w:szCs w:val="21"/>
                      <w:vertAlign w:val="baseline"/>
                      <w:lang w:val="en-US" w:eastAsia="zh-CN"/>
                    </w:rPr>
                    <w:t>、</w:t>
                  </w:r>
                  <w:r>
                    <w:rPr>
                      <w:rFonts w:hint="eastAsia" w:ascii="Times New Roman" w:hAnsi="Times New Roman" w:eastAsia="宋体"/>
                      <w:b/>
                      <w:bCs/>
                      <w:color w:val="auto"/>
                      <w:sz w:val="21"/>
                      <w:szCs w:val="21"/>
                      <w:vertAlign w:val="baseline"/>
                      <w:lang w:val="en-US" w:eastAsia="zh-CN"/>
                    </w:rPr>
                    <w:t>沉淀</w:t>
                  </w:r>
                  <w:r>
                    <w:rPr>
                      <w:rFonts w:hint="eastAsia" w:ascii="Times New Roman" w:hAnsi="Times New Roman" w:eastAsia="宋体"/>
                      <w:color w:val="auto"/>
                      <w:sz w:val="21"/>
                      <w:szCs w:val="21"/>
                      <w:vertAlign w:val="baseline"/>
                      <w:lang w:val="en-US" w:eastAsia="zh-CN"/>
                    </w:rPr>
                    <w:t>、上浮、冷却等处理后回用</w:t>
                  </w:r>
                </w:p>
              </w:tc>
              <w:tc>
                <w:tcPr>
                  <w:tcW w:w="652" w:type="pct"/>
                  <w:tcBorders>
                    <w:tl2br w:val="nil"/>
                    <w:tr2bl w:val="nil"/>
                  </w:tcBorders>
                  <w:noWrap w:val="0"/>
                  <w:vAlign w:val="center"/>
                </w:tcPr>
                <w:p w14:paraId="21F9E41A">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olor w:val="auto"/>
                      <w:sz w:val="21"/>
                      <w:szCs w:val="21"/>
                      <w:vertAlign w:val="baseline"/>
                      <w:lang w:val="en-US" w:eastAsia="zh-CN"/>
                    </w:rPr>
                  </w:pPr>
                  <w:r>
                    <w:rPr>
                      <w:rFonts w:hint="eastAsia" w:ascii="Times New Roman" w:hAnsi="Times New Roman" w:eastAsia="宋体" w:cs="Times New Roman"/>
                      <w:color w:val="auto"/>
                      <w:sz w:val="21"/>
                      <w:szCs w:val="21"/>
                      <w:highlight w:val="none"/>
                      <w:lang w:val="en-US" w:eastAsia="zh-CN"/>
                    </w:rPr>
                    <w:t>沉淀</w:t>
                  </w:r>
                </w:p>
              </w:tc>
              <w:tc>
                <w:tcPr>
                  <w:tcW w:w="726" w:type="pct"/>
                  <w:tcBorders>
                    <w:tl2br w:val="nil"/>
                    <w:tr2bl w:val="nil"/>
                  </w:tcBorders>
                  <w:noWrap w:val="0"/>
                  <w:vAlign w:val="center"/>
                </w:tcPr>
                <w:p w14:paraId="13CCE200">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szCs w:val="21"/>
                      <w:vertAlign w:val="baseline"/>
                      <w:lang w:val="en-US" w:eastAsia="zh-CN"/>
                    </w:rPr>
                  </w:pPr>
                  <w:r>
                    <w:rPr>
                      <w:rFonts w:hint="eastAsia" w:ascii="Times New Roman" w:hAnsi="Times New Roman" w:eastAsia="宋体"/>
                      <w:color w:val="auto"/>
                      <w:sz w:val="21"/>
                      <w:szCs w:val="21"/>
                      <w:vertAlign w:val="baseline"/>
                      <w:lang w:val="en-US" w:eastAsia="zh-CN"/>
                    </w:rPr>
                    <w:t>可行</w:t>
                  </w:r>
                </w:p>
              </w:tc>
            </w:tr>
          </w:tbl>
          <w:p w14:paraId="21AEA33B">
            <w:pPr>
              <w:tabs>
                <w:tab w:val="left" w:pos="3420"/>
              </w:tabs>
              <w:spacing w:line="360" w:lineRule="auto"/>
              <w:ind w:firstLine="480" w:firstLineChars="200"/>
              <w:rPr>
                <w:rFonts w:hint="default"/>
                <w:color w:val="auto"/>
                <w:sz w:val="24"/>
                <w:szCs w:val="24"/>
                <w:lang w:val="en-US" w:eastAsia="zh-CN"/>
              </w:rPr>
            </w:pPr>
            <w:r>
              <w:rPr>
                <w:rFonts w:hint="eastAsia"/>
                <w:color w:val="auto"/>
                <w:sz w:val="24"/>
                <w:szCs w:val="24"/>
                <w:lang w:val="en-US" w:eastAsia="zh-CN"/>
              </w:rPr>
              <w:t>项目经处理后的生产废水及地面初期雨水回用于搅拌工序，</w:t>
            </w:r>
            <w:r>
              <w:rPr>
                <w:rFonts w:hint="eastAsia" w:ascii="Times New Roman" w:hAnsi="Times New Roman" w:eastAsia="宋体" w:cs="Times New Roman"/>
                <w:color w:val="auto"/>
                <w:sz w:val="24"/>
                <w:szCs w:val="24"/>
                <w:lang w:val="en-US" w:eastAsia="zh-CN"/>
              </w:rPr>
              <w:t>企业拟将斜坡沉淀池出水接入清水池暂存，清水池设回用水管道，</w:t>
            </w:r>
            <w:r>
              <w:rPr>
                <w:rFonts w:hint="eastAsia"/>
                <w:color w:val="auto"/>
                <w:sz w:val="24"/>
                <w:szCs w:val="24"/>
                <w:lang w:val="en-US" w:eastAsia="zh-CN"/>
              </w:rPr>
              <w:t>通过水泵提升至搅拌机水箱内，用于混凝土搅拌。</w:t>
            </w:r>
          </w:p>
          <w:p w14:paraId="17B06C5D">
            <w:pPr>
              <w:tabs>
                <w:tab w:val="left" w:pos="3420"/>
              </w:tabs>
              <w:spacing w:line="360" w:lineRule="auto"/>
              <w:ind w:firstLine="480" w:firstLineChars="200"/>
              <w:rPr>
                <w:rFonts w:hint="eastAsia" w:ascii="Times New Roman" w:hAnsi="Times New Roman" w:eastAsia="宋体"/>
                <w:color w:val="auto"/>
                <w:sz w:val="24"/>
                <w:szCs w:val="24"/>
                <w:lang w:val="en-US" w:eastAsia="zh-CN"/>
              </w:rPr>
            </w:pPr>
            <w:r>
              <w:rPr>
                <w:rFonts w:hint="eastAsia"/>
                <w:color w:val="auto"/>
                <w:sz w:val="24"/>
                <w:szCs w:val="24"/>
                <w:lang w:val="en-US" w:eastAsia="zh-CN"/>
              </w:rPr>
              <w:t>根据前文水平衡分析，项目搅拌</w:t>
            </w:r>
            <w:r>
              <w:rPr>
                <w:rFonts w:hint="eastAsia"/>
                <w:color w:val="auto"/>
                <w:lang w:val="en-US" w:eastAsia="zh-CN"/>
              </w:rPr>
              <w:t>需水量约为30万t/a</w:t>
            </w:r>
            <w:r>
              <w:rPr>
                <w:rFonts w:hint="eastAsia" w:ascii="Times New Roman" w:hAnsi="Times New Roman" w:eastAsia="宋体" w:cs="Times New Roman"/>
                <w:color w:val="auto"/>
                <w:sz w:val="24"/>
                <w:lang w:val="en-US" w:eastAsia="zh-CN"/>
              </w:rPr>
              <w:t>，回用水量为4.17</w:t>
            </w:r>
            <w:r>
              <w:rPr>
                <w:rFonts w:hint="eastAsia"/>
                <w:color w:val="auto"/>
                <w:lang w:val="en-US" w:eastAsia="zh-CN"/>
              </w:rPr>
              <w:t>万t/a，</w:t>
            </w:r>
            <w:r>
              <w:rPr>
                <w:rFonts w:hint="eastAsia" w:cs="Times New Roman"/>
                <w:b w:val="0"/>
                <w:bCs/>
                <w:caps w:val="0"/>
                <w:smallCaps w:val="0"/>
                <w:color w:val="auto"/>
                <w:sz w:val="24"/>
                <w:szCs w:val="24"/>
                <w:lang w:val="en-US" w:eastAsia="zh-CN"/>
              </w:rPr>
              <w:t>企业需水量</w:t>
            </w:r>
            <w:r>
              <w:rPr>
                <w:rFonts w:hint="eastAsia" w:ascii="Times New Roman" w:hAnsi="Times New Roman" w:eastAsia="宋体" w:cs="Times New Roman"/>
                <w:b w:val="0"/>
                <w:bCs/>
                <w:caps w:val="0"/>
                <w:smallCaps w:val="0"/>
                <w:color w:val="auto"/>
                <w:sz w:val="24"/>
                <w:szCs w:val="24"/>
                <w:lang w:val="en-US" w:eastAsia="zh-CN"/>
              </w:rPr>
              <w:t>远大于</w:t>
            </w:r>
            <w:r>
              <w:rPr>
                <w:rFonts w:hint="eastAsia" w:cs="Times New Roman"/>
                <w:b w:val="0"/>
                <w:bCs/>
                <w:caps w:val="0"/>
                <w:smallCaps w:val="0"/>
                <w:color w:val="auto"/>
                <w:sz w:val="24"/>
                <w:szCs w:val="24"/>
                <w:lang w:val="en-US" w:eastAsia="zh-CN"/>
              </w:rPr>
              <w:t>回用水量，因此</w:t>
            </w:r>
            <w:r>
              <w:rPr>
                <w:rFonts w:hint="eastAsia" w:ascii="Times New Roman" w:hAnsi="Times New Roman" w:eastAsia="宋体"/>
                <w:color w:val="auto"/>
                <w:sz w:val="24"/>
                <w:szCs w:val="24"/>
                <w:lang w:val="en-US" w:eastAsia="zh-CN"/>
              </w:rPr>
              <w:t>可完全消纳</w:t>
            </w:r>
            <w:r>
              <w:rPr>
                <w:rFonts w:hint="eastAsia"/>
                <w:color w:val="auto"/>
                <w:sz w:val="24"/>
                <w:szCs w:val="24"/>
                <w:lang w:val="en-US" w:eastAsia="zh-CN"/>
              </w:rPr>
              <w:t>经处理后的生产废水</w:t>
            </w:r>
            <w:r>
              <w:rPr>
                <w:rFonts w:hint="eastAsia" w:cs="Times New Roman"/>
                <w:b w:val="0"/>
                <w:bCs/>
                <w:caps w:val="0"/>
                <w:smallCaps w:val="0"/>
                <w:color w:val="auto"/>
                <w:sz w:val="24"/>
                <w:szCs w:val="24"/>
                <w:lang w:val="en-US" w:eastAsia="zh-CN"/>
              </w:rPr>
              <w:t>及初期雨水</w:t>
            </w:r>
            <w:r>
              <w:rPr>
                <w:rFonts w:hint="eastAsia" w:ascii="Times New Roman" w:hAnsi="Times New Roman" w:eastAsia="宋体"/>
                <w:color w:val="auto"/>
                <w:sz w:val="24"/>
                <w:szCs w:val="24"/>
                <w:lang w:val="en-US" w:eastAsia="zh-CN"/>
              </w:rPr>
              <w:t>。</w:t>
            </w:r>
          </w:p>
          <w:p w14:paraId="01D05A69">
            <w:pPr>
              <w:tabs>
                <w:tab w:val="left" w:pos="3420"/>
              </w:tabs>
              <w:spacing w:line="360" w:lineRule="auto"/>
              <w:ind w:firstLine="480" w:firstLineChars="200"/>
              <w:rPr>
                <w:rFonts w:hint="default" w:ascii="Times New Roman" w:hAnsi="Times New Roman" w:eastAsia="宋体"/>
                <w:color w:val="auto"/>
                <w:sz w:val="24"/>
                <w:szCs w:val="24"/>
                <w:lang w:val="en-US" w:eastAsia="zh-CN"/>
              </w:rPr>
            </w:pPr>
            <w:r>
              <w:rPr>
                <w:rFonts w:hint="eastAsia" w:ascii="Times New Roman" w:hAnsi="Times New Roman" w:eastAsia="宋体"/>
                <w:color w:val="auto"/>
                <w:sz w:val="24"/>
                <w:szCs w:val="24"/>
              </w:rPr>
              <w:t>综上，项目生产废水</w:t>
            </w:r>
            <w:r>
              <w:rPr>
                <w:rFonts w:hint="eastAsia"/>
                <w:color w:val="auto"/>
                <w:sz w:val="24"/>
                <w:szCs w:val="24"/>
                <w:lang w:val="en-US" w:eastAsia="zh-CN"/>
              </w:rPr>
              <w:t>、生活污水</w:t>
            </w:r>
            <w:r>
              <w:rPr>
                <w:rFonts w:hint="eastAsia" w:ascii="Times New Roman" w:hAnsi="Times New Roman" w:eastAsia="宋体"/>
                <w:color w:val="auto"/>
                <w:sz w:val="24"/>
                <w:szCs w:val="24"/>
              </w:rPr>
              <w:t>和收集</w:t>
            </w:r>
            <w:r>
              <w:rPr>
                <w:rFonts w:hint="eastAsia"/>
                <w:color w:val="auto"/>
                <w:sz w:val="24"/>
                <w:szCs w:val="24"/>
                <w:lang w:eastAsia="zh-CN"/>
              </w:rPr>
              <w:t>初期</w:t>
            </w:r>
            <w:r>
              <w:rPr>
                <w:rFonts w:hint="eastAsia" w:ascii="Times New Roman" w:hAnsi="Times New Roman" w:eastAsia="宋体"/>
                <w:color w:val="auto"/>
                <w:sz w:val="24"/>
                <w:szCs w:val="24"/>
              </w:rPr>
              <w:t>雨水经处理</w:t>
            </w:r>
            <w:r>
              <w:rPr>
                <w:rFonts w:hint="eastAsia"/>
                <w:color w:val="auto"/>
                <w:sz w:val="24"/>
                <w:szCs w:val="24"/>
                <w:lang w:eastAsia="zh-CN"/>
              </w:rPr>
              <w:t>可全部回用</w:t>
            </w:r>
            <w:r>
              <w:rPr>
                <w:rFonts w:hint="eastAsia" w:ascii="Times New Roman" w:hAnsi="Times New Roman" w:eastAsia="宋体"/>
                <w:color w:val="auto"/>
                <w:sz w:val="24"/>
                <w:szCs w:val="24"/>
              </w:rPr>
              <w:t>，措施可行。</w:t>
            </w:r>
          </w:p>
          <w:p w14:paraId="2B5CB690">
            <w:pPr>
              <w:bidi w:val="0"/>
              <w:ind w:left="0" w:leftChars="0" w:firstLine="0" w:firstLineChars="0"/>
              <w:rPr>
                <w:rFonts w:hint="eastAsia"/>
                <w:b/>
                <w:bCs/>
                <w:color w:val="auto"/>
                <w:lang w:val="en-US" w:eastAsia="zh-CN"/>
              </w:rPr>
            </w:pPr>
            <w:r>
              <w:rPr>
                <w:rFonts w:hint="eastAsia"/>
                <w:b/>
                <w:bCs/>
                <w:color w:val="auto"/>
                <w:lang w:val="en-US" w:eastAsia="zh-CN"/>
              </w:rPr>
              <w:t>4.3.2.4小结</w:t>
            </w:r>
          </w:p>
          <w:p w14:paraId="1F6203D8">
            <w:pPr>
              <w:keepNext w:val="0"/>
              <w:keepLines w:val="0"/>
              <w:pageBreakBefore w:val="0"/>
              <w:widowControl w:val="0"/>
              <w:tabs>
                <w:tab w:val="left" w:pos="3420"/>
              </w:tabs>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szCs w:val="24"/>
                <w:lang w:val="en-US" w:eastAsia="zh-CN"/>
              </w:rPr>
              <w:t>根据上述分析，项目</w:t>
            </w:r>
            <w:r>
              <w:rPr>
                <w:rFonts w:hint="eastAsia" w:cs="Times New Roman"/>
                <w:color w:val="auto"/>
                <w:sz w:val="24"/>
                <w:szCs w:val="24"/>
                <w:lang w:val="en-US" w:eastAsia="zh-CN"/>
              </w:rPr>
              <w:t>所有生产废水和生活废水均回用，不单独外排</w:t>
            </w:r>
            <w:r>
              <w:rPr>
                <w:rFonts w:hint="eastAsia" w:ascii="Times New Roman" w:hAnsi="Times New Roman" w:eastAsia="宋体" w:cs="Times New Roman"/>
                <w:color w:val="auto"/>
                <w:sz w:val="24"/>
                <w:szCs w:val="24"/>
                <w:lang w:val="en-US" w:eastAsia="zh-CN"/>
              </w:rPr>
              <w:t>，项目污水不直接排入地表水体，因此几乎不会对区域地表水环境产生直接不利影响。</w:t>
            </w:r>
          </w:p>
          <w:p w14:paraId="6CA9518C">
            <w:pPr>
              <w:pStyle w:val="4"/>
              <w:bidi w:val="0"/>
              <w:rPr>
                <w:rFonts w:hint="default"/>
                <w:color w:val="auto"/>
                <w:lang w:eastAsia="zh-CN"/>
              </w:rPr>
            </w:pPr>
            <w:r>
              <w:rPr>
                <w:rFonts w:hint="default"/>
                <w:color w:val="auto"/>
                <w:lang w:eastAsia="zh-CN"/>
              </w:rPr>
              <w:t>4.</w:t>
            </w:r>
            <w:r>
              <w:rPr>
                <w:rFonts w:hint="eastAsia"/>
                <w:color w:val="auto"/>
                <w:lang w:val="en-US" w:eastAsia="zh-CN"/>
              </w:rPr>
              <w:t>3</w:t>
            </w:r>
            <w:r>
              <w:rPr>
                <w:rFonts w:hint="default"/>
                <w:color w:val="auto"/>
                <w:lang w:eastAsia="zh-CN"/>
              </w:rPr>
              <w:t>.</w:t>
            </w:r>
            <w:r>
              <w:rPr>
                <w:rFonts w:hint="eastAsia"/>
                <w:color w:val="auto"/>
                <w:lang w:val="en-US" w:eastAsia="zh-CN"/>
              </w:rPr>
              <w:t>4</w:t>
            </w:r>
            <w:r>
              <w:rPr>
                <w:rFonts w:hint="default"/>
                <w:color w:val="auto"/>
                <w:lang w:eastAsia="zh-CN"/>
              </w:rPr>
              <w:t xml:space="preserve"> </w:t>
            </w:r>
            <w:r>
              <w:rPr>
                <w:rFonts w:hint="default"/>
                <w:color w:val="auto"/>
                <w:lang w:val="en-US" w:eastAsia="zh-CN"/>
              </w:rPr>
              <w:t>自行监测计划</w:t>
            </w:r>
          </w:p>
          <w:p w14:paraId="0B7C3D04">
            <w:pPr>
              <w:keepNext w:val="0"/>
              <w:keepLines w:val="0"/>
              <w:pageBreakBefore w:val="0"/>
              <w:widowControl w:val="0"/>
              <w:tabs>
                <w:tab w:val="left" w:pos="3420"/>
              </w:tabs>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vertAlign w:val="baseline"/>
                <w:lang w:val="en-US" w:eastAsia="zh-CN"/>
              </w:rPr>
            </w:pPr>
            <w:r>
              <w:rPr>
                <w:rFonts w:hint="eastAsia" w:ascii="Times New Roman" w:hAnsi="Times New Roman" w:eastAsia="宋体" w:cs="Times New Roman"/>
                <w:color w:val="auto"/>
                <w:sz w:val="24"/>
                <w:szCs w:val="24"/>
                <w:lang w:val="en-US" w:eastAsia="zh-CN"/>
              </w:rPr>
              <w:t>项目无生产废水</w:t>
            </w:r>
            <w:r>
              <w:rPr>
                <w:rFonts w:hint="eastAsia" w:cs="Times New Roman"/>
                <w:color w:val="auto"/>
                <w:sz w:val="24"/>
                <w:szCs w:val="24"/>
                <w:lang w:val="en-US" w:eastAsia="zh-CN"/>
              </w:rPr>
              <w:t>和生活废水</w:t>
            </w:r>
            <w:r>
              <w:rPr>
                <w:rFonts w:hint="eastAsia" w:ascii="Times New Roman" w:hAnsi="Times New Roman" w:eastAsia="宋体" w:cs="Times New Roman"/>
                <w:color w:val="auto"/>
                <w:sz w:val="24"/>
                <w:szCs w:val="24"/>
                <w:lang w:val="en-US" w:eastAsia="zh-CN"/>
              </w:rPr>
              <w:t>外排</w:t>
            </w:r>
            <w:r>
              <w:rPr>
                <w:rFonts w:hint="eastAsia" w:cs="Times New Roman"/>
                <w:color w:val="auto"/>
                <w:sz w:val="24"/>
                <w:szCs w:val="24"/>
                <w:lang w:val="en-US" w:eastAsia="zh-CN"/>
              </w:rPr>
              <w:t>，因此无需制定自行监测计划。</w:t>
            </w:r>
          </w:p>
          <w:p w14:paraId="0A46173B">
            <w:pPr>
              <w:pStyle w:val="3"/>
              <w:bidi w:val="0"/>
              <w:rPr>
                <w:rFonts w:hint="default"/>
                <w:color w:val="auto"/>
              </w:rPr>
            </w:pPr>
            <w:r>
              <w:rPr>
                <w:rFonts w:hint="default"/>
                <w:color w:val="auto"/>
              </w:rPr>
              <w:t>4.</w:t>
            </w:r>
            <w:r>
              <w:rPr>
                <w:rFonts w:hint="eastAsia"/>
                <w:color w:val="auto"/>
                <w:lang w:val="en-US" w:eastAsia="zh-CN"/>
              </w:rPr>
              <w:t>4</w:t>
            </w:r>
            <w:r>
              <w:rPr>
                <w:rFonts w:hint="default"/>
                <w:color w:val="auto"/>
              </w:rPr>
              <w:t>运营期声环境影响分析和污染防治措施</w:t>
            </w:r>
          </w:p>
          <w:p w14:paraId="7A688ECD">
            <w:pPr>
              <w:pStyle w:val="4"/>
              <w:bidi w:val="0"/>
              <w:rPr>
                <w:rFonts w:hint="default"/>
                <w:color w:val="auto"/>
              </w:rPr>
            </w:pPr>
            <w:r>
              <w:rPr>
                <w:rFonts w:hint="default"/>
                <w:color w:val="auto"/>
                <w:lang w:val="en-US" w:eastAsia="zh-CN"/>
              </w:rPr>
              <w:t>4.</w:t>
            </w:r>
            <w:r>
              <w:rPr>
                <w:rFonts w:hint="eastAsia"/>
                <w:color w:val="auto"/>
                <w:lang w:val="en-US" w:eastAsia="zh-CN"/>
              </w:rPr>
              <w:t>4</w:t>
            </w:r>
            <w:r>
              <w:rPr>
                <w:rFonts w:hint="default"/>
                <w:color w:val="auto"/>
                <w:lang w:val="en-US" w:eastAsia="zh-CN"/>
              </w:rPr>
              <w:t>.1</w:t>
            </w:r>
            <w:r>
              <w:rPr>
                <w:rFonts w:hint="default"/>
                <w:color w:val="auto"/>
              </w:rPr>
              <w:t xml:space="preserve"> </w:t>
            </w:r>
            <w:r>
              <w:rPr>
                <w:rFonts w:hint="default"/>
                <w:color w:val="auto"/>
                <w:lang w:val="en-US" w:eastAsia="zh-CN"/>
              </w:rPr>
              <w:t>运营期噪声源强核算</w:t>
            </w:r>
          </w:p>
          <w:p w14:paraId="6DE36BEE">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本项目主要的噪声污染源为</w:t>
            </w:r>
            <w:r>
              <w:rPr>
                <w:rFonts w:hint="eastAsia" w:ascii="Times New Roman" w:hAnsi="Times New Roman" w:eastAsia="宋体" w:cs="Times New Roman"/>
                <w:color w:val="auto"/>
                <w:sz w:val="24"/>
                <w:szCs w:val="24"/>
                <w:highlight w:val="none"/>
                <w:lang w:eastAsia="zh-CN"/>
              </w:rPr>
              <w:t>项目生产设备</w:t>
            </w:r>
            <w:r>
              <w:rPr>
                <w:rFonts w:hint="default" w:ascii="Times New Roman" w:hAnsi="Times New Roman" w:eastAsia="宋体" w:cs="Times New Roman"/>
                <w:color w:val="auto"/>
                <w:sz w:val="24"/>
                <w:szCs w:val="24"/>
                <w:highlight w:val="none"/>
              </w:rPr>
              <w:t>运行</w:t>
            </w:r>
            <w:r>
              <w:rPr>
                <w:rFonts w:hint="eastAsia" w:ascii="Times New Roman" w:hAnsi="Times New Roman" w:eastAsia="宋体" w:cs="Times New Roman"/>
                <w:color w:val="auto"/>
                <w:sz w:val="24"/>
                <w:szCs w:val="24"/>
                <w:highlight w:val="none"/>
                <w:lang w:eastAsia="zh-CN"/>
              </w:rPr>
              <w:t>过程中</w:t>
            </w:r>
            <w:r>
              <w:rPr>
                <w:rFonts w:hint="default" w:ascii="Times New Roman" w:hAnsi="Times New Roman" w:eastAsia="宋体" w:cs="Times New Roman"/>
                <w:color w:val="auto"/>
                <w:sz w:val="24"/>
                <w:szCs w:val="24"/>
                <w:highlight w:val="none"/>
              </w:rPr>
              <w:t>产生的噪声，</w:t>
            </w:r>
            <w:r>
              <w:rPr>
                <w:rFonts w:hint="eastAsia" w:ascii="Times New Roman" w:hAnsi="Times New Roman" w:eastAsia="宋体"/>
                <w:color w:val="auto"/>
                <w:sz w:val="24"/>
                <w:szCs w:val="24"/>
              </w:rPr>
              <w:t>本项目室内噪声源强调查清单详见表4.4-1</w:t>
            </w:r>
            <w:r>
              <w:rPr>
                <w:rFonts w:hint="default" w:ascii="Times New Roman" w:hAnsi="Times New Roman" w:eastAsia="宋体" w:cs="Times New Roman"/>
                <w:color w:val="auto"/>
                <w:sz w:val="24"/>
                <w:szCs w:val="24"/>
                <w:highlight w:val="none"/>
              </w:rPr>
              <w:t>。</w:t>
            </w:r>
          </w:p>
          <w:p w14:paraId="7C7A4DB9">
            <w:pPr>
              <w:bidi w:val="0"/>
              <w:rPr>
                <w:rFonts w:hint="eastAsia" w:ascii="Times New Roman" w:hAnsi="Times New Roman" w:eastAsia="宋体"/>
                <w:color w:val="auto"/>
                <w:lang w:eastAsia="zh-CN"/>
              </w:rPr>
            </w:pPr>
          </w:p>
        </w:tc>
      </w:tr>
    </w:tbl>
    <w:p w14:paraId="0863E6D6">
      <w:pPr>
        <w:adjustRightInd w:val="0"/>
        <w:snapToGrid w:val="0"/>
        <w:spacing w:line="360" w:lineRule="auto"/>
        <w:rPr>
          <w:rFonts w:hint="default" w:ascii="Times New Roman" w:hAnsi="Times New Roman" w:eastAsia="宋体" w:cs="Times New Roman"/>
          <w:b/>
          <w:color w:val="auto"/>
          <w:kern w:val="0"/>
          <w:sz w:val="28"/>
          <w:szCs w:val="28"/>
        </w:rPr>
        <w:sectPr>
          <w:pgSz w:w="11907" w:h="16840"/>
          <w:pgMar w:top="1417" w:right="1417" w:bottom="1417" w:left="1417" w:header="851" w:footer="851" w:gutter="0"/>
          <w:pgBorders>
            <w:top w:val="none" w:sz="0" w:space="0"/>
            <w:left w:val="none" w:sz="0" w:space="0"/>
            <w:bottom w:val="none" w:sz="0" w:space="0"/>
            <w:right w:val="none" w:sz="0" w:space="0"/>
          </w:pgBorders>
          <w:pgNumType w:fmt="numberInDash"/>
          <w:cols w:space="720" w:num="1"/>
          <w:docGrid w:linePitch="312" w:charSpace="0"/>
        </w:sectPr>
      </w:pPr>
    </w:p>
    <w:p w14:paraId="664B1308">
      <w:pPr>
        <w:pStyle w:val="33"/>
        <w:bidi w:val="0"/>
        <w:rPr>
          <w:color w:val="auto"/>
          <w:sz w:val="24"/>
          <w:szCs w:val="24"/>
          <w:lang w:val="zh-CN"/>
        </w:rPr>
      </w:pPr>
      <w:r>
        <w:rPr>
          <w:color w:val="auto"/>
          <w:sz w:val="24"/>
          <w:szCs w:val="24"/>
        </w:rPr>
        <w:t>表</w:t>
      </w:r>
      <w:r>
        <w:rPr>
          <w:rFonts w:hint="eastAsia"/>
          <w:color w:val="auto"/>
          <w:sz w:val="24"/>
          <w:szCs w:val="24"/>
        </w:rPr>
        <w:t>4.</w:t>
      </w:r>
      <w:r>
        <w:rPr>
          <w:rFonts w:hint="eastAsia"/>
          <w:color w:val="auto"/>
          <w:sz w:val="24"/>
          <w:szCs w:val="24"/>
          <w:lang w:val="en-US" w:eastAsia="zh-CN"/>
        </w:rPr>
        <w:t>4</w:t>
      </w:r>
      <w:r>
        <w:rPr>
          <w:rFonts w:hint="eastAsia"/>
          <w:color w:val="auto"/>
          <w:sz w:val="24"/>
          <w:szCs w:val="24"/>
        </w:rPr>
        <w:t xml:space="preserve">-1 </w:t>
      </w:r>
      <w:r>
        <w:rPr>
          <w:rFonts w:hint="eastAsia"/>
          <w:color w:val="auto"/>
          <w:sz w:val="24"/>
          <w:szCs w:val="24"/>
          <w:lang w:val="en-US" w:eastAsia="zh-CN"/>
        </w:rPr>
        <w:t>项目噪声源强调查清单（室内声源）</w:t>
      </w:r>
    </w:p>
    <w:p w14:paraId="3C3EC475">
      <w:pPr>
        <w:pStyle w:val="18"/>
        <w:keepNext w:val="0"/>
        <w:keepLines w:val="0"/>
        <w:pageBreakBefore w:val="0"/>
        <w:widowControl/>
        <w:kinsoku/>
        <w:wordWrap/>
        <w:overflowPunct/>
        <w:topLinePunct w:val="0"/>
        <w:autoSpaceDE/>
        <w:autoSpaceDN/>
        <w:bidi w:val="0"/>
        <w:adjustRightInd/>
        <w:snapToGrid w:val="0"/>
        <w:spacing w:before="0" w:after="0" w:line="240" w:lineRule="auto"/>
        <w:ind w:left="0" w:leftChars="0" w:right="0" w:firstLine="0" w:firstLineChars="0"/>
        <w:textAlignment w:val="auto"/>
        <w:rPr>
          <w:rFonts w:hint="default" w:ascii="Times New Roman" w:hAnsi="Times New Roman" w:eastAsia="宋体"/>
          <w:b w:val="0"/>
          <w:bCs w:val="0"/>
          <w:color w:val="auto"/>
          <w:lang w:val="en-US" w:eastAsia="zh-CN"/>
        </w:rPr>
      </w:pPr>
      <w:r>
        <w:rPr>
          <w:rFonts w:hint="eastAsia" w:ascii="Times New Roman" w:hAnsi="Times New Roman" w:eastAsia="宋体"/>
          <w:b w:val="0"/>
          <w:bCs w:val="0"/>
          <w:color w:val="auto"/>
          <w:lang w:eastAsia="zh-CN"/>
        </w:rPr>
        <w:t>注：项目</w:t>
      </w:r>
      <w:r>
        <w:rPr>
          <w:rFonts w:hint="eastAsia"/>
          <w:b w:val="0"/>
          <w:bCs w:val="0"/>
          <w:color w:val="auto"/>
          <w:lang w:val="en-US" w:eastAsia="zh-CN"/>
        </w:rPr>
        <w:t>以厂区正南角</w:t>
      </w:r>
      <w:r>
        <w:rPr>
          <w:rFonts w:hint="eastAsia" w:ascii="Times New Roman" w:hAnsi="Times New Roman" w:eastAsia="宋体"/>
          <w:b w:val="0"/>
          <w:bCs w:val="0"/>
          <w:color w:val="auto"/>
          <w:lang w:eastAsia="zh-CN"/>
        </w:rPr>
        <w:t>为原点（</w:t>
      </w:r>
      <w:r>
        <w:rPr>
          <w:rFonts w:hint="eastAsia" w:ascii="Times New Roman" w:hAnsi="Times New Roman" w:eastAsia="宋体"/>
          <w:b w:val="0"/>
          <w:bCs w:val="0"/>
          <w:color w:val="auto"/>
          <w:lang w:val="en-US" w:eastAsia="zh-CN"/>
        </w:rPr>
        <w:t>0,0,0</w:t>
      </w:r>
      <w:r>
        <w:rPr>
          <w:rFonts w:hint="eastAsia" w:ascii="Times New Roman" w:hAnsi="Times New Roman" w:eastAsia="宋体"/>
          <w:b w:val="0"/>
          <w:bCs w:val="0"/>
          <w:color w:val="auto"/>
          <w:lang w:eastAsia="zh-CN"/>
        </w:rPr>
        <w:t>）</w:t>
      </w:r>
      <w:r>
        <w:rPr>
          <w:rFonts w:hint="eastAsia"/>
          <w:b w:val="0"/>
          <w:bCs w:val="0"/>
          <w:color w:val="auto"/>
          <w:lang w:eastAsia="zh-CN"/>
        </w:rPr>
        <w:t>，</w:t>
      </w:r>
      <w:r>
        <w:rPr>
          <w:rFonts w:hint="eastAsia"/>
          <w:b w:val="0"/>
          <w:bCs w:val="0"/>
          <w:color w:val="auto"/>
          <w:lang w:val="en-US" w:eastAsia="zh-CN"/>
        </w:rPr>
        <w:t>各车间</w:t>
      </w:r>
      <w:r>
        <w:rPr>
          <w:rFonts w:hint="eastAsia" w:ascii="Times New Roman" w:hAnsi="Times New Roman" w:eastAsia="宋体"/>
          <w:b w:val="0"/>
          <w:bCs w:val="0"/>
          <w:color w:val="auto"/>
          <w:lang w:eastAsia="zh-CN"/>
        </w:rPr>
        <w:t>正东方向为</w:t>
      </w:r>
      <w:r>
        <w:rPr>
          <w:rFonts w:hint="eastAsia" w:ascii="Times New Roman" w:hAnsi="Times New Roman" w:eastAsia="宋体"/>
          <w:b w:val="0"/>
          <w:bCs w:val="0"/>
          <w:color w:val="auto"/>
          <w:lang w:val="en-US" w:eastAsia="zh-CN"/>
        </w:rPr>
        <w:t>X轴正方向，正北方向为Y轴正方向。</w:t>
      </w:r>
    </w:p>
    <w:p w14:paraId="65260F25">
      <w:pPr>
        <w:pStyle w:val="18"/>
        <w:keepNext w:val="0"/>
        <w:keepLines w:val="0"/>
        <w:pageBreakBefore w:val="0"/>
        <w:widowControl/>
        <w:kinsoku/>
        <w:wordWrap/>
        <w:overflowPunct/>
        <w:topLinePunct w:val="0"/>
        <w:autoSpaceDE/>
        <w:autoSpaceDN/>
        <w:bidi w:val="0"/>
        <w:adjustRightInd/>
        <w:snapToGrid w:val="0"/>
        <w:spacing w:before="0" w:after="0" w:line="240" w:lineRule="auto"/>
        <w:ind w:right="0" w:firstLine="360" w:firstLineChars="200"/>
        <w:textAlignment w:val="auto"/>
        <w:rPr>
          <w:rFonts w:hint="eastAsia" w:ascii="Times New Roman" w:hAnsi="Times New Roman" w:eastAsia="宋体"/>
          <w:b w:val="0"/>
          <w:bCs w:val="0"/>
          <w:color w:val="auto"/>
        </w:rPr>
      </w:pPr>
      <w:r>
        <w:rPr>
          <w:rFonts w:hint="eastAsia" w:ascii="Times New Roman" w:hAnsi="Times New Roman" w:eastAsia="宋体"/>
          <w:b w:val="0"/>
          <w:bCs w:val="0"/>
          <w:color w:val="auto"/>
        </w:rPr>
        <w:t>因本项目将同类型设备位置相对集中，单独列出表格较累赘</w:t>
      </w:r>
      <w:r>
        <w:rPr>
          <w:rFonts w:hint="eastAsia"/>
          <w:b w:val="0"/>
          <w:bCs w:val="0"/>
          <w:color w:val="auto"/>
          <w:lang w:eastAsia="zh-CN"/>
        </w:rPr>
        <w:t>且</w:t>
      </w:r>
      <w:r>
        <w:rPr>
          <w:rFonts w:hint="eastAsia" w:ascii="Times New Roman" w:hAnsi="Times New Roman" w:eastAsia="宋体"/>
          <w:b w:val="0"/>
          <w:bCs w:val="0"/>
          <w:color w:val="auto"/>
        </w:rPr>
        <w:t>意义不大，故视为一个点源分析，其声功率级为叠加声压级。</w:t>
      </w:r>
    </w:p>
    <w:p w14:paraId="74F5196A">
      <w:pPr>
        <w:pStyle w:val="17"/>
        <w:jc w:val="center"/>
        <w:outlineLvl w:val="9"/>
        <w:rPr>
          <w:rFonts w:hint="default" w:ascii="Times New Roman" w:hAnsi="Times New Roman" w:eastAsia="宋体" w:cs="Times New Roman"/>
          <w:snapToGrid w:val="0"/>
          <w:color w:val="auto"/>
          <w:sz w:val="30"/>
          <w:szCs w:val="30"/>
        </w:rPr>
        <w:sectPr>
          <w:pgSz w:w="16838" w:h="11906" w:orient="landscape"/>
          <w:pgMar w:top="1417" w:right="1417" w:bottom="1417" w:left="1417" w:header="851" w:footer="851" w:gutter="0"/>
          <w:pgBorders>
            <w:top w:val="none" w:sz="0" w:space="0"/>
            <w:left w:val="none" w:sz="0" w:space="0"/>
            <w:bottom w:val="none" w:sz="0" w:space="0"/>
            <w:right w:val="none" w:sz="0" w:space="0"/>
          </w:pgBorders>
          <w:pgNumType w:fmt="numberInDash"/>
          <w:cols w:space="720" w:num="1"/>
          <w:docGrid w:linePitch="312" w:charSpace="0"/>
        </w:sectPr>
      </w:pPr>
    </w:p>
    <w:tbl>
      <w:tblPr>
        <w:tblStyle w:val="2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8134"/>
      </w:tblGrid>
      <w:tr w14:paraId="4E28E1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40" w:hRule="atLeast"/>
          <w:jc w:val="center"/>
        </w:trPr>
        <w:tc>
          <w:tcPr>
            <w:tcW w:w="746" w:type="dxa"/>
            <w:noWrap w:val="0"/>
            <w:tcMar>
              <w:left w:w="28" w:type="dxa"/>
              <w:right w:w="28" w:type="dxa"/>
            </w:tcMar>
            <w:vAlign w:val="center"/>
          </w:tcPr>
          <w:p w14:paraId="0366C942">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运营</w:t>
            </w:r>
          </w:p>
          <w:p w14:paraId="08104909">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期环</w:t>
            </w:r>
          </w:p>
          <w:p w14:paraId="01992BE7">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境影</w:t>
            </w:r>
          </w:p>
          <w:p w14:paraId="0768C531">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响和</w:t>
            </w:r>
          </w:p>
          <w:p w14:paraId="66945FC0">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保护</w:t>
            </w:r>
          </w:p>
          <w:p w14:paraId="59F72976">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bCs/>
                <w:color w:val="auto"/>
                <w:szCs w:val="21"/>
              </w:rPr>
              <w:t>措施</w:t>
            </w:r>
          </w:p>
        </w:tc>
        <w:tc>
          <w:tcPr>
            <w:tcW w:w="8134" w:type="dxa"/>
            <w:noWrap w:val="0"/>
            <w:vAlign w:val="center"/>
          </w:tcPr>
          <w:p w14:paraId="450CA7E5">
            <w:pPr>
              <w:pStyle w:val="4"/>
              <w:bidi w:val="0"/>
              <w:rPr>
                <w:rFonts w:hint="eastAsia"/>
                <w:color w:val="auto"/>
                <w:lang w:val="en-US" w:eastAsia="zh-CN"/>
              </w:rPr>
            </w:pPr>
            <w:r>
              <w:rPr>
                <w:rFonts w:hint="eastAsia"/>
                <w:color w:val="auto"/>
                <w:lang w:val="en-US" w:eastAsia="zh-CN"/>
              </w:rPr>
              <w:t>4.4.2</w:t>
            </w:r>
            <w:r>
              <w:rPr>
                <w:color w:val="auto"/>
              </w:rPr>
              <w:t>运营期声环境影响分析</w:t>
            </w:r>
          </w:p>
          <w:p w14:paraId="67FE76E2">
            <w:pPr>
              <w:spacing w:line="360" w:lineRule="auto"/>
              <w:ind w:firstLine="555"/>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项目噪声预测模式采用《环境影响评价技术导则</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声环境》(HJ2.4-20</w:t>
            </w:r>
            <w:r>
              <w:rPr>
                <w:rFonts w:hint="eastAsia" w:ascii="Times New Roman" w:hAnsi="Times New Roman" w:eastAsia="宋体" w:cs="Times New Roman"/>
                <w:color w:val="auto"/>
                <w:sz w:val="24"/>
                <w:szCs w:val="24"/>
                <w:highlight w:val="none"/>
                <w:lang w:val="en-US" w:eastAsia="zh-CN"/>
              </w:rPr>
              <w:t>21</w:t>
            </w:r>
            <w:r>
              <w:rPr>
                <w:rFonts w:hint="default" w:ascii="Times New Roman" w:hAnsi="Times New Roman" w:eastAsia="宋体" w:cs="Times New Roman"/>
                <w:color w:val="auto"/>
                <w:sz w:val="24"/>
                <w:szCs w:val="24"/>
                <w:highlight w:val="none"/>
              </w:rPr>
              <w:t>)中附录A户外声传播的衰减</w:t>
            </w:r>
            <w:r>
              <w:rPr>
                <w:rFonts w:hint="eastAsia" w:ascii="Times New Roman" w:hAnsi="Times New Roman" w:eastAsia="宋体" w:cs="Times New Roman"/>
                <w:color w:val="auto"/>
                <w:sz w:val="24"/>
                <w:szCs w:val="24"/>
                <w:highlight w:val="none"/>
                <w:lang w:val="en-US" w:eastAsia="zh-CN"/>
              </w:rPr>
              <w:t>及</w:t>
            </w:r>
            <w:r>
              <w:rPr>
                <w:rFonts w:hint="default" w:ascii="Times New Roman" w:hAnsi="Times New Roman" w:eastAsia="宋体" w:cs="Times New Roman"/>
                <w:color w:val="auto"/>
                <w:sz w:val="24"/>
                <w:szCs w:val="24"/>
                <w:highlight w:val="none"/>
              </w:rPr>
              <w:t>附录B典型行业噪声预测模型</w:t>
            </w:r>
            <w:r>
              <w:rPr>
                <w:rFonts w:hint="eastAsia" w:ascii="Times New Roman" w:hAnsi="Times New Roman" w:eastAsia="宋体" w:cs="Times New Roman"/>
                <w:color w:val="auto"/>
                <w:sz w:val="24"/>
                <w:szCs w:val="24"/>
                <w:highlight w:val="none"/>
                <w:lang w:val="en-US" w:eastAsia="zh-CN"/>
              </w:rPr>
              <w:t>进行分析。</w:t>
            </w:r>
          </w:p>
          <w:p w14:paraId="2EC64950">
            <w:pPr>
              <w:adjustRightInd w:val="0"/>
              <w:snapToGrid w:val="0"/>
              <w:spacing w:line="360" w:lineRule="auto"/>
              <w:ind w:firstLine="480"/>
              <w:rPr>
                <w:rFonts w:hint="eastAsia" w:ascii="Times New Roman" w:hAnsi="Times New Roman" w:eastAsia="宋体"/>
                <w:b/>
                <w:bCs w:val="0"/>
                <w:color w:val="auto"/>
                <w:sz w:val="24"/>
                <w:szCs w:val="24"/>
              </w:rPr>
            </w:pPr>
            <w:r>
              <w:rPr>
                <w:rFonts w:ascii="Times New Roman" w:hAnsi="Times New Roman" w:eastAsia="宋体"/>
                <w:b/>
                <w:bCs w:val="0"/>
                <w:color w:val="auto"/>
                <w:sz w:val="24"/>
                <w:szCs w:val="24"/>
              </w:rPr>
              <w:t>⑴室内声源</w:t>
            </w:r>
            <w:r>
              <w:rPr>
                <w:rFonts w:hint="eastAsia" w:ascii="Times New Roman" w:hAnsi="Times New Roman" w:eastAsia="宋体"/>
                <w:b/>
                <w:bCs w:val="0"/>
                <w:color w:val="auto"/>
                <w:sz w:val="24"/>
                <w:szCs w:val="24"/>
              </w:rPr>
              <w:t>等效室外声源声功率级计算方法</w:t>
            </w:r>
          </w:p>
          <w:p w14:paraId="2828FB1D">
            <w:pPr>
              <w:adjustRightInd w:val="0"/>
              <w:snapToGrid w:val="0"/>
              <w:spacing w:line="360" w:lineRule="auto"/>
              <w:ind w:firstLine="480"/>
              <w:rPr>
                <w:rFonts w:hint="eastAsia" w:ascii="Times New Roman" w:hAnsi="Times New Roman" w:eastAsia="宋体"/>
                <w:color w:val="auto"/>
                <w:sz w:val="24"/>
                <w:szCs w:val="24"/>
              </w:rPr>
            </w:pPr>
            <w:r>
              <w:rPr>
                <w:rFonts w:hint="eastAsia" w:ascii="Times New Roman" w:hAnsi="Times New Roman" w:eastAsia="宋体"/>
                <w:color w:val="auto"/>
                <w:sz w:val="24"/>
                <w:szCs w:val="24"/>
              </w:rPr>
              <w:t>①</w:t>
            </w:r>
            <w:r>
              <w:rPr>
                <w:rFonts w:ascii="Times New Roman" w:hAnsi="Times New Roman" w:eastAsia="宋体"/>
                <w:color w:val="auto"/>
                <w:sz w:val="24"/>
                <w:szCs w:val="24"/>
              </w:rPr>
              <w:t>如</w:t>
            </w:r>
            <w:r>
              <w:rPr>
                <w:rFonts w:hint="eastAsia" w:ascii="Times New Roman" w:hAnsi="Times New Roman" w:eastAsia="宋体"/>
                <w:color w:val="auto"/>
                <w:sz w:val="24"/>
                <w:szCs w:val="24"/>
              </w:rPr>
              <w:t>下</w:t>
            </w:r>
            <w:r>
              <w:rPr>
                <w:rFonts w:ascii="Times New Roman" w:hAnsi="Times New Roman" w:eastAsia="宋体"/>
                <w:color w:val="auto"/>
                <w:sz w:val="24"/>
                <w:szCs w:val="24"/>
              </w:rPr>
              <w:t>图所示，</w:t>
            </w:r>
            <w:r>
              <w:rPr>
                <w:rFonts w:hint="eastAsia" w:ascii="Times New Roman" w:hAnsi="Times New Roman" w:eastAsia="宋体"/>
                <w:color w:val="auto"/>
                <w:sz w:val="24"/>
                <w:szCs w:val="24"/>
              </w:rPr>
              <w:t>声源位于室内，室内声源可采用等效室外声源声功率级法进行计算。设靠近开口处(或窗户)室内、室外某倍频带的声压级</w:t>
            </w:r>
            <w:r>
              <w:rPr>
                <w:rFonts w:hint="eastAsia" w:ascii="Times New Roman" w:hAnsi="Times New Roman" w:eastAsia="宋体"/>
                <w:color w:val="auto"/>
                <w:sz w:val="24"/>
                <w:szCs w:val="24"/>
                <w:lang w:val="en-US" w:eastAsia="zh-CN"/>
              </w:rPr>
              <w:t>或A声级</w:t>
            </w:r>
            <w:r>
              <w:rPr>
                <w:rFonts w:hint="eastAsia" w:ascii="Times New Roman" w:hAnsi="Times New Roman" w:eastAsia="宋体"/>
                <w:color w:val="auto"/>
                <w:sz w:val="24"/>
                <w:szCs w:val="24"/>
              </w:rPr>
              <w:t>分别为Lp1和Lp2。若声源所在室内声场为近似扩散声场，则室</w:t>
            </w:r>
            <w:r>
              <w:rPr>
                <w:rFonts w:hint="eastAsia" w:ascii="Times New Roman" w:hAnsi="Times New Roman" w:eastAsia="宋体"/>
                <w:color w:val="auto"/>
                <w:sz w:val="24"/>
                <w:szCs w:val="24"/>
                <w:lang w:val="en-US" w:eastAsia="zh-CN"/>
              </w:rPr>
              <w:t>外</w:t>
            </w:r>
            <w:r>
              <w:rPr>
                <w:rFonts w:hint="eastAsia" w:ascii="Times New Roman" w:hAnsi="Times New Roman" w:eastAsia="宋体"/>
                <w:color w:val="auto"/>
                <w:sz w:val="24"/>
                <w:szCs w:val="24"/>
              </w:rPr>
              <w:t>的倍频带声压级可按下式近似求出：</w:t>
            </w:r>
          </w:p>
          <w:p w14:paraId="12C51C21">
            <w:pPr>
              <w:adjustRightInd w:val="0"/>
              <w:snapToGrid w:val="0"/>
              <w:spacing w:line="360" w:lineRule="auto"/>
              <w:ind w:firstLine="480"/>
              <w:jc w:val="center"/>
              <w:rPr>
                <w:rFonts w:ascii="Times New Roman" w:hAnsi="Times New Roman" w:eastAsia="宋体"/>
                <w:color w:val="auto"/>
                <w:sz w:val="24"/>
                <w:szCs w:val="24"/>
              </w:rPr>
            </w:pPr>
            <w:r>
              <w:rPr>
                <w:rFonts w:ascii="Times New Roman" w:hAnsi="Times New Roman" w:eastAsia="宋体"/>
                <w:color w:val="auto"/>
                <w:sz w:val="24"/>
                <w:szCs w:val="24"/>
              </w:rPr>
              <w:drawing>
                <wp:inline distT="0" distB="0" distL="114300" distR="114300">
                  <wp:extent cx="1244600" cy="241300"/>
                  <wp:effectExtent l="0" t="0" r="0" b="0"/>
                  <wp:docPr id="7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
                          <pic:cNvPicPr>
                            <a:picLocks noChangeAspect="1"/>
                          </pic:cNvPicPr>
                        </pic:nvPicPr>
                        <pic:blipFill>
                          <a:blip r:embed="rId13"/>
                          <a:stretch>
                            <a:fillRect/>
                          </a:stretch>
                        </pic:blipFill>
                        <pic:spPr>
                          <a:xfrm>
                            <a:off x="0" y="0"/>
                            <a:ext cx="1244600" cy="241300"/>
                          </a:xfrm>
                          <a:prstGeom prst="rect">
                            <a:avLst/>
                          </a:prstGeom>
                          <a:noFill/>
                          <a:ln>
                            <a:noFill/>
                          </a:ln>
                        </pic:spPr>
                      </pic:pic>
                    </a:graphicData>
                  </a:graphic>
                </wp:inline>
              </w:drawing>
            </w:r>
          </w:p>
          <w:p w14:paraId="757F953F">
            <w:pPr>
              <w:adjustRightInd w:val="0"/>
              <w:snapToGrid w:val="0"/>
              <w:spacing w:line="360" w:lineRule="auto"/>
              <w:ind w:firstLine="480"/>
              <w:jc w:val="both"/>
              <w:rPr>
                <w:rFonts w:hint="eastAsia" w:ascii="Times New Roman" w:hAnsi="Times New Roman" w:eastAsia="宋体"/>
                <w:color w:val="auto"/>
                <w:sz w:val="24"/>
                <w:szCs w:val="24"/>
              </w:rPr>
            </w:pPr>
            <w:r>
              <w:rPr>
                <w:rFonts w:hint="eastAsia" w:ascii="Times New Roman" w:hAnsi="Times New Roman" w:eastAsia="宋体"/>
                <w:color w:val="auto"/>
                <w:sz w:val="24"/>
                <w:szCs w:val="24"/>
              </w:rPr>
              <w:t>式中：</w:t>
            </w:r>
          </w:p>
          <w:p w14:paraId="59478BE5">
            <w:pPr>
              <w:adjustRightInd w:val="0"/>
              <w:snapToGrid w:val="0"/>
              <w:spacing w:line="360" w:lineRule="auto"/>
              <w:ind w:firstLine="480"/>
              <w:jc w:val="both"/>
              <w:rPr>
                <w:rFonts w:hint="eastAsia" w:ascii="Times New Roman" w:hAnsi="Times New Roman" w:eastAsia="宋体" w:cs="Times New Roman"/>
                <w:color w:val="auto"/>
                <w:sz w:val="24"/>
                <w:szCs w:val="24"/>
              </w:rPr>
            </w:pPr>
            <w:r>
              <w:rPr>
                <w:rFonts w:hint="eastAsia" w:ascii="Times New Roman" w:hAnsi="Times New Roman" w:eastAsia="宋体"/>
                <w:color w:val="auto"/>
                <w:sz w:val="24"/>
                <w:szCs w:val="24"/>
              </w:rPr>
              <w:t>L</w:t>
            </w:r>
            <w:r>
              <w:rPr>
                <w:rFonts w:hint="eastAsia" w:ascii="Times New Roman" w:hAnsi="Times New Roman" w:eastAsia="宋体"/>
                <w:color w:val="auto"/>
                <w:sz w:val="24"/>
                <w:szCs w:val="24"/>
                <w:vertAlign w:val="subscript"/>
              </w:rPr>
              <w:t>p1</w:t>
            </w:r>
            <w:r>
              <w:rPr>
                <w:rFonts w:hint="eastAsia" w:ascii="Times New Roman" w:hAnsi="Times New Roman" w:eastAsia="宋体"/>
                <w:color w:val="auto"/>
                <w:sz w:val="24"/>
                <w:szCs w:val="24"/>
              </w:rPr>
              <w:t>—靠近开口处</w:t>
            </w:r>
            <w:r>
              <w:rPr>
                <w:rFonts w:hint="eastAsia" w:ascii="Times New Roman" w:hAnsi="Times New Roman" w:eastAsia="宋体"/>
                <w:color w:val="auto"/>
                <w:sz w:val="24"/>
                <w:szCs w:val="24"/>
                <w:lang w:val="en-US" w:eastAsia="zh-CN"/>
              </w:rPr>
              <w:t>(</w:t>
            </w:r>
            <w:r>
              <w:rPr>
                <w:rFonts w:hint="eastAsia" w:ascii="Times New Roman" w:hAnsi="Times New Roman" w:eastAsia="宋体"/>
                <w:color w:val="auto"/>
                <w:sz w:val="24"/>
                <w:szCs w:val="24"/>
              </w:rPr>
              <w:t>或窗户</w:t>
            </w:r>
            <w:r>
              <w:rPr>
                <w:rFonts w:hint="eastAsia" w:ascii="Times New Roman" w:hAnsi="Times New Roman" w:eastAsia="宋体"/>
                <w:color w:val="auto"/>
                <w:sz w:val="24"/>
                <w:szCs w:val="24"/>
                <w:lang w:val="en-US" w:eastAsia="zh-CN"/>
              </w:rPr>
              <w:t>)</w:t>
            </w:r>
            <w:r>
              <w:rPr>
                <w:rFonts w:hint="eastAsia" w:ascii="Times New Roman" w:hAnsi="Times New Roman" w:eastAsia="宋体"/>
                <w:color w:val="auto"/>
                <w:sz w:val="24"/>
                <w:szCs w:val="24"/>
              </w:rPr>
              <w:t>室内某倍频带的声压级或A声级，dB；</w:t>
            </w:r>
          </w:p>
          <w:p w14:paraId="085CDE64">
            <w:pPr>
              <w:adjustRightInd w:val="0"/>
              <w:snapToGrid w:val="0"/>
              <w:spacing w:line="360" w:lineRule="auto"/>
              <w:ind w:firstLine="480"/>
              <w:jc w:val="both"/>
              <w:rPr>
                <w:rFonts w:hint="eastAsia" w:ascii="Times New Roman" w:hAnsi="Times New Roman" w:eastAsia="宋体"/>
                <w:color w:val="auto"/>
                <w:sz w:val="24"/>
                <w:szCs w:val="24"/>
              </w:rPr>
            </w:pPr>
            <w:r>
              <w:rPr>
                <w:rFonts w:hint="eastAsia" w:ascii="Times New Roman" w:hAnsi="Times New Roman" w:eastAsia="宋体"/>
                <w:color w:val="auto"/>
                <w:sz w:val="24"/>
                <w:szCs w:val="24"/>
              </w:rPr>
              <w:t>L</w:t>
            </w:r>
            <w:r>
              <w:rPr>
                <w:rFonts w:hint="eastAsia" w:ascii="Times New Roman" w:hAnsi="Times New Roman" w:eastAsia="宋体"/>
                <w:color w:val="auto"/>
                <w:sz w:val="24"/>
                <w:szCs w:val="24"/>
                <w:vertAlign w:val="subscript"/>
              </w:rPr>
              <w:t>p</w:t>
            </w:r>
            <w:r>
              <w:rPr>
                <w:rFonts w:hint="eastAsia" w:ascii="Times New Roman" w:hAnsi="Times New Roman" w:eastAsia="宋体"/>
                <w:color w:val="auto"/>
                <w:sz w:val="24"/>
                <w:szCs w:val="24"/>
                <w:vertAlign w:val="subscript"/>
                <w:lang w:val="en-US" w:eastAsia="zh-CN"/>
              </w:rPr>
              <w:t>2</w:t>
            </w:r>
            <w:r>
              <w:rPr>
                <w:rFonts w:hint="eastAsia" w:ascii="Times New Roman" w:hAnsi="Times New Roman" w:eastAsia="宋体"/>
                <w:color w:val="auto"/>
                <w:sz w:val="24"/>
                <w:szCs w:val="24"/>
              </w:rPr>
              <w:t>—靠近开口处</w:t>
            </w:r>
            <w:r>
              <w:rPr>
                <w:rFonts w:hint="eastAsia" w:ascii="Times New Roman" w:hAnsi="Times New Roman" w:eastAsia="宋体"/>
                <w:color w:val="auto"/>
                <w:sz w:val="24"/>
                <w:szCs w:val="24"/>
                <w:lang w:val="en-US" w:eastAsia="zh-CN"/>
              </w:rPr>
              <w:t>(</w:t>
            </w:r>
            <w:r>
              <w:rPr>
                <w:rFonts w:hint="eastAsia" w:ascii="Times New Roman" w:hAnsi="Times New Roman" w:eastAsia="宋体"/>
                <w:color w:val="auto"/>
                <w:sz w:val="24"/>
                <w:szCs w:val="24"/>
              </w:rPr>
              <w:t>或窗户</w:t>
            </w:r>
            <w:r>
              <w:rPr>
                <w:rFonts w:hint="eastAsia" w:ascii="Times New Roman" w:hAnsi="Times New Roman" w:eastAsia="宋体"/>
                <w:color w:val="auto"/>
                <w:sz w:val="24"/>
                <w:szCs w:val="24"/>
                <w:lang w:val="en-US" w:eastAsia="zh-CN"/>
              </w:rPr>
              <w:t>)</w:t>
            </w:r>
            <w:r>
              <w:rPr>
                <w:rFonts w:hint="eastAsia" w:ascii="Times New Roman" w:hAnsi="Times New Roman" w:eastAsia="宋体"/>
                <w:color w:val="auto"/>
                <w:sz w:val="24"/>
                <w:szCs w:val="24"/>
              </w:rPr>
              <w:t>室外某倍频带的声压级或A声级，dB；</w:t>
            </w:r>
          </w:p>
          <w:p w14:paraId="6352DF28">
            <w:pPr>
              <w:adjustRightInd w:val="0"/>
              <w:snapToGrid w:val="0"/>
              <w:spacing w:line="360" w:lineRule="auto"/>
              <w:ind w:firstLine="480"/>
              <w:jc w:val="both"/>
              <w:rPr>
                <w:rFonts w:hint="eastAsia" w:ascii="Times New Roman" w:hAnsi="Times New Roman" w:eastAsia="宋体"/>
                <w:color w:val="auto"/>
                <w:sz w:val="24"/>
                <w:szCs w:val="24"/>
              </w:rPr>
            </w:pPr>
            <w:r>
              <w:rPr>
                <w:rFonts w:hint="eastAsia" w:ascii="Times New Roman" w:hAnsi="Times New Roman" w:eastAsia="宋体"/>
                <w:color w:val="auto"/>
                <w:sz w:val="24"/>
                <w:szCs w:val="24"/>
              </w:rPr>
              <w:t>T</w:t>
            </w:r>
            <w:r>
              <w:rPr>
                <w:rFonts w:hint="eastAsia"/>
                <w:color w:val="auto"/>
                <w:sz w:val="24"/>
                <w:szCs w:val="24"/>
                <w:lang w:val="en-US" w:eastAsia="zh-CN"/>
              </w:rPr>
              <w:t>L</w:t>
            </w:r>
            <w:r>
              <w:rPr>
                <w:rFonts w:hint="eastAsia" w:ascii="Times New Roman" w:hAnsi="Times New Roman" w:eastAsia="宋体"/>
                <w:color w:val="auto"/>
                <w:sz w:val="24"/>
                <w:szCs w:val="24"/>
              </w:rPr>
              <w:t>—隔墙</w:t>
            </w:r>
            <w:r>
              <w:rPr>
                <w:rFonts w:hint="eastAsia" w:ascii="Times New Roman" w:hAnsi="Times New Roman" w:eastAsia="宋体"/>
                <w:color w:val="auto"/>
                <w:sz w:val="24"/>
                <w:szCs w:val="24"/>
                <w:lang w:val="en-US" w:eastAsia="zh-CN"/>
              </w:rPr>
              <w:t>(</w:t>
            </w:r>
            <w:r>
              <w:rPr>
                <w:rFonts w:hint="eastAsia" w:ascii="Times New Roman" w:hAnsi="Times New Roman" w:eastAsia="宋体"/>
                <w:color w:val="auto"/>
                <w:sz w:val="24"/>
                <w:szCs w:val="24"/>
              </w:rPr>
              <w:t>或窗户</w:t>
            </w:r>
            <w:r>
              <w:rPr>
                <w:rFonts w:hint="eastAsia" w:ascii="Times New Roman" w:hAnsi="Times New Roman" w:eastAsia="宋体"/>
                <w:color w:val="auto"/>
                <w:sz w:val="24"/>
                <w:szCs w:val="24"/>
                <w:lang w:val="en-US" w:eastAsia="zh-CN"/>
              </w:rPr>
              <w:t>)</w:t>
            </w:r>
            <w:r>
              <w:rPr>
                <w:rFonts w:hint="eastAsia" w:ascii="Times New Roman" w:hAnsi="Times New Roman" w:eastAsia="宋体"/>
                <w:color w:val="auto"/>
                <w:sz w:val="24"/>
                <w:szCs w:val="24"/>
              </w:rPr>
              <w:t>倍频带或A声级的隔声量，dB。</w:t>
            </w:r>
          </w:p>
          <w:p w14:paraId="7CF6A7AB">
            <w:pPr>
              <w:adjustRightInd w:val="0"/>
              <w:snapToGrid w:val="0"/>
              <w:spacing w:line="360" w:lineRule="auto"/>
              <w:ind w:firstLine="480"/>
              <w:jc w:val="center"/>
              <w:rPr>
                <w:rFonts w:hint="eastAsia" w:ascii="Times New Roman" w:hAnsi="Times New Roman" w:eastAsia="宋体"/>
                <w:color w:val="auto"/>
                <w:sz w:val="21"/>
                <w:szCs w:val="21"/>
              </w:rPr>
            </w:pPr>
            <w:r>
              <w:rPr>
                <w:rFonts w:ascii="Times New Roman" w:hAnsi="Times New Roman" w:eastAsia="宋体"/>
                <w:color w:val="auto"/>
                <w:sz w:val="21"/>
                <w:szCs w:val="21"/>
              </w:rPr>
              <w:drawing>
                <wp:inline distT="0" distB="0" distL="114300" distR="114300">
                  <wp:extent cx="2320290" cy="1043305"/>
                  <wp:effectExtent l="0" t="0" r="3810" b="10795"/>
                  <wp:docPr id="10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8"/>
                          <pic:cNvPicPr>
                            <a:picLocks noChangeAspect="1"/>
                          </pic:cNvPicPr>
                        </pic:nvPicPr>
                        <pic:blipFill>
                          <a:blip r:embed="rId14"/>
                          <a:stretch>
                            <a:fillRect/>
                          </a:stretch>
                        </pic:blipFill>
                        <pic:spPr>
                          <a:xfrm>
                            <a:off x="0" y="0"/>
                            <a:ext cx="2320290" cy="1043305"/>
                          </a:xfrm>
                          <a:prstGeom prst="rect">
                            <a:avLst/>
                          </a:prstGeom>
                          <a:noFill/>
                          <a:ln>
                            <a:noFill/>
                          </a:ln>
                        </pic:spPr>
                      </pic:pic>
                    </a:graphicData>
                  </a:graphic>
                </wp:inline>
              </w:drawing>
            </w:r>
          </w:p>
          <w:p w14:paraId="369B0CF2">
            <w:pPr>
              <w:adjustRightInd w:val="0"/>
              <w:snapToGrid w:val="0"/>
              <w:spacing w:line="360" w:lineRule="auto"/>
              <w:ind w:firstLine="48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图</w:t>
            </w:r>
            <w:r>
              <w:rPr>
                <w:rFonts w:hint="default" w:ascii="Times New Roman" w:hAnsi="Times New Roman" w:eastAsia="宋体" w:cs="Times New Roman"/>
                <w:b/>
                <w:bCs/>
                <w:color w:val="auto"/>
                <w:sz w:val="21"/>
                <w:szCs w:val="21"/>
                <w:lang w:val="en-US" w:eastAsia="zh-CN"/>
              </w:rPr>
              <w:t>4.</w:t>
            </w:r>
            <w:r>
              <w:rPr>
                <w:rFonts w:hint="eastAsia" w:ascii="Times New Roman" w:hAnsi="Times New Roman" w:eastAsia="宋体" w:cs="Times New Roman"/>
                <w:b/>
                <w:bCs/>
                <w:color w:val="auto"/>
                <w:sz w:val="21"/>
                <w:szCs w:val="21"/>
                <w:lang w:val="en-US" w:eastAsia="zh-CN"/>
              </w:rPr>
              <w:t>4</w:t>
            </w:r>
            <w:r>
              <w:rPr>
                <w:rFonts w:hint="default" w:ascii="Times New Roman" w:hAnsi="Times New Roman" w:eastAsia="宋体" w:cs="Times New Roman"/>
                <w:b/>
                <w:bCs/>
                <w:color w:val="auto"/>
                <w:sz w:val="21"/>
                <w:szCs w:val="21"/>
                <w:lang w:val="en-US" w:eastAsia="zh-CN"/>
              </w:rPr>
              <w:t>-1</w:t>
            </w:r>
            <w:r>
              <w:rPr>
                <w:rFonts w:hint="default" w:ascii="Times New Roman" w:hAnsi="Times New Roman" w:eastAsia="宋体" w:cs="Times New Roman"/>
                <w:b/>
                <w:bCs/>
                <w:color w:val="auto"/>
                <w:sz w:val="21"/>
                <w:szCs w:val="21"/>
              </w:rPr>
              <w:t xml:space="preserve"> 室内声源等效室外声源图例</w:t>
            </w:r>
          </w:p>
          <w:p w14:paraId="51C8093B">
            <w:pPr>
              <w:adjustRightInd w:val="0"/>
              <w:snapToGrid w:val="0"/>
              <w:spacing w:line="360" w:lineRule="auto"/>
              <w:ind w:firstLine="480"/>
              <w:rPr>
                <w:rFonts w:hint="eastAsia" w:ascii="Times New Roman" w:hAnsi="Times New Roman" w:eastAsia="宋体"/>
                <w:color w:val="auto"/>
                <w:sz w:val="24"/>
                <w:szCs w:val="24"/>
              </w:rPr>
            </w:pPr>
            <w:r>
              <w:rPr>
                <w:rFonts w:hint="eastAsia" w:ascii="Times New Roman" w:hAnsi="Times New Roman" w:eastAsia="宋体"/>
                <w:color w:val="auto"/>
                <w:sz w:val="24"/>
                <w:szCs w:val="24"/>
              </w:rPr>
              <w:t>②按下式计算某一室内声源靠近围护结构处产生的倍频带声压级或A声级：</w:t>
            </w:r>
          </w:p>
          <w:p w14:paraId="3FC37672">
            <w:pPr>
              <w:adjustRightInd w:val="0"/>
              <w:snapToGrid w:val="0"/>
              <w:spacing w:line="360" w:lineRule="auto"/>
              <w:ind w:firstLine="480"/>
              <w:jc w:val="center"/>
              <w:rPr>
                <w:rFonts w:ascii="Times New Roman" w:hAnsi="Times New Roman" w:eastAsia="宋体"/>
                <w:color w:val="auto"/>
                <w:sz w:val="24"/>
                <w:szCs w:val="24"/>
              </w:rPr>
            </w:pPr>
            <w:r>
              <w:rPr>
                <w:rFonts w:ascii="Times New Roman" w:hAnsi="Times New Roman" w:eastAsia="宋体"/>
                <w:color w:val="auto"/>
                <w:sz w:val="24"/>
                <w:szCs w:val="24"/>
              </w:rPr>
              <w:drawing>
                <wp:inline distT="0" distB="0" distL="114300" distR="114300">
                  <wp:extent cx="1714500" cy="482600"/>
                  <wp:effectExtent l="0" t="0" r="0" b="0"/>
                  <wp:docPr id="20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9"/>
                          <pic:cNvPicPr>
                            <a:picLocks noChangeAspect="1"/>
                          </pic:cNvPicPr>
                        </pic:nvPicPr>
                        <pic:blipFill>
                          <a:blip r:embed="rId15"/>
                          <a:stretch>
                            <a:fillRect/>
                          </a:stretch>
                        </pic:blipFill>
                        <pic:spPr>
                          <a:xfrm>
                            <a:off x="0" y="0"/>
                            <a:ext cx="1714500" cy="482600"/>
                          </a:xfrm>
                          <a:prstGeom prst="rect">
                            <a:avLst/>
                          </a:prstGeom>
                          <a:noFill/>
                          <a:ln>
                            <a:noFill/>
                          </a:ln>
                        </pic:spPr>
                      </pic:pic>
                    </a:graphicData>
                  </a:graphic>
                </wp:inline>
              </w:drawing>
            </w:r>
          </w:p>
          <w:p w14:paraId="069B3662">
            <w:pPr>
              <w:adjustRightInd w:val="0"/>
              <w:snapToGrid w:val="0"/>
              <w:spacing w:line="360" w:lineRule="auto"/>
              <w:ind w:firstLine="480"/>
              <w:rPr>
                <w:rFonts w:hint="eastAsia" w:ascii="Times New Roman" w:hAnsi="Times New Roman" w:eastAsia="宋体" w:cs="宋体"/>
                <w:color w:val="auto"/>
                <w:sz w:val="24"/>
                <w:szCs w:val="24"/>
              </w:rPr>
            </w:pPr>
            <w:r>
              <w:rPr>
                <w:rFonts w:hint="eastAsia" w:ascii="Times New Roman" w:hAnsi="Times New Roman" w:eastAsia="宋体" w:cs="宋体"/>
                <w:color w:val="auto"/>
                <w:sz w:val="24"/>
                <w:szCs w:val="24"/>
              </w:rPr>
              <w:t>式中：</w:t>
            </w:r>
          </w:p>
          <w:p w14:paraId="67D4E5F5">
            <w:pPr>
              <w:adjustRightInd w:val="0"/>
              <w:snapToGrid w:val="0"/>
              <w:spacing w:line="360" w:lineRule="auto"/>
              <w:ind w:firstLine="480"/>
              <w:rPr>
                <w:rFonts w:hint="eastAsia" w:ascii="Times New Roman" w:hAnsi="Times New Roman" w:eastAsia="宋体" w:cs="宋体"/>
                <w:color w:val="auto"/>
                <w:sz w:val="24"/>
                <w:szCs w:val="24"/>
              </w:rPr>
            </w:pPr>
            <w:r>
              <w:rPr>
                <w:rFonts w:hint="eastAsia" w:ascii="Times New Roman" w:hAnsi="Times New Roman" w:eastAsia="宋体" w:cs="宋体"/>
                <w:color w:val="auto"/>
                <w:sz w:val="24"/>
                <w:szCs w:val="24"/>
              </w:rPr>
              <w:t>Lp</w:t>
            </w:r>
            <w:r>
              <w:rPr>
                <w:rFonts w:hint="eastAsia" w:ascii="Times New Roman" w:hAnsi="Times New Roman" w:eastAsia="宋体" w:cs="宋体"/>
                <w:color w:val="auto"/>
                <w:sz w:val="24"/>
                <w:szCs w:val="24"/>
                <w:vertAlign w:val="subscript"/>
                <w:lang w:val="en-US" w:eastAsia="zh-CN"/>
              </w:rPr>
              <w:t>1</w:t>
            </w:r>
            <w:r>
              <w:rPr>
                <w:rFonts w:hint="eastAsia" w:ascii="Times New Roman" w:hAnsi="Times New Roman" w:eastAsia="宋体" w:cs="宋体"/>
                <w:color w:val="auto"/>
                <w:sz w:val="24"/>
                <w:szCs w:val="24"/>
              </w:rPr>
              <w:t>—靠近开口处</w:t>
            </w:r>
            <w:r>
              <w:rPr>
                <w:rFonts w:hint="eastAsia" w:ascii="Times New Roman" w:hAnsi="Times New Roman" w:eastAsia="宋体" w:cs="宋体"/>
                <w:color w:val="auto"/>
                <w:sz w:val="24"/>
                <w:szCs w:val="24"/>
                <w:lang w:val="en-US" w:eastAsia="zh-CN"/>
              </w:rPr>
              <w:t>(</w:t>
            </w:r>
            <w:r>
              <w:rPr>
                <w:rFonts w:hint="eastAsia" w:ascii="Times New Roman" w:hAnsi="Times New Roman" w:eastAsia="宋体" w:cs="宋体"/>
                <w:color w:val="auto"/>
                <w:sz w:val="24"/>
                <w:szCs w:val="24"/>
              </w:rPr>
              <w:t>或窗户</w:t>
            </w:r>
            <w:r>
              <w:rPr>
                <w:rFonts w:hint="eastAsia" w:ascii="Times New Roman" w:hAnsi="Times New Roman" w:eastAsia="宋体" w:cs="宋体"/>
                <w:color w:val="auto"/>
                <w:sz w:val="24"/>
                <w:szCs w:val="24"/>
                <w:lang w:val="en-US" w:eastAsia="zh-CN"/>
              </w:rPr>
              <w:t>)</w:t>
            </w:r>
            <w:r>
              <w:rPr>
                <w:rFonts w:hint="eastAsia" w:ascii="Times New Roman" w:hAnsi="Times New Roman" w:eastAsia="宋体" w:cs="宋体"/>
                <w:color w:val="auto"/>
                <w:sz w:val="24"/>
                <w:szCs w:val="24"/>
              </w:rPr>
              <w:t>室内某倍频带的声压级或A声级，dB；</w:t>
            </w:r>
          </w:p>
          <w:p w14:paraId="02FB322A">
            <w:pPr>
              <w:adjustRightInd w:val="0"/>
              <w:snapToGrid w:val="0"/>
              <w:spacing w:line="360" w:lineRule="auto"/>
              <w:ind w:firstLine="480"/>
              <w:rPr>
                <w:rFonts w:hint="eastAsia" w:ascii="Times New Roman" w:hAnsi="Times New Roman" w:eastAsia="宋体" w:cs="宋体"/>
                <w:color w:val="auto"/>
                <w:sz w:val="24"/>
                <w:szCs w:val="24"/>
              </w:rPr>
            </w:pPr>
            <w:r>
              <w:rPr>
                <w:rFonts w:hint="eastAsia" w:ascii="Times New Roman" w:hAnsi="Times New Roman" w:eastAsia="宋体" w:cs="宋体"/>
                <w:color w:val="auto"/>
                <w:sz w:val="24"/>
                <w:szCs w:val="24"/>
              </w:rPr>
              <w:t>Lw—点声源声功率级</w:t>
            </w:r>
            <w:r>
              <w:rPr>
                <w:rFonts w:hint="eastAsia" w:ascii="Times New Roman" w:hAnsi="Times New Roman" w:eastAsia="宋体" w:cs="宋体"/>
                <w:color w:val="auto"/>
                <w:sz w:val="24"/>
                <w:szCs w:val="24"/>
                <w:lang w:val="en-US" w:eastAsia="zh-CN"/>
              </w:rPr>
              <w:t>(</w:t>
            </w:r>
            <w:r>
              <w:rPr>
                <w:rFonts w:hint="eastAsia" w:ascii="Times New Roman" w:hAnsi="Times New Roman" w:eastAsia="宋体" w:cs="宋体"/>
                <w:color w:val="auto"/>
                <w:sz w:val="24"/>
                <w:szCs w:val="24"/>
              </w:rPr>
              <w:t>A计权或倍频带</w:t>
            </w:r>
            <w:r>
              <w:rPr>
                <w:rFonts w:hint="eastAsia" w:ascii="Times New Roman" w:hAnsi="Times New Roman" w:eastAsia="宋体" w:cs="宋体"/>
                <w:color w:val="auto"/>
                <w:sz w:val="24"/>
                <w:szCs w:val="24"/>
                <w:lang w:val="en-US" w:eastAsia="zh-CN"/>
              </w:rPr>
              <w:t>)</w:t>
            </w:r>
            <w:r>
              <w:rPr>
                <w:rFonts w:hint="eastAsia" w:ascii="Times New Roman" w:hAnsi="Times New Roman" w:eastAsia="宋体" w:cs="宋体"/>
                <w:color w:val="auto"/>
                <w:sz w:val="24"/>
                <w:szCs w:val="24"/>
              </w:rPr>
              <w:t>，dB；</w:t>
            </w:r>
          </w:p>
          <w:p w14:paraId="4B1889D9">
            <w:pPr>
              <w:adjustRightInd w:val="0"/>
              <w:snapToGrid w:val="0"/>
              <w:spacing w:line="360" w:lineRule="auto"/>
              <w:ind w:firstLine="480"/>
              <w:rPr>
                <w:rFonts w:hint="eastAsia" w:ascii="Times New Roman" w:hAnsi="Times New Roman" w:eastAsia="宋体" w:cs="宋体"/>
                <w:color w:val="auto"/>
                <w:sz w:val="24"/>
                <w:szCs w:val="24"/>
              </w:rPr>
            </w:pPr>
            <w:r>
              <w:rPr>
                <w:rFonts w:hint="eastAsia" w:ascii="Times New Roman" w:hAnsi="Times New Roman" w:eastAsia="宋体" w:cs="宋体"/>
                <w:color w:val="auto"/>
                <w:sz w:val="24"/>
                <w:szCs w:val="24"/>
                <w:lang w:val="en-US" w:eastAsia="zh-CN"/>
              </w:rPr>
              <w:t>Q</w:t>
            </w:r>
            <w:r>
              <w:rPr>
                <w:rFonts w:hint="eastAsia" w:ascii="Times New Roman" w:hAnsi="Times New Roman" w:eastAsia="宋体" w:cs="宋体"/>
                <w:color w:val="auto"/>
                <w:sz w:val="24"/>
                <w:szCs w:val="24"/>
              </w:rPr>
              <w:t>—指向性因数；通常对无指向性声源，当声源放在房间中心时，</w:t>
            </w:r>
            <w:r>
              <w:rPr>
                <w:rFonts w:hint="eastAsia" w:ascii="Times New Roman" w:hAnsi="Times New Roman" w:eastAsia="宋体" w:cs="宋体"/>
                <w:color w:val="auto"/>
                <w:sz w:val="24"/>
                <w:szCs w:val="24"/>
                <w:lang w:val="en-US" w:eastAsia="zh-CN"/>
              </w:rPr>
              <w:t>Q</w:t>
            </w:r>
            <w:r>
              <w:rPr>
                <w:rFonts w:hint="eastAsia" w:ascii="Times New Roman" w:hAnsi="Times New Roman" w:eastAsia="宋体" w:cs="宋体"/>
                <w:color w:val="auto"/>
                <w:sz w:val="24"/>
                <w:szCs w:val="24"/>
              </w:rPr>
              <w:t>=1；当放在一面墙的中心时，</w:t>
            </w:r>
            <w:r>
              <w:rPr>
                <w:rFonts w:hint="eastAsia" w:ascii="Times New Roman" w:hAnsi="Times New Roman" w:eastAsia="宋体" w:cs="宋体"/>
                <w:color w:val="auto"/>
                <w:sz w:val="24"/>
                <w:szCs w:val="24"/>
                <w:lang w:val="en-US" w:eastAsia="zh-CN"/>
              </w:rPr>
              <w:t>Q</w:t>
            </w:r>
            <w:r>
              <w:rPr>
                <w:rFonts w:hint="eastAsia" w:ascii="Times New Roman" w:hAnsi="Times New Roman" w:eastAsia="宋体" w:cs="宋体"/>
                <w:color w:val="auto"/>
                <w:sz w:val="24"/>
                <w:szCs w:val="24"/>
              </w:rPr>
              <w:t>=2；当放在两面墙夹角处时，</w:t>
            </w:r>
            <w:r>
              <w:rPr>
                <w:rFonts w:hint="eastAsia" w:ascii="Times New Roman" w:hAnsi="Times New Roman" w:eastAsia="宋体" w:cs="宋体"/>
                <w:color w:val="auto"/>
                <w:sz w:val="24"/>
                <w:szCs w:val="24"/>
                <w:lang w:val="en-US" w:eastAsia="zh-CN"/>
              </w:rPr>
              <w:t>Q</w:t>
            </w:r>
            <w:r>
              <w:rPr>
                <w:rFonts w:hint="eastAsia" w:ascii="Times New Roman" w:hAnsi="Times New Roman" w:eastAsia="宋体" w:cs="宋体"/>
                <w:color w:val="auto"/>
                <w:sz w:val="24"/>
                <w:szCs w:val="24"/>
              </w:rPr>
              <w:t>=4；当放在三面墙夹角处时，</w:t>
            </w:r>
            <w:r>
              <w:rPr>
                <w:rFonts w:hint="eastAsia" w:ascii="Times New Roman" w:hAnsi="Times New Roman" w:eastAsia="宋体" w:cs="宋体"/>
                <w:color w:val="auto"/>
                <w:sz w:val="24"/>
                <w:szCs w:val="24"/>
                <w:lang w:val="en-US" w:eastAsia="zh-CN"/>
              </w:rPr>
              <w:t>Q</w:t>
            </w:r>
            <w:r>
              <w:rPr>
                <w:rFonts w:hint="eastAsia" w:ascii="Times New Roman" w:hAnsi="Times New Roman" w:eastAsia="宋体" w:cs="宋体"/>
                <w:color w:val="auto"/>
                <w:sz w:val="24"/>
                <w:szCs w:val="24"/>
              </w:rPr>
              <w:t>=8；</w:t>
            </w:r>
          </w:p>
          <w:p w14:paraId="014982BC">
            <w:pPr>
              <w:adjustRightInd w:val="0"/>
              <w:snapToGrid w:val="0"/>
              <w:spacing w:line="360" w:lineRule="auto"/>
              <w:ind w:firstLine="480"/>
              <w:rPr>
                <w:rFonts w:hint="eastAsia" w:ascii="Times New Roman" w:hAnsi="Times New Roman" w:eastAsia="宋体" w:cs="宋体"/>
                <w:color w:val="auto"/>
                <w:sz w:val="24"/>
                <w:szCs w:val="24"/>
              </w:rPr>
            </w:pPr>
            <w:r>
              <w:rPr>
                <w:rFonts w:hint="eastAsia" w:ascii="Times New Roman" w:hAnsi="Times New Roman" w:eastAsia="宋体" w:cs="宋体"/>
                <w:color w:val="auto"/>
                <w:sz w:val="24"/>
                <w:szCs w:val="24"/>
              </w:rPr>
              <w:t>R—房间常数；R=Sa/(1-a)，s为房间内表面面积，m</w:t>
            </w:r>
            <w:r>
              <w:rPr>
                <w:rFonts w:hint="eastAsia" w:ascii="Times New Roman" w:hAnsi="Times New Roman" w:eastAsia="宋体" w:cs="宋体"/>
                <w:color w:val="auto"/>
                <w:sz w:val="24"/>
                <w:szCs w:val="24"/>
                <w:vertAlign w:val="superscript"/>
              </w:rPr>
              <w:t>2</w:t>
            </w:r>
            <w:r>
              <w:rPr>
                <w:rFonts w:hint="eastAsia" w:ascii="Times New Roman" w:hAnsi="Times New Roman" w:eastAsia="宋体" w:cs="宋体"/>
                <w:color w:val="auto"/>
                <w:sz w:val="24"/>
                <w:szCs w:val="24"/>
              </w:rPr>
              <w:t>；a为平均吸声系数；</w:t>
            </w:r>
          </w:p>
          <w:p w14:paraId="14AEA059">
            <w:pPr>
              <w:adjustRightInd w:val="0"/>
              <w:snapToGrid w:val="0"/>
              <w:spacing w:line="360" w:lineRule="auto"/>
              <w:ind w:firstLine="480"/>
              <w:rPr>
                <w:rFonts w:hint="eastAsia" w:ascii="Times New Roman" w:hAnsi="Times New Roman" w:eastAsia="宋体"/>
                <w:color w:val="auto"/>
                <w:sz w:val="24"/>
                <w:szCs w:val="24"/>
              </w:rPr>
            </w:pPr>
            <w:r>
              <w:rPr>
                <w:rFonts w:hint="eastAsia" w:ascii="Times New Roman" w:hAnsi="Times New Roman" w:eastAsia="宋体"/>
                <w:color w:val="auto"/>
                <w:sz w:val="24"/>
                <w:szCs w:val="24"/>
              </w:rPr>
              <w:t>r</w:t>
            </w:r>
            <w:r>
              <w:rPr>
                <w:rFonts w:hint="eastAsia" w:ascii="Times New Roman" w:hAnsi="Times New Roman" w:eastAsia="宋体" w:cs="宋体"/>
                <w:color w:val="auto"/>
                <w:sz w:val="24"/>
                <w:szCs w:val="24"/>
              </w:rPr>
              <w:t>—</w:t>
            </w:r>
            <w:r>
              <w:rPr>
                <w:rFonts w:hint="eastAsia" w:ascii="Times New Roman" w:hAnsi="Times New Roman" w:eastAsia="宋体"/>
                <w:color w:val="auto"/>
                <w:sz w:val="24"/>
                <w:szCs w:val="24"/>
              </w:rPr>
              <w:t>声源到靠近围护结构某点处的距离，m。</w:t>
            </w:r>
          </w:p>
          <w:p w14:paraId="521B8CDA">
            <w:pPr>
              <w:adjustRightInd w:val="0"/>
              <w:snapToGrid w:val="0"/>
              <w:spacing w:line="360" w:lineRule="auto"/>
              <w:ind w:firstLine="480"/>
              <w:rPr>
                <w:rFonts w:ascii="Times New Roman" w:hAnsi="Times New Roman" w:eastAsia="宋体"/>
                <w:color w:val="auto"/>
                <w:sz w:val="24"/>
                <w:szCs w:val="24"/>
              </w:rPr>
            </w:pPr>
            <w:r>
              <w:rPr>
                <w:rFonts w:hint="eastAsia" w:ascii="Times New Roman" w:hAnsi="Times New Roman" w:eastAsia="宋体"/>
                <w:color w:val="auto"/>
                <w:sz w:val="24"/>
                <w:szCs w:val="24"/>
              </w:rPr>
              <w:t>③按下式</w:t>
            </w:r>
            <w:r>
              <w:rPr>
                <w:rFonts w:ascii="Times New Roman" w:hAnsi="Times New Roman" w:eastAsia="宋体"/>
                <w:color w:val="auto"/>
                <w:sz w:val="24"/>
                <w:szCs w:val="24"/>
              </w:rPr>
              <w:t>计算出所有室内声源在靠近围护结构处产生的</w:t>
            </w:r>
            <w:r>
              <w:rPr>
                <w:rFonts w:hint="eastAsia" w:ascii="Times New Roman" w:hAnsi="Times New Roman" w:eastAsia="宋体"/>
                <w:color w:val="auto"/>
                <w:sz w:val="24"/>
                <w:szCs w:val="24"/>
              </w:rPr>
              <w:t>i</w:t>
            </w:r>
            <w:r>
              <w:rPr>
                <w:rFonts w:ascii="Times New Roman" w:hAnsi="Times New Roman" w:eastAsia="宋体"/>
                <w:color w:val="auto"/>
                <w:sz w:val="24"/>
                <w:szCs w:val="24"/>
              </w:rPr>
              <w:t>倍频带</w:t>
            </w:r>
            <w:r>
              <w:rPr>
                <w:rFonts w:hint="eastAsia" w:ascii="Times New Roman" w:hAnsi="Times New Roman" w:eastAsia="宋体"/>
                <w:color w:val="auto"/>
                <w:sz w:val="24"/>
                <w:szCs w:val="24"/>
              </w:rPr>
              <w:t>叠加</w:t>
            </w:r>
            <w:r>
              <w:rPr>
                <w:rFonts w:ascii="Times New Roman" w:hAnsi="Times New Roman" w:eastAsia="宋体"/>
                <w:color w:val="auto"/>
                <w:sz w:val="24"/>
                <w:szCs w:val="24"/>
              </w:rPr>
              <w:t>声压级：</w:t>
            </w:r>
          </w:p>
          <w:p w14:paraId="36C09106">
            <w:pPr>
              <w:adjustRightInd w:val="0"/>
              <w:snapToGrid w:val="0"/>
              <w:spacing w:line="360" w:lineRule="auto"/>
              <w:ind w:firstLine="480"/>
              <w:jc w:val="center"/>
              <w:rPr>
                <w:rFonts w:hint="eastAsia" w:ascii="Times New Roman" w:hAnsi="Times New Roman" w:eastAsia="宋体"/>
                <w:color w:val="auto"/>
                <w:sz w:val="24"/>
                <w:szCs w:val="24"/>
              </w:rPr>
            </w:pPr>
            <w:r>
              <w:rPr>
                <w:rFonts w:ascii="Times New Roman" w:hAnsi="Times New Roman" w:eastAsia="宋体"/>
                <w:color w:val="auto"/>
                <w:sz w:val="24"/>
                <w:szCs w:val="24"/>
              </w:rPr>
              <w:drawing>
                <wp:inline distT="0" distB="0" distL="114300" distR="114300">
                  <wp:extent cx="1688465" cy="482600"/>
                  <wp:effectExtent l="0" t="0" r="635" b="0"/>
                  <wp:docPr id="20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0"/>
                          <pic:cNvPicPr>
                            <a:picLocks noChangeAspect="1"/>
                          </pic:cNvPicPr>
                        </pic:nvPicPr>
                        <pic:blipFill>
                          <a:blip r:embed="rId16"/>
                          <a:stretch>
                            <a:fillRect/>
                          </a:stretch>
                        </pic:blipFill>
                        <pic:spPr>
                          <a:xfrm>
                            <a:off x="0" y="0"/>
                            <a:ext cx="1688465" cy="482600"/>
                          </a:xfrm>
                          <a:prstGeom prst="rect">
                            <a:avLst/>
                          </a:prstGeom>
                          <a:noFill/>
                          <a:ln>
                            <a:noFill/>
                          </a:ln>
                        </pic:spPr>
                      </pic:pic>
                    </a:graphicData>
                  </a:graphic>
                </wp:inline>
              </w:drawing>
            </w:r>
          </w:p>
          <w:p w14:paraId="1664F243">
            <w:pPr>
              <w:adjustRightInd w:val="0"/>
              <w:snapToGrid w:val="0"/>
              <w:spacing w:line="360" w:lineRule="auto"/>
              <w:ind w:firstLine="480"/>
              <w:rPr>
                <w:rFonts w:hint="eastAsia" w:ascii="Times New Roman" w:hAnsi="Times New Roman" w:eastAsia="宋体"/>
                <w:color w:val="auto"/>
                <w:sz w:val="24"/>
                <w:szCs w:val="24"/>
              </w:rPr>
            </w:pPr>
            <w:r>
              <w:rPr>
                <w:rFonts w:hint="eastAsia" w:ascii="Times New Roman" w:hAnsi="Times New Roman" w:eastAsia="宋体"/>
                <w:color w:val="auto"/>
                <w:sz w:val="24"/>
                <w:szCs w:val="24"/>
              </w:rPr>
              <w:t>式中：</w:t>
            </w:r>
          </w:p>
          <w:p w14:paraId="2028BB7C">
            <w:pPr>
              <w:adjustRightInd w:val="0"/>
              <w:snapToGrid w:val="0"/>
              <w:spacing w:line="360" w:lineRule="auto"/>
              <w:ind w:firstLine="480"/>
              <w:rPr>
                <w:rFonts w:hint="eastAsia" w:ascii="Times New Roman" w:hAnsi="Times New Roman" w:eastAsia="宋体"/>
                <w:color w:val="auto"/>
                <w:sz w:val="24"/>
                <w:szCs w:val="24"/>
              </w:rPr>
            </w:pPr>
            <w:r>
              <w:rPr>
                <w:rFonts w:hint="eastAsia" w:ascii="Times New Roman" w:hAnsi="Times New Roman" w:eastAsia="宋体"/>
                <w:color w:val="auto"/>
                <w:sz w:val="24"/>
                <w:szCs w:val="24"/>
              </w:rPr>
              <w:t>L</w:t>
            </w:r>
            <w:r>
              <w:rPr>
                <w:rFonts w:hint="eastAsia" w:ascii="Times New Roman" w:hAnsi="Times New Roman" w:eastAsia="宋体"/>
                <w:color w:val="auto"/>
                <w:sz w:val="24"/>
                <w:szCs w:val="24"/>
                <w:vertAlign w:val="subscript"/>
              </w:rPr>
              <w:t>p1i</w:t>
            </w:r>
            <w:r>
              <w:rPr>
                <w:rFonts w:hint="eastAsia" w:ascii="Times New Roman" w:hAnsi="Times New Roman" w:eastAsia="宋体"/>
                <w:color w:val="auto"/>
                <w:sz w:val="24"/>
                <w:szCs w:val="24"/>
                <w:vertAlign w:val="baseline"/>
              </w:rPr>
              <w:t>(T)</w:t>
            </w:r>
            <w:r>
              <w:rPr>
                <w:rFonts w:hint="eastAsia" w:ascii="Times New Roman" w:hAnsi="Times New Roman" w:eastAsia="宋体" w:cs="宋体"/>
                <w:color w:val="auto"/>
                <w:sz w:val="24"/>
                <w:szCs w:val="24"/>
              </w:rPr>
              <w:t>—</w:t>
            </w:r>
            <w:r>
              <w:rPr>
                <w:rFonts w:hint="eastAsia" w:ascii="Times New Roman" w:hAnsi="Times New Roman" w:eastAsia="宋体"/>
                <w:color w:val="auto"/>
                <w:sz w:val="24"/>
                <w:szCs w:val="24"/>
              </w:rPr>
              <w:t>靠近围护结构处室内N个声源i倍频带的叠加声压级，dB；</w:t>
            </w:r>
          </w:p>
          <w:p w14:paraId="68200716">
            <w:pPr>
              <w:adjustRightInd w:val="0"/>
              <w:snapToGrid w:val="0"/>
              <w:spacing w:line="360" w:lineRule="auto"/>
              <w:ind w:firstLine="480"/>
              <w:rPr>
                <w:rFonts w:hint="eastAsia" w:ascii="Times New Roman" w:hAnsi="Times New Roman" w:eastAsia="宋体"/>
                <w:color w:val="auto"/>
                <w:sz w:val="24"/>
                <w:szCs w:val="24"/>
              </w:rPr>
            </w:pPr>
            <w:r>
              <w:rPr>
                <w:rFonts w:hint="eastAsia" w:ascii="Times New Roman" w:hAnsi="Times New Roman" w:eastAsia="宋体"/>
                <w:color w:val="auto"/>
                <w:sz w:val="24"/>
                <w:szCs w:val="24"/>
              </w:rPr>
              <w:t>L</w:t>
            </w:r>
            <w:r>
              <w:rPr>
                <w:rFonts w:hint="eastAsia" w:ascii="Times New Roman" w:hAnsi="Times New Roman" w:eastAsia="宋体"/>
                <w:color w:val="auto"/>
                <w:sz w:val="24"/>
                <w:szCs w:val="24"/>
                <w:vertAlign w:val="subscript"/>
              </w:rPr>
              <w:t>p1ij</w:t>
            </w:r>
            <w:r>
              <w:rPr>
                <w:rFonts w:hint="eastAsia" w:ascii="Times New Roman" w:hAnsi="Times New Roman" w:eastAsia="宋体" w:cs="宋体"/>
                <w:color w:val="auto"/>
                <w:sz w:val="24"/>
                <w:szCs w:val="24"/>
              </w:rPr>
              <w:t>—</w:t>
            </w:r>
            <w:r>
              <w:rPr>
                <w:rFonts w:hint="eastAsia" w:ascii="Times New Roman" w:hAnsi="Times New Roman" w:eastAsia="宋体"/>
                <w:color w:val="auto"/>
                <w:sz w:val="24"/>
                <w:szCs w:val="24"/>
              </w:rPr>
              <w:t>室内j声源i倍频带的声压级，dB；</w:t>
            </w:r>
          </w:p>
          <w:p w14:paraId="41757111">
            <w:pPr>
              <w:adjustRightInd w:val="0"/>
              <w:snapToGrid w:val="0"/>
              <w:spacing w:line="360" w:lineRule="auto"/>
              <w:ind w:firstLine="480"/>
              <w:rPr>
                <w:rFonts w:hint="eastAsia" w:ascii="Times New Roman" w:hAnsi="Times New Roman" w:eastAsia="宋体"/>
                <w:color w:val="auto"/>
                <w:sz w:val="24"/>
                <w:szCs w:val="24"/>
              </w:rPr>
            </w:pPr>
            <w:r>
              <w:rPr>
                <w:rFonts w:hint="eastAsia" w:ascii="Times New Roman" w:hAnsi="Times New Roman" w:eastAsia="宋体"/>
                <w:color w:val="auto"/>
                <w:sz w:val="24"/>
                <w:szCs w:val="24"/>
              </w:rPr>
              <w:t>N</w:t>
            </w:r>
            <w:r>
              <w:rPr>
                <w:rFonts w:hint="eastAsia" w:ascii="Times New Roman" w:hAnsi="Times New Roman" w:eastAsia="宋体" w:cs="宋体"/>
                <w:color w:val="auto"/>
                <w:sz w:val="24"/>
                <w:szCs w:val="24"/>
              </w:rPr>
              <w:t>—</w:t>
            </w:r>
            <w:r>
              <w:rPr>
                <w:rFonts w:hint="eastAsia" w:ascii="Times New Roman" w:hAnsi="Times New Roman" w:eastAsia="宋体" w:cs="Times New Roman"/>
                <w:color w:val="auto"/>
                <w:sz w:val="24"/>
                <w:szCs w:val="24"/>
              </w:rPr>
              <w:t>室内</w:t>
            </w:r>
            <w:r>
              <w:rPr>
                <w:rFonts w:hint="eastAsia" w:ascii="Times New Roman" w:hAnsi="Times New Roman" w:eastAsia="宋体"/>
                <w:color w:val="auto"/>
                <w:sz w:val="24"/>
                <w:szCs w:val="24"/>
              </w:rPr>
              <w:t>声源总数。</w:t>
            </w:r>
          </w:p>
          <w:p w14:paraId="59025BBC">
            <w:pPr>
              <w:adjustRightInd w:val="0"/>
              <w:snapToGrid w:val="0"/>
              <w:spacing w:line="360" w:lineRule="auto"/>
              <w:ind w:firstLine="48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④</w:t>
            </w:r>
            <w:r>
              <w:rPr>
                <w:rFonts w:hint="default" w:ascii="Times New Roman" w:hAnsi="Times New Roman" w:eastAsia="宋体" w:cs="Times New Roman"/>
                <w:color w:val="auto"/>
                <w:sz w:val="24"/>
                <w:szCs w:val="24"/>
              </w:rPr>
              <w:t>在室内近似为扩散声场时，按</w:t>
            </w:r>
            <w:r>
              <w:rPr>
                <w:rFonts w:hint="eastAsia" w:ascii="Times New Roman" w:hAnsi="Times New Roman" w:eastAsia="宋体" w:cs="Times New Roman"/>
                <w:color w:val="auto"/>
                <w:sz w:val="24"/>
                <w:szCs w:val="24"/>
                <w:lang w:val="en-US" w:eastAsia="zh-CN"/>
              </w:rPr>
              <w:t>下</w:t>
            </w:r>
            <w:r>
              <w:rPr>
                <w:rFonts w:hint="default" w:ascii="Times New Roman" w:hAnsi="Times New Roman" w:eastAsia="宋体" w:cs="Times New Roman"/>
                <w:color w:val="auto"/>
                <w:sz w:val="24"/>
                <w:szCs w:val="24"/>
              </w:rPr>
              <w:t>式</w:t>
            </w:r>
            <w:r>
              <w:rPr>
                <w:rFonts w:hint="eastAsia" w:ascii="Times New Roman" w:hAnsi="Times New Roman" w:eastAsia="宋体" w:cs="Times New Roman"/>
                <w:color w:val="auto"/>
                <w:sz w:val="24"/>
                <w:szCs w:val="24"/>
              </w:rPr>
              <w:t>计算出室外靠近围护结构处的声压级：</w:t>
            </w:r>
          </w:p>
          <w:p w14:paraId="0133F378">
            <w:pPr>
              <w:adjustRightInd w:val="0"/>
              <w:snapToGrid w:val="0"/>
              <w:spacing w:line="360" w:lineRule="auto"/>
              <w:ind w:firstLine="480"/>
              <w:jc w:val="center"/>
              <w:rPr>
                <w:rFonts w:hint="eastAsia" w:ascii="Times New Roman" w:hAnsi="Times New Roman" w:eastAsia="宋体"/>
                <w:color w:val="auto"/>
                <w:sz w:val="24"/>
                <w:szCs w:val="24"/>
              </w:rPr>
            </w:pPr>
            <w:r>
              <w:rPr>
                <w:rFonts w:ascii="Times New Roman" w:hAnsi="Times New Roman" w:eastAsia="宋体"/>
                <w:color w:val="auto"/>
                <w:sz w:val="24"/>
                <w:szCs w:val="24"/>
              </w:rPr>
              <w:drawing>
                <wp:inline distT="0" distB="0" distL="114300" distR="114300">
                  <wp:extent cx="1777365" cy="241300"/>
                  <wp:effectExtent l="0" t="0" r="0" b="0"/>
                  <wp:docPr id="20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1"/>
                          <pic:cNvPicPr>
                            <a:picLocks noChangeAspect="1"/>
                          </pic:cNvPicPr>
                        </pic:nvPicPr>
                        <pic:blipFill>
                          <a:blip r:embed="rId17"/>
                          <a:stretch>
                            <a:fillRect/>
                          </a:stretch>
                        </pic:blipFill>
                        <pic:spPr>
                          <a:xfrm>
                            <a:off x="0" y="0"/>
                            <a:ext cx="1777365" cy="241300"/>
                          </a:xfrm>
                          <a:prstGeom prst="rect">
                            <a:avLst/>
                          </a:prstGeom>
                          <a:noFill/>
                          <a:ln>
                            <a:noFill/>
                          </a:ln>
                        </pic:spPr>
                      </pic:pic>
                    </a:graphicData>
                  </a:graphic>
                </wp:inline>
              </w:drawing>
            </w:r>
          </w:p>
          <w:p w14:paraId="2A77052F">
            <w:pPr>
              <w:adjustRightInd w:val="0"/>
              <w:snapToGrid w:val="0"/>
              <w:spacing w:line="360" w:lineRule="auto"/>
              <w:ind w:firstLine="480"/>
              <w:rPr>
                <w:rFonts w:hint="eastAsia" w:ascii="Times New Roman" w:hAnsi="Times New Roman" w:eastAsia="宋体"/>
                <w:color w:val="auto"/>
                <w:sz w:val="24"/>
                <w:szCs w:val="24"/>
              </w:rPr>
            </w:pPr>
            <w:r>
              <w:rPr>
                <w:rFonts w:hint="eastAsia" w:ascii="Times New Roman" w:hAnsi="Times New Roman" w:eastAsia="宋体"/>
                <w:color w:val="auto"/>
                <w:sz w:val="24"/>
                <w:szCs w:val="24"/>
              </w:rPr>
              <w:t>式中：</w:t>
            </w:r>
          </w:p>
          <w:p w14:paraId="283713C1">
            <w:pPr>
              <w:adjustRightInd w:val="0"/>
              <w:snapToGrid w:val="0"/>
              <w:spacing w:line="360" w:lineRule="auto"/>
              <w:ind w:firstLine="480"/>
              <w:rPr>
                <w:rFonts w:hint="eastAsia" w:ascii="Times New Roman" w:hAnsi="Times New Roman" w:eastAsia="宋体"/>
                <w:color w:val="auto"/>
                <w:sz w:val="24"/>
                <w:szCs w:val="24"/>
              </w:rPr>
            </w:pPr>
            <w:r>
              <w:rPr>
                <w:rFonts w:hint="eastAsia" w:ascii="Times New Roman" w:hAnsi="Times New Roman" w:eastAsia="宋体"/>
                <w:color w:val="auto"/>
                <w:sz w:val="24"/>
                <w:szCs w:val="24"/>
              </w:rPr>
              <w:t>L</w:t>
            </w:r>
            <w:r>
              <w:rPr>
                <w:rFonts w:hint="eastAsia" w:ascii="Times New Roman" w:hAnsi="Times New Roman" w:eastAsia="宋体"/>
                <w:color w:val="auto"/>
                <w:sz w:val="24"/>
                <w:szCs w:val="24"/>
                <w:vertAlign w:val="subscript"/>
              </w:rPr>
              <w:t>p2i</w:t>
            </w:r>
            <w:r>
              <w:rPr>
                <w:rFonts w:hint="eastAsia" w:ascii="Times New Roman" w:hAnsi="Times New Roman" w:eastAsia="宋体"/>
                <w:color w:val="auto"/>
                <w:sz w:val="24"/>
                <w:szCs w:val="24"/>
                <w:vertAlign w:val="baseline"/>
              </w:rPr>
              <w:t>(T)</w:t>
            </w:r>
            <w:r>
              <w:rPr>
                <w:rFonts w:hint="eastAsia" w:ascii="Times New Roman" w:hAnsi="Times New Roman" w:eastAsia="宋体" w:cs="宋体"/>
                <w:color w:val="auto"/>
                <w:sz w:val="24"/>
                <w:szCs w:val="24"/>
              </w:rPr>
              <w:t>—</w:t>
            </w:r>
            <w:r>
              <w:rPr>
                <w:rFonts w:hint="eastAsia" w:ascii="Times New Roman" w:hAnsi="Times New Roman" w:eastAsia="宋体"/>
                <w:color w:val="auto"/>
                <w:sz w:val="24"/>
                <w:szCs w:val="24"/>
              </w:rPr>
              <w:t>靠近围护结构处室</w:t>
            </w:r>
            <w:r>
              <w:rPr>
                <w:rFonts w:hint="eastAsia" w:ascii="Times New Roman" w:hAnsi="Times New Roman" w:eastAsia="宋体"/>
                <w:color w:val="auto"/>
                <w:sz w:val="24"/>
                <w:szCs w:val="24"/>
                <w:lang w:val="en-US" w:eastAsia="zh-CN"/>
              </w:rPr>
              <w:t>外</w:t>
            </w:r>
            <w:r>
              <w:rPr>
                <w:rFonts w:hint="eastAsia" w:ascii="Times New Roman" w:hAnsi="Times New Roman" w:eastAsia="宋体"/>
                <w:color w:val="auto"/>
                <w:sz w:val="24"/>
                <w:szCs w:val="24"/>
              </w:rPr>
              <w:t>N个声源i倍频带的叠加声压级，dB；</w:t>
            </w:r>
          </w:p>
          <w:p w14:paraId="1FFC7702">
            <w:pPr>
              <w:adjustRightInd w:val="0"/>
              <w:snapToGrid w:val="0"/>
              <w:spacing w:line="360" w:lineRule="auto"/>
              <w:ind w:firstLine="480"/>
              <w:rPr>
                <w:rFonts w:hint="eastAsia" w:ascii="Times New Roman" w:hAnsi="Times New Roman" w:eastAsia="宋体"/>
                <w:color w:val="auto"/>
                <w:sz w:val="24"/>
                <w:szCs w:val="24"/>
              </w:rPr>
            </w:pPr>
            <w:r>
              <w:rPr>
                <w:rFonts w:hint="eastAsia" w:ascii="Times New Roman" w:hAnsi="Times New Roman" w:eastAsia="宋体"/>
                <w:color w:val="auto"/>
                <w:sz w:val="24"/>
                <w:szCs w:val="24"/>
              </w:rPr>
              <w:t>L</w:t>
            </w:r>
            <w:r>
              <w:rPr>
                <w:rFonts w:hint="eastAsia" w:ascii="Times New Roman" w:hAnsi="Times New Roman" w:eastAsia="宋体"/>
                <w:color w:val="auto"/>
                <w:sz w:val="24"/>
                <w:szCs w:val="24"/>
                <w:vertAlign w:val="subscript"/>
              </w:rPr>
              <w:t>p</w:t>
            </w:r>
            <w:r>
              <w:rPr>
                <w:rFonts w:hint="eastAsia" w:ascii="Times New Roman" w:hAnsi="Times New Roman" w:eastAsia="宋体"/>
                <w:color w:val="auto"/>
                <w:sz w:val="24"/>
                <w:szCs w:val="24"/>
                <w:vertAlign w:val="subscript"/>
                <w:lang w:val="en-US" w:eastAsia="zh-CN"/>
              </w:rPr>
              <w:t>1</w:t>
            </w:r>
            <w:r>
              <w:rPr>
                <w:rFonts w:hint="eastAsia" w:ascii="Times New Roman" w:hAnsi="Times New Roman" w:eastAsia="宋体"/>
                <w:color w:val="auto"/>
                <w:sz w:val="24"/>
                <w:szCs w:val="24"/>
                <w:vertAlign w:val="subscript"/>
              </w:rPr>
              <w:t>i</w:t>
            </w:r>
            <w:r>
              <w:rPr>
                <w:rFonts w:hint="eastAsia" w:ascii="Times New Roman" w:hAnsi="Times New Roman" w:eastAsia="宋体"/>
                <w:color w:val="auto"/>
                <w:sz w:val="24"/>
                <w:szCs w:val="24"/>
                <w:vertAlign w:val="baseline"/>
              </w:rPr>
              <w:t>(T)</w:t>
            </w:r>
            <w:r>
              <w:rPr>
                <w:rFonts w:hint="eastAsia" w:ascii="Times New Roman" w:hAnsi="Times New Roman" w:eastAsia="宋体" w:cs="宋体"/>
                <w:color w:val="auto"/>
                <w:sz w:val="24"/>
                <w:szCs w:val="24"/>
              </w:rPr>
              <w:t>—</w:t>
            </w:r>
            <w:r>
              <w:rPr>
                <w:rFonts w:hint="eastAsia" w:ascii="Times New Roman" w:hAnsi="Times New Roman" w:eastAsia="宋体"/>
                <w:color w:val="auto"/>
                <w:sz w:val="24"/>
                <w:szCs w:val="24"/>
              </w:rPr>
              <w:t>靠近围护结构处室内N个声源i倍频带的叠加声压级，dB；</w:t>
            </w:r>
          </w:p>
          <w:p w14:paraId="5502633E">
            <w:pPr>
              <w:adjustRightInd w:val="0"/>
              <w:snapToGrid w:val="0"/>
              <w:spacing w:line="360" w:lineRule="auto"/>
              <w:ind w:firstLine="480"/>
              <w:rPr>
                <w:rFonts w:hint="eastAsia" w:ascii="Times New Roman" w:hAnsi="Times New Roman" w:eastAsia="宋体"/>
                <w:color w:val="auto"/>
                <w:sz w:val="24"/>
                <w:szCs w:val="24"/>
              </w:rPr>
            </w:pPr>
            <w:r>
              <w:rPr>
                <w:rFonts w:hint="eastAsia" w:ascii="Times New Roman" w:hAnsi="Times New Roman" w:eastAsia="宋体"/>
                <w:color w:val="auto"/>
                <w:sz w:val="24"/>
                <w:szCs w:val="24"/>
              </w:rPr>
              <w:t>TL</w:t>
            </w:r>
            <w:r>
              <w:rPr>
                <w:rFonts w:hint="eastAsia" w:ascii="Times New Roman" w:hAnsi="Times New Roman" w:eastAsia="宋体"/>
                <w:color w:val="auto"/>
                <w:sz w:val="24"/>
                <w:szCs w:val="24"/>
                <w:vertAlign w:val="subscript"/>
              </w:rPr>
              <w:t>i</w:t>
            </w:r>
            <w:r>
              <w:rPr>
                <w:rFonts w:hint="eastAsia" w:ascii="Times New Roman" w:hAnsi="Times New Roman" w:eastAsia="宋体" w:cs="宋体"/>
                <w:color w:val="auto"/>
                <w:sz w:val="24"/>
                <w:szCs w:val="24"/>
              </w:rPr>
              <w:t>—</w:t>
            </w:r>
            <w:r>
              <w:rPr>
                <w:rFonts w:hint="eastAsia" w:ascii="Times New Roman" w:hAnsi="Times New Roman" w:eastAsia="宋体" w:cs="Times New Roman"/>
                <w:color w:val="auto"/>
                <w:sz w:val="24"/>
                <w:szCs w:val="24"/>
              </w:rPr>
              <w:t>围护</w:t>
            </w:r>
            <w:r>
              <w:rPr>
                <w:rFonts w:hint="eastAsia" w:ascii="Times New Roman" w:hAnsi="Times New Roman" w:eastAsia="宋体"/>
                <w:color w:val="auto"/>
                <w:sz w:val="24"/>
                <w:szCs w:val="24"/>
              </w:rPr>
              <w:t>结构i倍频带的隔声量，dB。</w:t>
            </w:r>
          </w:p>
          <w:p w14:paraId="780634FC">
            <w:pPr>
              <w:adjustRightInd w:val="0"/>
              <w:snapToGrid w:val="0"/>
              <w:spacing w:line="360" w:lineRule="auto"/>
              <w:ind w:firstLine="480"/>
              <w:rPr>
                <w:rFonts w:ascii="Times New Roman" w:hAnsi="Times New Roman" w:eastAsia="宋体"/>
                <w:color w:val="auto"/>
                <w:sz w:val="24"/>
                <w:szCs w:val="24"/>
              </w:rPr>
            </w:pPr>
            <w:r>
              <w:rPr>
                <w:rFonts w:hint="eastAsia" w:ascii="Times New Roman" w:hAnsi="Times New Roman" w:eastAsia="宋体" w:cs="宋体"/>
                <w:color w:val="auto"/>
                <w:sz w:val="24"/>
                <w:szCs w:val="24"/>
              </w:rPr>
              <w:t>⑤</w:t>
            </w:r>
            <w:r>
              <w:rPr>
                <w:rFonts w:hint="eastAsia" w:ascii="Times New Roman" w:hAnsi="Times New Roman" w:eastAsia="宋体" w:cs="宋体"/>
                <w:color w:val="auto"/>
                <w:sz w:val="24"/>
                <w:szCs w:val="24"/>
                <w:lang w:val="en-US" w:eastAsia="zh-CN"/>
              </w:rPr>
              <w:t>按下式</w:t>
            </w:r>
            <w:r>
              <w:rPr>
                <w:rFonts w:ascii="Times New Roman" w:hAnsi="Times New Roman" w:eastAsia="宋体"/>
                <w:color w:val="auto"/>
                <w:sz w:val="24"/>
                <w:szCs w:val="24"/>
              </w:rPr>
              <w:t>将室外</w:t>
            </w:r>
            <w:r>
              <w:rPr>
                <w:rFonts w:hint="eastAsia" w:ascii="Times New Roman" w:hAnsi="Times New Roman" w:eastAsia="宋体"/>
                <w:color w:val="auto"/>
                <w:sz w:val="24"/>
                <w:szCs w:val="24"/>
              </w:rPr>
              <w:t>声源的声压级</w:t>
            </w:r>
            <w:r>
              <w:rPr>
                <w:rFonts w:ascii="Times New Roman" w:hAnsi="Times New Roman" w:eastAsia="宋体"/>
                <w:color w:val="auto"/>
                <w:sz w:val="24"/>
                <w:szCs w:val="24"/>
              </w:rPr>
              <w:t>和透声面积换算成等效的室外声源，计算出</w:t>
            </w:r>
            <w:r>
              <w:rPr>
                <w:rFonts w:hint="eastAsia" w:ascii="Times New Roman" w:hAnsi="Times New Roman" w:eastAsia="宋体"/>
                <w:color w:val="auto"/>
                <w:sz w:val="24"/>
                <w:szCs w:val="24"/>
              </w:rPr>
              <w:t>中心位置位于透声面积(S)处的</w:t>
            </w:r>
            <w:r>
              <w:rPr>
                <w:rFonts w:ascii="Times New Roman" w:hAnsi="Times New Roman" w:eastAsia="宋体"/>
                <w:color w:val="auto"/>
                <w:sz w:val="24"/>
                <w:szCs w:val="24"/>
              </w:rPr>
              <w:t>等效声源</w:t>
            </w:r>
            <w:r>
              <w:rPr>
                <w:rFonts w:hint="eastAsia" w:ascii="Times New Roman" w:hAnsi="Times New Roman" w:eastAsia="宋体"/>
                <w:color w:val="auto"/>
                <w:sz w:val="24"/>
                <w:szCs w:val="24"/>
              </w:rPr>
              <w:t>的</w:t>
            </w:r>
            <w:r>
              <w:rPr>
                <w:rFonts w:ascii="Times New Roman" w:hAnsi="Times New Roman" w:eastAsia="宋体"/>
                <w:color w:val="auto"/>
                <w:sz w:val="24"/>
                <w:szCs w:val="24"/>
              </w:rPr>
              <w:t>倍频带的声功率级</w:t>
            </w:r>
            <w:r>
              <w:rPr>
                <w:rFonts w:ascii="Times New Roman" w:hAnsi="Times New Roman" w:eastAsia="宋体"/>
                <w:color w:val="auto"/>
                <w:sz w:val="24"/>
                <w:szCs w:val="24"/>
              </w:rPr>
              <w:softHyphen/>
            </w:r>
            <w:r>
              <w:rPr>
                <w:rFonts w:ascii="Times New Roman" w:hAnsi="Times New Roman" w:eastAsia="宋体"/>
                <w:color w:val="auto"/>
                <w:sz w:val="24"/>
                <w:szCs w:val="24"/>
              </w:rPr>
              <w:softHyphen/>
            </w:r>
            <w:r>
              <w:rPr>
                <w:rFonts w:ascii="Times New Roman" w:hAnsi="Times New Roman" w:eastAsia="宋体"/>
                <w:color w:val="auto"/>
                <w:sz w:val="24"/>
                <w:szCs w:val="24"/>
              </w:rPr>
              <w:t>：</w:t>
            </w:r>
          </w:p>
          <w:p w14:paraId="41BD0538">
            <w:pPr>
              <w:adjustRightInd w:val="0"/>
              <w:snapToGrid w:val="0"/>
              <w:spacing w:line="360" w:lineRule="auto"/>
              <w:ind w:firstLine="480"/>
              <w:jc w:val="center"/>
              <w:rPr>
                <w:rFonts w:ascii="Times New Roman" w:hAnsi="Times New Roman" w:eastAsia="宋体"/>
                <w:color w:val="auto"/>
                <w:sz w:val="24"/>
                <w:szCs w:val="24"/>
              </w:rPr>
            </w:pPr>
            <w:r>
              <w:rPr>
                <w:rFonts w:ascii="Times New Roman" w:hAnsi="Times New Roman" w:eastAsia="宋体"/>
                <w:color w:val="auto"/>
                <w:sz w:val="24"/>
                <w:szCs w:val="24"/>
              </w:rPr>
              <w:drawing>
                <wp:inline distT="0" distB="0" distL="114300" distR="114300">
                  <wp:extent cx="1333500" cy="241300"/>
                  <wp:effectExtent l="0" t="0" r="0" b="0"/>
                  <wp:docPr id="20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2"/>
                          <pic:cNvPicPr>
                            <a:picLocks noChangeAspect="1"/>
                          </pic:cNvPicPr>
                        </pic:nvPicPr>
                        <pic:blipFill>
                          <a:blip r:embed="rId18"/>
                          <a:stretch>
                            <a:fillRect/>
                          </a:stretch>
                        </pic:blipFill>
                        <pic:spPr>
                          <a:xfrm>
                            <a:off x="0" y="0"/>
                            <a:ext cx="1333500" cy="241300"/>
                          </a:xfrm>
                          <a:prstGeom prst="rect">
                            <a:avLst/>
                          </a:prstGeom>
                          <a:noFill/>
                          <a:ln>
                            <a:noFill/>
                          </a:ln>
                        </pic:spPr>
                      </pic:pic>
                    </a:graphicData>
                  </a:graphic>
                </wp:inline>
              </w:drawing>
            </w:r>
          </w:p>
          <w:p w14:paraId="3A7AB94C">
            <w:pPr>
              <w:adjustRightInd w:val="0"/>
              <w:snapToGrid w:val="0"/>
              <w:spacing w:line="360" w:lineRule="auto"/>
              <w:ind w:firstLine="480"/>
              <w:rPr>
                <w:rFonts w:hint="eastAsia" w:ascii="Times New Roman" w:hAnsi="Times New Roman" w:eastAsia="宋体"/>
                <w:color w:val="auto"/>
                <w:sz w:val="24"/>
                <w:szCs w:val="24"/>
              </w:rPr>
            </w:pPr>
            <w:r>
              <w:rPr>
                <w:rFonts w:hint="eastAsia" w:ascii="Times New Roman" w:hAnsi="Times New Roman" w:eastAsia="宋体"/>
                <w:color w:val="auto"/>
                <w:sz w:val="24"/>
                <w:szCs w:val="24"/>
              </w:rPr>
              <w:t>式中：</w:t>
            </w:r>
          </w:p>
          <w:p w14:paraId="2DB7CD52">
            <w:pPr>
              <w:adjustRightInd w:val="0"/>
              <w:snapToGrid w:val="0"/>
              <w:spacing w:line="360" w:lineRule="auto"/>
              <w:ind w:firstLine="480"/>
              <w:rPr>
                <w:rFonts w:hint="eastAsia" w:ascii="Times New Roman" w:hAnsi="Times New Roman" w:eastAsia="宋体"/>
                <w:color w:val="auto"/>
                <w:sz w:val="24"/>
                <w:szCs w:val="24"/>
              </w:rPr>
            </w:pPr>
            <w:r>
              <w:rPr>
                <w:rFonts w:hint="eastAsia" w:ascii="Times New Roman" w:hAnsi="Times New Roman" w:eastAsia="宋体"/>
                <w:color w:val="auto"/>
                <w:sz w:val="24"/>
                <w:szCs w:val="24"/>
                <w:lang w:val="en-US" w:eastAsia="zh-CN"/>
              </w:rPr>
              <w:t>L</w:t>
            </w:r>
            <w:r>
              <w:rPr>
                <w:rFonts w:hint="eastAsia" w:ascii="Times New Roman" w:hAnsi="Times New Roman" w:eastAsia="宋体"/>
                <w:color w:val="auto"/>
                <w:sz w:val="24"/>
                <w:szCs w:val="24"/>
              </w:rPr>
              <w:t>w—中心位置位于透声面积</w:t>
            </w:r>
            <w:r>
              <w:rPr>
                <w:rFonts w:hint="eastAsia" w:ascii="Times New Roman" w:hAnsi="Times New Roman" w:eastAsia="宋体"/>
                <w:color w:val="auto"/>
                <w:sz w:val="24"/>
                <w:szCs w:val="24"/>
                <w:lang w:val="en-US" w:eastAsia="zh-CN"/>
              </w:rPr>
              <w:t>(</w:t>
            </w:r>
            <w:r>
              <w:rPr>
                <w:rFonts w:hint="eastAsia" w:ascii="Times New Roman" w:hAnsi="Times New Roman" w:eastAsia="宋体"/>
                <w:color w:val="auto"/>
                <w:sz w:val="24"/>
                <w:szCs w:val="24"/>
              </w:rPr>
              <w:t>S)处的等效声源的倍频带声功率级，dB；</w:t>
            </w:r>
          </w:p>
          <w:p w14:paraId="2644B5E7">
            <w:pPr>
              <w:adjustRightInd w:val="0"/>
              <w:snapToGrid w:val="0"/>
              <w:spacing w:line="360" w:lineRule="auto"/>
              <w:ind w:firstLine="480"/>
              <w:rPr>
                <w:rFonts w:hint="eastAsia" w:ascii="Times New Roman" w:hAnsi="Times New Roman" w:eastAsia="宋体"/>
                <w:color w:val="auto"/>
                <w:sz w:val="24"/>
                <w:szCs w:val="24"/>
              </w:rPr>
            </w:pPr>
            <w:r>
              <w:rPr>
                <w:rFonts w:hint="eastAsia" w:ascii="Times New Roman" w:hAnsi="Times New Roman" w:eastAsia="宋体"/>
                <w:color w:val="auto"/>
                <w:sz w:val="24"/>
                <w:szCs w:val="24"/>
              </w:rPr>
              <w:t>Lp</w:t>
            </w:r>
            <w:r>
              <w:rPr>
                <w:rFonts w:hint="eastAsia" w:ascii="Times New Roman" w:hAnsi="Times New Roman" w:eastAsia="宋体"/>
                <w:color w:val="auto"/>
                <w:sz w:val="24"/>
                <w:szCs w:val="24"/>
                <w:vertAlign w:val="subscript"/>
              </w:rPr>
              <w:t>2</w:t>
            </w:r>
            <w:r>
              <w:rPr>
                <w:rFonts w:hint="eastAsia" w:ascii="Times New Roman" w:hAnsi="Times New Roman" w:eastAsia="宋体"/>
                <w:color w:val="auto"/>
                <w:sz w:val="24"/>
                <w:szCs w:val="24"/>
                <w:lang w:val="en-US" w:eastAsia="zh-CN"/>
              </w:rPr>
              <w:t>(</w:t>
            </w:r>
            <w:r>
              <w:rPr>
                <w:rFonts w:hint="eastAsia" w:ascii="Times New Roman" w:hAnsi="Times New Roman" w:eastAsia="宋体"/>
                <w:color w:val="auto"/>
                <w:sz w:val="24"/>
                <w:szCs w:val="24"/>
              </w:rPr>
              <w:t>T</w:t>
            </w:r>
            <w:r>
              <w:rPr>
                <w:rFonts w:hint="eastAsia" w:ascii="Times New Roman" w:hAnsi="Times New Roman" w:eastAsia="宋体"/>
                <w:color w:val="auto"/>
                <w:sz w:val="24"/>
                <w:szCs w:val="24"/>
                <w:lang w:val="en-US" w:eastAsia="zh-CN"/>
              </w:rPr>
              <w:t>)</w:t>
            </w:r>
            <w:r>
              <w:rPr>
                <w:rFonts w:hint="eastAsia" w:ascii="Times New Roman" w:hAnsi="Times New Roman" w:eastAsia="宋体"/>
                <w:color w:val="auto"/>
                <w:sz w:val="24"/>
                <w:szCs w:val="24"/>
              </w:rPr>
              <w:t>—靠近围护结构处室外声源的声压级，dB；</w:t>
            </w:r>
          </w:p>
          <w:p w14:paraId="12939A68">
            <w:pPr>
              <w:adjustRightInd w:val="0"/>
              <w:snapToGrid w:val="0"/>
              <w:spacing w:line="360" w:lineRule="auto"/>
              <w:ind w:firstLine="480"/>
              <w:rPr>
                <w:rFonts w:hint="eastAsia" w:ascii="Times New Roman" w:hAnsi="Times New Roman" w:eastAsia="宋体"/>
                <w:color w:val="auto"/>
                <w:sz w:val="24"/>
                <w:szCs w:val="24"/>
              </w:rPr>
            </w:pPr>
            <w:r>
              <w:rPr>
                <w:rFonts w:hint="eastAsia" w:ascii="Times New Roman" w:hAnsi="Times New Roman" w:eastAsia="宋体"/>
                <w:color w:val="auto"/>
                <w:sz w:val="24"/>
                <w:szCs w:val="24"/>
                <w:lang w:val="en-US" w:eastAsia="zh-CN"/>
              </w:rPr>
              <w:t>S</w:t>
            </w:r>
            <w:r>
              <w:rPr>
                <w:rFonts w:hint="eastAsia" w:ascii="Times New Roman" w:hAnsi="Times New Roman" w:eastAsia="宋体"/>
                <w:color w:val="auto"/>
                <w:sz w:val="24"/>
                <w:szCs w:val="24"/>
              </w:rPr>
              <w:t>透声面积，m</w:t>
            </w:r>
            <w:r>
              <w:rPr>
                <w:rFonts w:hint="eastAsia" w:ascii="Times New Roman" w:hAnsi="Times New Roman" w:eastAsia="宋体"/>
                <w:color w:val="auto"/>
                <w:sz w:val="24"/>
                <w:szCs w:val="24"/>
                <w:vertAlign w:val="superscript"/>
              </w:rPr>
              <w:t>2</w:t>
            </w:r>
            <w:r>
              <w:rPr>
                <w:rFonts w:hint="eastAsia" w:ascii="Times New Roman" w:hAnsi="Times New Roman" w:eastAsia="宋体"/>
                <w:color w:val="auto"/>
                <w:sz w:val="24"/>
                <w:szCs w:val="24"/>
              </w:rPr>
              <w:t>。</w:t>
            </w:r>
          </w:p>
          <w:p w14:paraId="095EF343">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户外声传播的衰减</w:t>
            </w:r>
          </w:p>
          <w:p w14:paraId="52B0B6EF">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户外声传播衰减包括几何发散</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Adiv</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、大气吸收</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Aatm</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、地面效应</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Agr</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、障碍物屏蔽</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Abar</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、其他多方面效应</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Amisc</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引起的衰减。</w:t>
            </w:r>
          </w:p>
          <w:p w14:paraId="0B48CAC1">
            <w:pPr>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①</w:t>
            </w:r>
            <w:r>
              <w:rPr>
                <w:rFonts w:hint="eastAsia" w:ascii="Times New Roman" w:hAnsi="Times New Roman" w:eastAsia="宋体" w:cs="Times New Roman"/>
                <w:color w:val="auto"/>
                <w:sz w:val="24"/>
                <w:szCs w:val="24"/>
                <w:highlight w:val="none"/>
                <w:lang w:val="en-US" w:eastAsia="zh-CN"/>
              </w:rPr>
              <w:t>基本公式</w:t>
            </w:r>
          </w:p>
          <w:p w14:paraId="2EEA458E">
            <w:pPr>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某个声源在预测点处声压级的计算公式如下：</w:t>
            </w:r>
          </w:p>
          <w:p w14:paraId="7D5C73E4">
            <w:pPr>
              <w:adjustRightInd w:val="0"/>
              <w:snapToGrid w:val="0"/>
              <w:spacing w:line="360" w:lineRule="auto"/>
              <w:ind w:firstLine="480"/>
              <w:jc w:val="center"/>
              <w:rPr>
                <w:rFonts w:ascii="Times New Roman" w:hAnsi="Times New Roman" w:eastAsia="宋体"/>
                <w:color w:val="auto"/>
                <w:sz w:val="24"/>
                <w:szCs w:val="24"/>
              </w:rPr>
            </w:pPr>
            <w:r>
              <w:rPr>
                <w:rFonts w:hint="default" w:ascii="Times New Roman" w:hAnsi="Times New Roman" w:eastAsia="宋体"/>
                <w:i/>
                <w:color w:val="auto"/>
                <w:sz w:val="24"/>
                <w:szCs w:val="24"/>
              </w:rPr>
              <w:t>Lp</w:t>
            </w:r>
            <w:r>
              <w:rPr>
                <w:rFonts w:hint="default" w:ascii="Times New Roman" w:hAnsi="Times New Roman" w:eastAsia="宋体"/>
                <w:color w:val="auto"/>
                <w:sz w:val="24"/>
                <w:szCs w:val="24"/>
              </w:rPr>
              <w:t>(</w:t>
            </w:r>
            <w:r>
              <w:rPr>
                <w:rFonts w:hint="default" w:ascii="Times New Roman" w:hAnsi="Times New Roman" w:eastAsia="宋体"/>
                <w:i/>
                <w:color w:val="auto"/>
                <w:sz w:val="24"/>
                <w:szCs w:val="24"/>
              </w:rPr>
              <w:t>r</w:t>
            </w:r>
            <w:r>
              <w:rPr>
                <w:rFonts w:hint="default" w:ascii="Times New Roman" w:hAnsi="Times New Roman" w:eastAsia="宋体"/>
                <w:color w:val="auto"/>
                <w:sz w:val="24"/>
                <w:szCs w:val="24"/>
              </w:rPr>
              <w:t>)＝</w:t>
            </w:r>
            <w:r>
              <w:rPr>
                <w:rFonts w:hint="default" w:ascii="Times New Roman" w:hAnsi="Times New Roman" w:eastAsia="宋体"/>
                <w:i/>
                <w:color w:val="auto"/>
                <w:sz w:val="24"/>
                <w:szCs w:val="24"/>
              </w:rPr>
              <w:t>Lw</w:t>
            </w:r>
            <w:r>
              <w:rPr>
                <w:rFonts w:hint="default" w:ascii="Times New Roman" w:hAnsi="Times New Roman" w:eastAsia="宋体"/>
                <w:color w:val="auto"/>
                <w:sz w:val="24"/>
                <w:szCs w:val="24"/>
              </w:rPr>
              <w:t>+</w:t>
            </w:r>
            <w:r>
              <w:rPr>
                <w:rFonts w:hint="default" w:ascii="Times New Roman" w:hAnsi="Times New Roman" w:eastAsia="宋体"/>
                <w:i/>
                <w:color w:val="auto"/>
                <w:sz w:val="24"/>
                <w:szCs w:val="24"/>
              </w:rPr>
              <w:t>D</w:t>
            </w:r>
            <w:r>
              <w:rPr>
                <w:rFonts w:hint="default" w:ascii="Times New Roman" w:hAnsi="Times New Roman" w:eastAsia="宋体"/>
                <w:color w:val="auto"/>
                <w:sz w:val="24"/>
                <w:szCs w:val="24"/>
              </w:rPr>
              <w:t>C－(</w:t>
            </w:r>
            <w:r>
              <w:rPr>
                <w:rFonts w:hint="default" w:ascii="Times New Roman" w:hAnsi="Times New Roman" w:eastAsia="宋体"/>
                <w:i/>
                <w:color w:val="auto"/>
                <w:sz w:val="24"/>
                <w:szCs w:val="24"/>
              </w:rPr>
              <w:t>A</w:t>
            </w:r>
            <w:r>
              <w:rPr>
                <w:rFonts w:hint="default" w:ascii="Times New Roman" w:hAnsi="Times New Roman" w:eastAsia="宋体"/>
                <w:color w:val="auto"/>
                <w:sz w:val="24"/>
                <w:szCs w:val="24"/>
              </w:rPr>
              <w:t>div＋</w:t>
            </w:r>
            <w:r>
              <w:rPr>
                <w:rFonts w:hint="default" w:ascii="Times New Roman" w:hAnsi="Times New Roman" w:eastAsia="宋体"/>
                <w:i/>
                <w:color w:val="auto"/>
                <w:sz w:val="24"/>
                <w:szCs w:val="24"/>
              </w:rPr>
              <w:t>A</w:t>
            </w:r>
            <w:r>
              <w:rPr>
                <w:rFonts w:hint="default" w:ascii="Times New Roman" w:hAnsi="Times New Roman" w:eastAsia="宋体"/>
                <w:color w:val="auto"/>
                <w:sz w:val="24"/>
                <w:szCs w:val="24"/>
              </w:rPr>
              <w:t>atm＋</w:t>
            </w:r>
            <w:r>
              <w:rPr>
                <w:rFonts w:hint="default" w:ascii="Times New Roman" w:hAnsi="Times New Roman" w:eastAsia="宋体"/>
                <w:i/>
                <w:color w:val="auto"/>
                <w:sz w:val="24"/>
                <w:szCs w:val="24"/>
              </w:rPr>
              <w:t>A</w:t>
            </w:r>
            <w:r>
              <w:rPr>
                <w:rFonts w:hint="default" w:ascii="Times New Roman" w:hAnsi="Times New Roman" w:eastAsia="宋体"/>
                <w:color w:val="auto"/>
                <w:sz w:val="24"/>
                <w:szCs w:val="24"/>
              </w:rPr>
              <w:t>gr＋</w:t>
            </w:r>
            <w:r>
              <w:rPr>
                <w:rFonts w:hint="default" w:ascii="Times New Roman" w:hAnsi="Times New Roman" w:eastAsia="宋体"/>
                <w:i/>
                <w:color w:val="auto"/>
                <w:sz w:val="24"/>
                <w:szCs w:val="24"/>
              </w:rPr>
              <w:t>A</w:t>
            </w:r>
            <w:r>
              <w:rPr>
                <w:rFonts w:hint="default" w:ascii="Times New Roman" w:hAnsi="Times New Roman" w:eastAsia="宋体"/>
                <w:color w:val="auto"/>
                <w:sz w:val="24"/>
                <w:szCs w:val="24"/>
              </w:rPr>
              <w:t>bar＋</w:t>
            </w:r>
            <w:r>
              <w:rPr>
                <w:rFonts w:hint="default" w:ascii="Times New Roman" w:hAnsi="Times New Roman" w:eastAsia="宋体"/>
                <w:i/>
                <w:color w:val="auto"/>
                <w:sz w:val="24"/>
                <w:szCs w:val="24"/>
              </w:rPr>
              <w:t>A</w:t>
            </w:r>
            <w:r>
              <w:rPr>
                <w:rFonts w:hint="default" w:ascii="Times New Roman" w:hAnsi="Times New Roman" w:eastAsia="宋体"/>
                <w:color w:val="auto"/>
                <w:sz w:val="24"/>
                <w:szCs w:val="24"/>
              </w:rPr>
              <w:t>misc)</w:t>
            </w:r>
          </w:p>
          <w:p w14:paraId="48E8327A">
            <w:pPr>
              <w:adjustRightInd w:val="0"/>
              <w:snapToGrid w:val="0"/>
              <w:spacing w:line="360" w:lineRule="auto"/>
              <w:ind w:firstLine="480"/>
              <w:jc w:val="center"/>
              <w:rPr>
                <w:rFonts w:hint="eastAsia" w:ascii="Times New Roman" w:hAnsi="Times New Roman" w:eastAsia="宋体"/>
                <w:color w:val="auto"/>
                <w:sz w:val="24"/>
                <w:szCs w:val="24"/>
                <w:lang w:val="en-US" w:eastAsia="zh-CN"/>
              </w:rPr>
            </w:pPr>
            <w:r>
              <w:rPr>
                <w:rFonts w:hint="default" w:ascii="Times New Roman" w:hAnsi="Times New Roman" w:eastAsia="宋体"/>
                <w:i/>
                <w:color w:val="auto"/>
                <w:sz w:val="24"/>
                <w:szCs w:val="24"/>
              </w:rPr>
              <w:t>Lp</w:t>
            </w:r>
            <w:r>
              <w:rPr>
                <w:rFonts w:hint="default" w:ascii="Times New Roman" w:hAnsi="Times New Roman" w:eastAsia="宋体"/>
                <w:color w:val="auto"/>
                <w:sz w:val="24"/>
                <w:szCs w:val="24"/>
              </w:rPr>
              <w:t>(</w:t>
            </w:r>
            <w:r>
              <w:rPr>
                <w:rFonts w:hint="default" w:ascii="Times New Roman" w:hAnsi="Times New Roman" w:eastAsia="宋体"/>
                <w:i/>
                <w:color w:val="auto"/>
                <w:sz w:val="24"/>
                <w:szCs w:val="24"/>
              </w:rPr>
              <w:t>r</w:t>
            </w:r>
            <w:r>
              <w:rPr>
                <w:rFonts w:hint="default" w:ascii="Times New Roman" w:hAnsi="Times New Roman" w:eastAsia="宋体"/>
                <w:color w:val="auto"/>
                <w:sz w:val="24"/>
                <w:szCs w:val="24"/>
              </w:rPr>
              <w:t>)＝</w:t>
            </w:r>
            <w:r>
              <w:rPr>
                <w:rFonts w:hint="default" w:ascii="Times New Roman" w:hAnsi="Times New Roman" w:eastAsia="宋体"/>
                <w:i/>
                <w:color w:val="auto"/>
                <w:sz w:val="24"/>
                <w:szCs w:val="24"/>
              </w:rPr>
              <w:t>Lp</w:t>
            </w:r>
            <w:r>
              <w:rPr>
                <w:rFonts w:hint="default" w:ascii="Times New Roman" w:hAnsi="Times New Roman" w:eastAsia="宋体"/>
                <w:color w:val="auto"/>
                <w:sz w:val="24"/>
                <w:szCs w:val="24"/>
              </w:rPr>
              <w:t>(</w:t>
            </w:r>
            <w:r>
              <w:rPr>
                <w:rFonts w:hint="default" w:ascii="Times New Roman" w:hAnsi="Times New Roman" w:eastAsia="宋体"/>
                <w:i/>
                <w:color w:val="auto"/>
                <w:sz w:val="24"/>
                <w:szCs w:val="24"/>
              </w:rPr>
              <w:t>r</w:t>
            </w:r>
            <w:r>
              <w:rPr>
                <w:rFonts w:hint="default" w:ascii="Times New Roman" w:hAnsi="Times New Roman" w:eastAsia="宋体"/>
                <w:color w:val="auto"/>
                <w:sz w:val="24"/>
                <w:szCs w:val="24"/>
              </w:rPr>
              <w:t>0)+</w:t>
            </w:r>
            <w:r>
              <w:rPr>
                <w:rFonts w:hint="default" w:ascii="Times New Roman" w:hAnsi="Times New Roman" w:eastAsia="宋体"/>
                <w:i/>
                <w:color w:val="auto"/>
                <w:sz w:val="24"/>
                <w:szCs w:val="24"/>
              </w:rPr>
              <w:t>D</w:t>
            </w:r>
            <w:r>
              <w:rPr>
                <w:rFonts w:hint="default" w:ascii="Times New Roman" w:hAnsi="Times New Roman" w:eastAsia="宋体"/>
                <w:color w:val="auto"/>
                <w:sz w:val="24"/>
                <w:szCs w:val="24"/>
              </w:rPr>
              <w:t>C－(</w:t>
            </w:r>
            <w:r>
              <w:rPr>
                <w:rFonts w:hint="default" w:ascii="Times New Roman" w:hAnsi="Times New Roman" w:eastAsia="宋体"/>
                <w:i/>
                <w:color w:val="auto"/>
                <w:sz w:val="24"/>
                <w:szCs w:val="24"/>
              </w:rPr>
              <w:t>A</w:t>
            </w:r>
            <w:r>
              <w:rPr>
                <w:rFonts w:hint="default" w:ascii="Times New Roman" w:hAnsi="Times New Roman" w:eastAsia="宋体"/>
                <w:color w:val="auto"/>
                <w:sz w:val="24"/>
                <w:szCs w:val="24"/>
              </w:rPr>
              <w:t>div＋</w:t>
            </w:r>
            <w:r>
              <w:rPr>
                <w:rFonts w:hint="default" w:ascii="Times New Roman" w:hAnsi="Times New Roman" w:eastAsia="宋体"/>
                <w:i/>
                <w:color w:val="auto"/>
                <w:sz w:val="24"/>
                <w:szCs w:val="24"/>
              </w:rPr>
              <w:t>A</w:t>
            </w:r>
            <w:r>
              <w:rPr>
                <w:rFonts w:hint="default" w:ascii="Times New Roman" w:hAnsi="Times New Roman" w:eastAsia="宋体"/>
                <w:color w:val="auto"/>
                <w:sz w:val="24"/>
                <w:szCs w:val="24"/>
              </w:rPr>
              <w:t>atm＋</w:t>
            </w:r>
            <w:r>
              <w:rPr>
                <w:rFonts w:hint="default" w:ascii="Times New Roman" w:hAnsi="Times New Roman" w:eastAsia="宋体"/>
                <w:i/>
                <w:color w:val="auto"/>
                <w:sz w:val="24"/>
                <w:szCs w:val="24"/>
              </w:rPr>
              <w:t>A</w:t>
            </w:r>
            <w:r>
              <w:rPr>
                <w:rFonts w:hint="default" w:ascii="Times New Roman" w:hAnsi="Times New Roman" w:eastAsia="宋体"/>
                <w:color w:val="auto"/>
                <w:sz w:val="24"/>
                <w:szCs w:val="24"/>
              </w:rPr>
              <w:t>gr＋</w:t>
            </w:r>
            <w:r>
              <w:rPr>
                <w:rFonts w:hint="default" w:ascii="Times New Roman" w:hAnsi="Times New Roman" w:eastAsia="宋体"/>
                <w:i/>
                <w:color w:val="auto"/>
                <w:sz w:val="24"/>
                <w:szCs w:val="24"/>
              </w:rPr>
              <w:t>A</w:t>
            </w:r>
            <w:r>
              <w:rPr>
                <w:rFonts w:hint="default" w:ascii="Times New Roman" w:hAnsi="Times New Roman" w:eastAsia="宋体"/>
                <w:color w:val="auto"/>
                <w:sz w:val="24"/>
                <w:szCs w:val="24"/>
              </w:rPr>
              <w:t>bar＋</w:t>
            </w:r>
            <w:r>
              <w:rPr>
                <w:rFonts w:hint="default" w:ascii="Times New Roman" w:hAnsi="Times New Roman" w:eastAsia="宋体"/>
                <w:i/>
                <w:color w:val="auto"/>
                <w:sz w:val="24"/>
                <w:szCs w:val="24"/>
              </w:rPr>
              <w:t>A</w:t>
            </w:r>
            <w:r>
              <w:rPr>
                <w:rFonts w:hint="default" w:ascii="Times New Roman" w:hAnsi="Times New Roman" w:eastAsia="宋体"/>
                <w:color w:val="auto"/>
                <w:sz w:val="24"/>
                <w:szCs w:val="24"/>
              </w:rPr>
              <w:t>misc)</w:t>
            </w:r>
          </w:p>
          <w:p w14:paraId="283EDBAF">
            <w:pPr>
              <w:adjustRightInd w:val="0"/>
              <w:snapToGrid w:val="0"/>
              <w:spacing w:line="360" w:lineRule="auto"/>
              <w:ind w:firstLine="48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式中：</w:t>
            </w:r>
          </w:p>
          <w:p w14:paraId="077E0D94">
            <w:pPr>
              <w:adjustRightInd w:val="0"/>
              <w:snapToGrid w:val="0"/>
              <w:spacing w:line="360" w:lineRule="auto"/>
              <w:ind w:firstLine="48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Lp(r)—预测点处声压级，dB； </w:t>
            </w:r>
          </w:p>
          <w:p w14:paraId="22961D14">
            <w:pPr>
              <w:adjustRightInd w:val="0"/>
              <w:snapToGrid w:val="0"/>
              <w:spacing w:line="360" w:lineRule="auto"/>
              <w:ind w:firstLine="48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L</w:t>
            </w:r>
            <w:r>
              <w:rPr>
                <w:rFonts w:hint="eastAsia" w:ascii="Times New Roman" w:hAnsi="Times New Roman" w:eastAsia="宋体" w:cs="Times New Roman"/>
                <w:color w:val="auto"/>
                <w:sz w:val="24"/>
                <w:szCs w:val="24"/>
                <w:lang w:val="en-US" w:eastAsia="zh-CN"/>
              </w:rPr>
              <w:softHyphen/>
            </w:r>
            <w:r>
              <w:rPr>
                <w:rFonts w:hint="eastAsia" w:ascii="Times New Roman" w:hAnsi="Times New Roman" w:eastAsia="宋体" w:cs="Times New Roman"/>
                <w:color w:val="auto"/>
                <w:sz w:val="24"/>
                <w:szCs w:val="24"/>
                <w:lang w:val="en-US" w:eastAsia="zh-CN"/>
              </w:rPr>
              <w:softHyphen/>
            </w:r>
            <w:r>
              <w:rPr>
                <w:rFonts w:hint="eastAsia" w:ascii="Times New Roman" w:hAnsi="Times New Roman" w:eastAsia="宋体" w:cs="Times New Roman"/>
                <w:color w:val="auto"/>
                <w:sz w:val="24"/>
                <w:szCs w:val="24"/>
                <w:lang w:val="en-US" w:eastAsia="zh-CN"/>
              </w:rPr>
              <w:t>w—由点声源产生的声功率级(A计权或倍频带)，dB；</w:t>
            </w:r>
          </w:p>
          <w:p w14:paraId="7BDB2399">
            <w:pPr>
              <w:adjustRightInd w:val="0"/>
              <w:snapToGrid w:val="0"/>
              <w:spacing w:line="360" w:lineRule="auto"/>
              <w:ind w:firstLine="48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Lp(r0)—</w:t>
            </w:r>
            <w:r>
              <w:rPr>
                <w:rFonts w:hint="default" w:ascii="Times New Roman" w:hAnsi="Times New Roman" w:eastAsia="宋体" w:cs="Times New Roman"/>
                <w:color w:val="auto"/>
                <w:sz w:val="24"/>
                <w:szCs w:val="24"/>
                <w:lang w:val="en-US" w:eastAsia="zh-CN"/>
              </w:rPr>
              <w:t>参考位置</w:t>
            </w:r>
            <w:r>
              <w:rPr>
                <w:rFonts w:hint="eastAsia" w:ascii="Times New Roman" w:hAnsi="Times New Roman" w:eastAsia="宋体" w:cs="Times New Roman"/>
                <w:color w:val="auto"/>
                <w:sz w:val="24"/>
                <w:szCs w:val="24"/>
                <w:lang w:val="en-US" w:eastAsia="zh-CN"/>
              </w:rPr>
              <w:t>r0</w:t>
            </w:r>
            <w:r>
              <w:rPr>
                <w:rFonts w:hint="default" w:ascii="Times New Roman" w:hAnsi="Times New Roman" w:eastAsia="宋体" w:cs="Times New Roman"/>
                <w:color w:val="auto"/>
                <w:sz w:val="24"/>
                <w:szCs w:val="24"/>
                <w:lang w:val="en-US" w:eastAsia="zh-CN"/>
              </w:rPr>
              <w:t>处的声压级，</w:t>
            </w:r>
            <w:r>
              <w:rPr>
                <w:rFonts w:hint="eastAsia" w:ascii="Times New Roman" w:hAnsi="Times New Roman" w:eastAsia="宋体" w:cs="Times New Roman"/>
                <w:color w:val="auto"/>
                <w:sz w:val="24"/>
                <w:szCs w:val="24"/>
                <w:lang w:val="en-US" w:eastAsia="zh-CN"/>
              </w:rPr>
              <w:t>dB</w:t>
            </w:r>
            <w:r>
              <w:rPr>
                <w:rFonts w:hint="default" w:ascii="Times New Roman" w:hAnsi="Times New Roman" w:eastAsia="宋体" w:cs="Times New Roman"/>
                <w:color w:val="auto"/>
                <w:sz w:val="24"/>
                <w:szCs w:val="24"/>
                <w:lang w:val="en-US" w:eastAsia="zh-CN"/>
              </w:rPr>
              <w:t>；</w:t>
            </w:r>
          </w:p>
          <w:p w14:paraId="2795DB76">
            <w:pPr>
              <w:adjustRightInd w:val="0"/>
              <w:snapToGrid w:val="0"/>
              <w:spacing w:line="360" w:lineRule="auto"/>
              <w:ind w:firstLine="48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Dc—指向性校正，它描述点声源的等效连续声压级与产生声功率级Lw的全向点声源在规定方向的声级的偏差程度，dB； </w:t>
            </w:r>
          </w:p>
          <w:p w14:paraId="198D0A12">
            <w:pPr>
              <w:adjustRightInd w:val="0"/>
              <w:snapToGrid w:val="0"/>
              <w:spacing w:line="360" w:lineRule="auto"/>
              <w:ind w:firstLine="48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Adiv—几何发散引起的衰减，dB； </w:t>
            </w:r>
          </w:p>
          <w:p w14:paraId="20A30386">
            <w:pPr>
              <w:adjustRightInd w:val="0"/>
              <w:snapToGrid w:val="0"/>
              <w:spacing w:line="360" w:lineRule="auto"/>
              <w:ind w:firstLine="48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Aatm—大气吸收引起的衰减，dB； </w:t>
            </w:r>
          </w:p>
          <w:p w14:paraId="4D2ECBF9">
            <w:pPr>
              <w:adjustRightInd w:val="0"/>
              <w:snapToGrid w:val="0"/>
              <w:spacing w:line="360" w:lineRule="auto"/>
              <w:ind w:firstLine="48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Agr—地面效应引起的衰减，dB；</w:t>
            </w:r>
          </w:p>
          <w:p w14:paraId="41BBC623">
            <w:pPr>
              <w:adjustRightInd w:val="0"/>
              <w:snapToGrid w:val="0"/>
              <w:spacing w:line="360" w:lineRule="auto"/>
              <w:ind w:firstLine="48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Abar—障碍物屏蔽引起的衰减，dB；</w:t>
            </w:r>
          </w:p>
          <w:p w14:paraId="4915A7B6">
            <w:pPr>
              <w:adjustRightInd w:val="0"/>
              <w:snapToGrid w:val="0"/>
              <w:spacing w:line="360" w:lineRule="auto"/>
              <w:ind w:firstLine="48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Amisc—其他多方面效应引起的衰减，dB。</w:t>
            </w:r>
          </w:p>
          <w:p w14:paraId="34C39F44">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w:t>
            </w:r>
            <w:r>
              <w:rPr>
                <w:rFonts w:hint="default" w:ascii="Times New Roman" w:hAnsi="Times New Roman" w:eastAsia="宋体"/>
                <w:color w:val="auto"/>
                <w:sz w:val="24"/>
                <w:szCs w:val="24"/>
              </w:rPr>
              <w:t>预测点的A声级</w:t>
            </w:r>
            <w:r>
              <w:rPr>
                <w:rFonts w:hint="default" w:ascii="Times New Roman" w:hAnsi="Times New Roman" w:eastAsia="宋体"/>
                <w:i/>
                <w:color w:val="auto"/>
                <w:sz w:val="24"/>
                <w:szCs w:val="24"/>
              </w:rPr>
              <w:t>L</w:t>
            </w:r>
            <w:r>
              <w:rPr>
                <w:rFonts w:hint="default" w:ascii="Times New Roman" w:hAnsi="Times New Roman" w:eastAsia="宋体"/>
                <w:color w:val="auto"/>
                <w:sz w:val="24"/>
                <w:szCs w:val="24"/>
                <w:vertAlign w:val="subscript"/>
              </w:rPr>
              <w:t>A</w:t>
            </w:r>
            <w:r>
              <w:rPr>
                <w:rFonts w:hint="default" w:ascii="Times New Roman" w:hAnsi="Times New Roman" w:eastAsia="宋体"/>
                <w:color w:val="auto"/>
                <w:sz w:val="24"/>
                <w:szCs w:val="24"/>
              </w:rPr>
              <w:t>(</w:t>
            </w:r>
            <w:r>
              <w:rPr>
                <w:rFonts w:hint="default" w:ascii="Times New Roman" w:hAnsi="Times New Roman" w:eastAsia="宋体"/>
                <w:i/>
                <w:color w:val="auto"/>
                <w:sz w:val="24"/>
                <w:szCs w:val="24"/>
              </w:rPr>
              <w:t>r</w:t>
            </w:r>
            <w:r>
              <w:rPr>
                <w:rFonts w:hint="default" w:ascii="Times New Roman" w:hAnsi="Times New Roman" w:eastAsia="宋体"/>
                <w:color w:val="auto"/>
                <w:sz w:val="24"/>
                <w:szCs w:val="24"/>
              </w:rPr>
              <w:t>)可按</w:t>
            </w:r>
            <w:r>
              <w:rPr>
                <w:rFonts w:hint="eastAsia" w:ascii="Times New Roman" w:hAnsi="Times New Roman" w:eastAsia="宋体"/>
                <w:color w:val="auto"/>
                <w:sz w:val="24"/>
                <w:szCs w:val="24"/>
                <w:lang w:val="en-US" w:eastAsia="zh-CN"/>
              </w:rPr>
              <w:t>下式</w:t>
            </w:r>
            <w:r>
              <w:rPr>
                <w:rFonts w:hint="default" w:ascii="Times New Roman" w:hAnsi="Times New Roman" w:eastAsia="宋体"/>
                <w:color w:val="auto"/>
                <w:sz w:val="24"/>
                <w:szCs w:val="24"/>
              </w:rPr>
              <w:t>计算，即将8个倍频带声压级合成，计算出预测点的A声级[</w:t>
            </w:r>
            <w:r>
              <w:rPr>
                <w:rFonts w:hint="default" w:ascii="Times New Roman" w:hAnsi="Times New Roman" w:eastAsia="宋体"/>
                <w:i/>
                <w:color w:val="auto"/>
                <w:sz w:val="24"/>
                <w:szCs w:val="24"/>
              </w:rPr>
              <w:t>L</w:t>
            </w:r>
            <w:r>
              <w:rPr>
                <w:rFonts w:hint="default" w:ascii="Times New Roman" w:hAnsi="Times New Roman" w:eastAsia="宋体"/>
                <w:color w:val="auto"/>
                <w:sz w:val="24"/>
                <w:szCs w:val="24"/>
                <w:vertAlign w:val="subscript"/>
              </w:rPr>
              <w:t>A</w:t>
            </w:r>
            <w:r>
              <w:rPr>
                <w:rFonts w:hint="default" w:ascii="Times New Roman" w:hAnsi="Times New Roman" w:eastAsia="宋体"/>
                <w:color w:val="auto"/>
                <w:sz w:val="24"/>
                <w:szCs w:val="24"/>
              </w:rPr>
              <w:t>(</w:t>
            </w:r>
            <w:r>
              <w:rPr>
                <w:rFonts w:hint="default" w:ascii="Times New Roman" w:hAnsi="Times New Roman" w:eastAsia="宋体"/>
                <w:i/>
                <w:color w:val="auto"/>
                <w:sz w:val="24"/>
                <w:szCs w:val="24"/>
              </w:rPr>
              <w:t>r</w:t>
            </w:r>
            <w:r>
              <w:rPr>
                <w:rFonts w:hint="default" w:ascii="Times New Roman" w:hAnsi="Times New Roman" w:eastAsia="宋体"/>
                <w:color w:val="auto"/>
                <w:sz w:val="24"/>
                <w:szCs w:val="24"/>
              </w:rPr>
              <w:t>)]。</w:t>
            </w:r>
          </w:p>
          <w:p w14:paraId="09564440">
            <w:pPr>
              <w:spacing w:line="360" w:lineRule="auto"/>
              <w:ind w:left="0" w:leftChars="0" w:firstLine="0" w:firstLineChars="0"/>
              <w:jc w:val="cente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drawing>
                <wp:inline distT="0" distB="0" distL="114300" distR="114300">
                  <wp:extent cx="1935480" cy="419100"/>
                  <wp:effectExtent l="0" t="0" r="7620" b="0"/>
                  <wp:docPr id="20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3"/>
                          <pic:cNvPicPr>
                            <a:picLocks noChangeAspect="1"/>
                          </pic:cNvPicPr>
                        </pic:nvPicPr>
                        <pic:blipFill>
                          <a:blip r:embed="rId19"/>
                          <a:stretch>
                            <a:fillRect/>
                          </a:stretch>
                        </pic:blipFill>
                        <pic:spPr>
                          <a:xfrm>
                            <a:off x="0" y="0"/>
                            <a:ext cx="1935480" cy="419100"/>
                          </a:xfrm>
                          <a:prstGeom prst="rect">
                            <a:avLst/>
                          </a:prstGeom>
                          <a:noFill/>
                          <a:ln>
                            <a:noFill/>
                          </a:ln>
                        </pic:spPr>
                      </pic:pic>
                    </a:graphicData>
                  </a:graphic>
                </wp:inline>
              </w:drawing>
            </w:r>
          </w:p>
          <w:p w14:paraId="57BF8D28">
            <w:pPr>
              <w:adjustRightInd w:val="0"/>
              <w:snapToGrid w:val="0"/>
              <w:spacing w:line="360" w:lineRule="auto"/>
              <w:ind w:firstLine="48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式中：</w:t>
            </w:r>
          </w:p>
          <w:p w14:paraId="290AD1C4">
            <w:pPr>
              <w:adjustRightInd w:val="0"/>
              <w:snapToGrid w:val="0"/>
              <w:spacing w:line="360" w:lineRule="auto"/>
              <w:ind w:firstLine="480"/>
              <w:rPr>
                <w:rFonts w:hint="eastAsia"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LA(r)</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rPr>
              <w:t>距声源r处的A声级，dB(A)；</w:t>
            </w:r>
          </w:p>
          <w:p w14:paraId="6094546F">
            <w:pPr>
              <w:adjustRightInd w:val="0"/>
              <w:snapToGrid w:val="0"/>
              <w:spacing w:line="360" w:lineRule="auto"/>
              <w:ind w:firstLine="48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Lpi(r)</w:t>
            </w:r>
            <w:r>
              <w:rPr>
                <w:rFonts w:hint="eastAsia"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rPr>
              <w:t>预测点(r)处，第i倍频带声压级，dB；</w:t>
            </w:r>
          </w:p>
          <w:p w14:paraId="089E8C4F">
            <w:pPr>
              <w:adjustRightInd w:val="0"/>
              <w:snapToGrid w:val="0"/>
              <w:spacing w:line="360" w:lineRule="auto"/>
              <w:ind w:firstLine="48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△Li—i倍频带A计算网络修正值，dB(</w:t>
            </w:r>
            <w:r>
              <w:rPr>
                <w:rFonts w:hint="eastAsia" w:ascii="Times New Roman" w:hAnsi="Times New Roman" w:eastAsia="宋体" w:cs="Times New Roman"/>
                <w:color w:val="auto"/>
                <w:sz w:val="24"/>
                <w:szCs w:val="24"/>
                <w:lang w:val="en-US" w:eastAsia="zh-CN"/>
              </w:rPr>
              <w:t>根据</w:t>
            </w:r>
            <w:r>
              <w:rPr>
                <w:rFonts w:hint="eastAsia" w:ascii="Times New Roman" w:hAnsi="Times New Roman" w:eastAsia="宋体" w:cs="Times New Roman"/>
                <w:color w:val="auto"/>
                <w:sz w:val="24"/>
                <w:szCs w:val="24"/>
              </w:rPr>
              <w:t>导则附录B</w:t>
            </w:r>
            <w:r>
              <w:rPr>
                <w:rFonts w:hint="eastAsia" w:ascii="Times New Roman" w:hAnsi="Times New Roman" w:eastAsia="宋体" w:cs="Times New Roman"/>
                <w:color w:val="auto"/>
                <w:sz w:val="24"/>
                <w:szCs w:val="24"/>
                <w:lang w:val="en-US" w:eastAsia="zh-CN"/>
              </w:rPr>
              <w:t>计算</w:t>
            </w:r>
            <w:r>
              <w:rPr>
                <w:rFonts w:hint="eastAsia" w:ascii="Times New Roman" w:hAnsi="Times New Roman" w:eastAsia="宋体" w:cs="Times New Roman"/>
                <w:color w:val="auto"/>
                <w:sz w:val="24"/>
                <w:szCs w:val="24"/>
              </w:rPr>
              <w:t>)。</w:t>
            </w:r>
          </w:p>
          <w:p w14:paraId="394B7CAC">
            <w:pPr>
              <w:adjustRightInd w:val="0"/>
              <w:snapToGrid w:val="0"/>
              <w:spacing w:line="360" w:lineRule="auto"/>
              <w:ind w:firstLine="480"/>
              <w:rPr>
                <w:rFonts w:hint="eastAsia" w:ascii="Times New Roman" w:hAnsi="Times New Roman" w:eastAsia="宋体"/>
                <w:b w:val="0"/>
                <w:bCs w:val="0"/>
                <w:color w:val="auto"/>
                <w:sz w:val="24"/>
                <w:szCs w:val="24"/>
              </w:rPr>
            </w:pPr>
            <w:r>
              <w:rPr>
                <w:rFonts w:hint="eastAsia" w:ascii="Times New Roman" w:hAnsi="Times New Roman" w:eastAsia="宋体"/>
                <w:b w:val="0"/>
                <w:bCs w:val="0"/>
                <w:color w:val="auto"/>
                <w:sz w:val="24"/>
                <w:szCs w:val="24"/>
              </w:rPr>
              <w:t>衰减项计算按导则</w:t>
            </w:r>
            <w:r>
              <w:rPr>
                <w:rFonts w:hint="eastAsia" w:ascii="Times New Roman" w:hAnsi="Times New Roman" w:eastAsia="宋体"/>
                <w:b w:val="0"/>
                <w:bCs w:val="0"/>
                <w:color w:val="auto"/>
                <w:sz w:val="24"/>
                <w:szCs w:val="24"/>
                <w:lang w:val="en-US" w:eastAsia="zh-CN"/>
              </w:rPr>
              <w:t>附录A中A.3</w:t>
            </w:r>
            <w:r>
              <w:rPr>
                <w:rFonts w:hint="eastAsia" w:ascii="Times New Roman" w:hAnsi="Times New Roman" w:eastAsia="宋体"/>
                <w:b w:val="0"/>
                <w:bCs w:val="0"/>
                <w:color w:val="auto"/>
                <w:sz w:val="24"/>
                <w:szCs w:val="24"/>
              </w:rPr>
              <w:t>相关模式计算。</w:t>
            </w:r>
          </w:p>
          <w:p w14:paraId="74614387">
            <w:pPr>
              <w:adjustRightInd w:val="0"/>
              <w:snapToGrid w:val="0"/>
              <w:spacing w:line="360" w:lineRule="auto"/>
              <w:ind w:firstLine="48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(3)噪声贡献值计算</w:t>
            </w:r>
          </w:p>
          <w:p w14:paraId="0071ECDD">
            <w:pPr>
              <w:adjustRightInd w:val="0"/>
              <w:snapToGrid w:val="0"/>
              <w:spacing w:line="360" w:lineRule="auto"/>
              <w:ind w:firstLine="480"/>
              <w:rPr>
                <w:rFonts w:hint="default" w:ascii="Times New Roman" w:hAnsi="Times New Roman" w:eastAsia="宋体" w:cs="Times New Roman"/>
                <w:color w:val="auto"/>
                <w:sz w:val="24"/>
                <w:szCs w:val="24"/>
                <w:highlight w:val="none"/>
                <w:lang w:val="en-US"/>
              </w:rPr>
            </w:pPr>
            <w:r>
              <w:rPr>
                <w:rFonts w:hint="eastAsia" w:ascii="Times New Roman" w:hAnsi="Times New Roman" w:eastAsia="宋体" w:cs="Times New Roman"/>
                <w:color w:val="auto"/>
                <w:sz w:val="24"/>
                <w:szCs w:val="24"/>
                <w:highlight w:val="none"/>
                <w:lang w:val="en-US" w:eastAsia="zh-CN"/>
              </w:rPr>
              <w:t>设第</w:t>
            </w:r>
            <w:r>
              <w:rPr>
                <w:rFonts w:hint="default" w:ascii="Times New Roman" w:hAnsi="Times New Roman" w:eastAsia="宋体" w:cs="Times New Roman"/>
                <w:color w:val="auto"/>
                <w:sz w:val="24"/>
                <w:szCs w:val="24"/>
                <w:highlight w:val="none"/>
                <w:lang w:val="en-US" w:eastAsia="zh-CN"/>
              </w:rPr>
              <w:t>i</w:t>
            </w:r>
            <w:r>
              <w:rPr>
                <w:rFonts w:hint="eastAsia" w:ascii="Times New Roman" w:hAnsi="Times New Roman" w:eastAsia="宋体" w:cs="Times New Roman"/>
                <w:color w:val="auto"/>
                <w:sz w:val="24"/>
                <w:szCs w:val="24"/>
                <w:highlight w:val="none"/>
                <w:lang w:val="en-US" w:eastAsia="zh-CN"/>
              </w:rPr>
              <w:t>个室外声源在预测点产生的</w:t>
            </w:r>
            <w:r>
              <w:rPr>
                <w:rFonts w:hint="default" w:ascii="Times New Roman" w:hAnsi="Times New Roman" w:eastAsia="宋体" w:cs="Times New Roman"/>
                <w:color w:val="auto"/>
                <w:sz w:val="24"/>
                <w:szCs w:val="24"/>
                <w:highlight w:val="none"/>
                <w:lang w:val="en-US" w:eastAsia="zh-CN"/>
              </w:rPr>
              <w:t>A</w:t>
            </w:r>
            <w:r>
              <w:rPr>
                <w:rFonts w:hint="eastAsia" w:ascii="Times New Roman" w:hAnsi="Times New Roman" w:eastAsia="宋体" w:cs="Times New Roman"/>
                <w:color w:val="auto"/>
                <w:sz w:val="24"/>
                <w:szCs w:val="24"/>
                <w:highlight w:val="none"/>
                <w:lang w:val="en-US" w:eastAsia="zh-CN"/>
              </w:rPr>
              <w:t>声级为</w:t>
            </w:r>
            <w:r>
              <w:rPr>
                <w:rFonts w:hint="default" w:ascii="Times New Roman" w:hAnsi="Times New Roman" w:eastAsia="宋体" w:cs="Times New Roman"/>
                <w:color w:val="auto"/>
                <w:sz w:val="24"/>
                <w:szCs w:val="24"/>
                <w:highlight w:val="none"/>
                <w:lang w:val="en-US" w:eastAsia="zh-CN"/>
              </w:rPr>
              <w:t>L</w:t>
            </w:r>
            <w:r>
              <w:rPr>
                <w:rFonts w:hint="default" w:ascii="Times New Roman" w:hAnsi="Times New Roman" w:eastAsia="宋体" w:cs="Times New Roman"/>
                <w:color w:val="auto"/>
                <w:sz w:val="24"/>
                <w:szCs w:val="24"/>
                <w:highlight w:val="none"/>
                <w:vertAlign w:val="subscript"/>
                <w:lang w:val="en-US" w:eastAsia="zh-CN"/>
              </w:rPr>
              <w:t>Ai</w:t>
            </w:r>
            <w:r>
              <w:rPr>
                <w:rFonts w:hint="eastAsia" w:ascii="Times New Roman" w:hAnsi="Times New Roman" w:eastAsia="宋体" w:cs="Times New Roman"/>
                <w:color w:val="auto"/>
                <w:sz w:val="24"/>
                <w:szCs w:val="24"/>
                <w:highlight w:val="none"/>
                <w:lang w:val="en-US" w:eastAsia="zh-CN"/>
              </w:rPr>
              <w:t>，在</w:t>
            </w:r>
            <w:r>
              <w:rPr>
                <w:rFonts w:hint="default" w:ascii="Times New Roman" w:hAnsi="Times New Roman" w:eastAsia="宋体" w:cs="Times New Roman"/>
                <w:color w:val="auto"/>
                <w:sz w:val="24"/>
                <w:szCs w:val="24"/>
                <w:highlight w:val="none"/>
                <w:lang w:val="en-US" w:eastAsia="zh-CN"/>
              </w:rPr>
              <w:t>T</w:t>
            </w:r>
            <w:r>
              <w:rPr>
                <w:rFonts w:hint="eastAsia" w:ascii="Times New Roman" w:hAnsi="Times New Roman" w:eastAsia="宋体" w:cs="Times New Roman"/>
                <w:color w:val="auto"/>
                <w:sz w:val="24"/>
                <w:szCs w:val="24"/>
                <w:highlight w:val="none"/>
                <w:lang w:val="en-US" w:eastAsia="zh-CN"/>
              </w:rPr>
              <w:t>时间内该声源工作时间为</w:t>
            </w:r>
            <w:r>
              <w:rPr>
                <w:rFonts w:hint="default" w:ascii="Times New Roman" w:hAnsi="Times New Roman" w:eastAsia="宋体" w:cs="Times New Roman"/>
                <w:color w:val="auto"/>
                <w:sz w:val="24"/>
                <w:szCs w:val="24"/>
                <w:highlight w:val="none"/>
                <w:lang w:val="en-US" w:eastAsia="zh-CN"/>
              </w:rPr>
              <w:t>t</w:t>
            </w:r>
            <w:r>
              <w:rPr>
                <w:rFonts w:hint="default" w:ascii="Times New Roman" w:hAnsi="Times New Roman" w:eastAsia="宋体" w:cs="Times New Roman"/>
                <w:color w:val="auto"/>
                <w:sz w:val="24"/>
                <w:szCs w:val="24"/>
                <w:highlight w:val="none"/>
                <w:vertAlign w:val="subscript"/>
                <w:lang w:val="en-US" w:eastAsia="zh-CN"/>
              </w:rPr>
              <w:t>i</w:t>
            </w:r>
            <w:r>
              <w:rPr>
                <w:rFonts w:hint="eastAsia" w:ascii="Times New Roman" w:hAnsi="Times New Roman" w:eastAsia="宋体" w:cs="Times New Roman"/>
                <w:color w:val="auto"/>
                <w:sz w:val="24"/>
                <w:szCs w:val="24"/>
                <w:highlight w:val="none"/>
                <w:lang w:val="en-US" w:eastAsia="zh-CN"/>
              </w:rPr>
              <w:t>；第</w:t>
            </w:r>
            <w:r>
              <w:rPr>
                <w:rFonts w:hint="default" w:ascii="Times New Roman" w:hAnsi="Times New Roman" w:eastAsia="宋体" w:cs="Times New Roman"/>
                <w:color w:val="auto"/>
                <w:sz w:val="24"/>
                <w:szCs w:val="24"/>
                <w:highlight w:val="none"/>
                <w:lang w:val="en-US" w:eastAsia="zh-CN"/>
              </w:rPr>
              <w:t>j</w:t>
            </w:r>
            <w:r>
              <w:rPr>
                <w:rFonts w:hint="eastAsia" w:ascii="Times New Roman" w:hAnsi="Times New Roman" w:eastAsia="宋体" w:cs="Times New Roman"/>
                <w:color w:val="auto"/>
                <w:sz w:val="24"/>
                <w:szCs w:val="24"/>
                <w:highlight w:val="none"/>
                <w:lang w:val="en-US" w:eastAsia="zh-CN"/>
              </w:rPr>
              <w:t>个等效室外声源在预测点产生的</w:t>
            </w:r>
            <w:r>
              <w:rPr>
                <w:rFonts w:hint="default" w:ascii="Times New Roman" w:hAnsi="Times New Roman" w:eastAsia="宋体" w:cs="Times New Roman"/>
                <w:color w:val="auto"/>
                <w:sz w:val="24"/>
                <w:szCs w:val="24"/>
                <w:highlight w:val="none"/>
                <w:lang w:val="en-US" w:eastAsia="zh-CN"/>
              </w:rPr>
              <w:t>A</w:t>
            </w:r>
            <w:r>
              <w:rPr>
                <w:rFonts w:hint="eastAsia" w:ascii="Times New Roman" w:hAnsi="Times New Roman" w:eastAsia="宋体" w:cs="Times New Roman"/>
                <w:color w:val="auto"/>
                <w:sz w:val="24"/>
                <w:szCs w:val="24"/>
                <w:highlight w:val="none"/>
                <w:lang w:val="en-US" w:eastAsia="zh-CN"/>
              </w:rPr>
              <w:t>声级为</w:t>
            </w:r>
            <w:r>
              <w:rPr>
                <w:rFonts w:hint="default" w:ascii="Times New Roman" w:hAnsi="Times New Roman" w:eastAsia="宋体" w:cs="Times New Roman"/>
                <w:color w:val="auto"/>
                <w:sz w:val="24"/>
                <w:szCs w:val="24"/>
                <w:highlight w:val="none"/>
                <w:lang w:val="en-US" w:eastAsia="zh-CN"/>
              </w:rPr>
              <w:t>L</w:t>
            </w:r>
            <w:r>
              <w:rPr>
                <w:rFonts w:hint="default" w:ascii="Times New Roman" w:hAnsi="Times New Roman" w:eastAsia="宋体" w:cs="Times New Roman"/>
                <w:color w:val="auto"/>
                <w:sz w:val="24"/>
                <w:szCs w:val="24"/>
                <w:highlight w:val="none"/>
                <w:vertAlign w:val="subscript"/>
                <w:lang w:val="en-US" w:eastAsia="zh-CN"/>
              </w:rPr>
              <w:t>Aj</w:t>
            </w:r>
            <w:r>
              <w:rPr>
                <w:rFonts w:hint="eastAsia" w:ascii="Times New Roman" w:hAnsi="Times New Roman" w:eastAsia="宋体" w:cs="Times New Roman"/>
                <w:color w:val="auto"/>
                <w:sz w:val="24"/>
                <w:szCs w:val="24"/>
                <w:highlight w:val="none"/>
                <w:lang w:val="en-US" w:eastAsia="zh-CN"/>
              </w:rPr>
              <w:t>，在</w:t>
            </w:r>
            <w:r>
              <w:rPr>
                <w:rFonts w:hint="default" w:ascii="Times New Roman" w:hAnsi="Times New Roman" w:eastAsia="宋体" w:cs="Times New Roman"/>
                <w:color w:val="auto"/>
                <w:sz w:val="24"/>
                <w:szCs w:val="24"/>
                <w:highlight w:val="none"/>
                <w:lang w:val="en-US" w:eastAsia="zh-CN"/>
              </w:rPr>
              <w:t>T</w:t>
            </w:r>
            <w:r>
              <w:rPr>
                <w:rFonts w:hint="eastAsia" w:ascii="Times New Roman" w:hAnsi="Times New Roman" w:eastAsia="宋体" w:cs="Times New Roman"/>
                <w:color w:val="auto"/>
                <w:sz w:val="24"/>
                <w:szCs w:val="24"/>
                <w:highlight w:val="none"/>
                <w:lang w:val="en-US" w:eastAsia="zh-CN"/>
              </w:rPr>
              <w:t>时间内该声源工作时间为</w:t>
            </w:r>
            <w:r>
              <w:rPr>
                <w:rFonts w:hint="default" w:ascii="Times New Roman" w:hAnsi="Times New Roman" w:eastAsia="宋体" w:cs="Times New Roman"/>
                <w:color w:val="auto"/>
                <w:sz w:val="24"/>
                <w:szCs w:val="24"/>
                <w:highlight w:val="none"/>
                <w:lang w:val="en-US" w:eastAsia="zh-CN"/>
              </w:rPr>
              <w:t>t</w:t>
            </w:r>
            <w:r>
              <w:rPr>
                <w:rFonts w:hint="default" w:ascii="Times New Roman" w:hAnsi="Times New Roman" w:eastAsia="宋体" w:cs="Times New Roman"/>
                <w:color w:val="auto"/>
                <w:sz w:val="24"/>
                <w:szCs w:val="24"/>
                <w:highlight w:val="none"/>
                <w:vertAlign w:val="subscript"/>
                <w:lang w:val="en-US" w:eastAsia="zh-CN"/>
              </w:rPr>
              <w:t xml:space="preserve"> j</w:t>
            </w:r>
            <w:r>
              <w:rPr>
                <w:rFonts w:hint="eastAsia" w:ascii="Times New Roman" w:hAnsi="Times New Roman" w:eastAsia="宋体" w:cs="Times New Roman"/>
                <w:color w:val="auto"/>
                <w:sz w:val="24"/>
                <w:szCs w:val="24"/>
                <w:highlight w:val="none"/>
                <w:lang w:val="en-US" w:eastAsia="zh-CN"/>
              </w:rPr>
              <w:t>，则拟建工程声源对预测点产生的贡献值(</w:t>
            </w:r>
            <w:r>
              <w:rPr>
                <w:rFonts w:hint="default" w:ascii="Times New Roman" w:hAnsi="Times New Roman" w:eastAsia="宋体" w:cs="Times New Roman"/>
                <w:color w:val="auto"/>
                <w:sz w:val="24"/>
                <w:szCs w:val="24"/>
                <w:highlight w:val="none"/>
                <w:lang w:val="en-US" w:eastAsia="zh-CN"/>
              </w:rPr>
              <w:t>Leqg</w:t>
            </w:r>
            <w:r>
              <w:rPr>
                <w:rFonts w:hint="eastAsia" w:ascii="Times New Roman" w:hAnsi="Times New Roman" w:eastAsia="宋体" w:cs="Times New Roman"/>
                <w:color w:val="auto"/>
                <w:sz w:val="24"/>
                <w:szCs w:val="24"/>
                <w:highlight w:val="none"/>
                <w:lang w:val="en-US" w:eastAsia="zh-CN"/>
              </w:rPr>
              <w:t>)为：</w:t>
            </w:r>
          </w:p>
          <w:p w14:paraId="710BB813">
            <w:pPr>
              <w:spacing w:line="360" w:lineRule="auto"/>
              <w:ind w:left="0" w:leftChars="0" w:firstLine="0" w:firstLineChars="0"/>
              <w:jc w:val="center"/>
              <w:rPr>
                <w:rFonts w:ascii="Times New Roman" w:hAnsi="Times New Roman" w:eastAsia="宋体"/>
                <w:color w:val="auto"/>
                <w:sz w:val="24"/>
                <w:szCs w:val="24"/>
              </w:rPr>
            </w:pPr>
            <w:r>
              <w:rPr>
                <w:rFonts w:ascii="Times New Roman" w:hAnsi="Times New Roman" w:eastAsia="宋体"/>
                <w:color w:val="auto"/>
                <w:sz w:val="24"/>
                <w:szCs w:val="24"/>
              </w:rPr>
              <w:drawing>
                <wp:inline distT="0" distB="0" distL="114300" distR="114300">
                  <wp:extent cx="2367280" cy="485775"/>
                  <wp:effectExtent l="0" t="0" r="7620" b="9525"/>
                  <wp:docPr id="20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4"/>
                          <pic:cNvPicPr>
                            <a:picLocks noChangeAspect="1"/>
                          </pic:cNvPicPr>
                        </pic:nvPicPr>
                        <pic:blipFill>
                          <a:blip r:embed="rId20"/>
                          <a:stretch>
                            <a:fillRect/>
                          </a:stretch>
                        </pic:blipFill>
                        <pic:spPr>
                          <a:xfrm>
                            <a:off x="0" y="0"/>
                            <a:ext cx="2367280" cy="485775"/>
                          </a:xfrm>
                          <a:prstGeom prst="rect">
                            <a:avLst/>
                          </a:prstGeom>
                          <a:noFill/>
                          <a:ln>
                            <a:noFill/>
                          </a:ln>
                        </pic:spPr>
                      </pic:pic>
                    </a:graphicData>
                  </a:graphic>
                </wp:inline>
              </w:drawing>
            </w:r>
          </w:p>
          <w:p w14:paraId="3612F04D">
            <w:pPr>
              <w:spacing w:line="360" w:lineRule="auto"/>
              <w:ind w:firstLine="480" w:firstLineChars="200"/>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式中：</w:t>
            </w:r>
            <w:r>
              <w:rPr>
                <w:rFonts w:hint="default" w:ascii="Times New Roman" w:hAnsi="Times New Roman" w:eastAsia="宋体" w:cs="Times New Roman"/>
                <w:color w:val="auto"/>
                <w:sz w:val="24"/>
                <w:szCs w:val="24"/>
                <w:lang w:val="en-US" w:eastAsia="zh-CN"/>
              </w:rPr>
              <w:t>Leqg——</w:t>
            </w:r>
            <w:r>
              <w:rPr>
                <w:rFonts w:hint="eastAsia" w:ascii="Times New Roman" w:hAnsi="Times New Roman" w:eastAsia="宋体" w:cs="Times New Roman"/>
                <w:color w:val="auto"/>
                <w:sz w:val="24"/>
                <w:szCs w:val="24"/>
                <w:lang w:val="en-US" w:eastAsia="zh-CN"/>
              </w:rPr>
              <w:t>建设项目声源在预测点产生的噪声贡献值，</w:t>
            </w:r>
            <w:r>
              <w:rPr>
                <w:rFonts w:hint="default" w:ascii="Times New Roman" w:hAnsi="Times New Roman" w:eastAsia="宋体" w:cs="Times New Roman"/>
                <w:color w:val="auto"/>
                <w:sz w:val="24"/>
                <w:szCs w:val="24"/>
                <w:lang w:val="en-US" w:eastAsia="zh-CN"/>
              </w:rPr>
              <w:t>dB</w:t>
            </w:r>
            <w:r>
              <w:rPr>
                <w:rFonts w:hint="default" w:ascii="Times New Roman" w:hAnsi="Times New Roman" w:eastAsia="宋体" w:cs="Times New Roman"/>
                <w:color w:val="auto"/>
                <w:sz w:val="24"/>
                <w:szCs w:val="24"/>
                <w:highlight w:val="none"/>
              </w:rPr>
              <w:t>(A)</w:t>
            </w:r>
            <w:r>
              <w:rPr>
                <w:rFonts w:hint="eastAsia" w:ascii="Times New Roman" w:hAnsi="Times New Roman" w:eastAsia="宋体" w:cs="Times New Roman"/>
                <w:color w:val="auto"/>
                <w:sz w:val="24"/>
                <w:szCs w:val="24"/>
                <w:lang w:val="en-US" w:eastAsia="zh-CN"/>
              </w:rPr>
              <w:t>；</w:t>
            </w:r>
          </w:p>
          <w:p w14:paraId="2758377F">
            <w:pPr>
              <w:spacing w:line="360" w:lineRule="auto"/>
              <w:ind w:firstLine="1200" w:firstLineChars="500"/>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T——</w:t>
            </w:r>
            <w:r>
              <w:rPr>
                <w:rFonts w:hint="eastAsia" w:ascii="Times New Roman" w:hAnsi="Times New Roman" w:eastAsia="宋体" w:cs="Times New Roman"/>
                <w:color w:val="auto"/>
                <w:sz w:val="24"/>
                <w:szCs w:val="24"/>
                <w:lang w:val="en-US" w:eastAsia="zh-CN"/>
              </w:rPr>
              <w:t>用于计算等效声级的时间，</w:t>
            </w:r>
            <w:r>
              <w:rPr>
                <w:rFonts w:hint="default" w:ascii="Times New Roman" w:hAnsi="Times New Roman" w:eastAsia="宋体" w:cs="Times New Roman"/>
                <w:color w:val="auto"/>
                <w:sz w:val="24"/>
                <w:szCs w:val="24"/>
                <w:lang w:val="en-US" w:eastAsia="zh-CN"/>
              </w:rPr>
              <w:t>s</w:t>
            </w:r>
            <w:r>
              <w:rPr>
                <w:rFonts w:hint="eastAsia" w:ascii="Times New Roman" w:hAnsi="Times New Roman" w:eastAsia="宋体" w:cs="Times New Roman"/>
                <w:color w:val="auto"/>
                <w:sz w:val="24"/>
                <w:szCs w:val="24"/>
                <w:lang w:val="en-US" w:eastAsia="zh-CN"/>
              </w:rPr>
              <w:t>；</w:t>
            </w:r>
          </w:p>
          <w:p w14:paraId="1894C7E8">
            <w:pPr>
              <w:spacing w:line="360" w:lineRule="auto"/>
              <w:ind w:firstLine="1200" w:firstLineChars="500"/>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N——</w:t>
            </w:r>
            <w:r>
              <w:rPr>
                <w:rFonts w:hint="eastAsia" w:ascii="Times New Roman" w:hAnsi="Times New Roman" w:eastAsia="宋体" w:cs="Times New Roman"/>
                <w:color w:val="auto"/>
                <w:sz w:val="24"/>
                <w:szCs w:val="24"/>
                <w:lang w:val="en-US" w:eastAsia="zh-CN"/>
              </w:rPr>
              <w:t>室外声源个数；</w:t>
            </w:r>
          </w:p>
          <w:p w14:paraId="0F0A71B1">
            <w:pPr>
              <w:spacing w:line="360" w:lineRule="auto"/>
              <w:ind w:firstLine="1200" w:firstLineChars="500"/>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t</w:t>
            </w:r>
            <w:r>
              <w:rPr>
                <w:rFonts w:hint="default" w:ascii="Times New Roman" w:hAnsi="Times New Roman" w:eastAsia="宋体" w:cs="Times New Roman"/>
                <w:color w:val="auto"/>
                <w:sz w:val="24"/>
                <w:szCs w:val="24"/>
                <w:vertAlign w:val="subscript"/>
                <w:lang w:val="en-US" w:eastAsia="zh-CN"/>
              </w:rPr>
              <w:t>i</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在</w:t>
            </w:r>
            <w:r>
              <w:rPr>
                <w:rFonts w:hint="default" w:ascii="Times New Roman" w:hAnsi="Times New Roman" w:eastAsia="宋体" w:cs="Times New Roman"/>
                <w:color w:val="auto"/>
                <w:sz w:val="24"/>
                <w:szCs w:val="24"/>
                <w:lang w:val="en-US" w:eastAsia="zh-CN"/>
              </w:rPr>
              <w:t>T</w:t>
            </w:r>
            <w:r>
              <w:rPr>
                <w:rFonts w:hint="eastAsia" w:ascii="Times New Roman" w:hAnsi="Times New Roman" w:eastAsia="宋体" w:cs="Times New Roman"/>
                <w:color w:val="auto"/>
                <w:sz w:val="24"/>
                <w:szCs w:val="24"/>
                <w:lang w:val="en-US" w:eastAsia="zh-CN"/>
              </w:rPr>
              <w:t>时间内</w:t>
            </w:r>
            <w:r>
              <w:rPr>
                <w:rFonts w:hint="default" w:ascii="Times New Roman" w:hAnsi="Times New Roman" w:eastAsia="宋体" w:cs="Times New Roman"/>
                <w:color w:val="auto"/>
                <w:sz w:val="24"/>
                <w:szCs w:val="24"/>
                <w:lang w:val="en-US" w:eastAsia="zh-CN"/>
              </w:rPr>
              <w:t>i</w:t>
            </w:r>
            <w:r>
              <w:rPr>
                <w:rFonts w:hint="eastAsia" w:ascii="Times New Roman" w:hAnsi="Times New Roman" w:eastAsia="宋体" w:cs="Times New Roman"/>
                <w:color w:val="auto"/>
                <w:sz w:val="24"/>
                <w:szCs w:val="24"/>
                <w:lang w:val="en-US" w:eastAsia="zh-CN"/>
              </w:rPr>
              <w:t>声源工作时间，</w:t>
            </w:r>
            <w:r>
              <w:rPr>
                <w:rFonts w:hint="default" w:ascii="Times New Roman" w:hAnsi="Times New Roman" w:eastAsia="宋体" w:cs="Times New Roman"/>
                <w:color w:val="auto"/>
                <w:sz w:val="24"/>
                <w:szCs w:val="24"/>
                <w:lang w:val="en-US" w:eastAsia="zh-CN"/>
              </w:rPr>
              <w:t>s</w:t>
            </w:r>
            <w:r>
              <w:rPr>
                <w:rFonts w:hint="eastAsia" w:ascii="Times New Roman" w:hAnsi="Times New Roman" w:eastAsia="宋体" w:cs="Times New Roman"/>
                <w:color w:val="auto"/>
                <w:sz w:val="24"/>
                <w:szCs w:val="24"/>
                <w:lang w:val="en-US" w:eastAsia="zh-CN"/>
              </w:rPr>
              <w:t>；</w:t>
            </w:r>
          </w:p>
          <w:p w14:paraId="3B9B9DDE">
            <w:pPr>
              <w:spacing w:line="360" w:lineRule="auto"/>
              <w:ind w:firstLine="1200" w:firstLineChars="500"/>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M——</w:t>
            </w:r>
            <w:r>
              <w:rPr>
                <w:rFonts w:hint="eastAsia" w:ascii="Times New Roman" w:hAnsi="Times New Roman" w:eastAsia="宋体" w:cs="Times New Roman"/>
                <w:color w:val="auto"/>
                <w:sz w:val="24"/>
                <w:szCs w:val="24"/>
                <w:lang w:val="en-US" w:eastAsia="zh-CN"/>
              </w:rPr>
              <w:t>等效室外声源个数；</w:t>
            </w:r>
          </w:p>
          <w:p w14:paraId="24D4F8DA">
            <w:pPr>
              <w:spacing w:line="360" w:lineRule="auto"/>
              <w:ind w:firstLine="1200" w:firstLineChars="500"/>
              <w:rPr>
                <w:rFonts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t</w:t>
            </w:r>
            <w:r>
              <w:rPr>
                <w:rFonts w:hint="default" w:ascii="Times New Roman" w:hAnsi="Times New Roman" w:eastAsia="宋体" w:cs="Times New Roman"/>
                <w:color w:val="auto"/>
                <w:sz w:val="24"/>
                <w:szCs w:val="24"/>
                <w:vertAlign w:val="subscript"/>
                <w:lang w:val="en-US" w:eastAsia="zh-CN"/>
              </w:rPr>
              <w:t xml:space="preserve">j </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在</w:t>
            </w:r>
            <w:r>
              <w:rPr>
                <w:rFonts w:hint="default" w:ascii="Times New Roman" w:hAnsi="Times New Roman" w:eastAsia="宋体" w:cs="Times New Roman"/>
                <w:color w:val="auto"/>
                <w:sz w:val="24"/>
                <w:szCs w:val="24"/>
                <w:lang w:val="en-US" w:eastAsia="zh-CN"/>
              </w:rPr>
              <w:t>T</w:t>
            </w:r>
            <w:r>
              <w:rPr>
                <w:rFonts w:hint="eastAsia" w:ascii="Times New Roman" w:hAnsi="Times New Roman" w:eastAsia="宋体" w:cs="Times New Roman"/>
                <w:color w:val="auto"/>
                <w:sz w:val="24"/>
                <w:szCs w:val="24"/>
                <w:lang w:val="en-US" w:eastAsia="zh-CN"/>
              </w:rPr>
              <w:t>时间内</w:t>
            </w:r>
            <w:r>
              <w:rPr>
                <w:rFonts w:hint="default" w:ascii="Times New Roman" w:hAnsi="Times New Roman" w:eastAsia="宋体" w:cs="Times New Roman"/>
                <w:color w:val="auto"/>
                <w:sz w:val="24"/>
                <w:szCs w:val="24"/>
                <w:lang w:val="en-US" w:eastAsia="zh-CN"/>
              </w:rPr>
              <w:t>j</w:t>
            </w:r>
            <w:r>
              <w:rPr>
                <w:rFonts w:hint="eastAsia" w:ascii="Times New Roman" w:hAnsi="Times New Roman" w:eastAsia="宋体" w:cs="Times New Roman"/>
                <w:color w:val="auto"/>
                <w:sz w:val="24"/>
                <w:szCs w:val="24"/>
                <w:lang w:val="en-US" w:eastAsia="zh-CN"/>
              </w:rPr>
              <w:t>声源工作时间，</w:t>
            </w:r>
            <w:r>
              <w:rPr>
                <w:rFonts w:hint="default" w:ascii="Times New Roman" w:hAnsi="Times New Roman" w:eastAsia="宋体" w:cs="Times New Roman"/>
                <w:color w:val="auto"/>
                <w:sz w:val="24"/>
                <w:szCs w:val="24"/>
                <w:lang w:val="en-US" w:eastAsia="zh-CN"/>
              </w:rPr>
              <w:t>s</w:t>
            </w:r>
            <w:r>
              <w:rPr>
                <w:rFonts w:hint="eastAsia" w:ascii="Times New Roman" w:hAnsi="Times New Roman" w:eastAsia="宋体" w:cs="Times New Roman"/>
                <w:color w:val="auto"/>
                <w:sz w:val="24"/>
                <w:szCs w:val="24"/>
                <w:lang w:val="en-US" w:eastAsia="zh-CN"/>
              </w:rPr>
              <w:t>。</w:t>
            </w:r>
          </w:p>
          <w:p w14:paraId="142CF42C">
            <w:pPr>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(4)</w:t>
            </w:r>
            <w:r>
              <w:rPr>
                <w:rFonts w:hint="eastAsia" w:ascii="Times New Roman" w:hAnsi="Times New Roman" w:eastAsia="宋体" w:cs="Times New Roman"/>
                <w:color w:val="auto"/>
                <w:sz w:val="24"/>
                <w:szCs w:val="24"/>
                <w:lang w:val="en-US" w:eastAsia="zh-CN"/>
              </w:rPr>
              <w:t>噪声预测值计算</w:t>
            </w:r>
          </w:p>
          <w:p w14:paraId="25FDD533">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预测点的贡献值和背景值按能量叠加方法计算得到的声级</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计算公式：</w:t>
            </w:r>
          </w:p>
          <w:p w14:paraId="06E449E5">
            <w:pPr>
              <w:spacing w:line="360" w:lineRule="auto"/>
              <w:ind w:firstLine="1680" w:firstLineChars="7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drawing>
                <wp:inline distT="0" distB="0" distL="114300" distR="114300">
                  <wp:extent cx="1907540" cy="304165"/>
                  <wp:effectExtent l="0" t="0" r="10160" b="635"/>
                  <wp:docPr id="20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5"/>
                          <pic:cNvPicPr>
                            <a:picLocks noChangeAspect="1"/>
                          </pic:cNvPicPr>
                        </pic:nvPicPr>
                        <pic:blipFill>
                          <a:blip r:embed="rId21"/>
                          <a:stretch>
                            <a:fillRect/>
                          </a:stretch>
                        </pic:blipFill>
                        <pic:spPr>
                          <a:xfrm>
                            <a:off x="0" y="0"/>
                            <a:ext cx="1907540" cy="304165"/>
                          </a:xfrm>
                          <a:prstGeom prst="rect">
                            <a:avLst/>
                          </a:prstGeom>
                          <a:noFill/>
                          <a:ln>
                            <a:noFill/>
                          </a:ln>
                        </pic:spPr>
                      </pic:pic>
                    </a:graphicData>
                  </a:graphic>
                </wp:inline>
              </w:drawing>
            </w:r>
            <w:r>
              <w:rPr>
                <w:rFonts w:hint="default" w:ascii="Times New Roman" w:hAnsi="Times New Roman" w:eastAsia="宋体" w:cs="Times New Roman"/>
                <w:color w:val="auto"/>
                <w:sz w:val="24"/>
                <w:szCs w:val="24"/>
                <w:highlight w:val="none"/>
              </w:rPr>
              <w:t xml:space="preserve">            (2)</w:t>
            </w:r>
          </w:p>
          <w:p w14:paraId="5429A914">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式中：</w:t>
            </w:r>
          </w:p>
          <w:p w14:paraId="6206EB2F">
            <w:pPr>
              <w:spacing w:line="360" w:lineRule="auto"/>
              <w:ind w:firstLine="48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Leq</w:t>
            </w:r>
            <w:r>
              <w:rPr>
                <w:rFonts w:hint="default" w:ascii="Times New Roman" w:hAnsi="Times New Roman" w:eastAsia="宋体" w:cs="Times New Roman"/>
                <w:color w:val="auto"/>
                <w:sz w:val="24"/>
                <w:szCs w:val="24"/>
              </w:rPr>
              <w:t>—预测点的噪声预测值，dB；</w:t>
            </w:r>
          </w:p>
          <w:p w14:paraId="272CFB85">
            <w:pPr>
              <w:spacing w:line="360" w:lineRule="auto"/>
              <w:ind w:firstLine="480"/>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Leqg—建设项目声源在预测点产生的噪声贡献值，dB</w:t>
            </w:r>
            <w:r>
              <w:rPr>
                <w:rFonts w:hint="eastAsia" w:ascii="Times New Roman" w:hAnsi="Times New Roman" w:eastAsia="宋体" w:cs="Times New Roman"/>
                <w:color w:val="auto"/>
                <w:sz w:val="24"/>
                <w:szCs w:val="24"/>
                <w:lang w:eastAsia="zh-CN"/>
              </w:rPr>
              <w:t>；</w:t>
            </w:r>
          </w:p>
          <w:p w14:paraId="5C3CBFBF">
            <w:pPr>
              <w:spacing w:line="360" w:lineRule="auto"/>
              <w:ind w:firstLine="48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Leq</w:t>
            </w:r>
            <w:r>
              <w:rPr>
                <w:rFonts w:hint="eastAsia" w:ascii="Times New Roman" w:hAnsi="Times New Roman" w:eastAsia="宋体" w:cs="Times New Roman"/>
                <w:color w:val="auto"/>
                <w:sz w:val="24"/>
                <w:szCs w:val="24"/>
                <w:lang w:val="en-US" w:eastAsia="zh-CN"/>
              </w:rPr>
              <w:t>b</w:t>
            </w:r>
            <w:r>
              <w:rPr>
                <w:rFonts w:hint="default" w:ascii="Times New Roman" w:hAnsi="Times New Roman" w:eastAsia="宋体" w:cs="Times New Roman"/>
                <w:color w:val="auto"/>
                <w:sz w:val="24"/>
                <w:szCs w:val="24"/>
              </w:rPr>
              <w:t>—预测点的背景噪声值，dB。</w:t>
            </w:r>
          </w:p>
          <w:p w14:paraId="22BF58A6">
            <w:pPr>
              <w:snapToGrid w:val="0"/>
              <w:spacing w:line="360" w:lineRule="auto"/>
              <w:ind w:right="11" w:firstLine="480" w:firstLineChars="200"/>
              <w:rPr>
                <w:rFonts w:ascii="Times New Roman" w:hAnsi="Times New Roman" w:eastAsia="宋体"/>
                <w:color w:val="auto"/>
                <w:sz w:val="24"/>
                <w:szCs w:val="24"/>
              </w:rPr>
            </w:pPr>
            <w:r>
              <w:rPr>
                <w:rFonts w:hint="eastAsia" w:ascii="Times New Roman" w:hAnsi="Times New Roman" w:eastAsia="宋体"/>
                <w:color w:val="auto"/>
                <w:sz w:val="24"/>
                <w:szCs w:val="24"/>
                <w:lang w:val="en-US" w:eastAsia="zh-CN"/>
              </w:rPr>
              <w:t>(5)</w:t>
            </w:r>
            <w:r>
              <w:rPr>
                <w:rFonts w:hint="eastAsia" w:ascii="Times New Roman" w:hAnsi="Times New Roman" w:eastAsia="宋体"/>
                <w:color w:val="auto"/>
                <w:sz w:val="24"/>
                <w:szCs w:val="24"/>
              </w:rPr>
              <w:t>隔声量的确定</w:t>
            </w:r>
          </w:p>
          <w:p w14:paraId="32C9ED82">
            <w:pPr>
              <w:snapToGrid w:val="0"/>
              <w:spacing w:line="360" w:lineRule="auto"/>
              <w:ind w:right="11" w:firstLine="480" w:firstLineChars="200"/>
              <w:rPr>
                <w:rFonts w:hint="default" w:ascii="Times New Roman" w:hAnsi="Times New Roman" w:eastAsia="宋体"/>
                <w:color w:val="auto"/>
                <w:sz w:val="24"/>
                <w:szCs w:val="24"/>
                <w:lang w:val="en-US" w:eastAsia="zh-CN"/>
              </w:rPr>
            </w:pPr>
            <w:r>
              <w:rPr>
                <w:rFonts w:hint="eastAsia" w:ascii="Times New Roman" w:hAnsi="Times New Roman" w:eastAsia="宋体"/>
                <w:color w:val="auto"/>
                <w:sz w:val="24"/>
                <w:szCs w:val="24"/>
              </w:rPr>
              <w:t>项目主要噪声设备大多设置于各建构筑物内，设备噪声经</w:t>
            </w:r>
            <w:r>
              <w:rPr>
                <w:rFonts w:hint="eastAsia" w:ascii="Times New Roman" w:hAnsi="Times New Roman" w:eastAsia="宋体"/>
                <w:color w:val="auto"/>
                <w:sz w:val="24"/>
                <w:szCs w:val="24"/>
                <w:lang w:val="en-US" w:eastAsia="zh-CN"/>
              </w:rPr>
              <w:t>墙体隔声，设备基础减振后</w:t>
            </w:r>
            <w:r>
              <w:rPr>
                <w:rFonts w:hint="eastAsia" w:ascii="Times New Roman" w:hAnsi="Times New Roman" w:eastAsia="宋体"/>
                <w:color w:val="auto"/>
                <w:sz w:val="24"/>
                <w:szCs w:val="24"/>
              </w:rPr>
              <w:t>，</w:t>
            </w:r>
            <w:r>
              <w:rPr>
                <w:rFonts w:hint="eastAsia" w:ascii="Times New Roman" w:hAnsi="Times New Roman" w:eastAsia="宋体"/>
                <w:color w:val="auto"/>
                <w:sz w:val="24"/>
                <w:szCs w:val="24"/>
                <w:lang w:val="en-US" w:eastAsia="zh-CN"/>
              </w:rPr>
              <w:t>项目主要生产厂房为砖混结构，隔声、减振按20</w:t>
            </w:r>
            <w:r>
              <w:rPr>
                <w:rFonts w:hint="eastAsia" w:ascii="Times New Roman" w:hAnsi="Times New Roman" w:eastAsia="宋体"/>
                <w:color w:val="auto"/>
                <w:sz w:val="24"/>
                <w:szCs w:val="24"/>
              </w:rPr>
              <w:t>dB(A)</w:t>
            </w:r>
            <w:r>
              <w:rPr>
                <w:rFonts w:hint="eastAsia" w:ascii="Times New Roman" w:hAnsi="Times New Roman" w:eastAsia="宋体"/>
                <w:color w:val="auto"/>
                <w:sz w:val="24"/>
                <w:szCs w:val="24"/>
                <w:lang w:val="en-US" w:eastAsia="zh-CN"/>
              </w:rPr>
              <w:t>进行设计。</w:t>
            </w:r>
          </w:p>
          <w:p w14:paraId="0EBBD8B5">
            <w:pPr>
              <w:spacing w:line="360" w:lineRule="auto"/>
              <w:ind w:firstLine="480"/>
              <w:rPr>
                <w:rFonts w:ascii="Times New Roman" w:hAnsi="Times New Roman" w:eastAsia="宋体"/>
                <w:color w:val="auto"/>
                <w:sz w:val="24"/>
                <w:szCs w:val="24"/>
              </w:rPr>
            </w:pPr>
            <w:r>
              <w:rPr>
                <w:rFonts w:ascii="Times New Roman" w:hAnsi="Times New Roman" w:eastAsia="宋体"/>
                <w:color w:val="auto"/>
                <w:sz w:val="24"/>
                <w:szCs w:val="24"/>
              </w:rPr>
              <w:t>(</w:t>
            </w:r>
            <w:r>
              <w:rPr>
                <w:rFonts w:hint="eastAsia" w:ascii="Times New Roman" w:hAnsi="Times New Roman" w:eastAsia="宋体"/>
                <w:color w:val="auto"/>
                <w:sz w:val="24"/>
                <w:szCs w:val="24"/>
                <w:lang w:val="en-US" w:eastAsia="zh-CN"/>
              </w:rPr>
              <w:t>6</w:t>
            </w:r>
            <w:r>
              <w:rPr>
                <w:rFonts w:ascii="Times New Roman" w:hAnsi="Times New Roman" w:eastAsia="宋体"/>
                <w:color w:val="auto"/>
                <w:sz w:val="24"/>
                <w:szCs w:val="24"/>
              </w:rPr>
              <w:t>)</w:t>
            </w:r>
            <w:r>
              <w:rPr>
                <w:rFonts w:hint="eastAsia" w:ascii="Times New Roman" w:hAnsi="Times New Roman" w:eastAsia="宋体"/>
                <w:color w:val="auto"/>
                <w:sz w:val="24"/>
                <w:szCs w:val="24"/>
              </w:rPr>
              <w:t>预测结果</w:t>
            </w:r>
          </w:p>
          <w:p w14:paraId="770D90CF">
            <w:pPr>
              <w:spacing w:line="360" w:lineRule="auto"/>
              <w:ind w:firstLine="480"/>
              <w:rPr>
                <w:rFonts w:hint="default" w:ascii="Times New Roman" w:hAnsi="Times New Roman" w:eastAsia="宋体"/>
                <w:color w:val="auto"/>
                <w:sz w:val="24"/>
                <w:szCs w:val="24"/>
                <w:lang w:val="en-US" w:eastAsia="zh-CN"/>
              </w:rPr>
            </w:pPr>
            <w:r>
              <w:rPr>
                <w:rFonts w:hint="eastAsia" w:ascii="Times New Roman" w:hAnsi="Times New Roman" w:eastAsia="宋体"/>
                <w:color w:val="auto"/>
                <w:sz w:val="24"/>
                <w:szCs w:val="24"/>
                <w:lang w:val="zh-CN"/>
              </w:rPr>
              <w:t>①</w:t>
            </w:r>
            <w:r>
              <w:rPr>
                <w:rFonts w:hint="eastAsia" w:ascii="Times New Roman" w:hAnsi="Times New Roman" w:eastAsia="宋体"/>
                <w:color w:val="auto"/>
                <w:sz w:val="24"/>
                <w:szCs w:val="24"/>
                <w:lang w:val="en-US" w:eastAsia="zh-CN"/>
              </w:rPr>
              <w:t>厂界噪声预测结果</w:t>
            </w:r>
          </w:p>
          <w:p w14:paraId="6F9CD46B">
            <w:pPr>
              <w:spacing w:line="360" w:lineRule="auto"/>
              <w:ind w:firstLine="480"/>
              <w:rPr>
                <w:rFonts w:ascii="Times New Roman" w:hAnsi="Times New Roman" w:eastAsia="宋体"/>
                <w:color w:val="auto"/>
                <w:sz w:val="24"/>
                <w:szCs w:val="24"/>
                <w:lang w:val="zh-CN"/>
              </w:rPr>
            </w:pPr>
            <w:r>
              <w:rPr>
                <w:rFonts w:ascii="Times New Roman" w:hAnsi="Times New Roman" w:eastAsia="宋体"/>
                <w:color w:val="auto"/>
                <w:sz w:val="24"/>
                <w:szCs w:val="24"/>
                <w:lang w:val="zh-CN"/>
              </w:rPr>
              <w:t>利用上述模式计算本项目噪声源同时工作时，预测到厂界的噪声最大值及位置，具体预测结果见表</w:t>
            </w:r>
            <w:r>
              <w:rPr>
                <w:rFonts w:hint="eastAsia" w:ascii="Times New Roman" w:hAnsi="Times New Roman" w:eastAsia="宋体"/>
                <w:color w:val="auto"/>
                <w:sz w:val="24"/>
                <w:szCs w:val="24"/>
              </w:rPr>
              <w:t>4.</w:t>
            </w:r>
            <w:r>
              <w:rPr>
                <w:rFonts w:hint="eastAsia" w:ascii="Times New Roman" w:hAnsi="Times New Roman" w:eastAsia="宋体"/>
                <w:color w:val="auto"/>
                <w:sz w:val="24"/>
                <w:szCs w:val="24"/>
                <w:lang w:val="en-US" w:eastAsia="zh-CN"/>
              </w:rPr>
              <w:t>4-</w:t>
            </w:r>
            <w:r>
              <w:rPr>
                <w:rFonts w:hint="eastAsia"/>
                <w:color w:val="auto"/>
                <w:sz w:val="24"/>
                <w:szCs w:val="24"/>
                <w:lang w:val="en-US" w:eastAsia="zh-CN"/>
              </w:rPr>
              <w:t>2</w:t>
            </w:r>
            <w:r>
              <w:rPr>
                <w:rFonts w:ascii="Times New Roman" w:hAnsi="Times New Roman" w:eastAsia="宋体"/>
                <w:color w:val="auto"/>
                <w:sz w:val="24"/>
                <w:szCs w:val="24"/>
                <w:lang w:val="zh-CN"/>
              </w:rPr>
              <w:t>所示。</w:t>
            </w:r>
          </w:p>
          <w:p w14:paraId="1E83D755">
            <w:pPr>
              <w:pStyle w:val="33"/>
              <w:bidi w:val="0"/>
              <w:rPr>
                <w:color w:val="auto"/>
                <w:sz w:val="24"/>
                <w:szCs w:val="24"/>
              </w:rPr>
            </w:pPr>
            <w:r>
              <w:rPr>
                <w:color w:val="auto"/>
                <w:sz w:val="24"/>
                <w:szCs w:val="24"/>
              </w:rPr>
              <w:t>表4.</w:t>
            </w:r>
            <w:r>
              <w:rPr>
                <w:rFonts w:hint="eastAsia"/>
                <w:color w:val="auto"/>
                <w:sz w:val="24"/>
                <w:szCs w:val="24"/>
                <w:lang w:val="en-US" w:eastAsia="zh-CN"/>
              </w:rPr>
              <w:t>4</w:t>
            </w:r>
            <w:r>
              <w:rPr>
                <w:color w:val="auto"/>
                <w:sz w:val="24"/>
                <w:szCs w:val="24"/>
              </w:rPr>
              <w:t>-</w:t>
            </w:r>
            <w:r>
              <w:rPr>
                <w:rFonts w:hint="eastAsia"/>
                <w:color w:val="auto"/>
                <w:sz w:val="24"/>
                <w:szCs w:val="24"/>
                <w:lang w:val="en-US" w:eastAsia="zh-CN"/>
              </w:rPr>
              <w:t>2</w:t>
            </w:r>
            <w:r>
              <w:rPr>
                <w:color w:val="auto"/>
                <w:sz w:val="24"/>
                <w:szCs w:val="24"/>
              </w:rPr>
              <w:t xml:space="preserve"> 厂界噪声预测结果 单位：dB(A)</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720"/>
              <w:gridCol w:w="1082"/>
              <w:gridCol w:w="1473"/>
              <w:gridCol w:w="2322"/>
              <w:gridCol w:w="1228"/>
              <w:gridCol w:w="1090"/>
            </w:tblGrid>
            <w:tr w14:paraId="084B4A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55" w:type="pct"/>
                  <w:vMerge w:val="restart"/>
                  <w:noWrap w:val="0"/>
                  <w:vAlign w:val="center"/>
                </w:tcPr>
                <w:p w14:paraId="12DFBA32">
                  <w:pPr>
                    <w:pStyle w:val="28"/>
                    <w:bidi w:val="0"/>
                    <w:rPr>
                      <w:color w:val="auto"/>
                    </w:rPr>
                  </w:pPr>
                  <w:r>
                    <w:rPr>
                      <w:color w:val="auto"/>
                    </w:rPr>
                    <w:t>编号</w:t>
                  </w:r>
                </w:p>
              </w:tc>
              <w:tc>
                <w:tcPr>
                  <w:tcW w:w="683" w:type="pct"/>
                  <w:vMerge w:val="restart"/>
                  <w:noWrap w:val="0"/>
                  <w:vAlign w:val="center"/>
                </w:tcPr>
                <w:p w14:paraId="27FD9EF6">
                  <w:pPr>
                    <w:pStyle w:val="28"/>
                    <w:bidi w:val="0"/>
                    <w:rPr>
                      <w:color w:val="auto"/>
                    </w:rPr>
                  </w:pPr>
                  <w:r>
                    <w:rPr>
                      <w:color w:val="auto"/>
                    </w:rPr>
                    <w:t>测点位置</w:t>
                  </w:r>
                </w:p>
              </w:tc>
              <w:tc>
                <w:tcPr>
                  <w:tcW w:w="930" w:type="pct"/>
                  <w:noWrap w:val="0"/>
                  <w:vAlign w:val="center"/>
                </w:tcPr>
                <w:p w14:paraId="1D196DF1">
                  <w:pPr>
                    <w:pStyle w:val="28"/>
                    <w:bidi w:val="0"/>
                    <w:rPr>
                      <w:color w:val="auto"/>
                    </w:rPr>
                  </w:pPr>
                  <w:r>
                    <w:rPr>
                      <w:color w:val="auto"/>
                    </w:rPr>
                    <w:t>影响贡献值</w:t>
                  </w:r>
                </w:p>
              </w:tc>
              <w:tc>
                <w:tcPr>
                  <w:tcW w:w="1466" w:type="pct"/>
                  <w:noWrap w:val="0"/>
                  <w:vAlign w:val="center"/>
                </w:tcPr>
                <w:p w14:paraId="1FC64C3D">
                  <w:pPr>
                    <w:pStyle w:val="28"/>
                    <w:bidi w:val="0"/>
                    <w:rPr>
                      <w:color w:val="auto"/>
                    </w:rPr>
                  </w:pPr>
                  <w:r>
                    <w:rPr>
                      <w:color w:val="auto"/>
                    </w:rPr>
                    <w:t>厂界噪声最大值及位置</w:t>
                  </w:r>
                </w:p>
              </w:tc>
              <w:tc>
                <w:tcPr>
                  <w:tcW w:w="775" w:type="pct"/>
                  <w:noWrap w:val="0"/>
                  <w:vAlign w:val="center"/>
                </w:tcPr>
                <w:p w14:paraId="23DB8140">
                  <w:pPr>
                    <w:pStyle w:val="28"/>
                    <w:bidi w:val="0"/>
                    <w:rPr>
                      <w:color w:val="auto"/>
                    </w:rPr>
                  </w:pPr>
                  <w:r>
                    <w:rPr>
                      <w:color w:val="auto"/>
                    </w:rPr>
                    <w:t>标准值</w:t>
                  </w:r>
                </w:p>
              </w:tc>
              <w:tc>
                <w:tcPr>
                  <w:tcW w:w="688" w:type="pct"/>
                  <w:vMerge w:val="restart"/>
                  <w:noWrap w:val="0"/>
                  <w:vAlign w:val="center"/>
                </w:tcPr>
                <w:p w14:paraId="3DD2B240">
                  <w:pPr>
                    <w:pStyle w:val="28"/>
                    <w:bidi w:val="0"/>
                    <w:rPr>
                      <w:color w:val="auto"/>
                    </w:rPr>
                  </w:pPr>
                  <w:r>
                    <w:rPr>
                      <w:color w:val="auto"/>
                    </w:rPr>
                    <w:t>达标情况</w:t>
                  </w:r>
                </w:p>
              </w:tc>
            </w:tr>
            <w:tr w14:paraId="2D3E3C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55" w:type="pct"/>
                  <w:vMerge w:val="continue"/>
                  <w:noWrap w:val="0"/>
                  <w:vAlign w:val="center"/>
                </w:tcPr>
                <w:p w14:paraId="52593CA7">
                  <w:pPr>
                    <w:pStyle w:val="28"/>
                    <w:bidi w:val="0"/>
                    <w:rPr>
                      <w:color w:val="auto"/>
                    </w:rPr>
                  </w:pPr>
                </w:p>
              </w:tc>
              <w:tc>
                <w:tcPr>
                  <w:tcW w:w="683" w:type="pct"/>
                  <w:vMerge w:val="continue"/>
                  <w:noWrap w:val="0"/>
                  <w:vAlign w:val="center"/>
                </w:tcPr>
                <w:p w14:paraId="55753FE0">
                  <w:pPr>
                    <w:pStyle w:val="28"/>
                    <w:bidi w:val="0"/>
                    <w:rPr>
                      <w:color w:val="auto"/>
                    </w:rPr>
                  </w:pPr>
                </w:p>
              </w:tc>
              <w:tc>
                <w:tcPr>
                  <w:tcW w:w="930" w:type="pct"/>
                  <w:noWrap w:val="0"/>
                  <w:vAlign w:val="center"/>
                </w:tcPr>
                <w:p w14:paraId="191DA088">
                  <w:pPr>
                    <w:pStyle w:val="28"/>
                    <w:bidi w:val="0"/>
                    <w:rPr>
                      <w:rFonts w:hint="eastAsia"/>
                      <w:color w:val="auto"/>
                      <w:lang w:val="en-US" w:eastAsia="zh-CN"/>
                    </w:rPr>
                  </w:pPr>
                  <w:r>
                    <w:rPr>
                      <w:color w:val="auto"/>
                    </w:rPr>
                    <w:t>昼间</w:t>
                  </w:r>
                </w:p>
              </w:tc>
              <w:tc>
                <w:tcPr>
                  <w:tcW w:w="1466" w:type="pct"/>
                  <w:noWrap w:val="0"/>
                  <w:vAlign w:val="center"/>
                </w:tcPr>
                <w:p w14:paraId="48E16A96">
                  <w:pPr>
                    <w:pStyle w:val="28"/>
                    <w:bidi w:val="0"/>
                    <w:rPr>
                      <w:rFonts w:hint="eastAsia"/>
                      <w:color w:val="auto"/>
                      <w:lang w:val="en-US" w:eastAsia="zh-CN"/>
                    </w:rPr>
                  </w:pPr>
                  <w:r>
                    <w:rPr>
                      <w:color w:val="auto"/>
                    </w:rPr>
                    <w:t>昼间</w:t>
                  </w:r>
                </w:p>
              </w:tc>
              <w:tc>
                <w:tcPr>
                  <w:tcW w:w="775" w:type="pct"/>
                  <w:noWrap w:val="0"/>
                  <w:vAlign w:val="center"/>
                </w:tcPr>
                <w:p w14:paraId="712E25CA">
                  <w:pPr>
                    <w:pStyle w:val="28"/>
                    <w:bidi w:val="0"/>
                    <w:rPr>
                      <w:rFonts w:hint="eastAsia"/>
                      <w:color w:val="auto"/>
                      <w:lang w:val="en-US" w:eastAsia="zh-CN"/>
                    </w:rPr>
                  </w:pPr>
                  <w:r>
                    <w:rPr>
                      <w:color w:val="auto"/>
                    </w:rPr>
                    <w:t>昼间</w:t>
                  </w:r>
                </w:p>
              </w:tc>
              <w:tc>
                <w:tcPr>
                  <w:tcW w:w="688" w:type="pct"/>
                  <w:vMerge w:val="continue"/>
                  <w:noWrap w:val="0"/>
                  <w:vAlign w:val="center"/>
                </w:tcPr>
                <w:p w14:paraId="35169987">
                  <w:pPr>
                    <w:pStyle w:val="28"/>
                    <w:bidi w:val="0"/>
                    <w:rPr>
                      <w:color w:val="auto"/>
                    </w:rPr>
                  </w:pPr>
                </w:p>
              </w:tc>
            </w:tr>
            <w:tr w14:paraId="7BB5D7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5" w:type="pct"/>
                  <w:noWrap w:val="0"/>
                  <w:vAlign w:val="center"/>
                </w:tcPr>
                <w:p w14:paraId="75D53488">
                  <w:pPr>
                    <w:pStyle w:val="28"/>
                    <w:bidi w:val="0"/>
                    <w:rPr>
                      <w:color w:val="auto"/>
                    </w:rPr>
                  </w:pPr>
                  <w:r>
                    <w:rPr>
                      <w:color w:val="auto"/>
                    </w:rPr>
                    <w:t>1</w:t>
                  </w:r>
                </w:p>
              </w:tc>
              <w:tc>
                <w:tcPr>
                  <w:tcW w:w="683" w:type="pct"/>
                  <w:noWrap w:val="0"/>
                  <w:vAlign w:val="center"/>
                </w:tcPr>
                <w:p w14:paraId="7DB284C4">
                  <w:pPr>
                    <w:pStyle w:val="28"/>
                    <w:bidi w:val="0"/>
                    <w:rPr>
                      <w:color w:val="auto"/>
                    </w:rPr>
                  </w:pPr>
                  <w:r>
                    <w:rPr>
                      <w:rFonts w:hint="eastAsia"/>
                      <w:color w:val="auto"/>
                      <w:lang w:val="en-US" w:eastAsia="zh-CN"/>
                    </w:rPr>
                    <w:t>东侧厂界</w:t>
                  </w:r>
                </w:p>
              </w:tc>
              <w:tc>
                <w:tcPr>
                  <w:tcW w:w="930" w:type="pct"/>
                  <w:noWrap w:val="0"/>
                  <w:vAlign w:val="center"/>
                </w:tcPr>
                <w:p w14:paraId="30B94179">
                  <w:pPr>
                    <w:pStyle w:val="28"/>
                    <w:bidi w:val="0"/>
                    <w:rPr>
                      <w:rFonts w:hint="default"/>
                      <w:color w:val="auto"/>
                      <w:lang w:val="en-US" w:eastAsia="zh-CN"/>
                    </w:rPr>
                  </w:pPr>
                  <w:r>
                    <w:rPr>
                      <w:rFonts w:hint="eastAsia"/>
                      <w:color w:val="auto"/>
                      <w:lang w:val="en-US" w:eastAsia="zh-CN"/>
                    </w:rPr>
                    <w:t>52.6</w:t>
                  </w:r>
                </w:p>
              </w:tc>
              <w:tc>
                <w:tcPr>
                  <w:tcW w:w="1466" w:type="pct"/>
                  <w:vMerge w:val="restart"/>
                  <w:noWrap w:val="0"/>
                  <w:vAlign w:val="center"/>
                </w:tcPr>
                <w:p w14:paraId="0C652FE6">
                  <w:pPr>
                    <w:pStyle w:val="28"/>
                    <w:bidi w:val="0"/>
                    <w:rPr>
                      <w:rFonts w:hint="default"/>
                      <w:color w:val="auto"/>
                    </w:rPr>
                  </w:pPr>
                  <w:r>
                    <w:rPr>
                      <w:rFonts w:hint="eastAsia"/>
                      <w:color w:val="auto"/>
                      <w:lang w:val="en-US" w:eastAsia="zh-CN"/>
                    </w:rPr>
                    <w:t>西</w:t>
                  </w:r>
                  <w:r>
                    <w:rPr>
                      <w:rFonts w:hint="eastAsia"/>
                      <w:color w:val="auto"/>
                      <w:lang w:eastAsia="zh-CN"/>
                    </w:rPr>
                    <w:t>侧</w:t>
                  </w:r>
                  <w:r>
                    <w:rPr>
                      <w:rFonts w:hint="default"/>
                      <w:color w:val="auto"/>
                    </w:rPr>
                    <w:t>厂界</w:t>
                  </w:r>
                </w:p>
                <w:p w14:paraId="533D17AA">
                  <w:pPr>
                    <w:pStyle w:val="28"/>
                    <w:bidi w:val="0"/>
                    <w:rPr>
                      <w:rFonts w:hint="default"/>
                      <w:color w:val="auto"/>
                      <w:lang w:val="en-US" w:eastAsia="zh-CN"/>
                    </w:rPr>
                  </w:pPr>
                  <w:r>
                    <w:rPr>
                      <w:rFonts w:hint="eastAsia"/>
                      <w:color w:val="auto"/>
                      <w:lang w:val="en-US" w:eastAsia="zh-CN"/>
                    </w:rPr>
                    <w:t>58.3</w:t>
                  </w:r>
                </w:p>
              </w:tc>
              <w:tc>
                <w:tcPr>
                  <w:tcW w:w="775" w:type="pct"/>
                  <w:noWrap w:val="0"/>
                  <w:vAlign w:val="center"/>
                </w:tcPr>
                <w:p w14:paraId="3B3B438C">
                  <w:pPr>
                    <w:pStyle w:val="28"/>
                    <w:bidi w:val="0"/>
                    <w:rPr>
                      <w:rFonts w:hint="default"/>
                      <w:color w:val="auto"/>
                      <w:lang w:val="en-US" w:eastAsia="zh-CN"/>
                    </w:rPr>
                  </w:pPr>
                  <w:r>
                    <w:rPr>
                      <w:rFonts w:hint="eastAsia"/>
                      <w:color w:val="auto"/>
                      <w:lang w:val="en-US" w:eastAsia="zh-CN"/>
                    </w:rPr>
                    <w:t>60</w:t>
                  </w:r>
                </w:p>
              </w:tc>
              <w:tc>
                <w:tcPr>
                  <w:tcW w:w="688" w:type="pct"/>
                  <w:noWrap w:val="0"/>
                  <w:vAlign w:val="center"/>
                </w:tcPr>
                <w:p w14:paraId="15CB94EF">
                  <w:pPr>
                    <w:pStyle w:val="28"/>
                    <w:bidi w:val="0"/>
                    <w:rPr>
                      <w:color w:val="auto"/>
                    </w:rPr>
                  </w:pPr>
                  <w:r>
                    <w:rPr>
                      <w:color w:val="auto"/>
                    </w:rPr>
                    <w:t>达标</w:t>
                  </w:r>
                </w:p>
              </w:tc>
            </w:tr>
            <w:tr w14:paraId="20A1E4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5" w:type="pct"/>
                  <w:noWrap w:val="0"/>
                  <w:vAlign w:val="center"/>
                </w:tcPr>
                <w:p w14:paraId="18489626">
                  <w:pPr>
                    <w:pStyle w:val="28"/>
                    <w:bidi w:val="0"/>
                    <w:rPr>
                      <w:color w:val="auto"/>
                    </w:rPr>
                  </w:pPr>
                  <w:r>
                    <w:rPr>
                      <w:color w:val="auto"/>
                    </w:rPr>
                    <w:t>2</w:t>
                  </w:r>
                </w:p>
              </w:tc>
              <w:tc>
                <w:tcPr>
                  <w:tcW w:w="683" w:type="pct"/>
                  <w:noWrap w:val="0"/>
                  <w:vAlign w:val="center"/>
                </w:tcPr>
                <w:p w14:paraId="00C6A3A7">
                  <w:pPr>
                    <w:pStyle w:val="28"/>
                    <w:bidi w:val="0"/>
                    <w:rPr>
                      <w:color w:val="auto"/>
                    </w:rPr>
                  </w:pPr>
                  <w:r>
                    <w:rPr>
                      <w:rFonts w:hint="eastAsia"/>
                      <w:color w:val="auto"/>
                      <w:lang w:val="en-US" w:eastAsia="zh-CN"/>
                    </w:rPr>
                    <w:t>西侧厂界</w:t>
                  </w:r>
                </w:p>
              </w:tc>
              <w:tc>
                <w:tcPr>
                  <w:tcW w:w="930" w:type="pct"/>
                  <w:noWrap w:val="0"/>
                  <w:vAlign w:val="center"/>
                </w:tcPr>
                <w:p w14:paraId="1F7550A8">
                  <w:pPr>
                    <w:pStyle w:val="28"/>
                    <w:bidi w:val="0"/>
                    <w:rPr>
                      <w:rFonts w:hint="default"/>
                      <w:color w:val="auto"/>
                      <w:lang w:val="en-US" w:eastAsia="zh-CN"/>
                    </w:rPr>
                  </w:pPr>
                  <w:r>
                    <w:rPr>
                      <w:rFonts w:hint="eastAsia"/>
                      <w:color w:val="auto"/>
                      <w:lang w:val="en-US" w:eastAsia="zh-CN"/>
                    </w:rPr>
                    <w:t>58.3</w:t>
                  </w:r>
                </w:p>
              </w:tc>
              <w:tc>
                <w:tcPr>
                  <w:tcW w:w="1466" w:type="pct"/>
                  <w:vMerge w:val="continue"/>
                  <w:noWrap w:val="0"/>
                  <w:vAlign w:val="center"/>
                </w:tcPr>
                <w:p w14:paraId="3613D3DE">
                  <w:pPr>
                    <w:pStyle w:val="28"/>
                    <w:bidi w:val="0"/>
                    <w:rPr>
                      <w:color w:val="auto"/>
                    </w:rPr>
                  </w:pPr>
                </w:p>
              </w:tc>
              <w:tc>
                <w:tcPr>
                  <w:tcW w:w="775" w:type="pct"/>
                  <w:noWrap w:val="0"/>
                  <w:vAlign w:val="center"/>
                </w:tcPr>
                <w:p w14:paraId="15A04A04">
                  <w:pPr>
                    <w:pStyle w:val="28"/>
                    <w:bidi w:val="0"/>
                    <w:rPr>
                      <w:rFonts w:hint="default"/>
                      <w:color w:val="auto"/>
                      <w:lang w:val="en-US" w:eastAsia="zh-CN"/>
                    </w:rPr>
                  </w:pPr>
                  <w:r>
                    <w:rPr>
                      <w:rFonts w:hint="eastAsia"/>
                      <w:color w:val="auto"/>
                      <w:lang w:val="en-US" w:eastAsia="zh-CN"/>
                    </w:rPr>
                    <w:t>60</w:t>
                  </w:r>
                </w:p>
              </w:tc>
              <w:tc>
                <w:tcPr>
                  <w:tcW w:w="688" w:type="pct"/>
                  <w:noWrap w:val="0"/>
                  <w:vAlign w:val="center"/>
                </w:tcPr>
                <w:p w14:paraId="22CC9E92">
                  <w:pPr>
                    <w:pStyle w:val="28"/>
                    <w:bidi w:val="0"/>
                    <w:rPr>
                      <w:color w:val="auto"/>
                    </w:rPr>
                  </w:pPr>
                  <w:r>
                    <w:rPr>
                      <w:color w:val="auto"/>
                    </w:rPr>
                    <w:t>达标</w:t>
                  </w:r>
                </w:p>
              </w:tc>
            </w:tr>
            <w:tr w14:paraId="39AC0B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5" w:type="pct"/>
                  <w:noWrap w:val="0"/>
                  <w:vAlign w:val="center"/>
                </w:tcPr>
                <w:p w14:paraId="48655F51">
                  <w:pPr>
                    <w:pStyle w:val="28"/>
                    <w:bidi w:val="0"/>
                    <w:rPr>
                      <w:rFonts w:hint="eastAsia"/>
                      <w:color w:val="auto"/>
                      <w:lang w:val="en-US" w:eastAsia="zh-CN"/>
                    </w:rPr>
                  </w:pPr>
                  <w:r>
                    <w:rPr>
                      <w:rFonts w:hint="eastAsia"/>
                      <w:color w:val="auto"/>
                      <w:lang w:val="en-US" w:eastAsia="zh-CN"/>
                    </w:rPr>
                    <w:t>3</w:t>
                  </w:r>
                </w:p>
              </w:tc>
              <w:tc>
                <w:tcPr>
                  <w:tcW w:w="683" w:type="pct"/>
                  <w:noWrap w:val="0"/>
                  <w:vAlign w:val="center"/>
                </w:tcPr>
                <w:p w14:paraId="7E2441A4">
                  <w:pPr>
                    <w:pStyle w:val="28"/>
                    <w:bidi w:val="0"/>
                    <w:rPr>
                      <w:rFonts w:hint="default"/>
                      <w:color w:val="auto"/>
                      <w:lang w:val="en-US" w:eastAsia="zh-CN"/>
                    </w:rPr>
                  </w:pPr>
                  <w:r>
                    <w:rPr>
                      <w:rFonts w:hint="eastAsia"/>
                      <w:color w:val="auto"/>
                      <w:lang w:val="en-US" w:eastAsia="zh-CN"/>
                    </w:rPr>
                    <w:t>南侧厂界</w:t>
                  </w:r>
                </w:p>
              </w:tc>
              <w:tc>
                <w:tcPr>
                  <w:tcW w:w="930" w:type="pct"/>
                  <w:noWrap w:val="0"/>
                  <w:vAlign w:val="center"/>
                </w:tcPr>
                <w:p w14:paraId="6E658CCC">
                  <w:pPr>
                    <w:pStyle w:val="28"/>
                    <w:bidi w:val="0"/>
                    <w:rPr>
                      <w:rFonts w:hint="default"/>
                      <w:color w:val="auto"/>
                      <w:lang w:val="en-US" w:eastAsia="zh-CN"/>
                    </w:rPr>
                  </w:pPr>
                  <w:r>
                    <w:rPr>
                      <w:rFonts w:hint="eastAsia"/>
                      <w:color w:val="auto"/>
                      <w:lang w:val="en-US" w:eastAsia="zh-CN"/>
                    </w:rPr>
                    <w:t>57.4</w:t>
                  </w:r>
                </w:p>
              </w:tc>
              <w:tc>
                <w:tcPr>
                  <w:tcW w:w="1466" w:type="pct"/>
                  <w:vMerge w:val="continue"/>
                  <w:noWrap w:val="0"/>
                  <w:vAlign w:val="center"/>
                </w:tcPr>
                <w:p w14:paraId="4CCA6B3B">
                  <w:pPr>
                    <w:pStyle w:val="28"/>
                    <w:bidi w:val="0"/>
                    <w:rPr>
                      <w:color w:val="auto"/>
                    </w:rPr>
                  </w:pPr>
                </w:p>
              </w:tc>
              <w:tc>
                <w:tcPr>
                  <w:tcW w:w="775" w:type="pct"/>
                  <w:noWrap w:val="0"/>
                  <w:vAlign w:val="center"/>
                </w:tcPr>
                <w:p w14:paraId="0A06829D">
                  <w:pPr>
                    <w:pStyle w:val="28"/>
                    <w:bidi w:val="0"/>
                    <w:rPr>
                      <w:rFonts w:hint="default"/>
                      <w:color w:val="auto"/>
                      <w:lang w:val="en-US"/>
                    </w:rPr>
                  </w:pPr>
                  <w:r>
                    <w:rPr>
                      <w:rFonts w:hint="eastAsia"/>
                      <w:color w:val="auto"/>
                      <w:lang w:val="en-US" w:eastAsia="zh-CN"/>
                    </w:rPr>
                    <w:t>60</w:t>
                  </w:r>
                </w:p>
              </w:tc>
              <w:tc>
                <w:tcPr>
                  <w:tcW w:w="688" w:type="pct"/>
                  <w:noWrap w:val="0"/>
                  <w:vAlign w:val="center"/>
                </w:tcPr>
                <w:p w14:paraId="0DCE5276">
                  <w:pPr>
                    <w:pStyle w:val="28"/>
                    <w:bidi w:val="0"/>
                    <w:rPr>
                      <w:color w:val="auto"/>
                    </w:rPr>
                  </w:pPr>
                  <w:r>
                    <w:rPr>
                      <w:color w:val="auto"/>
                    </w:rPr>
                    <w:t>达标</w:t>
                  </w:r>
                </w:p>
              </w:tc>
            </w:tr>
            <w:tr w14:paraId="0E7E4B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5" w:type="pct"/>
                  <w:noWrap w:val="0"/>
                  <w:vAlign w:val="center"/>
                </w:tcPr>
                <w:p w14:paraId="3CD19538">
                  <w:pPr>
                    <w:pStyle w:val="28"/>
                    <w:bidi w:val="0"/>
                    <w:rPr>
                      <w:rFonts w:hint="default"/>
                      <w:color w:val="auto"/>
                      <w:lang w:val="en-US" w:eastAsia="zh-CN"/>
                    </w:rPr>
                  </w:pPr>
                  <w:r>
                    <w:rPr>
                      <w:rFonts w:hint="eastAsia"/>
                      <w:color w:val="auto"/>
                      <w:lang w:val="en-US" w:eastAsia="zh-CN"/>
                    </w:rPr>
                    <w:t>4</w:t>
                  </w:r>
                </w:p>
              </w:tc>
              <w:tc>
                <w:tcPr>
                  <w:tcW w:w="683" w:type="pct"/>
                  <w:noWrap w:val="0"/>
                  <w:vAlign w:val="center"/>
                </w:tcPr>
                <w:p w14:paraId="3E4BA4DE">
                  <w:pPr>
                    <w:pStyle w:val="28"/>
                    <w:bidi w:val="0"/>
                    <w:rPr>
                      <w:rFonts w:hint="eastAsia"/>
                      <w:color w:val="auto"/>
                      <w:lang w:val="en-US" w:eastAsia="zh-CN"/>
                    </w:rPr>
                  </w:pPr>
                  <w:r>
                    <w:rPr>
                      <w:rFonts w:hint="eastAsia"/>
                      <w:color w:val="auto"/>
                      <w:lang w:val="en-US" w:eastAsia="zh-CN"/>
                    </w:rPr>
                    <w:t>北侧厂界</w:t>
                  </w:r>
                </w:p>
              </w:tc>
              <w:tc>
                <w:tcPr>
                  <w:tcW w:w="930" w:type="pct"/>
                  <w:noWrap w:val="0"/>
                  <w:vAlign w:val="center"/>
                </w:tcPr>
                <w:p w14:paraId="49B3CCA2">
                  <w:pPr>
                    <w:pStyle w:val="28"/>
                    <w:bidi w:val="0"/>
                    <w:rPr>
                      <w:rFonts w:hint="default"/>
                      <w:color w:val="auto"/>
                      <w:lang w:val="en-US" w:eastAsia="zh-CN"/>
                    </w:rPr>
                  </w:pPr>
                  <w:r>
                    <w:rPr>
                      <w:rFonts w:hint="eastAsia"/>
                      <w:color w:val="auto"/>
                      <w:lang w:val="en-US" w:eastAsia="zh-CN"/>
                    </w:rPr>
                    <w:t>51.2</w:t>
                  </w:r>
                </w:p>
              </w:tc>
              <w:tc>
                <w:tcPr>
                  <w:tcW w:w="1466" w:type="pct"/>
                  <w:vMerge w:val="continue"/>
                  <w:noWrap w:val="0"/>
                  <w:vAlign w:val="center"/>
                </w:tcPr>
                <w:p w14:paraId="48C6A6A8">
                  <w:pPr>
                    <w:pStyle w:val="28"/>
                    <w:bidi w:val="0"/>
                    <w:rPr>
                      <w:color w:val="auto"/>
                    </w:rPr>
                  </w:pPr>
                </w:p>
              </w:tc>
              <w:tc>
                <w:tcPr>
                  <w:tcW w:w="775" w:type="pct"/>
                  <w:noWrap w:val="0"/>
                  <w:vAlign w:val="center"/>
                </w:tcPr>
                <w:p w14:paraId="69F41F8F">
                  <w:pPr>
                    <w:pStyle w:val="28"/>
                    <w:bidi w:val="0"/>
                    <w:rPr>
                      <w:rFonts w:hint="default"/>
                      <w:color w:val="auto"/>
                      <w:lang w:val="en-US" w:eastAsia="zh-CN"/>
                    </w:rPr>
                  </w:pPr>
                  <w:r>
                    <w:rPr>
                      <w:rFonts w:hint="eastAsia"/>
                      <w:color w:val="auto"/>
                      <w:lang w:val="en-US" w:eastAsia="zh-CN"/>
                    </w:rPr>
                    <w:t>60</w:t>
                  </w:r>
                </w:p>
              </w:tc>
              <w:tc>
                <w:tcPr>
                  <w:tcW w:w="688" w:type="pct"/>
                  <w:noWrap w:val="0"/>
                  <w:vAlign w:val="center"/>
                </w:tcPr>
                <w:p w14:paraId="224F46F3">
                  <w:pPr>
                    <w:pStyle w:val="28"/>
                    <w:bidi w:val="0"/>
                    <w:rPr>
                      <w:color w:val="auto"/>
                    </w:rPr>
                  </w:pPr>
                  <w:r>
                    <w:rPr>
                      <w:color w:val="auto"/>
                    </w:rPr>
                    <w:t>达标</w:t>
                  </w:r>
                </w:p>
              </w:tc>
            </w:tr>
          </w:tbl>
          <w:p w14:paraId="4399C6D2">
            <w:pPr>
              <w:keepNext w:val="0"/>
              <w:keepLines w:val="0"/>
              <w:pageBreakBefore w:val="0"/>
              <w:widowControl/>
              <w:kinsoku/>
              <w:wordWrap/>
              <w:overflowPunct/>
              <w:topLinePunct w:val="0"/>
              <w:autoSpaceDE/>
              <w:autoSpaceDN/>
              <w:bidi w:val="0"/>
              <w:adjustRightInd/>
              <w:snapToGrid/>
              <w:spacing w:before="157" w:beforeLines="50"/>
              <w:ind w:firstLine="480"/>
              <w:textAlignment w:val="auto"/>
              <w:rPr>
                <w:rFonts w:hint="eastAsia" w:ascii="Times New Roman" w:hAnsi="Times New Roman" w:eastAsia="宋体"/>
                <w:color w:val="auto"/>
                <w:sz w:val="24"/>
                <w:highlight w:val="yellow"/>
                <w:lang w:val="en-US" w:eastAsia="zh-CN"/>
              </w:rPr>
            </w:pPr>
            <w:r>
              <w:rPr>
                <w:rFonts w:ascii="Times New Roman" w:hAnsi="Times New Roman" w:eastAsia="宋体"/>
                <w:color w:val="auto"/>
                <w:sz w:val="24"/>
              </w:rPr>
              <w:t>厂界达标分析：本项目实行白班制，夜间不</w:t>
            </w:r>
            <w:r>
              <w:rPr>
                <w:rFonts w:hint="eastAsia" w:ascii="Times New Roman" w:hAnsi="Times New Roman" w:eastAsia="宋体"/>
                <w:color w:val="auto"/>
                <w:sz w:val="24"/>
                <w:lang w:val="en-US" w:eastAsia="zh-CN"/>
              </w:rPr>
              <w:t>生产</w:t>
            </w:r>
            <w:r>
              <w:rPr>
                <w:rFonts w:hint="eastAsia" w:ascii="Times New Roman" w:hAnsi="Times New Roman" w:eastAsia="宋体"/>
                <w:color w:val="auto"/>
                <w:sz w:val="24"/>
                <w:lang w:eastAsia="zh-CN"/>
              </w:rPr>
              <w:t>，</w:t>
            </w:r>
            <w:r>
              <w:rPr>
                <w:rFonts w:ascii="Times New Roman" w:hAnsi="Times New Roman" w:eastAsia="宋体"/>
                <w:color w:val="auto"/>
                <w:sz w:val="24"/>
              </w:rPr>
              <w:t>根据表</w:t>
            </w:r>
            <w:r>
              <w:rPr>
                <w:rFonts w:hint="eastAsia" w:ascii="Times New Roman" w:hAnsi="Times New Roman" w:eastAsia="宋体"/>
                <w:color w:val="auto"/>
                <w:sz w:val="24"/>
              </w:rPr>
              <w:t>4.</w:t>
            </w:r>
            <w:r>
              <w:rPr>
                <w:rFonts w:hint="eastAsia" w:ascii="Times New Roman" w:hAnsi="Times New Roman" w:eastAsia="宋体"/>
                <w:color w:val="auto"/>
                <w:sz w:val="24"/>
                <w:lang w:val="en-US" w:eastAsia="zh-CN"/>
              </w:rPr>
              <w:t>4-</w:t>
            </w:r>
            <w:r>
              <w:rPr>
                <w:rFonts w:hint="eastAsia"/>
                <w:color w:val="auto"/>
                <w:sz w:val="24"/>
                <w:lang w:val="en-US" w:eastAsia="zh-CN"/>
              </w:rPr>
              <w:t>2</w:t>
            </w:r>
            <w:r>
              <w:rPr>
                <w:rFonts w:ascii="Times New Roman" w:hAnsi="Times New Roman" w:eastAsia="宋体"/>
                <w:color w:val="auto"/>
                <w:sz w:val="24"/>
              </w:rPr>
              <w:t>预测结果，项目主要噪声源在采取有效的降噪措施前提下，项目</w:t>
            </w:r>
            <w:r>
              <w:rPr>
                <w:rFonts w:hint="eastAsia" w:ascii="Times New Roman" w:hAnsi="Times New Roman" w:eastAsia="宋体"/>
                <w:color w:val="auto"/>
                <w:sz w:val="24"/>
                <w:lang w:eastAsia="zh-CN"/>
              </w:rPr>
              <w:t>厂界</w:t>
            </w:r>
            <w:r>
              <w:rPr>
                <w:rFonts w:ascii="Times New Roman" w:hAnsi="Times New Roman" w:eastAsia="宋体"/>
                <w:color w:val="auto"/>
                <w:sz w:val="24"/>
              </w:rPr>
              <w:t>可满足《工业企业厂界环境噪声排放标准》(GB12348-2008)中</w:t>
            </w:r>
            <w:r>
              <w:rPr>
                <w:rFonts w:hint="eastAsia"/>
                <w:color w:val="auto"/>
                <w:sz w:val="24"/>
                <w:highlight w:val="none"/>
                <w:lang w:val="en-US" w:eastAsia="zh-CN"/>
              </w:rPr>
              <w:t>2</w:t>
            </w:r>
            <w:r>
              <w:rPr>
                <w:rFonts w:ascii="Times New Roman" w:hAnsi="Times New Roman" w:eastAsia="宋体"/>
                <w:color w:val="auto"/>
                <w:sz w:val="24"/>
                <w:highlight w:val="none"/>
              </w:rPr>
              <w:t>类标准</w:t>
            </w:r>
            <w:r>
              <w:rPr>
                <w:rFonts w:hint="eastAsia" w:ascii="Times New Roman" w:hAnsi="Times New Roman" w:eastAsia="宋体"/>
                <w:color w:val="auto"/>
                <w:sz w:val="24"/>
                <w:highlight w:val="none"/>
                <w:lang w:eastAsia="zh-CN"/>
              </w:rPr>
              <w:t>（昼间≤</w:t>
            </w:r>
            <w:r>
              <w:rPr>
                <w:rFonts w:hint="eastAsia"/>
                <w:color w:val="auto"/>
                <w:sz w:val="24"/>
                <w:highlight w:val="none"/>
                <w:lang w:val="en-US" w:eastAsia="zh-CN"/>
              </w:rPr>
              <w:t>60</w:t>
            </w:r>
            <w:r>
              <w:rPr>
                <w:rFonts w:hint="eastAsia" w:ascii="Times New Roman" w:hAnsi="Times New Roman" w:eastAsia="宋体"/>
                <w:color w:val="auto"/>
                <w:sz w:val="24"/>
                <w:highlight w:val="none"/>
                <w:lang w:val="en-US" w:eastAsia="zh-CN"/>
              </w:rPr>
              <w:t>dB（A），夜间不生产</w:t>
            </w:r>
            <w:r>
              <w:rPr>
                <w:rFonts w:hint="eastAsia" w:ascii="Times New Roman" w:hAnsi="Times New Roman" w:eastAsia="宋体"/>
                <w:color w:val="auto"/>
                <w:sz w:val="24"/>
                <w:highlight w:val="none"/>
                <w:lang w:eastAsia="zh-CN"/>
              </w:rPr>
              <w:t>）。</w:t>
            </w:r>
          </w:p>
          <w:p w14:paraId="698F9996">
            <w:pPr>
              <w:adjustRightInd w:val="0"/>
              <w:snapToGrid w:val="0"/>
              <w:spacing w:line="360" w:lineRule="auto"/>
              <w:ind w:firstLine="480" w:firstLineChars="200"/>
              <w:rPr>
                <w:rFonts w:hint="eastAsia" w:ascii="Times New Roman" w:hAnsi="Times New Roman" w:eastAsia="宋体" w:cs="Times New Roman"/>
                <w:bCs/>
                <w:color w:val="auto"/>
                <w:sz w:val="24"/>
                <w:lang w:val="zh-CN"/>
              </w:rPr>
            </w:pPr>
            <w:r>
              <w:rPr>
                <w:rFonts w:hint="eastAsia" w:ascii="Times New Roman" w:hAnsi="Times New Roman" w:eastAsia="宋体" w:cs="Times New Roman"/>
                <w:bCs/>
                <w:color w:val="auto"/>
                <w:sz w:val="24"/>
                <w:lang w:val="zh-CN"/>
              </w:rPr>
              <w:t>②敏感点噪声预测结果分析</w:t>
            </w:r>
          </w:p>
          <w:p w14:paraId="553A90FF">
            <w:pPr>
              <w:adjustRightInd w:val="0"/>
              <w:snapToGrid w:val="0"/>
              <w:spacing w:line="360" w:lineRule="auto"/>
              <w:ind w:firstLine="480" w:firstLineChars="200"/>
              <w:rPr>
                <w:rFonts w:hint="eastAsia" w:ascii="Times New Roman" w:hAnsi="Times New Roman" w:eastAsia="宋体" w:cs="Times New Roman"/>
                <w:bCs/>
                <w:color w:val="auto"/>
                <w:sz w:val="24"/>
                <w:lang w:val="zh-CN"/>
              </w:rPr>
            </w:pPr>
            <w:r>
              <w:rPr>
                <w:rFonts w:hint="eastAsia" w:ascii="Times New Roman" w:hAnsi="Times New Roman" w:eastAsia="宋体" w:cs="Times New Roman"/>
                <w:bCs/>
                <w:color w:val="auto"/>
                <w:sz w:val="24"/>
                <w:lang w:val="zh-CN"/>
              </w:rPr>
              <w:t>根据现场勘查，项目周边50m范围内无声环境保护目标。</w:t>
            </w:r>
          </w:p>
          <w:p w14:paraId="4640F375">
            <w:pPr>
              <w:pStyle w:val="4"/>
              <w:bidi w:val="0"/>
              <w:rPr>
                <w:color w:val="auto"/>
              </w:rPr>
            </w:pPr>
            <w:r>
              <w:rPr>
                <w:color w:val="auto"/>
              </w:rPr>
              <w:t>4.</w:t>
            </w:r>
            <w:r>
              <w:rPr>
                <w:rFonts w:hint="eastAsia"/>
                <w:color w:val="auto"/>
                <w:lang w:val="en-US" w:eastAsia="zh-CN"/>
              </w:rPr>
              <w:t>4</w:t>
            </w:r>
            <w:r>
              <w:rPr>
                <w:color w:val="auto"/>
              </w:rPr>
              <w:t>.3 运营期噪声</w:t>
            </w:r>
            <w:r>
              <w:rPr>
                <w:rFonts w:hint="eastAsia"/>
                <w:color w:val="auto"/>
                <w:lang w:val="en-US" w:eastAsia="zh-CN"/>
              </w:rPr>
              <w:t>控制</w:t>
            </w:r>
            <w:r>
              <w:rPr>
                <w:color w:val="auto"/>
              </w:rPr>
              <w:t>措施</w:t>
            </w:r>
          </w:p>
          <w:p w14:paraId="68F2522E">
            <w:pPr>
              <w:bidi w:val="0"/>
              <w:rPr>
                <w:color w:val="auto"/>
              </w:rPr>
            </w:pPr>
            <w:r>
              <w:rPr>
                <w:rFonts w:hint="eastAsia"/>
                <w:color w:val="auto"/>
                <w:lang w:val="zh-CN"/>
              </w:rPr>
              <w:t>（</w:t>
            </w:r>
            <w:r>
              <w:rPr>
                <w:rFonts w:hint="eastAsia"/>
                <w:color w:val="auto"/>
                <w:lang w:val="en-US" w:eastAsia="zh-CN"/>
              </w:rPr>
              <w:t>1</w:t>
            </w:r>
            <w:r>
              <w:rPr>
                <w:rFonts w:hint="eastAsia"/>
                <w:color w:val="auto"/>
                <w:lang w:val="zh-CN"/>
              </w:rPr>
              <w:t>）噪声源控制措施</w:t>
            </w:r>
          </w:p>
          <w:p w14:paraId="5FF1CEE1">
            <w:pPr>
              <w:bidi w:val="0"/>
              <w:rPr>
                <w:color w:val="auto"/>
              </w:rPr>
            </w:pPr>
            <w:r>
              <w:rPr>
                <w:rFonts w:hint="eastAsia"/>
                <w:color w:val="auto"/>
              </w:rPr>
              <w:t>①</w:t>
            </w:r>
            <w:r>
              <w:rPr>
                <w:color w:val="auto"/>
              </w:rPr>
              <w:t>项目选用低噪声生产设备，</w:t>
            </w:r>
            <w:r>
              <w:rPr>
                <w:rFonts w:hint="eastAsia"/>
                <w:color w:val="auto"/>
              </w:rPr>
              <w:t>采用</w:t>
            </w:r>
            <w:r>
              <w:rPr>
                <w:color w:val="auto"/>
              </w:rPr>
              <w:t>低噪声</w:t>
            </w:r>
            <w:r>
              <w:rPr>
                <w:rFonts w:hint="eastAsia"/>
                <w:color w:val="auto"/>
              </w:rPr>
              <w:t>生产</w:t>
            </w:r>
            <w:r>
              <w:rPr>
                <w:color w:val="auto"/>
              </w:rPr>
              <w:t>工艺</w:t>
            </w:r>
            <w:r>
              <w:rPr>
                <w:rFonts w:hint="eastAsia"/>
                <w:color w:val="auto"/>
                <w:lang w:val="en-US" w:eastAsia="zh-CN"/>
              </w:rPr>
              <w:t>；夜间不运行；</w:t>
            </w:r>
          </w:p>
          <w:p w14:paraId="1764F692">
            <w:pPr>
              <w:bidi w:val="0"/>
              <w:rPr>
                <w:rFonts w:hint="eastAsia"/>
                <w:color w:val="auto"/>
                <w:lang w:eastAsia="zh-CN"/>
              </w:rPr>
            </w:pPr>
            <w:r>
              <w:rPr>
                <w:rFonts w:hint="eastAsia"/>
                <w:color w:val="auto"/>
              </w:rPr>
              <w:t>②</w:t>
            </w:r>
            <w:r>
              <w:rPr>
                <w:color w:val="auto"/>
              </w:rPr>
              <w:t>采取声学控制措施，对</w:t>
            </w:r>
            <w:r>
              <w:rPr>
                <w:rFonts w:hint="eastAsia"/>
                <w:color w:val="auto"/>
              </w:rPr>
              <w:t>项目</w:t>
            </w:r>
            <w:r>
              <w:rPr>
                <w:color w:val="auto"/>
              </w:rPr>
              <w:t>高噪声设备</w:t>
            </w:r>
            <w:r>
              <w:rPr>
                <w:rFonts w:hint="eastAsia"/>
                <w:color w:val="auto"/>
              </w:rPr>
              <w:t>基础设置减振垫；</w:t>
            </w:r>
            <w:r>
              <w:rPr>
                <w:rFonts w:hint="eastAsia"/>
                <w:color w:val="auto"/>
                <w:lang w:eastAsia="zh-CN"/>
              </w:rPr>
              <w:t>对水泵、风机配套消声元件、软接头等降噪措施，必要时可采取密闭或安装隔音罩进行降噪；</w:t>
            </w:r>
          </w:p>
          <w:p w14:paraId="5319A4D0">
            <w:pPr>
              <w:bidi w:val="0"/>
              <w:rPr>
                <w:color w:val="auto"/>
              </w:rPr>
            </w:pPr>
            <w:r>
              <w:rPr>
                <w:rFonts w:hint="eastAsia"/>
                <w:color w:val="auto"/>
              </w:rPr>
              <w:t>③</w:t>
            </w:r>
            <w:r>
              <w:rPr>
                <w:color w:val="auto"/>
              </w:rPr>
              <w:t>加强对设备的管理和维护，</w:t>
            </w:r>
            <w:r>
              <w:rPr>
                <w:rFonts w:hint="eastAsia"/>
                <w:color w:val="auto"/>
              </w:rPr>
              <w:t>避免设备在异常情</w:t>
            </w:r>
            <w:r>
              <w:rPr>
                <w:rFonts w:hint="eastAsia"/>
                <w:color w:val="auto"/>
                <w:lang w:eastAsia="zh-CN"/>
              </w:rPr>
              <w:t>况下</w:t>
            </w:r>
            <w:r>
              <w:rPr>
                <w:rFonts w:hint="eastAsia"/>
                <w:color w:val="auto"/>
              </w:rPr>
              <w:t>运行；</w:t>
            </w:r>
          </w:p>
          <w:p w14:paraId="2B11DC63">
            <w:pPr>
              <w:bidi w:val="0"/>
              <w:rPr>
                <w:rFonts w:hint="eastAsia"/>
                <w:color w:val="auto"/>
                <w:lang w:eastAsia="zh-CN"/>
              </w:rPr>
            </w:pPr>
            <w:r>
              <w:rPr>
                <w:rFonts w:hint="eastAsia"/>
                <w:color w:val="auto"/>
              </w:rPr>
              <w:t>④</w:t>
            </w:r>
            <w:r>
              <w:rPr>
                <w:color w:val="auto"/>
              </w:rPr>
              <w:t>优先选用低噪声车辆</w:t>
            </w:r>
            <w:r>
              <w:rPr>
                <w:rFonts w:hint="eastAsia"/>
                <w:color w:val="auto"/>
              </w:rPr>
              <w:t>，</w:t>
            </w:r>
            <w:r>
              <w:rPr>
                <w:color w:val="auto"/>
              </w:rPr>
              <w:t>车辆运输物料</w:t>
            </w:r>
            <w:r>
              <w:rPr>
                <w:rFonts w:hint="eastAsia"/>
                <w:color w:val="auto"/>
              </w:rPr>
              <w:t>时</w:t>
            </w:r>
            <w:r>
              <w:rPr>
                <w:color w:val="auto"/>
              </w:rPr>
              <w:t>，减小车速，禁止或少鸣喇叭</w:t>
            </w:r>
            <w:r>
              <w:rPr>
                <w:rFonts w:hint="eastAsia"/>
                <w:color w:val="auto"/>
                <w:lang w:eastAsia="zh-CN"/>
              </w:rPr>
              <w:t>。</w:t>
            </w:r>
          </w:p>
          <w:p w14:paraId="71F0819E">
            <w:pPr>
              <w:bidi w:val="0"/>
              <w:rPr>
                <w:rFonts w:hint="eastAsia"/>
                <w:color w:val="auto"/>
                <w:lang w:eastAsia="zh-CN"/>
              </w:rPr>
            </w:pPr>
            <w:r>
              <w:rPr>
                <w:rFonts w:hint="eastAsia"/>
                <w:color w:val="auto"/>
                <w:lang w:eastAsia="zh-CN"/>
              </w:rPr>
              <w:t>⑤</w:t>
            </w:r>
            <w:r>
              <w:rPr>
                <w:rFonts w:hint="eastAsia"/>
                <w:color w:val="auto"/>
              </w:rPr>
              <w:t>合理规划平面布置，将高噪声设备设置</w:t>
            </w:r>
            <w:r>
              <w:rPr>
                <w:rFonts w:hint="eastAsia"/>
                <w:color w:val="auto"/>
                <w:lang w:eastAsia="zh-CN"/>
              </w:rPr>
              <w:t>厂房内</w:t>
            </w:r>
            <w:r>
              <w:rPr>
                <w:rFonts w:hint="eastAsia"/>
                <w:color w:val="auto"/>
              </w:rPr>
              <w:t>设备运转期间，</w:t>
            </w:r>
            <w:r>
              <w:rPr>
                <w:rFonts w:hint="eastAsia"/>
                <w:color w:val="auto"/>
                <w:lang w:eastAsia="zh-CN"/>
              </w:rPr>
              <w:t>尽量</w:t>
            </w:r>
            <w:r>
              <w:rPr>
                <w:rFonts w:hint="eastAsia"/>
                <w:color w:val="auto"/>
              </w:rPr>
              <w:t>关闭车间门窗，通过车间墙体等进行阻隔，降低噪声源强</w:t>
            </w:r>
            <w:r>
              <w:rPr>
                <w:rFonts w:hint="eastAsia"/>
                <w:color w:val="auto"/>
                <w:lang w:eastAsia="zh-CN"/>
              </w:rPr>
              <w:t>；</w:t>
            </w:r>
          </w:p>
          <w:p w14:paraId="3B32E22D">
            <w:pPr>
              <w:bidi w:val="0"/>
              <w:rPr>
                <w:rFonts w:hint="eastAsia"/>
                <w:color w:val="auto"/>
              </w:rPr>
            </w:pPr>
            <w:r>
              <w:rPr>
                <w:color w:val="auto"/>
              </w:rPr>
              <w:t>通过以上降噪措施，有效降低设备噪声对厂界的影响程度，确保</w:t>
            </w:r>
            <w:r>
              <w:rPr>
                <w:rFonts w:hint="eastAsia"/>
                <w:color w:val="auto"/>
              </w:rPr>
              <w:t>厂</w:t>
            </w:r>
            <w:r>
              <w:rPr>
                <w:color w:val="auto"/>
              </w:rPr>
              <w:t>界噪声符合《工业企业厂界环境噪声排放标准》</w:t>
            </w:r>
            <w:r>
              <w:rPr>
                <w:rFonts w:hint="eastAsia"/>
                <w:color w:val="auto"/>
              </w:rPr>
              <w:t>(</w:t>
            </w:r>
            <w:r>
              <w:rPr>
                <w:color w:val="auto"/>
              </w:rPr>
              <w:t>GB12348-2008</w:t>
            </w:r>
            <w:r>
              <w:rPr>
                <w:rFonts w:hint="eastAsia"/>
                <w:color w:val="auto"/>
              </w:rPr>
              <w:t>)</w:t>
            </w:r>
            <w:r>
              <w:rPr>
                <w:color w:val="auto"/>
              </w:rPr>
              <w:t>中的</w:t>
            </w:r>
            <w:r>
              <w:rPr>
                <w:rFonts w:hint="eastAsia"/>
                <w:color w:val="auto"/>
                <w:lang w:val="en-US" w:eastAsia="zh-CN"/>
              </w:rPr>
              <w:t>2</w:t>
            </w:r>
            <w:r>
              <w:rPr>
                <w:rFonts w:hint="eastAsia"/>
                <w:color w:val="auto"/>
              </w:rPr>
              <w:t>类</w:t>
            </w:r>
            <w:r>
              <w:rPr>
                <w:color w:val="auto"/>
              </w:rPr>
              <w:t>标准要求，措施可行。</w:t>
            </w:r>
          </w:p>
          <w:p w14:paraId="16A796F6">
            <w:pPr>
              <w:pStyle w:val="4"/>
              <w:bidi w:val="0"/>
              <w:rPr>
                <w:color w:val="auto"/>
              </w:rPr>
            </w:pPr>
            <w:r>
              <w:rPr>
                <w:color w:val="auto"/>
              </w:rPr>
              <w:t>4.</w:t>
            </w:r>
            <w:r>
              <w:rPr>
                <w:rFonts w:hint="eastAsia"/>
                <w:color w:val="auto"/>
                <w:lang w:val="en-US" w:eastAsia="zh-CN"/>
              </w:rPr>
              <w:t>4</w:t>
            </w:r>
            <w:r>
              <w:rPr>
                <w:color w:val="auto"/>
              </w:rPr>
              <w:t>.4 自行监测计划</w:t>
            </w:r>
          </w:p>
          <w:p w14:paraId="04193398">
            <w:pPr>
              <w:bidi w:val="0"/>
              <w:rPr>
                <w:rFonts w:hint="default"/>
                <w:color w:val="auto"/>
                <w:lang w:val="en-US" w:eastAsia="zh-CN"/>
              </w:rPr>
            </w:pPr>
            <w:r>
              <w:rPr>
                <w:rFonts w:hint="eastAsia"/>
                <w:color w:val="auto"/>
                <w:lang w:val="en-US" w:eastAsia="zh-CN"/>
              </w:rPr>
              <w:t>根据《排污单位自行监测技术指南 总则》(HJ 819-2017)、</w:t>
            </w:r>
            <w:r>
              <w:rPr>
                <w:rFonts w:hint="default"/>
                <w:color w:val="auto"/>
              </w:rPr>
              <w:t xml:space="preserve">《排污单位自行监测技术指南 </w:t>
            </w:r>
            <w:r>
              <w:rPr>
                <w:rFonts w:hint="eastAsia"/>
                <w:color w:val="auto"/>
                <w:lang w:eastAsia="zh-CN"/>
              </w:rPr>
              <w:t>水泥工业</w:t>
            </w:r>
            <w:r>
              <w:rPr>
                <w:rFonts w:hint="default"/>
                <w:color w:val="auto"/>
              </w:rPr>
              <w:t>》(HJ</w:t>
            </w:r>
            <w:r>
              <w:rPr>
                <w:rFonts w:hint="eastAsia"/>
                <w:color w:val="auto"/>
                <w:lang w:val="en-US" w:eastAsia="zh-CN"/>
              </w:rPr>
              <w:t>848-2017</w:t>
            </w:r>
            <w:r>
              <w:rPr>
                <w:rFonts w:hint="default"/>
                <w:color w:val="auto"/>
              </w:rPr>
              <w:t>)</w:t>
            </w:r>
            <w:r>
              <w:rPr>
                <w:rFonts w:hint="eastAsia"/>
                <w:color w:val="auto"/>
              </w:rPr>
              <w:t>等要求，</w:t>
            </w:r>
            <w:r>
              <w:rPr>
                <w:rFonts w:hint="eastAsia"/>
                <w:color w:val="auto"/>
                <w:lang w:eastAsia="zh-CN"/>
              </w:rPr>
              <w:t>提出项目</w:t>
            </w:r>
            <w:r>
              <w:rPr>
                <w:rFonts w:hint="eastAsia"/>
                <w:color w:val="auto"/>
              </w:rPr>
              <w:t>运营期</w:t>
            </w:r>
            <w:r>
              <w:rPr>
                <w:rFonts w:hint="eastAsia"/>
                <w:color w:val="auto"/>
                <w:lang w:eastAsia="zh-CN"/>
              </w:rPr>
              <w:t>噪声自行监测计划，具体详见表</w:t>
            </w:r>
            <w:r>
              <w:rPr>
                <w:rFonts w:hint="eastAsia"/>
                <w:color w:val="auto"/>
                <w:lang w:val="en-US" w:eastAsia="zh-CN"/>
              </w:rPr>
              <w:t>4.4-3。</w:t>
            </w:r>
          </w:p>
          <w:p w14:paraId="4397E438">
            <w:pPr>
              <w:pStyle w:val="33"/>
              <w:bidi w:val="0"/>
              <w:rPr>
                <w:rFonts w:hint="default" w:ascii="Times New Roman" w:hAnsi="Times New Roman" w:eastAsia="宋体" w:cs="Times New Roman"/>
                <w:b/>
                <w:bCs/>
                <w:color w:val="auto"/>
                <w:kern w:val="2"/>
                <w:sz w:val="24"/>
                <w:szCs w:val="24"/>
                <w:highlight w:val="none"/>
                <w:lang w:val="en-US" w:eastAsia="zh-CN"/>
              </w:rPr>
            </w:pPr>
            <w:r>
              <w:rPr>
                <w:rFonts w:hint="default"/>
                <w:color w:val="auto"/>
                <w:sz w:val="24"/>
                <w:szCs w:val="24"/>
                <w:lang w:eastAsia="zh-CN"/>
              </w:rPr>
              <w:t>表</w:t>
            </w:r>
            <w:r>
              <w:rPr>
                <w:rFonts w:hint="default"/>
                <w:color w:val="auto"/>
                <w:sz w:val="24"/>
                <w:szCs w:val="24"/>
                <w:lang w:val="en-US" w:eastAsia="zh-CN"/>
              </w:rPr>
              <w:t>4.</w:t>
            </w:r>
            <w:r>
              <w:rPr>
                <w:rFonts w:hint="eastAsia"/>
                <w:color w:val="auto"/>
                <w:sz w:val="24"/>
                <w:szCs w:val="24"/>
                <w:lang w:val="en-US" w:eastAsia="zh-CN"/>
              </w:rPr>
              <w:t xml:space="preserve">4-3 </w:t>
            </w:r>
            <w:r>
              <w:rPr>
                <w:rFonts w:hint="default"/>
                <w:color w:val="auto"/>
                <w:sz w:val="24"/>
                <w:szCs w:val="24"/>
                <w:lang w:val="en-US" w:eastAsia="zh-CN"/>
              </w:rPr>
              <w:t>项目</w:t>
            </w:r>
            <w:r>
              <w:rPr>
                <w:rFonts w:hint="eastAsia"/>
                <w:color w:val="auto"/>
                <w:sz w:val="24"/>
                <w:szCs w:val="24"/>
                <w:lang w:val="en-US" w:eastAsia="zh-CN"/>
              </w:rPr>
              <w:t>噪声</w:t>
            </w:r>
            <w:r>
              <w:rPr>
                <w:rFonts w:hint="default"/>
                <w:color w:val="auto"/>
                <w:sz w:val="24"/>
                <w:szCs w:val="24"/>
              </w:rPr>
              <w:t>自行监测计划</w:t>
            </w:r>
          </w:p>
          <w:tbl>
            <w:tblPr>
              <w:tblStyle w:val="2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1"/>
              <w:gridCol w:w="2393"/>
              <w:gridCol w:w="2021"/>
              <w:gridCol w:w="2700"/>
            </w:tblGrid>
            <w:tr w14:paraId="5DA043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06" w:type="pct"/>
                  <w:tcBorders>
                    <w:tl2br w:val="nil"/>
                    <w:tr2bl w:val="nil"/>
                  </w:tcBorders>
                  <w:noWrap w:val="0"/>
                  <w:vAlign w:val="center"/>
                </w:tcPr>
                <w:p w14:paraId="18C76F04">
                  <w:pPr>
                    <w:pStyle w:val="28"/>
                    <w:bidi w:val="0"/>
                    <w:rPr>
                      <w:rFonts w:hint="default"/>
                      <w:color w:val="auto"/>
                      <w:lang w:eastAsia="zh-CN"/>
                    </w:rPr>
                  </w:pPr>
                  <w:r>
                    <w:rPr>
                      <w:rFonts w:hint="default"/>
                      <w:color w:val="auto"/>
                      <w:lang w:eastAsia="zh-CN"/>
                    </w:rPr>
                    <w:t>序号</w:t>
                  </w:r>
                </w:p>
              </w:tc>
              <w:tc>
                <w:tcPr>
                  <w:tcW w:w="1511" w:type="pct"/>
                  <w:tcBorders>
                    <w:tl2br w:val="nil"/>
                    <w:tr2bl w:val="nil"/>
                  </w:tcBorders>
                  <w:noWrap w:val="0"/>
                  <w:vAlign w:val="center"/>
                </w:tcPr>
                <w:p w14:paraId="33D4BC7F">
                  <w:pPr>
                    <w:pStyle w:val="28"/>
                    <w:bidi w:val="0"/>
                    <w:rPr>
                      <w:rFonts w:hint="default"/>
                      <w:color w:val="auto"/>
                      <w:lang w:eastAsia="zh-CN"/>
                    </w:rPr>
                  </w:pPr>
                  <w:r>
                    <w:rPr>
                      <w:rFonts w:hint="default"/>
                      <w:color w:val="auto"/>
                      <w:lang w:eastAsia="zh-CN"/>
                    </w:rPr>
                    <w:t>监测点位</w:t>
                  </w:r>
                </w:p>
              </w:tc>
              <w:tc>
                <w:tcPr>
                  <w:tcW w:w="1276" w:type="pct"/>
                  <w:tcBorders>
                    <w:tl2br w:val="nil"/>
                    <w:tr2bl w:val="nil"/>
                  </w:tcBorders>
                  <w:noWrap w:val="0"/>
                  <w:vAlign w:val="center"/>
                </w:tcPr>
                <w:p w14:paraId="18EAB94E">
                  <w:pPr>
                    <w:pStyle w:val="28"/>
                    <w:bidi w:val="0"/>
                    <w:rPr>
                      <w:rFonts w:hint="default"/>
                      <w:color w:val="auto"/>
                      <w:lang w:eastAsia="zh-CN"/>
                    </w:rPr>
                  </w:pPr>
                  <w:r>
                    <w:rPr>
                      <w:rFonts w:hint="default"/>
                      <w:color w:val="auto"/>
                      <w:lang w:eastAsia="zh-CN"/>
                    </w:rPr>
                    <w:t>监测因子</w:t>
                  </w:r>
                </w:p>
              </w:tc>
              <w:tc>
                <w:tcPr>
                  <w:tcW w:w="1705" w:type="pct"/>
                  <w:tcBorders>
                    <w:tl2br w:val="nil"/>
                    <w:tr2bl w:val="nil"/>
                  </w:tcBorders>
                  <w:noWrap w:val="0"/>
                  <w:vAlign w:val="center"/>
                </w:tcPr>
                <w:p w14:paraId="6533C9F8">
                  <w:pPr>
                    <w:pStyle w:val="28"/>
                    <w:bidi w:val="0"/>
                    <w:rPr>
                      <w:rFonts w:hint="default"/>
                      <w:color w:val="auto"/>
                      <w:lang w:eastAsia="zh-CN"/>
                    </w:rPr>
                  </w:pPr>
                  <w:r>
                    <w:rPr>
                      <w:rFonts w:hint="eastAsia"/>
                      <w:color w:val="auto"/>
                      <w:lang w:eastAsia="zh-CN"/>
                    </w:rPr>
                    <w:t>监测</w:t>
                  </w:r>
                  <w:r>
                    <w:rPr>
                      <w:rFonts w:hint="default"/>
                      <w:color w:val="auto"/>
                      <w:lang w:eastAsia="zh-CN"/>
                    </w:rPr>
                    <w:t>频次</w:t>
                  </w:r>
                </w:p>
              </w:tc>
            </w:tr>
            <w:tr w14:paraId="74B374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06" w:type="pct"/>
                  <w:tcBorders>
                    <w:tl2br w:val="nil"/>
                    <w:tr2bl w:val="nil"/>
                  </w:tcBorders>
                  <w:noWrap w:val="0"/>
                  <w:vAlign w:val="center"/>
                </w:tcPr>
                <w:p w14:paraId="4C3CDBEF">
                  <w:pPr>
                    <w:pStyle w:val="28"/>
                    <w:bidi w:val="0"/>
                    <w:rPr>
                      <w:rFonts w:hint="default"/>
                      <w:color w:val="auto"/>
                      <w:lang w:val="en-US" w:eastAsia="zh-CN"/>
                    </w:rPr>
                  </w:pPr>
                  <w:r>
                    <w:rPr>
                      <w:rFonts w:hint="default"/>
                      <w:color w:val="auto"/>
                      <w:lang w:val="en-US" w:eastAsia="zh-CN"/>
                    </w:rPr>
                    <w:t>1</w:t>
                  </w:r>
                </w:p>
              </w:tc>
              <w:tc>
                <w:tcPr>
                  <w:tcW w:w="1511" w:type="pct"/>
                  <w:tcBorders>
                    <w:tl2br w:val="nil"/>
                    <w:tr2bl w:val="nil"/>
                  </w:tcBorders>
                  <w:noWrap w:val="0"/>
                  <w:vAlign w:val="center"/>
                </w:tcPr>
                <w:p w14:paraId="12E5DB10">
                  <w:pPr>
                    <w:pStyle w:val="28"/>
                    <w:bidi w:val="0"/>
                    <w:rPr>
                      <w:rFonts w:hint="default"/>
                      <w:color w:val="auto"/>
                      <w:lang w:val="en-US" w:eastAsia="zh-CN"/>
                    </w:rPr>
                  </w:pPr>
                  <w:r>
                    <w:rPr>
                      <w:rFonts w:hint="eastAsia"/>
                      <w:color w:val="auto"/>
                      <w:lang w:val="en-US" w:eastAsia="zh-CN"/>
                    </w:rPr>
                    <w:t>厂界四周</w:t>
                  </w:r>
                </w:p>
              </w:tc>
              <w:tc>
                <w:tcPr>
                  <w:tcW w:w="1276" w:type="pct"/>
                  <w:tcBorders>
                    <w:tl2br w:val="nil"/>
                    <w:tr2bl w:val="nil"/>
                  </w:tcBorders>
                  <w:noWrap w:val="0"/>
                  <w:vAlign w:val="center"/>
                </w:tcPr>
                <w:p w14:paraId="4C51F323">
                  <w:pPr>
                    <w:pStyle w:val="28"/>
                    <w:bidi w:val="0"/>
                    <w:rPr>
                      <w:rFonts w:hint="default"/>
                      <w:color w:val="auto"/>
                      <w:lang w:val="en-US" w:eastAsia="zh-CN"/>
                    </w:rPr>
                  </w:pPr>
                  <w:r>
                    <w:rPr>
                      <w:rFonts w:hint="eastAsia"/>
                      <w:color w:val="auto"/>
                      <w:lang w:eastAsia="zh-CN"/>
                    </w:rPr>
                    <w:t>等效</w:t>
                  </w:r>
                  <w:r>
                    <w:rPr>
                      <w:rFonts w:hint="eastAsia"/>
                      <w:color w:val="auto"/>
                      <w:lang w:val="en-US" w:eastAsia="zh-CN"/>
                    </w:rPr>
                    <w:t>A声级</w:t>
                  </w:r>
                </w:p>
              </w:tc>
              <w:tc>
                <w:tcPr>
                  <w:tcW w:w="1705" w:type="pct"/>
                  <w:tcBorders>
                    <w:tl2br w:val="nil"/>
                    <w:tr2bl w:val="nil"/>
                  </w:tcBorders>
                  <w:noWrap w:val="0"/>
                  <w:vAlign w:val="center"/>
                </w:tcPr>
                <w:p w14:paraId="708CE66C">
                  <w:pPr>
                    <w:pStyle w:val="28"/>
                    <w:bidi w:val="0"/>
                    <w:rPr>
                      <w:rFonts w:hint="default"/>
                      <w:color w:val="auto"/>
                      <w:lang w:val="en-US" w:eastAsia="zh-CN"/>
                    </w:rPr>
                  </w:pPr>
                  <w:r>
                    <w:rPr>
                      <w:rFonts w:hint="default"/>
                      <w:color w:val="auto"/>
                      <w:lang w:val="en-US" w:eastAsia="zh-CN"/>
                    </w:rPr>
                    <w:t>1天/季度、1次/天</w:t>
                  </w:r>
                  <w:r>
                    <w:rPr>
                      <w:rFonts w:hint="eastAsia"/>
                      <w:color w:val="auto"/>
                      <w:lang w:val="en-US" w:eastAsia="zh-CN"/>
                    </w:rPr>
                    <w:t>（</w:t>
                  </w:r>
                  <w:r>
                    <w:rPr>
                      <w:rFonts w:hint="default"/>
                      <w:color w:val="auto"/>
                      <w:lang w:val="en-US" w:eastAsia="zh-CN"/>
                    </w:rPr>
                    <w:t>昼间</w:t>
                  </w:r>
                  <w:r>
                    <w:rPr>
                      <w:rFonts w:hint="eastAsia"/>
                      <w:color w:val="auto"/>
                      <w:lang w:val="en-US" w:eastAsia="zh-CN"/>
                    </w:rPr>
                    <w:t>）</w:t>
                  </w:r>
                </w:p>
              </w:tc>
            </w:tr>
          </w:tbl>
          <w:p w14:paraId="09C8AC3F">
            <w:pPr>
              <w:pStyle w:val="3"/>
              <w:bidi w:val="0"/>
              <w:rPr>
                <w:rFonts w:hint="default"/>
                <w:color w:val="auto"/>
              </w:rPr>
            </w:pPr>
            <w:r>
              <w:rPr>
                <w:rFonts w:hint="default"/>
                <w:color w:val="auto"/>
              </w:rPr>
              <w:t>4.</w:t>
            </w:r>
            <w:r>
              <w:rPr>
                <w:rFonts w:hint="eastAsia"/>
                <w:color w:val="auto"/>
                <w:lang w:val="en-US" w:eastAsia="zh-CN"/>
              </w:rPr>
              <w:t>5</w:t>
            </w:r>
            <w:r>
              <w:rPr>
                <w:rFonts w:hint="default"/>
                <w:color w:val="auto"/>
              </w:rPr>
              <w:t>运营期固体废物影响分析和污染防治措施</w:t>
            </w:r>
          </w:p>
          <w:p w14:paraId="40B9E1AC">
            <w:pPr>
              <w:pStyle w:val="4"/>
              <w:bidi w:val="0"/>
              <w:rPr>
                <w:rFonts w:hint="default"/>
                <w:color w:val="auto"/>
              </w:rPr>
            </w:pPr>
            <w:r>
              <w:rPr>
                <w:rFonts w:hint="default"/>
                <w:color w:val="auto"/>
              </w:rPr>
              <w:t>4.</w:t>
            </w:r>
            <w:r>
              <w:rPr>
                <w:rFonts w:hint="eastAsia"/>
                <w:color w:val="auto"/>
                <w:lang w:val="en-US" w:eastAsia="zh-CN"/>
              </w:rPr>
              <w:t>5</w:t>
            </w:r>
            <w:r>
              <w:rPr>
                <w:rFonts w:hint="default"/>
                <w:color w:val="auto"/>
              </w:rPr>
              <w:t>.1 运营期固废物源强核算</w:t>
            </w:r>
          </w:p>
          <w:p w14:paraId="101660DE">
            <w:pPr>
              <w:bidi w:val="0"/>
              <w:rPr>
                <w:rFonts w:hint="default"/>
                <w:b/>
                <w:bCs/>
                <w:color w:val="auto"/>
                <w:lang w:eastAsia="zh-CN"/>
              </w:rPr>
            </w:pPr>
            <w:r>
              <w:rPr>
                <w:rFonts w:hint="eastAsia"/>
                <w:b/>
                <w:bCs/>
                <w:color w:val="auto"/>
                <w:lang w:eastAsia="zh-CN"/>
              </w:rPr>
              <w:t>（</w:t>
            </w:r>
            <w:r>
              <w:rPr>
                <w:rFonts w:hint="eastAsia"/>
                <w:b/>
                <w:bCs/>
                <w:color w:val="auto"/>
                <w:lang w:val="en-US" w:eastAsia="zh-CN"/>
              </w:rPr>
              <w:t>1</w:t>
            </w:r>
            <w:r>
              <w:rPr>
                <w:rFonts w:hint="eastAsia"/>
                <w:b/>
                <w:bCs/>
                <w:color w:val="auto"/>
                <w:lang w:eastAsia="zh-CN"/>
              </w:rPr>
              <w:t>）</w:t>
            </w:r>
            <w:r>
              <w:rPr>
                <w:rFonts w:hint="default"/>
                <w:b/>
                <w:bCs/>
                <w:color w:val="auto"/>
                <w:lang w:eastAsia="zh-CN"/>
              </w:rPr>
              <w:t>一般工业固废</w:t>
            </w:r>
          </w:p>
          <w:p w14:paraId="5FF6CF01">
            <w:pPr>
              <w:bidi w:val="0"/>
              <w:rPr>
                <w:rFonts w:hint="eastAsia"/>
                <w:color w:val="auto"/>
                <w:lang w:eastAsia="zh-CN"/>
              </w:rPr>
            </w:pPr>
            <w:r>
              <w:rPr>
                <w:rFonts w:hint="eastAsia"/>
                <w:color w:val="auto"/>
                <w:lang w:eastAsia="zh-CN"/>
              </w:rPr>
              <w:t>①废混凝土</w:t>
            </w:r>
          </w:p>
          <w:p w14:paraId="35F371D7">
            <w:pPr>
              <w:bidi w:val="0"/>
              <w:rPr>
                <w:rFonts w:hint="eastAsia"/>
                <w:color w:val="auto"/>
              </w:rPr>
            </w:pPr>
            <w:r>
              <w:rPr>
                <w:rFonts w:hint="eastAsia"/>
                <w:color w:val="auto"/>
                <w:lang w:eastAsia="zh-CN"/>
              </w:rPr>
              <w:t>项目模具清理、浇灌布料、搅拌过程中将</w:t>
            </w:r>
            <w:r>
              <w:rPr>
                <w:rFonts w:hint="eastAsia"/>
                <w:color w:val="auto"/>
              </w:rPr>
              <w:t>产生少量</w:t>
            </w:r>
            <w:r>
              <w:rPr>
                <w:rFonts w:hint="eastAsia"/>
                <w:color w:val="auto"/>
                <w:lang w:eastAsia="zh-CN"/>
              </w:rPr>
              <w:t>废</w:t>
            </w:r>
            <w:r>
              <w:rPr>
                <w:rFonts w:hint="eastAsia"/>
                <w:color w:val="auto"/>
              </w:rPr>
              <w:t>混凝土，</w:t>
            </w:r>
            <w:r>
              <w:rPr>
                <w:rFonts w:hint="eastAsia"/>
                <w:color w:val="auto"/>
                <w:lang w:val="en-US" w:eastAsia="zh-CN"/>
              </w:rPr>
              <w:t>根据建设单位提供资料，</w:t>
            </w:r>
            <w:r>
              <w:rPr>
                <w:rFonts w:hint="eastAsia"/>
                <w:color w:val="auto"/>
              </w:rPr>
              <w:t>产生量约为</w:t>
            </w:r>
            <w:r>
              <w:rPr>
                <w:rFonts w:hint="eastAsia"/>
                <w:color w:val="auto"/>
                <w:lang w:eastAsia="zh-CN"/>
              </w:rPr>
              <w:t>预拌混凝土量的</w:t>
            </w:r>
            <w:r>
              <w:rPr>
                <w:rFonts w:hint="eastAsia"/>
                <w:color w:val="auto"/>
                <w:lang w:val="en-US" w:eastAsia="zh-CN"/>
              </w:rPr>
              <w:t>0.5%，项目</w:t>
            </w:r>
            <w:r>
              <w:rPr>
                <w:rFonts w:hint="eastAsia"/>
                <w:color w:val="auto"/>
                <w:lang w:eastAsia="zh-CN"/>
              </w:rPr>
              <w:t>预</w:t>
            </w:r>
            <w:r>
              <w:rPr>
                <w:rFonts w:hint="eastAsia"/>
                <w:color w:val="auto"/>
                <w:lang w:val="en-US" w:eastAsia="zh-CN"/>
              </w:rPr>
              <w:t>拌混凝土量约为230万t/a（含外售商砼和预制砼结构件用量），则项目废混凝土产生量约为11500/a，经及时收集后回用于生产</w:t>
            </w:r>
            <w:r>
              <w:rPr>
                <w:rFonts w:hint="eastAsia"/>
                <w:color w:val="auto"/>
              </w:rPr>
              <w:t>。对照《固体废物分类与代码目录》（公告2024年第4号），废混凝土一般工业固废代码为</w:t>
            </w:r>
            <w:r>
              <w:rPr>
                <w:rFonts w:hint="eastAsia"/>
                <w:color w:val="auto"/>
                <w:lang w:val="en-US" w:eastAsia="zh-CN"/>
              </w:rPr>
              <w:t>900-099-S17</w:t>
            </w:r>
            <w:r>
              <w:rPr>
                <w:rFonts w:hint="eastAsia"/>
                <w:color w:val="auto"/>
              </w:rPr>
              <w:t>。</w:t>
            </w:r>
          </w:p>
          <w:p w14:paraId="7B3C35E1">
            <w:pPr>
              <w:bidi w:val="0"/>
              <w:rPr>
                <w:rFonts w:hint="eastAsia"/>
                <w:color w:val="auto"/>
                <w:lang w:val="en-US" w:eastAsia="zh-CN"/>
              </w:rPr>
            </w:pPr>
            <w:r>
              <w:rPr>
                <w:rFonts w:hint="eastAsia"/>
                <w:color w:val="auto"/>
                <w:lang w:val="en-US" w:eastAsia="zh-CN"/>
              </w:rPr>
              <w:t>②废钢材</w:t>
            </w:r>
          </w:p>
          <w:p w14:paraId="527D7DA5">
            <w:pPr>
              <w:bidi w:val="0"/>
              <w:rPr>
                <w:rFonts w:hint="eastAsia"/>
                <w:color w:val="auto"/>
              </w:rPr>
            </w:pPr>
            <w:r>
              <w:rPr>
                <w:rFonts w:hint="eastAsia"/>
                <w:color w:val="auto"/>
              </w:rPr>
              <w:t>项目</w:t>
            </w:r>
            <w:r>
              <w:rPr>
                <w:rFonts w:hint="eastAsia"/>
                <w:color w:val="auto"/>
                <w:lang w:eastAsia="zh-CN"/>
              </w:rPr>
              <w:t>钢筋笼制作、开模放张的切断切割过程会产生废钢材，</w:t>
            </w:r>
            <w:r>
              <w:rPr>
                <w:rFonts w:hint="eastAsia"/>
                <w:color w:val="auto"/>
              </w:rPr>
              <w:t>产生率约为钢材的</w:t>
            </w:r>
            <w:r>
              <w:rPr>
                <w:rFonts w:hint="eastAsia"/>
                <w:color w:val="auto"/>
                <w:lang w:val="en-US" w:eastAsia="zh-CN"/>
              </w:rPr>
              <w:t>0.5</w:t>
            </w:r>
            <w:r>
              <w:rPr>
                <w:rFonts w:hint="eastAsia"/>
                <w:color w:val="auto"/>
              </w:rPr>
              <w:t>%，项目钢材（</w:t>
            </w:r>
            <w:r>
              <w:rPr>
                <w:rFonts w:hint="eastAsia"/>
                <w:color w:val="auto"/>
                <w:lang w:eastAsia="zh-CN"/>
              </w:rPr>
              <w:t>钢棒、</w:t>
            </w:r>
            <w:r>
              <w:rPr>
                <w:rFonts w:hint="eastAsia"/>
                <w:color w:val="auto"/>
                <w:lang w:val="en-US" w:eastAsia="zh-CN"/>
              </w:rPr>
              <w:t>钢筋</w:t>
            </w:r>
            <w:r>
              <w:rPr>
                <w:rFonts w:hint="eastAsia"/>
                <w:color w:val="auto"/>
                <w:lang w:eastAsia="zh-CN"/>
              </w:rPr>
              <w:t>、</w:t>
            </w:r>
            <w:r>
              <w:rPr>
                <w:rFonts w:hint="eastAsia"/>
                <w:color w:val="auto"/>
                <w:lang w:val="en-US" w:eastAsia="zh-CN"/>
              </w:rPr>
              <w:t>螺旋筋</w:t>
            </w:r>
            <w:r>
              <w:rPr>
                <w:rFonts w:hint="eastAsia"/>
                <w:color w:val="auto"/>
              </w:rPr>
              <w:t>）总用量约为</w:t>
            </w:r>
            <w:r>
              <w:rPr>
                <w:rFonts w:hint="eastAsia"/>
                <w:color w:val="auto"/>
                <w:lang w:val="en-US" w:eastAsia="zh-CN"/>
              </w:rPr>
              <w:t>7万</w:t>
            </w:r>
            <w:r>
              <w:rPr>
                <w:rFonts w:hint="eastAsia"/>
                <w:color w:val="auto"/>
              </w:rPr>
              <w:t>t/a，则</w:t>
            </w:r>
            <w:r>
              <w:rPr>
                <w:rFonts w:hint="eastAsia"/>
                <w:color w:val="auto"/>
                <w:lang w:eastAsia="zh-CN"/>
              </w:rPr>
              <w:t>钢材边角料</w:t>
            </w:r>
            <w:r>
              <w:rPr>
                <w:rFonts w:hint="eastAsia"/>
                <w:color w:val="auto"/>
              </w:rPr>
              <w:t>产生量约为</w:t>
            </w:r>
            <w:r>
              <w:rPr>
                <w:rFonts w:hint="eastAsia"/>
                <w:color w:val="auto"/>
                <w:lang w:val="en-US" w:eastAsia="zh-CN"/>
              </w:rPr>
              <w:t>350</w:t>
            </w:r>
            <w:r>
              <w:rPr>
                <w:rFonts w:hint="eastAsia"/>
                <w:color w:val="auto"/>
              </w:rPr>
              <w:t>t/a，经收集后在一般固废暂存</w:t>
            </w:r>
            <w:r>
              <w:rPr>
                <w:rFonts w:hint="eastAsia"/>
                <w:color w:val="auto"/>
                <w:lang w:val="en-US" w:eastAsia="zh-CN"/>
              </w:rPr>
              <w:t>间</w:t>
            </w:r>
            <w:r>
              <w:rPr>
                <w:rFonts w:hint="eastAsia"/>
                <w:color w:val="auto"/>
              </w:rPr>
              <w:t>内暂存，</w:t>
            </w:r>
            <w:r>
              <w:rPr>
                <w:rFonts w:hint="eastAsia"/>
                <w:color w:val="auto"/>
                <w:lang w:val="en-US" w:eastAsia="zh-CN"/>
              </w:rPr>
              <w:t>交由合规物资回收单位回收利用</w:t>
            </w:r>
            <w:r>
              <w:rPr>
                <w:rFonts w:hint="eastAsia"/>
                <w:color w:val="auto"/>
              </w:rPr>
              <w:t>。对照《固体废物分类与代码目录》（公告2024年第4号），钢材边角料一般工业固废代码为</w:t>
            </w:r>
            <w:r>
              <w:rPr>
                <w:rFonts w:hint="eastAsia"/>
                <w:color w:val="auto"/>
                <w:lang w:val="en-US" w:eastAsia="zh-CN"/>
              </w:rPr>
              <w:t>900-001-S17</w:t>
            </w:r>
            <w:r>
              <w:rPr>
                <w:rFonts w:hint="eastAsia"/>
                <w:color w:val="auto"/>
              </w:rPr>
              <w:t>。</w:t>
            </w:r>
          </w:p>
          <w:p w14:paraId="4C6B8B06">
            <w:pPr>
              <w:bidi w:val="0"/>
              <w:rPr>
                <w:rFonts w:hint="eastAsia"/>
                <w:color w:val="auto"/>
                <w:lang w:val="en-US" w:eastAsia="zh-CN"/>
              </w:rPr>
            </w:pPr>
            <w:r>
              <w:rPr>
                <w:rFonts w:hint="eastAsia"/>
                <w:color w:val="auto"/>
                <w:lang w:val="en-US" w:eastAsia="zh-CN"/>
              </w:rPr>
              <w:t>③焊渣</w:t>
            </w:r>
          </w:p>
          <w:p w14:paraId="425E80D9">
            <w:pPr>
              <w:bidi w:val="0"/>
              <w:rPr>
                <w:rFonts w:hint="eastAsia" w:ascii="Times New Roman" w:hAnsi="Times New Roman" w:eastAsia="宋体" w:cs="Times New Roman"/>
                <w:color w:val="auto"/>
                <w:spacing w:val="0"/>
                <w:szCs w:val="24"/>
                <w:highlight w:val="green"/>
                <w:lang w:val="en-US" w:eastAsia="zh-CN"/>
              </w:rPr>
            </w:pPr>
            <w:r>
              <w:rPr>
                <w:rFonts w:hint="eastAsia"/>
                <w:color w:val="auto"/>
                <w:lang w:val="en-US" w:eastAsia="zh-CN"/>
              </w:rPr>
              <w:t>项目钢筋笼制作焊接使用无铅焊条，焊接过程将产生少量的焊渣，根据《机加工行业环境影响评价中常见污染物源强估算及污染治理》（许海萍等，《湖北大学学报（自然科学版），2010年9月第32卷第3期》），焊渣=焊条使用量×（1/11+4%）。项目无铅焊条用量约0.12t/a，则项目焊渣的产生量为0.0157t/a，经收集后在一般固废暂存间内分类暂存，交由合规物资回收单位回收利用。对照《固体废物分类与代码目录》（公告2024年第4号），焊渣一般工业固废代码为900-099-S59。</w:t>
            </w:r>
          </w:p>
          <w:p w14:paraId="2D3161F3">
            <w:pPr>
              <w:shd w:val="clear" w:fill="FFFFFF" w:themeFill="background1"/>
              <w:bidi w:val="0"/>
              <w:rPr>
                <w:rFonts w:hint="eastAsia"/>
                <w:color w:val="auto"/>
                <w:highlight w:val="none"/>
                <w:lang w:val="en-US" w:eastAsia="zh-CN"/>
              </w:rPr>
            </w:pPr>
            <w:r>
              <w:rPr>
                <w:rFonts w:hint="eastAsia"/>
                <w:color w:val="auto"/>
                <w:highlight w:val="none"/>
                <w:lang w:val="en-US" w:eastAsia="zh-CN"/>
              </w:rPr>
              <w:t>④不合格品</w:t>
            </w:r>
          </w:p>
          <w:p w14:paraId="3E43C55F">
            <w:pPr>
              <w:shd w:val="clear" w:fill="FFFFFF" w:themeFill="background1"/>
              <w:bidi w:val="0"/>
              <w:rPr>
                <w:rFonts w:hint="eastAsia" w:ascii="Times New Roman" w:hAnsi="Times New Roman" w:eastAsia="宋体" w:cs="Times New Roman"/>
                <w:color w:val="auto"/>
                <w:spacing w:val="0"/>
                <w:szCs w:val="24"/>
                <w:highlight w:val="none"/>
                <w:lang w:val="en-US" w:eastAsia="zh-CN"/>
              </w:rPr>
            </w:pPr>
            <w:r>
              <w:rPr>
                <w:rFonts w:hint="eastAsia"/>
                <w:color w:val="auto"/>
                <w:highlight w:val="none"/>
                <w:lang w:val="en-US" w:eastAsia="zh-CN"/>
              </w:rPr>
              <w:t>项目产品实验检验将产生一定量的不合格品，根据物料平衡，不合格品产生量约为13090.805t/a，约占总产品的0.5%，经收集后在一般固废暂存间内分类暂存，交由合规物资回收单位回收利用。对照《固体废物分类与代码目录》（公告2024年第4号），不合格品一般工业固废代码为900-099-S17。</w:t>
            </w:r>
          </w:p>
          <w:p w14:paraId="73F17666">
            <w:pPr>
              <w:bidi w:val="0"/>
              <w:rPr>
                <w:rFonts w:hint="eastAsia"/>
                <w:color w:val="auto"/>
                <w:lang w:val="en-US" w:eastAsia="zh-CN"/>
              </w:rPr>
            </w:pPr>
            <w:r>
              <w:rPr>
                <w:rFonts w:hint="eastAsia"/>
                <w:color w:val="auto"/>
                <w:lang w:val="en-US" w:eastAsia="zh-CN"/>
              </w:rPr>
              <w:t>⑤废包装材料</w:t>
            </w:r>
          </w:p>
          <w:p w14:paraId="1968716E">
            <w:pPr>
              <w:bidi w:val="0"/>
              <w:rPr>
                <w:rFonts w:hint="eastAsia"/>
                <w:color w:val="auto"/>
                <w:lang w:val="en-US" w:eastAsia="zh-CN"/>
              </w:rPr>
            </w:pPr>
            <w:r>
              <w:rPr>
                <w:rFonts w:hint="eastAsia"/>
                <w:color w:val="auto"/>
                <w:lang w:val="en-US" w:eastAsia="zh-CN"/>
              </w:rPr>
              <w:t>项目一般原辅材料（钢材、外加剂等）使用，会产生废包装材料，主要为纸箱、塑料袋、塑料桶等，根据建设单位提供资料，废包装材料产生量约为3t/a，属于一般工业固废，</w:t>
            </w:r>
            <w:r>
              <w:rPr>
                <w:rFonts w:hint="eastAsia"/>
                <w:color w:val="auto"/>
              </w:rPr>
              <w:t>经收集后在一般固废暂存</w:t>
            </w:r>
            <w:r>
              <w:rPr>
                <w:rFonts w:hint="eastAsia"/>
                <w:color w:val="auto"/>
                <w:lang w:val="en-US" w:eastAsia="zh-CN"/>
              </w:rPr>
              <w:t>间</w:t>
            </w:r>
            <w:r>
              <w:rPr>
                <w:rFonts w:hint="eastAsia"/>
                <w:color w:val="auto"/>
              </w:rPr>
              <w:t>内暂存，</w:t>
            </w:r>
            <w:r>
              <w:rPr>
                <w:rFonts w:hint="eastAsia"/>
                <w:color w:val="auto"/>
                <w:lang w:val="en-US" w:eastAsia="zh-CN"/>
              </w:rPr>
              <w:t>交由合规物资回收单位回收利用</w:t>
            </w:r>
            <w:r>
              <w:rPr>
                <w:rFonts w:hint="eastAsia"/>
                <w:color w:val="auto"/>
              </w:rPr>
              <w:t>。</w:t>
            </w:r>
            <w:r>
              <w:rPr>
                <w:rFonts w:hint="eastAsia"/>
                <w:color w:val="auto"/>
                <w:lang w:val="en-US" w:eastAsia="zh-CN"/>
              </w:rPr>
              <w:t>对照《固体废物分类与代码目录》（公告2024年第4号），废样一般工业固废代码为900-003-S17。</w:t>
            </w:r>
          </w:p>
          <w:p w14:paraId="011F4395">
            <w:pPr>
              <w:bidi w:val="0"/>
              <w:rPr>
                <w:rFonts w:hint="eastAsia"/>
                <w:color w:val="auto"/>
                <w:lang w:val="en-US" w:eastAsia="zh-CN"/>
              </w:rPr>
            </w:pPr>
            <w:r>
              <w:rPr>
                <w:rFonts w:hint="eastAsia"/>
                <w:color w:val="auto"/>
                <w:lang w:val="en-US" w:eastAsia="zh-CN"/>
              </w:rPr>
              <w:t>⑥工艺收集尘</w:t>
            </w:r>
          </w:p>
          <w:p w14:paraId="56521FBE">
            <w:pPr>
              <w:bidi w:val="0"/>
              <w:rPr>
                <w:rFonts w:hint="eastAsia"/>
                <w:color w:val="auto"/>
              </w:rPr>
            </w:pPr>
            <w:r>
              <w:rPr>
                <w:rFonts w:hint="eastAsia"/>
                <w:color w:val="auto"/>
              </w:rPr>
              <w:t>项目</w:t>
            </w:r>
            <w:r>
              <w:rPr>
                <w:rFonts w:hint="eastAsia"/>
                <w:color w:val="auto"/>
                <w:lang w:eastAsia="zh-CN"/>
              </w:rPr>
              <w:t>粉料仓</w:t>
            </w:r>
            <w:r>
              <w:rPr>
                <w:rFonts w:hint="eastAsia"/>
                <w:color w:val="auto"/>
              </w:rPr>
              <w:t>呼吸尘配套袋式除尘器</w:t>
            </w:r>
            <w:r>
              <w:rPr>
                <w:rFonts w:hint="eastAsia"/>
                <w:color w:val="auto"/>
                <w:lang w:val="en-US" w:eastAsia="zh-CN"/>
              </w:rPr>
              <w:t>、建筑垃圾回收利用生产线安装布袋除尘器</w:t>
            </w:r>
            <w:r>
              <w:rPr>
                <w:rFonts w:hint="eastAsia"/>
                <w:color w:val="auto"/>
              </w:rPr>
              <w:t>进行收集除尘</w:t>
            </w:r>
            <w:r>
              <w:rPr>
                <w:rFonts w:hint="eastAsia"/>
                <w:color w:val="auto"/>
                <w:lang w:eastAsia="zh-CN"/>
              </w:rPr>
              <w:t>，</w:t>
            </w:r>
            <w:r>
              <w:rPr>
                <w:rFonts w:hint="eastAsia"/>
                <w:color w:val="auto"/>
              </w:rPr>
              <w:t>根据</w:t>
            </w:r>
            <w:r>
              <w:rPr>
                <w:rFonts w:hint="eastAsia"/>
                <w:color w:val="auto"/>
                <w:lang w:val="en-US" w:eastAsia="zh-CN"/>
              </w:rPr>
              <w:t>前文</w:t>
            </w:r>
            <w:r>
              <w:rPr>
                <w:rFonts w:hint="eastAsia"/>
                <w:color w:val="auto"/>
              </w:rPr>
              <w:t>工程分析，</w:t>
            </w:r>
            <w:r>
              <w:rPr>
                <w:rFonts w:hint="eastAsia"/>
                <w:color w:val="auto"/>
                <w:lang w:eastAsia="zh-CN"/>
              </w:rPr>
              <w:t>粉料仓</w:t>
            </w:r>
            <w:r>
              <w:rPr>
                <w:rFonts w:hint="eastAsia"/>
                <w:color w:val="auto"/>
              </w:rPr>
              <w:t>呼吸尘</w:t>
            </w:r>
            <w:r>
              <w:rPr>
                <w:rFonts w:hint="eastAsia"/>
                <w:color w:val="auto"/>
                <w:lang w:val="en-US" w:eastAsia="zh-CN"/>
              </w:rPr>
              <w:t>与建筑垃圾回收利用生产线收集到的有组织</w:t>
            </w:r>
            <w:r>
              <w:rPr>
                <w:rFonts w:hint="eastAsia"/>
                <w:color w:val="auto"/>
              </w:rPr>
              <w:t>粉尘量</w:t>
            </w:r>
            <w:r>
              <w:rPr>
                <w:rFonts w:hint="eastAsia"/>
                <w:color w:val="auto"/>
                <w:lang w:val="en-US" w:eastAsia="zh-CN"/>
              </w:rPr>
              <w:t>合计</w:t>
            </w:r>
            <w:r>
              <w:rPr>
                <w:rFonts w:hint="eastAsia"/>
                <w:color w:val="auto"/>
              </w:rPr>
              <w:t>约为</w:t>
            </w:r>
            <w:r>
              <w:rPr>
                <w:rFonts w:hint="eastAsia"/>
                <w:color w:val="auto"/>
                <w:lang w:val="en-US" w:eastAsia="zh-CN"/>
              </w:rPr>
              <w:t>136.694</w:t>
            </w:r>
            <w:r>
              <w:rPr>
                <w:rFonts w:hint="eastAsia"/>
                <w:color w:val="auto"/>
              </w:rPr>
              <w:t>t/a，经收集后全部回用于生产。对照《固体废物分类与代码目录》（公告2024年第4号），</w:t>
            </w:r>
            <w:r>
              <w:rPr>
                <w:rFonts w:hint="eastAsia"/>
                <w:color w:val="auto"/>
                <w:lang w:val="en-US" w:eastAsia="zh-CN"/>
              </w:rPr>
              <w:t>工艺收集尘</w:t>
            </w:r>
            <w:r>
              <w:rPr>
                <w:rFonts w:hint="eastAsia"/>
                <w:color w:val="auto"/>
              </w:rPr>
              <w:t>一般工业固废代码为</w:t>
            </w:r>
            <w:r>
              <w:rPr>
                <w:rFonts w:hint="eastAsia"/>
                <w:color w:val="auto"/>
                <w:lang w:val="en-US" w:eastAsia="zh-CN"/>
              </w:rPr>
              <w:t>900-099-S17</w:t>
            </w:r>
            <w:r>
              <w:rPr>
                <w:rFonts w:hint="eastAsia"/>
                <w:color w:val="auto"/>
              </w:rPr>
              <w:t>。</w:t>
            </w:r>
          </w:p>
          <w:p w14:paraId="0836B9DC">
            <w:pPr>
              <w:bidi w:val="0"/>
              <w:rPr>
                <w:rFonts w:hint="eastAsia"/>
                <w:color w:val="auto"/>
                <w:lang w:eastAsia="zh-CN"/>
              </w:rPr>
            </w:pPr>
            <w:r>
              <w:rPr>
                <w:rFonts w:hint="eastAsia"/>
                <w:color w:val="auto"/>
                <w:lang w:val="en-US" w:eastAsia="zh-CN"/>
              </w:rPr>
              <w:t>⑦</w:t>
            </w:r>
            <w:r>
              <w:rPr>
                <w:rFonts w:hint="eastAsia"/>
                <w:color w:val="auto"/>
                <w:lang w:eastAsia="zh-CN"/>
              </w:rPr>
              <w:t>废水处理沉渣</w:t>
            </w:r>
          </w:p>
          <w:p w14:paraId="0F2D22AE">
            <w:pPr>
              <w:bidi w:val="0"/>
              <w:rPr>
                <w:rFonts w:hint="eastAsia"/>
                <w:color w:val="auto"/>
              </w:rPr>
            </w:pPr>
            <w:r>
              <w:rPr>
                <w:rFonts w:hint="eastAsia"/>
                <w:color w:val="auto"/>
              </w:rPr>
              <w:t>根据前文分析，沉渣是项目生产废水（</w:t>
            </w:r>
            <w:r>
              <w:rPr>
                <w:rFonts w:hint="eastAsia"/>
                <w:color w:val="auto"/>
                <w:lang w:eastAsia="zh-CN"/>
              </w:rPr>
              <w:t>设备清洗废水、地面冲洗废水、</w:t>
            </w:r>
            <w:r>
              <w:rPr>
                <w:rFonts w:hint="eastAsia"/>
                <w:color w:val="auto"/>
              </w:rPr>
              <w:t>洗车废水</w:t>
            </w:r>
            <w:r>
              <w:rPr>
                <w:rFonts w:hint="eastAsia"/>
                <w:color w:val="auto"/>
                <w:lang w:eastAsia="zh-CN"/>
              </w:rPr>
              <w:t>、试验清洗废水</w:t>
            </w:r>
            <w:r>
              <w:rPr>
                <w:rFonts w:hint="eastAsia"/>
                <w:color w:val="auto"/>
              </w:rPr>
              <w:t>）</w:t>
            </w:r>
            <w:r>
              <w:rPr>
                <w:rFonts w:hint="eastAsia"/>
                <w:color w:val="auto"/>
                <w:lang w:eastAsia="zh-CN"/>
              </w:rPr>
              <w:t>、</w:t>
            </w:r>
            <w:r>
              <w:rPr>
                <w:rFonts w:hint="eastAsia"/>
                <w:color w:val="auto"/>
                <w:lang w:val="en-US" w:eastAsia="zh-CN"/>
              </w:rPr>
              <w:t>洗砂废水</w:t>
            </w:r>
            <w:r>
              <w:rPr>
                <w:rFonts w:hint="eastAsia"/>
                <w:color w:val="auto"/>
              </w:rPr>
              <w:t>及收集</w:t>
            </w:r>
            <w:r>
              <w:rPr>
                <w:rFonts w:hint="eastAsia"/>
                <w:color w:val="auto"/>
                <w:lang w:eastAsia="zh-CN"/>
              </w:rPr>
              <w:t>初期</w:t>
            </w:r>
            <w:r>
              <w:rPr>
                <w:rFonts w:hint="eastAsia"/>
                <w:color w:val="auto"/>
              </w:rPr>
              <w:t>雨水经沉淀</w:t>
            </w:r>
            <w:r>
              <w:rPr>
                <w:rFonts w:hint="eastAsia"/>
                <w:color w:val="auto"/>
                <w:lang w:eastAsia="zh-CN"/>
              </w:rPr>
              <w:t>处理</w:t>
            </w:r>
            <w:r>
              <w:rPr>
                <w:rFonts w:hint="eastAsia"/>
                <w:color w:val="auto"/>
              </w:rPr>
              <w:t>产生的沉渣，主要成分为泥砂、水泥、碎石等，不含有毒有害物质，无腐蚀性、反应性。</w:t>
            </w:r>
            <w:r>
              <w:rPr>
                <w:rFonts w:hint="eastAsia"/>
                <w:color w:val="auto"/>
                <w:lang w:val="en-US" w:eastAsia="zh-CN"/>
              </w:rPr>
              <w:t>根据建设单位提供资料，项目生产废水和收集初期雨水主要污染物为SS，浓度大约2000mg/L，废水及初期雨水（按120d/a降雨计）总量约为36784.14t/a，斜坡沉淀池对SS的处理效率可达90%，沉渣经压滤后含水率约为60%，则项目沉渣产生量约为165.53t/a，经</w:t>
            </w:r>
            <w:r>
              <w:rPr>
                <w:rFonts w:hint="eastAsia" w:ascii="Times New Roman" w:hAnsi="Times New Roman" w:eastAsia="宋体" w:cs="Times New Roman"/>
                <w:color w:val="auto"/>
                <w:lang w:val="en-US" w:eastAsia="zh-CN"/>
              </w:rPr>
              <w:t>砂石分离机、压滤机分别处理后，</w:t>
            </w:r>
            <w:r>
              <w:rPr>
                <w:rFonts w:hint="eastAsia"/>
                <w:color w:val="auto"/>
                <w:lang w:val="en-US" w:eastAsia="zh-CN"/>
              </w:rPr>
              <w:t>回用于生产。</w:t>
            </w:r>
            <w:r>
              <w:rPr>
                <w:rFonts w:hint="eastAsia"/>
                <w:color w:val="auto"/>
              </w:rPr>
              <w:t>对照《固体废物分类与代码目录》（公告2024年第4号），废水处理设施沉渣一般工业固废代码为</w:t>
            </w:r>
            <w:r>
              <w:rPr>
                <w:rFonts w:hint="eastAsia"/>
                <w:color w:val="auto"/>
                <w:lang w:val="en-US" w:eastAsia="zh-CN"/>
              </w:rPr>
              <w:t>900-099-S17</w:t>
            </w:r>
            <w:r>
              <w:rPr>
                <w:rFonts w:hint="eastAsia"/>
                <w:color w:val="auto"/>
              </w:rPr>
              <w:t>。</w:t>
            </w:r>
          </w:p>
          <w:p w14:paraId="0D300859">
            <w:pPr>
              <w:bidi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⑧洗砂废水处理渣</w:t>
            </w:r>
          </w:p>
          <w:p w14:paraId="134CDCD6">
            <w:pPr>
              <w:bidi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根据前文工程分析，洗砂废水处理渣主要是建筑垃圾回收利用生产线将</w:t>
            </w:r>
            <w:r>
              <w:rPr>
                <w:rFonts w:hint="eastAsia" w:cs="Times New Roman"/>
                <w:color w:val="auto"/>
                <w:lang w:val="en-US" w:eastAsia="zh-CN"/>
              </w:rPr>
              <w:t>石方料</w:t>
            </w:r>
            <w:r>
              <w:rPr>
                <w:rFonts w:hint="eastAsia" w:ascii="Times New Roman" w:hAnsi="Times New Roman" w:eastAsia="宋体" w:cs="Times New Roman"/>
                <w:color w:val="auto"/>
                <w:lang w:val="en-US" w:eastAsia="zh-CN"/>
              </w:rPr>
              <w:t>破碎后洗砂工序产生的废水，通过在污水罐中沉积和加药絮凝之后，压滤机压制形成。主要成分为碎石粉末，不含有毒有害物质，无腐蚀性、反应性。洗砂废水中SS的浓度一般为3000mg/L，洗砂废水量为13.68万t/a，加药絮凝对于洗砂这类高浓度ss废水的处理效率一般为</w:t>
            </w:r>
            <w:r>
              <w:rPr>
                <w:rFonts w:hint="eastAsia" w:cs="Times New Roman"/>
                <w:color w:val="auto"/>
                <w:lang w:val="en-US" w:eastAsia="zh-CN"/>
              </w:rPr>
              <w:t>96.2</w:t>
            </w:r>
            <w:r>
              <w:rPr>
                <w:rFonts w:hint="eastAsia" w:ascii="Times New Roman" w:hAnsi="Times New Roman" w:eastAsia="宋体" w:cs="Times New Roman"/>
                <w:color w:val="auto"/>
                <w:lang w:val="en-US" w:eastAsia="zh-CN"/>
              </w:rPr>
              <w:t>%</w:t>
            </w:r>
            <w:r>
              <w:rPr>
                <w:rFonts w:hint="eastAsia" w:cs="Times New Roman"/>
                <w:color w:val="auto"/>
                <w:lang w:val="en-US" w:eastAsia="zh-CN"/>
              </w:rPr>
              <w:t>-97.5</w:t>
            </w:r>
            <w:r>
              <w:rPr>
                <w:rFonts w:hint="eastAsia" w:ascii="Times New Roman" w:hAnsi="Times New Roman" w:eastAsia="宋体" w:cs="Times New Roman"/>
                <w:color w:val="auto"/>
                <w:lang w:val="en-US" w:eastAsia="zh-CN"/>
              </w:rPr>
              <w:t>%</w:t>
            </w:r>
            <w:r>
              <w:rPr>
                <w:rFonts w:hint="eastAsia" w:cs="Times New Roman"/>
                <w:color w:val="auto"/>
                <w:lang w:val="en-US" w:eastAsia="zh-CN"/>
              </w:rPr>
              <w:t>（本文取96.8%）</w:t>
            </w:r>
            <w:r>
              <w:rPr>
                <w:rFonts w:hint="eastAsia" w:ascii="Times New Roman" w:hAnsi="Times New Roman" w:eastAsia="宋体" w:cs="Times New Roman"/>
                <w:color w:val="auto"/>
                <w:lang w:val="en-US" w:eastAsia="zh-CN"/>
              </w:rPr>
              <w:t>，处理渣沉渣经压滤后含水率约为60%，则项目沉渣产生量约为</w:t>
            </w:r>
            <w:r>
              <w:rPr>
                <w:rFonts w:hint="eastAsia" w:cs="Times New Roman"/>
                <w:color w:val="auto"/>
                <w:lang w:val="en-US" w:eastAsia="zh-CN"/>
              </w:rPr>
              <w:t>1026</w:t>
            </w:r>
            <w:r>
              <w:rPr>
                <w:rFonts w:hint="eastAsia" w:ascii="Times New Roman" w:hAnsi="Times New Roman" w:eastAsia="宋体" w:cs="Times New Roman"/>
                <w:color w:val="auto"/>
                <w:lang w:val="en-US" w:eastAsia="zh-CN"/>
              </w:rPr>
              <w:t>t/a，经收集后及时回用于生产。对照《固体废物分类与代码目录》（公告2024年第4号），废水处理设施沉渣一般工业固废代码为900-099-S17</w:t>
            </w:r>
          </w:p>
          <w:p w14:paraId="1E2AB34E">
            <w:pPr>
              <w:bidi w:val="0"/>
              <w:rPr>
                <w:rFonts w:hint="eastAsia"/>
                <w:color w:val="auto"/>
                <w:lang w:val="en-US" w:eastAsia="zh-CN"/>
              </w:rPr>
            </w:pPr>
            <w:r>
              <w:rPr>
                <w:rFonts w:hint="eastAsia"/>
                <w:color w:val="auto"/>
                <w:lang w:val="en-US" w:eastAsia="zh-CN"/>
              </w:rPr>
              <w:t>⑨化粪池及一体化污水处理设施污泥</w:t>
            </w:r>
          </w:p>
          <w:p w14:paraId="12B3AE64">
            <w:pPr>
              <w:spacing w:line="360" w:lineRule="auto"/>
              <w:ind w:firstLine="480" w:firstLineChars="200"/>
              <w:rPr>
                <w:color w:val="auto"/>
                <w:sz w:val="24"/>
              </w:rPr>
            </w:pPr>
            <w:r>
              <w:rPr>
                <w:rFonts w:hint="eastAsia"/>
                <w:color w:val="auto"/>
                <w:sz w:val="24"/>
              </w:rPr>
              <w:t>项目自建污水处理设备产生污泥，根据项目生活污水产排情况，污水污泥产生量以每万吨水产生3吨污泥计算，本项目污水处理设备产生污泥量约为</w:t>
            </w:r>
            <w:r>
              <w:rPr>
                <w:rFonts w:hint="eastAsia"/>
                <w:color w:val="auto"/>
                <w:sz w:val="24"/>
                <w:lang w:val="en-US" w:eastAsia="zh-CN"/>
              </w:rPr>
              <w:t>0.4455</w:t>
            </w:r>
            <w:r>
              <w:rPr>
                <w:color w:val="auto"/>
                <w:sz w:val="24"/>
              </w:rPr>
              <w:t>t/a</w:t>
            </w:r>
            <w:r>
              <w:rPr>
                <w:rFonts w:hint="eastAsia"/>
                <w:color w:val="auto"/>
                <w:sz w:val="24"/>
              </w:rPr>
              <w:t>，污泥</w:t>
            </w:r>
            <w:r>
              <w:rPr>
                <w:rFonts w:hint="eastAsia"/>
                <w:color w:val="auto"/>
                <w:sz w:val="24"/>
                <w:lang w:val="en-US" w:eastAsia="zh-CN"/>
              </w:rPr>
              <w:t>经压滤处理</w:t>
            </w:r>
            <w:r>
              <w:rPr>
                <w:rFonts w:hint="eastAsia"/>
                <w:color w:val="auto"/>
                <w:sz w:val="24"/>
              </w:rPr>
              <w:t>后，暂存于一般固体废物贮存，外售</w:t>
            </w:r>
            <w:r>
              <w:rPr>
                <w:rFonts w:hint="eastAsia"/>
                <w:color w:val="auto"/>
                <w:sz w:val="24"/>
                <w:lang w:val="en-US" w:eastAsia="zh-CN"/>
              </w:rPr>
              <w:t>综合利用</w:t>
            </w:r>
            <w:r>
              <w:rPr>
                <w:rFonts w:hint="eastAsia"/>
                <w:color w:val="auto"/>
                <w:sz w:val="24"/>
              </w:rPr>
              <w:t>。</w:t>
            </w:r>
          </w:p>
          <w:p w14:paraId="058045D2">
            <w:pPr>
              <w:bidi w:val="0"/>
              <w:rPr>
                <w:rFonts w:hint="default"/>
                <w:b/>
                <w:bCs/>
                <w:color w:val="auto"/>
                <w:lang w:eastAsia="zh-CN"/>
              </w:rPr>
            </w:pPr>
            <w:r>
              <w:rPr>
                <w:rFonts w:hint="eastAsia"/>
                <w:b/>
                <w:bCs/>
                <w:color w:val="auto"/>
                <w:lang w:eastAsia="zh-CN"/>
              </w:rPr>
              <w:t>（</w:t>
            </w:r>
            <w:r>
              <w:rPr>
                <w:rFonts w:hint="eastAsia"/>
                <w:b/>
                <w:bCs/>
                <w:color w:val="auto"/>
                <w:lang w:val="en-US" w:eastAsia="zh-CN"/>
              </w:rPr>
              <w:t>2</w:t>
            </w:r>
            <w:r>
              <w:rPr>
                <w:rFonts w:hint="eastAsia"/>
                <w:b/>
                <w:bCs/>
                <w:color w:val="auto"/>
                <w:lang w:eastAsia="zh-CN"/>
              </w:rPr>
              <w:t>）</w:t>
            </w:r>
            <w:r>
              <w:rPr>
                <w:rFonts w:hint="default"/>
                <w:b/>
                <w:bCs/>
                <w:color w:val="auto"/>
                <w:lang w:eastAsia="zh-CN"/>
              </w:rPr>
              <w:t>危险废物</w:t>
            </w:r>
          </w:p>
          <w:p w14:paraId="38FDB6C6">
            <w:pPr>
              <w:bidi w:val="0"/>
              <w:rPr>
                <w:rFonts w:hint="eastAsia"/>
                <w:color w:val="auto"/>
                <w:lang w:val="en-US" w:eastAsia="zh-CN"/>
              </w:rPr>
            </w:pPr>
            <w:r>
              <w:rPr>
                <w:rFonts w:hint="eastAsia"/>
                <w:color w:val="auto"/>
                <w:lang w:val="en-US" w:eastAsia="zh-CN"/>
              </w:rPr>
              <w:t>①废机油、废油桶、含油废抹布及手套</w:t>
            </w:r>
          </w:p>
          <w:p w14:paraId="17298F9E">
            <w:pPr>
              <w:bidi w:val="0"/>
              <w:rPr>
                <w:rFonts w:hint="default"/>
                <w:color w:val="auto"/>
                <w:lang w:val="en-US" w:eastAsia="zh-CN"/>
              </w:rPr>
            </w:pPr>
            <w:r>
              <w:rPr>
                <w:rFonts w:hint="eastAsia"/>
                <w:color w:val="auto"/>
                <w:lang w:val="en-US" w:eastAsia="zh-CN"/>
              </w:rPr>
              <w:t>项目生产过程中产生的危险废物主要机械设备日常维护保养过程中产生的废机油、废油桶。</w:t>
            </w:r>
          </w:p>
          <w:p w14:paraId="34EE174C">
            <w:pPr>
              <w:bidi w:val="0"/>
              <w:rPr>
                <w:rFonts w:hint="eastAsia"/>
                <w:color w:val="auto"/>
              </w:rPr>
            </w:pPr>
            <w:r>
              <w:rPr>
                <w:rFonts w:hint="eastAsia"/>
                <w:color w:val="auto"/>
                <w:lang w:val="en-US" w:eastAsia="zh-CN"/>
              </w:rPr>
              <w:t>根据建设单位提供资料，项目</w:t>
            </w:r>
            <w:r>
              <w:rPr>
                <w:rFonts w:hint="eastAsia"/>
                <w:color w:val="auto"/>
              </w:rPr>
              <w:t>废机油产生量</w:t>
            </w:r>
            <w:r>
              <w:rPr>
                <w:rFonts w:hint="eastAsia"/>
                <w:color w:val="auto"/>
                <w:lang w:val="en-US" w:eastAsia="zh-CN"/>
              </w:rPr>
              <w:t>约</w:t>
            </w:r>
            <w:r>
              <w:rPr>
                <w:rFonts w:hint="eastAsia"/>
                <w:color w:val="auto"/>
              </w:rPr>
              <w:t>为0.</w:t>
            </w:r>
            <w:r>
              <w:rPr>
                <w:rFonts w:hint="eastAsia"/>
                <w:color w:val="auto"/>
                <w:lang w:val="en-US" w:eastAsia="zh-CN"/>
              </w:rPr>
              <w:t>2</w:t>
            </w:r>
            <w:r>
              <w:rPr>
                <w:rFonts w:hint="eastAsia"/>
                <w:color w:val="auto"/>
              </w:rPr>
              <w:t>t/a</w:t>
            </w:r>
            <w:r>
              <w:rPr>
                <w:rFonts w:hint="eastAsia"/>
                <w:color w:val="auto"/>
                <w:lang w:eastAsia="zh-CN"/>
              </w:rPr>
              <w:t>。废油桶</w:t>
            </w:r>
            <w:r>
              <w:rPr>
                <w:rFonts w:hint="eastAsia"/>
                <w:color w:val="auto"/>
              </w:rPr>
              <w:t>产生量</w:t>
            </w:r>
            <w:r>
              <w:rPr>
                <w:rFonts w:hint="eastAsia"/>
                <w:color w:val="auto"/>
                <w:lang w:val="en-US" w:eastAsia="zh-CN"/>
              </w:rPr>
              <w:t>约</w:t>
            </w:r>
            <w:r>
              <w:rPr>
                <w:rFonts w:hint="eastAsia"/>
                <w:color w:val="auto"/>
              </w:rPr>
              <w:t>为0.</w:t>
            </w:r>
            <w:r>
              <w:rPr>
                <w:rFonts w:hint="eastAsia"/>
                <w:color w:val="auto"/>
                <w:lang w:val="en-US" w:eastAsia="zh-CN"/>
              </w:rPr>
              <w:t>05</w:t>
            </w:r>
            <w:r>
              <w:rPr>
                <w:rFonts w:hint="eastAsia"/>
                <w:color w:val="auto"/>
              </w:rPr>
              <w:t>t/a</w:t>
            </w:r>
            <w:r>
              <w:rPr>
                <w:rFonts w:hint="eastAsia"/>
                <w:color w:val="auto"/>
                <w:lang w:eastAsia="zh-CN"/>
              </w:rPr>
              <w:t>，含油废抹布及手套产生量约为</w:t>
            </w:r>
            <w:r>
              <w:rPr>
                <w:rFonts w:hint="eastAsia"/>
                <w:color w:val="auto"/>
                <w:lang w:val="en-US" w:eastAsia="zh-CN"/>
              </w:rPr>
              <w:t>0.05t/a</w:t>
            </w:r>
            <w:r>
              <w:rPr>
                <w:rFonts w:hint="eastAsia"/>
                <w:color w:val="auto"/>
              </w:rPr>
              <w:t>。</w:t>
            </w:r>
          </w:p>
          <w:p w14:paraId="48ED71D7">
            <w:pPr>
              <w:bidi w:val="0"/>
              <w:rPr>
                <w:rFonts w:hint="default"/>
                <w:color w:val="auto"/>
                <w:lang w:val="en-US" w:eastAsia="zh-CN"/>
              </w:rPr>
            </w:pPr>
            <w:r>
              <w:rPr>
                <w:rFonts w:hint="eastAsia"/>
                <w:color w:val="auto"/>
              </w:rPr>
              <w:t>根据《国家危险废物名录》（202</w:t>
            </w:r>
            <w:r>
              <w:rPr>
                <w:rFonts w:hint="eastAsia"/>
                <w:color w:val="auto"/>
                <w:lang w:val="en-US" w:eastAsia="zh-CN"/>
              </w:rPr>
              <w:t>5</w:t>
            </w:r>
            <w:r>
              <w:rPr>
                <w:rFonts w:hint="eastAsia"/>
                <w:color w:val="auto"/>
              </w:rPr>
              <w:t>年版），废机油属于“HW08废矿物油与含矿物油废物，900-21</w:t>
            </w:r>
            <w:r>
              <w:rPr>
                <w:rFonts w:hint="eastAsia"/>
                <w:color w:val="auto"/>
                <w:lang w:val="en-US" w:eastAsia="zh-CN"/>
              </w:rPr>
              <w:t>4</w:t>
            </w:r>
            <w:r>
              <w:rPr>
                <w:rFonts w:hint="eastAsia"/>
                <w:color w:val="auto"/>
              </w:rPr>
              <w:t>-08，车辆、轮船</w:t>
            </w:r>
            <w:r>
              <w:rPr>
                <w:rFonts w:hint="eastAsia"/>
                <w:color w:val="auto"/>
                <w:lang w:eastAsia="zh-CN"/>
              </w:rPr>
              <w:t>及其他</w:t>
            </w:r>
            <w:r>
              <w:rPr>
                <w:rFonts w:hint="eastAsia"/>
                <w:color w:val="auto"/>
              </w:rPr>
              <w:t>机械维修过程中产生的废发动机油、制动器油、自动变速器油、齿轮油等废润滑油”类危险废物，采用密闭容器桶密封贮存，存放于厂区危险废物贮存</w:t>
            </w:r>
            <w:r>
              <w:rPr>
                <w:rFonts w:hint="eastAsia"/>
                <w:color w:val="auto"/>
                <w:lang w:eastAsia="zh-CN"/>
              </w:rPr>
              <w:t>库</w:t>
            </w:r>
            <w:r>
              <w:rPr>
                <w:rFonts w:hint="eastAsia"/>
                <w:color w:val="auto"/>
                <w:lang w:val="en-US" w:eastAsia="zh-CN"/>
              </w:rPr>
              <w:t>内</w:t>
            </w:r>
            <w:r>
              <w:rPr>
                <w:rFonts w:hint="eastAsia"/>
                <w:color w:val="auto"/>
              </w:rPr>
              <w:t>，委托资质单位</w:t>
            </w:r>
            <w:r>
              <w:rPr>
                <w:rFonts w:hint="eastAsia"/>
                <w:color w:val="auto"/>
                <w:lang w:val="en-US" w:eastAsia="zh-CN"/>
              </w:rPr>
              <w:t>定期清运处置</w:t>
            </w:r>
            <w:r>
              <w:rPr>
                <w:rFonts w:hint="eastAsia"/>
                <w:color w:val="auto"/>
              </w:rPr>
              <w:t>；废油桶属于“HW08废矿物油与含矿物油废物，900-249-08，其他生产、销售、使用过程中产生的废矿物油及沾染矿物油的废弃包装物”类危险废物，自身加盖密闭或采用密闭容器装存后，存放于厂区危险废物贮存</w:t>
            </w:r>
            <w:r>
              <w:rPr>
                <w:rFonts w:hint="eastAsia"/>
                <w:color w:val="auto"/>
                <w:lang w:eastAsia="zh-CN"/>
              </w:rPr>
              <w:t>库</w:t>
            </w:r>
            <w:r>
              <w:rPr>
                <w:rFonts w:hint="eastAsia"/>
                <w:color w:val="auto"/>
                <w:lang w:val="en-US" w:eastAsia="zh-CN"/>
              </w:rPr>
              <w:t>内</w:t>
            </w:r>
            <w:r>
              <w:rPr>
                <w:rFonts w:hint="eastAsia"/>
                <w:color w:val="auto"/>
              </w:rPr>
              <w:t>，委托资质单位</w:t>
            </w:r>
            <w:r>
              <w:rPr>
                <w:rFonts w:hint="eastAsia"/>
                <w:color w:val="auto"/>
                <w:lang w:val="en-US" w:eastAsia="zh-CN"/>
              </w:rPr>
              <w:t>定期清运处置</w:t>
            </w:r>
            <w:r>
              <w:rPr>
                <w:rFonts w:hint="eastAsia"/>
                <w:color w:val="auto"/>
              </w:rPr>
              <w:t>。</w:t>
            </w:r>
            <w:r>
              <w:rPr>
                <w:rFonts w:hint="eastAsia"/>
                <w:color w:val="auto"/>
                <w:lang w:eastAsia="zh-CN"/>
              </w:rPr>
              <w:t>含油废抹布及手套混入生活垃圾，由当地环卫部门统一清运处置，全过程未分类收集，根据</w:t>
            </w:r>
            <w:r>
              <w:rPr>
                <w:rFonts w:hint="eastAsia"/>
                <w:color w:val="auto"/>
              </w:rPr>
              <w:t>《国家危险废物名录》（202</w:t>
            </w:r>
            <w:r>
              <w:rPr>
                <w:rFonts w:hint="eastAsia"/>
                <w:color w:val="auto"/>
                <w:lang w:val="en-US" w:eastAsia="zh-CN"/>
              </w:rPr>
              <w:t>5</w:t>
            </w:r>
            <w:r>
              <w:rPr>
                <w:rFonts w:hint="eastAsia"/>
                <w:color w:val="auto"/>
              </w:rPr>
              <w:t>年版）</w:t>
            </w:r>
            <w:r>
              <w:rPr>
                <w:rFonts w:hint="eastAsia"/>
                <w:color w:val="auto"/>
                <w:lang w:eastAsia="zh-CN"/>
              </w:rPr>
              <w:t>，含油废抹布及手套属于</w:t>
            </w:r>
            <w:r>
              <w:rPr>
                <w:rFonts w:hint="eastAsia"/>
                <w:color w:val="auto"/>
                <w:lang w:val="en-US" w:eastAsia="zh-CN"/>
              </w:rPr>
              <w:t>900-041-49类危险废物，未分类收集全过程不按危险废物管理。</w:t>
            </w:r>
          </w:p>
          <w:p w14:paraId="13D32B46">
            <w:pPr>
              <w:bidi w:val="0"/>
              <w:rPr>
                <w:rFonts w:hint="eastAsia"/>
                <w:color w:val="auto"/>
                <w:lang w:eastAsia="zh-CN"/>
              </w:rPr>
            </w:pPr>
            <w:r>
              <w:rPr>
                <w:rFonts w:hint="eastAsia"/>
                <w:color w:val="auto"/>
                <w:lang w:eastAsia="zh-CN"/>
              </w:rPr>
              <w:t>②废吸油毡</w:t>
            </w:r>
          </w:p>
          <w:p w14:paraId="668616D5">
            <w:pPr>
              <w:bidi w:val="0"/>
              <w:rPr>
                <w:rFonts w:hint="eastAsia"/>
                <w:color w:val="auto"/>
                <w:lang w:val="en-US" w:eastAsia="zh-CN"/>
              </w:rPr>
            </w:pPr>
            <w:r>
              <w:rPr>
                <w:rFonts w:hint="eastAsia"/>
                <w:color w:val="auto"/>
                <w:lang w:eastAsia="zh-CN"/>
              </w:rPr>
              <w:t>项目洗车废水沉淀池表面浮油定期使用吸油毡进行清理，产生废吸油毡，根据建设单位提供资料，产生量约为</w:t>
            </w:r>
            <w:r>
              <w:rPr>
                <w:rFonts w:hint="eastAsia"/>
                <w:color w:val="auto"/>
                <w:lang w:val="en-US" w:eastAsia="zh-CN"/>
              </w:rPr>
              <w:t>0.3t/a。</w:t>
            </w:r>
            <w:r>
              <w:rPr>
                <w:rFonts w:hint="eastAsia"/>
                <w:color w:val="auto"/>
              </w:rPr>
              <w:t>根据《国家危险废物名录》（202</w:t>
            </w:r>
            <w:r>
              <w:rPr>
                <w:rFonts w:hint="eastAsia"/>
                <w:color w:val="auto"/>
                <w:lang w:val="en-US" w:eastAsia="zh-CN"/>
              </w:rPr>
              <w:t>5</w:t>
            </w:r>
            <w:r>
              <w:rPr>
                <w:rFonts w:hint="eastAsia"/>
                <w:color w:val="auto"/>
              </w:rPr>
              <w:t>年版），</w:t>
            </w:r>
            <w:r>
              <w:rPr>
                <w:rFonts w:hint="eastAsia"/>
                <w:color w:val="auto"/>
                <w:lang w:eastAsia="zh-CN"/>
              </w:rPr>
              <w:t>废吸油毡</w:t>
            </w:r>
            <w:r>
              <w:rPr>
                <w:rFonts w:hint="eastAsia"/>
                <w:color w:val="auto"/>
              </w:rPr>
              <w:t>属于“HW</w:t>
            </w:r>
            <w:r>
              <w:rPr>
                <w:rFonts w:hint="eastAsia"/>
                <w:color w:val="auto"/>
                <w:lang w:val="en-US" w:eastAsia="zh-CN"/>
              </w:rPr>
              <w:t>49 其他废物</w:t>
            </w:r>
            <w:r>
              <w:rPr>
                <w:rFonts w:hint="eastAsia"/>
                <w:color w:val="auto"/>
              </w:rPr>
              <w:t>，</w:t>
            </w:r>
            <w:r>
              <w:rPr>
                <w:rFonts w:hint="eastAsia"/>
                <w:color w:val="auto"/>
                <w:lang w:val="en-US" w:eastAsia="zh-CN"/>
              </w:rPr>
              <w:t>900-041-49</w:t>
            </w:r>
            <w:r>
              <w:rPr>
                <w:rFonts w:hint="eastAsia"/>
                <w:color w:val="auto"/>
              </w:rPr>
              <w:t>，含有或者沾染毒性、感染性危险废物的废弃的包装物、容器、过滤吸附介质”类危险废物，采用密闭容器桶密封贮存，存放于厂区危险废物贮存</w:t>
            </w:r>
            <w:r>
              <w:rPr>
                <w:rFonts w:hint="eastAsia"/>
                <w:color w:val="auto"/>
                <w:lang w:eastAsia="zh-CN"/>
              </w:rPr>
              <w:t>库</w:t>
            </w:r>
            <w:r>
              <w:rPr>
                <w:rFonts w:hint="eastAsia"/>
                <w:color w:val="auto"/>
                <w:lang w:val="en-US" w:eastAsia="zh-CN"/>
              </w:rPr>
              <w:t>内</w:t>
            </w:r>
            <w:r>
              <w:rPr>
                <w:rFonts w:hint="eastAsia"/>
                <w:color w:val="auto"/>
              </w:rPr>
              <w:t>，委托资质单位</w:t>
            </w:r>
            <w:r>
              <w:rPr>
                <w:rFonts w:hint="eastAsia"/>
                <w:color w:val="auto"/>
                <w:lang w:val="en-US" w:eastAsia="zh-CN"/>
              </w:rPr>
              <w:t>定期清运处置。</w:t>
            </w:r>
          </w:p>
          <w:p w14:paraId="2FED70E9">
            <w:pPr>
              <w:bidi w:val="0"/>
              <w:rPr>
                <w:rFonts w:hint="default"/>
                <w:color w:val="auto"/>
              </w:rPr>
            </w:pPr>
            <w:r>
              <w:rPr>
                <w:rFonts w:hint="eastAsia"/>
                <w:color w:val="auto"/>
                <w:lang w:eastAsia="zh-CN"/>
              </w:rPr>
              <w:t>（</w:t>
            </w:r>
            <w:r>
              <w:rPr>
                <w:rFonts w:hint="eastAsia"/>
                <w:color w:val="auto"/>
                <w:lang w:val="en-US" w:eastAsia="zh-CN"/>
              </w:rPr>
              <w:t>3</w:t>
            </w:r>
            <w:r>
              <w:rPr>
                <w:rFonts w:hint="eastAsia"/>
                <w:color w:val="auto"/>
                <w:lang w:eastAsia="zh-CN"/>
              </w:rPr>
              <w:t>）</w:t>
            </w:r>
            <w:r>
              <w:rPr>
                <w:rFonts w:hint="default"/>
                <w:color w:val="auto"/>
              </w:rPr>
              <w:t>生活垃圾</w:t>
            </w:r>
          </w:p>
          <w:p w14:paraId="6904BAE9">
            <w:pPr>
              <w:bidi w:val="0"/>
              <w:rPr>
                <w:rFonts w:hint="default"/>
                <w:color w:val="auto"/>
              </w:rPr>
            </w:pPr>
            <w:r>
              <w:rPr>
                <w:rFonts w:hint="default"/>
                <w:color w:val="auto"/>
              </w:rPr>
              <w:t>项目职工人数共</w:t>
            </w:r>
            <w:r>
              <w:rPr>
                <w:rFonts w:hint="eastAsia"/>
                <w:color w:val="auto"/>
                <w:lang w:val="en-US" w:eastAsia="zh-CN"/>
              </w:rPr>
              <w:t>40</w:t>
            </w:r>
            <w:r>
              <w:rPr>
                <w:rFonts w:hint="eastAsia"/>
                <w:color w:val="auto"/>
                <w:lang w:eastAsia="zh-CN"/>
              </w:rPr>
              <w:t>人</w:t>
            </w:r>
            <w:r>
              <w:rPr>
                <w:rFonts w:hint="default"/>
                <w:color w:val="auto"/>
              </w:rPr>
              <w:t>，</w:t>
            </w:r>
            <w:r>
              <w:rPr>
                <w:rFonts w:hint="eastAsia"/>
                <w:color w:val="auto"/>
                <w:lang w:val="en-US" w:eastAsia="zh-CN"/>
              </w:rPr>
              <w:t>住厂员工30人，不住厂员工10人</w:t>
            </w:r>
            <w:r>
              <w:rPr>
                <w:rFonts w:hint="default"/>
                <w:color w:val="auto"/>
              </w:rPr>
              <w:t>，职工生活垃圾排放量按</w:t>
            </w:r>
            <w:r>
              <w:rPr>
                <w:rFonts w:hint="eastAsia"/>
                <w:color w:val="auto"/>
                <w:lang w:eastAsia="zh-CN"/>
              </w:rPr>
              <w:t>住厂</w:t>
            </w:r>
            <w:r>
              <w:rPr>
                <w:rFonts w:hint="eastAsia"/>
                <w:color w:val="auto"/>
                <w:lang w:val="en-US" w:eastAsia="zh-CN"/>
              </w:rPr>
              <w:t>1</w:t>
            </w:r>
            <w:r>
              <w:rPr>
                <w:rFonts w:hint="default"/>
                <w:color w:val="auto"/>
              </w:rPr>
              <w:t>.</w:t>
            </w:r>
            <w:r>
              <w:rPr>
                <w:rFonts w:hint="eastAsia"/>
                <w:color w:val="auto"/>
                <w:lang w:val="en-US" w:eastAsia="zh-CN"/>
              </w:rPr>
              <w:t>5</w:t>
            </w:r>
            <w:r>
              <w:rPr>
                <w:rFonts w:hint="default"/>
                <w:color w:val="auto"/>
              </w:rPr>
              <w:t>kg/人·天</w:t>
            </w:r>
            <w:r>
              <w:rPr>
                <w:rFonts w:hint="eastAsia"/>
                <w:color w:val="auto"/>
                <w:lang w:eastAsia="zh-CN"/>
              </w:rPr>
              <w:t>，</w:t>
            </w:r>
            <w:r>
              <w:rPr>
                <w:rFonts w:hAnsi="宋体"/>
              </w:rPr>
              <w:t>不住厂</w:t>
            </w:r>
            <w:r>
              <w:t>0.5kg/</w:t>
            </w:r>
            <w:r>
              <w:rPr>
                <w:rFonts w:hAnsi="宋体"/>
              </w:rPr>
              <w:t>人</w:t>
            </w:r>
            <w:r>
              <w:t>·d</w:t>
            </w:r>
            <w:r>
              <w:rPr>
                <w:rFonts w:hint="default"/>
                <w:color w:val="auto"/>
              </w:rPr>
              <w:t>计</w:t>
            </w:r>
            <w:r>
              <w:rPr>
                <w:rFonts w:hint="eastAsia"/>
                <w:color w:val="auto"/>
                <w:lang w:eastAsia="zh-CN"/>
              </w:rPr>
              <w:t>，</w:t>
            </w:r>
            <w:r>
              <w:rPr>
                <w:rFonts w:hint="default"/>
                <w:color w:val="auto"/>
              </w:rPr>
              <w:t>则</w:t>
            </w:r>
            <w:r>
              <w:rPr>
                <w:rFonts w:hint="eastAsia"/>
                <w:color w:val="auto"/>
                <w:lang w:eastAsia="zh-CN"/>
              </w:rPr>
              <w:t>项目</w:t>
            </w:r>
            <w:r>
              <w:rPr>
                <w:rFonts w:hint="default"/>
                <w:color w:val="auto"/>
              </w:rPr>
              <w:t>生活垃圾产生量为</w:t>
            </w:r>
            <w:r>
              <w:rPr>
                <w:rFonts w:hint="eastAsia"/>
                <w:color w:val="auto"/>
                <w:lang w:val="en-US" w:eastAsia="zh-CN"/>
              </w:rPr>
              <w:t>0.05t</w:t>
            </w:r>
            <w:r>
              <w:rPr>
                <w:rFonts w:hint="default"/>
                <w:color w:val="auto"/>
              </w:rPr>
              <w:t>/d，年产生量约为</w:t>
            </w:r>
            <w:r>
              <w:rPr>
                <w:rFonts w:hint="eastAsia"/>
                <w:color w:val="auto"/>
                <w:lang w:val="en-US" w:eastAsia="zh-CN"/>
              </w:rPr>
              <w:t>16.5</w:t>
            </w:r>
            <w:r>
              <w:rPr>
                <w:rFonts w:hint="default"/>
                <w:color w:val="auto"/>
              </w:rPr>
              <w:t>t(按年工作</w:t>
            </w:r>
            <w:r>
              <w:rPr>
                <w:rFonts w:hint="eastAsia"/>
                <w:color w:val="auto"/>
                <w:lang w:val="en-US" w:eastAsia="zh-CN"/>
              </w:rPr>
              <w:t>330</w:t>
            </w:r>
            <w:r>
              <w:rPr>
                <w:rFonts w:hint="default"/>
                <w:color w:val="auto"/>
              </w:rPr>
              <w:t>天计)，</w:t>
            </w:r>
            <w:r>
              <w:rPr>
                <w:rFonts w:hint="eastAsia"/>
                <w:color w:val="auto"/>
                <w:lang w:eastAsia="zh-CN"/>
              </w:rPr>
              <w:t>经厂内设置垃圾桶</w:t>
            </w:r>
            <w:r>
              <w:rPr>
                <w:rFonts w:hint="default"/>
                <w:color w:val="auto"/>
              </w:rPr>
              <w:t>收集后，全部委托环卫部门定期外运统一处置。</w:t>
            </w:r>
          </w:p>
          <w:p w14:paraId="0B752FE2">
            <w:pPr>
              <w:bidi w:val="0"/>
              <w:rPr>
                <w:rFonts w:hint="eastAsia" w:ascii="Times New Roman" w:hAnsi="Times New Roman" w:eastAsia="宋体"/>
                <w:color w:val="auto"/>
                <w:lang w:eastAsia="zh-CN"/>
              </w:rPr>
            </w:pPr>
            <w:r>
              <w:rPr>
                <w:rFonts w:hint="eastAsia"/>
                <w:color w:val="auto"/>
              </w:rPr>
              <w:t>综上所述，</w:t>
            </w:r>
            <w:r>
              <w:rPr>
                <w:color w:val="auto"/>
              </w:rPr>
              <w:t>项目</w:t>
            </w:r>
            <w:r>
              <w:rPr>
                <w:rFonts w:hint="eastAsia"/>
                <w:color w:val="auto"/>
                <w:lang w:eastAsia="zh-CN"/>
              </w:rPr>
              <w:t>固体</w:t>
            </w:r>
            <w:r>
              <w:rPr>
                <w:color w:val="auto"/>
              </w:rPr>
              <w:t>废物污染源源强核算结果一览表</w:t>
            </w:r>
            <w:r>
              <w:rPr>
                <w:rFonts w:hint="eastAsia"/>
                <w:color w:val="auto"/>
              </w:rPr>
              <w:t>详见表4.</w:t>
            </w:r>
            <w:r>
              <w:rPr>
                <w:rFonts w:hint="eastAsia"/>
                <w:color w:val="auto"/>
                <w:lang w:val="en-US" w:eastAsia="zh-CN"/>
              </w:rPr>
              <w:t>5</w:t>
            </w:r>
            <w:r>
              <w:rPr>
                <w:rFonts w:hint="eastAsia"/>
                <w:color w:val="auto"/>
              </w:rPr>
              <w:t>-1。</w:t>
            </w:r>
          </w:p>
        </w:tc>
      </w:tr>
    </w:tbl>
    <w:p w14:paraId="164F085E">
      <w:pPr>
        <w:pStyle w:val="17"/>
        <w:jc w:val="center"/>
        <w:outlineLvl w:val="9"/>
        <w:rPr>
          <w:rFonts w:hint="default" w:ascii="Times New Roman" w:hAnsi="Times New Roman" w:eastAsia="宋体" w:cs="Times New Roman"/>
          <w:snapToGrid w:val="0"/>
          <w:color w:val="auto"/>
          <w:sz w:val="30"/>
          <w:szCs w:val="30"/>
        </w:rPr>
        <w:sectPr>
          <w:pgSz w:w="11906" w:h="16838"/>
          <w:pgMar w:top="1417" w:right="1417" w:bottom="1417" w:left="1417" w:header="851" w:footer="851" w:gutter="0"/>
          <w:pgBorders>
            <w:top w:val="none" w:sz="0" w:space="0"/>
            <w:left w:val="none" w:sz="0" w:space="0"/>
            <w:bottom w:val="none" w:sz="0" w:space="0"/>
            <w:right w:val="none" w:sz="0" w:space="0"/>
          </w:pgBorders>
          <w:pgNumType w:fmt="numberInDash"/>
          <w:cols w:space="720" w:num="1"/>
          <w:docGrid w:linePitch="312" w:charSpace="0"/>
        </w:sectPr>
      </w:pPr>
    </w:p>
    <w:tbl>
      <w:tblPr>
        <w:tblStyle w:val="2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6"/>
        <w:gridCol w:w="13361"/>
      </w:tblGrid>
      <w:tr w14:paraId="14750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 w:type="pct"/>
            <w:noWrap w:val="0"/>
            <w:vAlign w:val="top"/>
          </w:tcPr>
          <w:p w14:paraId="200044AB">
            <w:pPr>
              <w:pStyle w:val="17"/>
              <w:jc w:val="both"/>
              <w:outlineLvl w:val="9"/>
              <w:rPr>
                <w:rFonts w:hint="default" w:ascii="Times New Roman" w:hAnsi="Times New Roman" w:eastAsia="宋体" w:cs="Times New Roman"/>
                <w:snapToGrid w:val="0"/>
                <w:color w:val="auto"/>
                <w:sz w:val="30"/>
                <w:szCs w:val="30"/>
                <w:vertAlign w:val="baseline"/>
              </w:rPr>
            </w:pPr>
            <w:bookmarkStart w:id="40" w:name="_Toc10623"/>
            <w:bookmarkStart w:id="41" w:name="_Toc10736"/>
          </w:p>
        </w:tc>
        <w:tc>
          <w:tcPr>
            <w:tcW w:w="4698" w:type="pct"/>
            <w:noWrap w:val="0"/>
            <w:vAlign w:val="top"/>
          </w:tcPr>
          <w:p w14:paraId="274157C5">
            <w:pPr>
              <w:pStyle w:val="33"/>
              <w:bidi w:val="0"/>
              <w:rPr>
                <w:rFonts w:hint="eastAsia"/>
                <w:color w:val="auto"/>
                <w:lang w:val="en-US" w:eastAsia="zh-CN"/>
              </w:rPr>
            </w:pPr>
            <w:r>
              <w:rPr>
                <w:rFonts w:hint="eastAsia"/>
                <w:color w:val="auto"/>
                <w:lang w:eastAsia="zh-CN"/>
              </w:rPr>
              <w:t>表</w:t>
            </w:r>
            <w:r>
              <w:rPr>
                <w:rFonts w:hint="eastAsia"/>
                <w:color w:val="auto"/>
                <w:lang w:val="en-US" w:eastAsia="zh-CN"/>
              </w:rPr>
              <w:t>4.5-1 固体废物污染源源强核算一览表</w:t>
            </w:r>
          </w:p>
          <w:p w14:paraId="43902987">
            <w:pPr>
              <w:pStyle w:val="17"/>
              <w:jc w:val="both"/>
              <w:outlineLvl w:val="9"/>
              <w:rPr>
                <w:rFonts w:hint="default" w:ascii="Times New Roman" w:hAnsi="Times New Roman" w:eastAsia="宋体" w:cs="Times New Roman"/>
                <w:snapToGrid w:val="0"/>
                <w:color w:val="auto"/>
                <w:sz w:val="30"/>
                <w:szCs w:val="30"/>
                <w:vertAlign w:val="baseline"/>
                <w:lang w:val="en-US" w:eastAsia="zh-CN"/>
              </w:rPr>
            </w:pPr>
          </w:p>
        </w:tc>
      </w:tr>
    </w:tbl>
    <w:p w14:paraId="1B2875C3">
      <w:pPr>
        <w:pStyle w:val="17"/>
        <w:jc w:val="both"/>
        <w:outlineLvl w:val="9"/>
        <w:rPr>
          <w:rFonts w:hint="default" w:ascii="Times New Roman" w:hAnsi="Times New Roman" w:eastAsia="宋体" w:cs="Times New Roman"/>
          <w:snapToGrid w:val="0"/>
          <w:color w:val="auto"/>
          <w:sz w:val="30"/>
          <w:szCs w:val="30"/>
        </w:rPr>
        <w:sectPr>
          <w:pgSz w:w="16838" w:h="11906" w:orient="landscape"/>
          <w:pgMar w:top="1417" w:right="1417" w:bottom="1417" w:left="1417" w:header="851" w:footer="851" w:gutter="0"/>
          <w:pgBorders>
            <w:top w:val="none" w:sz="0" w:space="0"/>
            <w:left w:val="none" w:sz="0" w:space="0"/>
            <w:bottom w:val="none" w:sz="0" w:space="0"/>
            <w:right w:val="none" w:sz="0" w:space="0"/>
          </w:pgBorders>
          <w:pgNumType w:fmt="numberInDash"/>
          <w:cols w:space="720" w:num="1"/>
          <w:docGrid w:linePitch="312" w:charSpace="0"/>
        </w:sectPr>
      </w:pP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8546"/>
      </w:tblGrid>
      <w:tr w14:paraId="05E61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127" w:hRule="atLeast"/>
        </w:trPr>
        <w:tc>
          <w:tcPr>
            <w:tcW w:w="680" w:type="dxa"/>
            <w:noWrap w:val="0"/>
            <w:vAlign w:val="top"/>
          </w:tcPr>
          <w:p w14:paraId="34AC0254">
            <w:pPr>
              <w:pStyle w:val="17"/>
              <w:jc w:val="both"/>
              <w:outlineLvl w:val="9"/>
              <w:rPr>
                <w:rFonts w:hint="default" w:ascii="Times New Roman" w:hAnsi="Times New Roman" w:eastAsia="宋体" w:cs="Times New Roman"/>
                <w:snapToGrid w:val="0"/>
                <w:color w:val="auto"/>
                <w:sz w:val="30"/>
                <w:szCs w:val="30"/>
                <w:vertAlign w:val="baseline"/>
              </w:rPr>
            </w:pPr>
          </w:p>
        </w:tc>
        <w:tc>
          <w:tcPr>
            <w:tcW w:w="7877" w:type="dxa"/>
            <w:noWrap w:val="0"/>
            <w:vAlign w:val="top"/>
          </w:tcPr>
          <w:p w14:paraId="0EB173D6">
            <w:pPr>
              <w:pStyle w:val="4"/>
              <w:bidi w:val="0"/>
              <w:rPr>
                <w:color w:val="auto"/>
              </w:rPr>
            </w:pPr>
            <w:r>
              <w:rPr>
                <w:color w:val="auto"/>
              </w:rPr>
              <w:t>4.</w:t>
            </w:r>
            <w:r>
              <w:rPr>
                <w:rFonts w:hint="eastAsia"/>
                <w:color w:val="auto"/>
                <w:lang w:val="en-US" w:eastAsia="zh-CN"/>
              </w:rPr>
              <w:t>5.</w:t>
            </w:r>
            <w:r>
              <w:rPr>
                <w:color w:val="auto"/>
              </w:rPr>
              <w:t xml:space="preserve">2 </w:t>
            </w:r>
            <w:r>
              <w:rPr>
                <w:rFonts w:hint="default"/>
                <w:color w:val="auto"/>
              </w:rPr>
              <w:t>运营期固体废物影响分析及环境管理要求</w:t>
            </w:r>
          </w:p>
          <w:p w14:paraId="7405B4E3">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lang w:val="en-US" w:eastAsia="zh-CN"/>
              </w:rPr>
              <w:t>4.5.2.1</w:t>
            </w:r>
            <w:r>
              <w:rPr>
                <w:rFonts w:hint="default" w:ascii="Times New Roman" w:hAnsi="Times New Roman" w:eastAsia="宋体" w:cs="Times New Roman"/>
                <w:b/>
                <w:bCs/>
                <w:color w:val="auto"/>
                <w:sz w:val="24"/>
                <w:szCs w:val="24"/>
                <w:highlight w:val="none"/>
              </w:rPr>
              <w:t>一般工业固废</w:t>
            </w:r>
          </w:p>
          <w:p w14:paraId="63A70BFF">
            <w:pPr>
              <w:spacing w:line="360" w:lineRule="auto"/>
              <w:ind w:firstLine="482" w:firstLineChars="200"/>
              <w:jc w:val="both"/>
              <w:rPr>
                <w:rFonts w:hint="eastAsia" w:ascii="Times New Roman" w:hAnsi="Times New Roman" w:eastAsia="宋体" w:cs="Times New Roman"/>
                <w:b/>
                <w:bCs/>
                <w:color w:val="auto"/>
                <w:sz w:val="24"/>
                <w:szCs w:val="24"/>
                <w:lang w:eastAsia="zh-CN"/>
              </w:rPr>
            </w:pPr>
            <w:r>
              <w:rPr>
                <w:rFonts w:hint="eastAsia" w:ascii="Times New Roman" w:hAnsi="Times New Roman" w:eastAsia="宋体" w:cs="Times New Roman"/>
                <w:b/>
                <w:bCs/>
                <w:color w:val="auto"/>
                <w:sz w:val="24"/>
                <w:szCs w:val="24"/>
                <w:lang w:eastAsia="zh-CN"/>
              </w:rPr>
              <w:t>（</w:t>
            </w:r>
            <w:r>
              <w:rPr>
                <w:rFonts w:hint="eastAsia" w:ascii="Times New Roman" w:hAnsi="Times New Roman" w:eastAsia="宋体" w:cs="Times New Roman"/>
                <w:b/>
                <w:bCs/>
                <w:color w:val="auto"/>
                <w:sz w:val="24"/>
                <w:szCs w:val="24"/>
                <w:lang w:val="en-US" w:eastAsia="zh-CN"/>
              </w:rPr>
              <w:t>1</w:t>
            </w:r>
            <w:r>
              <w:rPr>
                <w:rFonts w:hint="eastAsia" w:ascii="Times New Roman" w:hAnsi="Times New Roman" w:eastAsia="宋体" w:cs="Times New Roman"/>
                <w:b/>
                <w:bCs/>
                <w:color w:val="auto"/>
                <w:sz w:val="24"/>
                <w:szCs w:val="24"/>
                <w:lang w:eastAsia="zh-CN"/>
              </w:rPr>
              <w:t>）储存管理要求</w:t>
            </w:r>
          </w:p>
          <w:p w14:paraId="525E3191">
            <w:pPr>
              <w:spacing w:line="360" w:lineRule="auto"/>
              <w:ind w:firstLine="480" w:firstLineChars="200"/>
              <w:jc w:val="both"/>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本评价要求项目产生的一般工业固废应按</w:t>
            </w:r>
            <w:r>
              <w:rPr>
                <w:rFonts w:hint="default"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eastAsia="zh-CN"/>
              </w:rPr>
              <w:t>一般工业固体废物贮存和填埋污染控制标准</w:t>
            </w:r>
            <w:r>
              <w:rPr>
                <w:rFonts w:hint="default"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GB18599-2020</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要求进行规范化的处理处置</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对一般工业固废暂存场所按照《一般工业固体废物贮存和填埋污染控制标准》（GB18599-2020）相关规定建设：</w:t>
            </w:r>
          </w:p>
          <w:p w14:paraId="3AD6C9CD">
            <w:pPr>
              <w:spacing w:line="360" w:lineRule="auto"/>
              <w:ind w:firstLine="480" w:firstLineChars="200"/>
              <w:jc w:val="both"/>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①地面应采取硬化措施并满足承载力要求，必要时采取相应措施防止地基下沉。I类场技术要求：当天然基础层饱和渗透系数不大于1.0×10</w:t>
            </w:r>
            <w:r>
              <w:rPr>
                <w:rFonts w:hint="eastAsia" w:ascii="Times New Roman" w:hAnsi="Times New Roman" w:eastAsia="宋体" w:cs="Times New Roman"/>
                <w:color w:val="auto"/>
                <w:sz w:val="24"/>
                <w:szCs w:val="24"/>
                <w:vertAlign w:val="superscript"/>
                <w:lang w:val="en-US" w:eastAsia="zh-CN"/>
              </w:rPr>
              <w:t>-5</w:t>
            </w:r>
            <w:r>
              <w:rPr>
                <w:rFonts w:hint="eastAsia" w:ascii="Times New Roman" w:hAnsi="Times New Roman" w:eastAsia="宋体" w:cs="Times New Roman"/>
                <w:color w:val="auto"/>
                <w:sz w:val="24"/>
                <w:szCs w:val="24"/>
                <w:lang w:val="en-US" w:eastAsia="zh-CN"/>
              </w:rPr>
              <w:t xml:space="preserve"> cm/s</w:t>
            </w:r>
            <w:r>
              <w:rPr>
                <w:rFonts w:hint="eastAsia" w:cs="Times New Roman"/>
                <w:color w:val="auto"/>
                <w:sz w:val="24"/>
                <w:szCs w:val="24"/>
                <w:lang w:val="en-US" w:eastAsia="zh-CN"/>
              </w:rPr>
              <w:t>且</w:t>
            </w:r>
            <w:r>
              <w:rPr>
                <w:rFonts w:hint="eastAsia" w:ascii="Times New Roman" w:hAnsi="Times New Roman" w:eastAsia="宋体" w:cs="Times New Roman"/>
                <w:color w:val="auto"/>
                <w:sz w:val="24"/>
                <w:szCs w:val="24"/>
                <w:lang w:val="en-US" w:eastAsia="zh-CN"/>
              </w:rPr>
              <w:t>厚度不小于0.75m时，可以采用天然基础层作为防渗衬层。当天然基础层不能满足上条防渗要求时，可采用改性压实</w:t>
            </w:r>
            <w:r>
              <w:rPr>
                <w:rFonts w:hint="eastAsia" w:cs="Times New Roman"/>
                <w:color w:val="auto"/>
                <w:sz w:val="24"/>
                <w:szCs w:val="24"/>
                <w:lang w:val="en-US" w:eastAsia="zh-CN"/>
              </w:rPr>
              <w:t>黏土</w:t>
            </w:r>
            <w:r>
              <w:rPr>
                <w:rFonts w:hint="eastAsia" w:ascii="Times New Roman" w:hAnsi="Times New Roman" w:eastAsia="宋体" w:cs="Times New Roman"/>
                <w:color w:val="auto"/>
                <w:sz w:val="24"/>
                <w:szCs w:val="24"/>
                <w:lang w:val="en-US" w:eastAsia="zh-CN"/>
              </w:rPr>
              <w:t>类衬层或具有同等以上隔水效力的其他材料防渗衬层，其防渗性能应至少相当于渗透系数为1.0×10</w:t>
            </w:r>
            <w:r>
              <w:rPr>
                <w:rFonts w:hint="eastAsia" w:ascii="Times New Roman" w:hAnsi="Times New Roman" w:eastAsia="宋体" w:cs="Times New Roman"/>
                <w:color w:val="auto"/>
                <w:sz w:val="24"/>
                <w:szCs w:val="24"/>
                <w:vertAlign w:val="superscript"/>
                <w:lang w:val="en-US" w:eastAsia="zh-CN"/>
              </w:rPr>
              <w:t>-5</w:t>
            </w:r>
            <w:r>
              <w:rPr>
                <w:rFonts w:hint="eastAsia" w:ascii="Times New Roman" w:hAnsi="Times New Roman" w:eastAsia="宋体" w:cs="Times New Roman"/>
                <w:color w:val="auto"/>
                <w:sz w:val="24"/>
                <w:szCs w:val="24"/>
                <w:lang w:val="en-US" w:eastAsia="zh-CN"/>
              </w:rPr>
              <w:t xml:space="preserve"> cm/s 且厚度为0.75 m的天然基础层。</w:t>
            </w:r>
          </w:p>
          <w:p w14:paraId="5E2DA561">
            <w:pPr>
              <w:spacing w:line="360" w:lineRule="auto"/>
              <w:ind w:firstLine="480" w:firstLineChars="200"/>
              <w:jc w:val="both"/>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②要求设置必要的防风、防雨、防晒措施，并采取相应的防尘措施。</w:t>
            </w:r>
          </w:p>
          <w:p w14:paraId="748565CA">
            <w:pPr>
              <w:spacing w:line="360" w:lineRule="auto"/>
              <w:ind w:firstLine="480" w:firstLineChars="200"/>
              <w:jc w:val="both"/>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③按《环境保护图形标识－固体废物贮存（处置）场》（GB15562.2）及其修改单设置环境保护图形标志。</w:t>
            </w:r>
          </w:p>
          <w:p w14:paraId="61228AC5">
            <w:pPr>
              <w:spacing w:line="360" w:lineRule="auto"/>
              <w:ind w:firstLine="480" w:firstLineChars="200"/>
              <w:jc w:val="both"/>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④一般固体废物区内一般工业固废应按类别分区存放，不得随意堆放，严禁一般工业固废混合堆放。禁止生活垃圾、危险废物混入一般工业固废仓库堆放。</w:t>
            </w:r>
          </w:p>
          <w:p w14:paraId="513F350C">
            <w:pPr>
              <w:spacing w:line="360" w:lineRule="auto"/>
              <w:ind w:firstLine="480" w:firstLineChars="200"/>
              <w:jc w:val="both"/>
              <w:rPr>
                <w:rFonts w:hint="default"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val="en-US" w:eastAsia="zh-CN"/>
              </w:rPr>
              <w:t>同时，</w:t>
            </w:r>
            <w:r>
              <w:rPr>
                <w:rFonts w:hint="default" w:ascii="Times New Roman" w:hAnsi="Times New Roman" w:eastAsia="宋体" w:cs="Times New Roman"/>
                <w:color w:val="auto"/>
                <w:sz w:val="24"/>
                <w:szCs w:val="24"/>
                <w:lang w:eastAsia="zh-CN"/>
              </w:rPr>
              <w:t>项目</w:t>
            </w:r>
            <w:r>
              <w:rPr>
                <w:rFonts w:hint="default" w:ascii="Times New Roman" w:hAnsi="Times New Roman" w:eastAsia="宋体" w:cs="Times New Roman"/>
                <w:color w:val="auto"/>
                <w:sz w:val="24"/>
                <w:szCs w:val="24"/>
              </w:rPr>
              <w:t>应当采取防扬散、防流失、防渗漏或者其他防止污染环境的措施，不得擅自倾倒、堆放、丢弃、遗撒固体废物。应当建立健全工业固体废物产生、收集、贮存、运输、利用、处置全过程的污染环境防治责任制度，建立工业固体废物管理台账，如实记录产生工业</w:t>
            </w:r>
            <w:r>
              <w:rPr>
                <w:rFonts w:hint="eastAsia" w:ascii="Times New Roman" w:hAnsi="Times New Roman" w:eastAsia="宋体" w:cs="Times New Roman"/>
                <w:color w:val="auto"/>
                <w:sz w:val="24"/>
                <w:szCs w:val="24"/>
                <w:lang w:eastAsia="zh-CN"/>
              </w:rPr>
              <w:t>固</w:t>
            </w:r>
            <w:r>
              <w:rPr>
                <w:rFonts w:hint="default" w:ascii="Times New Roman" w:hAnsi="Times New Roman" w:eastAsia="宋体" w:cs="Times New Roman"/>
                <w:color w:val="auto"/>
                <w:sz w:val="24"/>
                <w:szCs w:val="24"/>
              </w:rPr>
              <w:t>体废物的种类、数量、流向、贮存、利用、处置等信息，实现工业固体废物可追溯、可查询，并采取防治工业固体废物污染环境的措施</w:t>
            </w:r>
            <w:r>
              <w:rPr>
                <w:rFonts w:hint="default" w:ascii="Times New Roman" w:hAnsi="Times New Roman" w:eastAsia="宋体" w:cs="Times New Roman"/>
                <w:color w:val="auto"/>
                <w:sz w:val="24"/>
                <w:szCs w:val="24"/>
                <w:lang w:eastAsia="zh-CN"/>
              </w:rPr>
              <w:t>。</w:t>
            </w:r>
          </w:p>
          <w:p w14:paraId="42E3582F">
            <w:pPr>
              <w:spacing w:line="360" w:lineRule="auto"/>
              <w:ind w:firstLine="480" w:firstLineChars="200"/>
              <w:jc w:val="both"/>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根据《‌中华人民共和国固体废物污染环境防治法》要求，产生工业固体废物的单位在委托他人运输、‌利用、‌处置工业固体废物时，‌应当对受托方的主体资格和技术能力进行核实，‌并依法签订书面合同，‌在合同中约定污染防治要求。因此建设单位对一般工业固废委托综合利用前，将对物资回收单位审查，‌‌审查</w:t>
            </w:r>
            <w:r>
              <w:rPr>
                <w:rFonts w:hint="eastAsia" w:cs="Times New Roman"/>
                <w:color w:val="auto"/>
                <w:sz w:val="24"/>
                <w:szCs w:val="24"/>
                <w:lang w:val="en-US" w:eastAsia="zh-CN"/>
              </w:rPr>
              <w:t>内容</w:t>
            </w:r>
            <w:r>
              <w:rPr>
                <w:rFonts w:hint="eastAsia" w:ascii="Times New Roman" w:hAnsi="Times New Roman" w:eastAsia="宋体" w:cs="Times New Roman"/>
                <w:color w:val="auto"/>
                <w:sz w:val="24"/>
                <w:szCs w:val="24"/>
                <w:lang w:val="en-US" w:eastAsia="zh-CN"/>
              </w:rPr>
              <w:t>包括但不限于包括对企业的营业执照、环保资质、安全生产许可证等证照进行检查，核实企业是否具备从事工业固废处理活动的合法资质。同时，还需审查企业的组织机构、管理体系、人员配备等方面，确保企业具备完善的管理制度和专业的技术团队，确保回收单位的合规性。</w:t>
            </w:r>
          </w:p>
          <w:p w14:paraId="0FDDFB4A">
            <w:pPr>
              <w:spacing w:line="360" w:lineRule="auto"/>
              <w:ind w:firstLine="482" w:firstLineChars="200"/>
              <w:jc w:val="both"/>
              <w:rPr>
                <w:rFonts w:hint="default" w:ascii="Times New Roman" w:hAnsi="Times New Roman" w:eastAsia="宋体" w:cs="Times New Roman"/>
                <w:b/>
                <w:bCs/>
                <w:color w:val="auto"/>
                <w:sz w:val="24"/>
                <w:szCs w:val="24"/>
                <w:lang w:eastAsia="zh-CN"/>
              </w:rPr>
            </w:pPr>
            <w:r>
              <w:rPr>
                <w:rFonts w:hint="eastAsia" w:ascii="Times New Roman" w:hAnsi="Times New Roman" w:eastAsia="宋体" w:cs="Times New Roman"/>
                <w:b/>
                <w:bCs/>
                <w:color w:val="auto"/>
                <w:sz w:val="24"/>
                <w:szCs w:val="24"/>
                <w:lang w:eastAsia="zh-CN"/>
              </w:rPr>
              <w:t>（</w:t>
            </w:r>
            <w:r>
              <w:rPr>
                <w:rFonts w:hint="eastAsia" w:ascii="Times New Roman" w:hAnsi="Times New Roman" w:eastAsia="宋体" w:cs="Times New Roman"/>
                <w:b/>
                <w:bCs/>
                <w:color w:val="auto"/>
                <w:sz w:val="24"/>
                <w:szCs w:val="24"/>
                <w:lang w:val="en-US" w:eastAsia="zh-CN"/>
              </w:rPr>
              <w:t>2</w:t>
            </w:r>
            <w:r>
              <w:rPr>
                <w:rFonts w:hint="eastAsia" w:ascii="Times New Roman" w:hAnsi="Times New Roman" w:eastAsia="宋体" w:cs="Times New Roman"/>
                <w:b/>
                <w:bCs/>
                <w:color w:val="auto"/>
                <w:sz w:val="24"/>
                <w:szCs w:val="24"/>
                <w:lang w:eastAsia="zh-CN"/>
              </w:rPr>
              <w:t>）一般工业固废储存情况</w:t>
            </w:r>
          </w:p>
          <w:p w14:paraId="520CE82C">
            <w:pPr>
              <w:spacing w:line="360" w:lineRule="auto"/>
              <w:ind w:firstLine="480" w:firstLineChars="200"/>
              <w:jc w:val="both"/>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本项目</w:t>
            </w:r>
            <w:r>
              <w:rPr>
                <w:rFonts w:hint="eastAsia" w:cs="Times New Roman"/>
                <w:color w:val="auto"/>
                <w:sz w:val="24"/>
                <w:szCs w:val="24"/>
                <w:lang w:val="en-US" w:eastAsia="zh-CN"/>
              </w:rPr>
              <w:t>拟</w:t>
            </w:r>
            <w:r>
              <w:rPr>
                <w:rFonts w:hint="eastAsia" w:ascii="Times New Roman" w:hAnsi="Times New Roman" w:eastAsia="宋体" w:cs="Times New Roman"/>
                <w:color w:val="auto"/>
                <w:sz w:val="24"/>
                <w:szCs w:val="24"/>
                <w:lang w:eastAsia="zh-CN"/>
              </w:rPr>
              <w:t>在</w:t>
            </w:r>
            <w:r>
              <w:rPr>
                <w:rFonts w:hint="eastAsia" w:cs="Times New Roman"/>
                <w:color w:val="auto"/>
                <w:sz w:val="24"/>
                <w:szCs w:val="24"/>
                <w:lang w:val="en-US" w:eastAsia="zh-CN"/>
              </w:rPr>
              <w:t>3#砂石库内南</w:t>
            </w:r>
            <w:r>
              <w:rPr>
                <w:rFonts w:hint="eastAsia" w:ascii="Times New Roman" w:hAnsi="Times New Roman" w:eastAsia="宋体" w:cs="Times New Roman"/>
                <w:color w:val="auto"/>
                <w:sz w:val="24"/>
                <w:szCs w:val="24"/>
                <w:lang w:eastAsia="zh-CN"/>
              </w:rPr>
              <w:t>侧设置</w:t>
            </w:r>
            <w:r>
              <w:rPr>
                <w:rFonts w:hint="eastAsia" w:cs="Times New Roman"/>
                <w:color w:val="auto"/>
                <w:sz w:val="24"/>
                <w:szCs w:val="24"/>
                <w:lang w:val="en-US" w:eastAsia="zh-CN"/>
              </w:rPr>
              <w:t>两</w:t>
            </w:r>
            <w:r>
              <w:rPr>
                <w:rFonts w:hint="eastAsia" w:ascii="Times New Roman" w:hAnsi="Times New Roman" w:eastAsia="宋体" w:cs="Times New Roman"/>
                <w:color w:val="auto"/>
                <w:sz w:val="24"/>
                <w:szCs w:val="24"/>
                <w:lang w:eastAsia="zh-CN"/>
              </w:rPr>
              <w:t>间一般工业固废暂存间，</w:t>
            </w:r>
            <w:r>
              <w:rPr>
                <w:rFonts w:hint="eastAsia" w:cs="Times New Roman"/>
                <w:color w:val="auto"/>
                <w:sz w:val="24"/>
                <w:szCs w:val="24"/>
                <w:lang w:val="en-US" w:eastAsia="zh-CN"/>
              </w:rPr>
              <w:t>其中不合格品暂存间</w:t>
            </w:r>
            <w:r>
              <w:rPr>
                <w:rFonts w:hint="eastAsia" w:ascii="Times New Roman" w:hAnsi="Times New Roman" w:eastAsia="宋体" w:cs="Times New Roman"/>
                <w:color w:val="auto"/>
                <w:sz w:val="24"/>
                <w:szCs w:val="24"/>
                <w:lang w:eastAsia="zh-CN"/>
              </w:rPr>
              <w:t>建筑面积约</w:t>
            </w:r>
            <w:r>
              <w:rPr>
                <w:rFonts w:hint="eastAsia" w:cs="Times New Roman"/>
                <w:color w:val="auto"/>
                <w:sz w:val="24"/>
                <w:szCs w:val="24"/>
                <w:lang w:val="en-US" w:eastAsia="zh-CN"/>
              </w:rPr>
              <w:t>90</w:t>
            </w:r>
            <w:r>
              <w:rPr>
                <w:rFonts w:hint="eastAsia" w:ascii="Times New Roman" w:hAnsi="Times New Roman" w:eastAsia="宋体" w:cs="Times New Roman"/>
                <w:color w:val="auto"/>
                <w:sz w:val="24"/>
                <w:szCs w:val="24"/>
                <w:lang w:val="en-US" w:eastAsia="zh-CN"/>
              </w:rPr>
              <w:t>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，暂存能力约</w:t>
            </w:r>
            <w:r>
              <w:rPr>
                <w:rFonts w:hint="eastAsia" w:cs="Times New Roman"/>
                <w:color w:val="auto"/>
                <w:sz w:val="24"/>
                <w:szCs w:val="24"/>
                <w:lang w:val="en-US" w:eastAsia="zh-CN"/>
              </w:rPr>
              <w:t>89t，剩余的一般工业固废暂存间建筑面积约20</w:t>
            </w:r>
            <w:r>
              <w:rPr>
                <w:rFonts w:hint="eastAsia" w:ascii="Times New Roman" w:hAnsi="Times New Roman" w:eastAsia="宋体" w:cs="Times New Roman"/>
                <w:color w:val="auto"/>
                <w:sz w:val="24"/>
                <w:szCs w:val="24"/>
                <w:lang w:val="en-US" w:eastAsia="zh-CN"/>
              </w:rPr>
              <w:t>m</w:t>
            </w:r>
            <w:r>
              <w:rPr>
                <w:rFonts w:hint="eastAsia" w:ascii="Times New Roman" w:hAnsi="Times New Roman" w:eastAsia="宋体" w:cs="Times New Roman"/>
                <w:color w:val="auto"/>
                <w:sz w:val="24"/>
                <w:szCs w:val="24"/>
                <w:vertAlign w:val="superscript"/>
                <w:lang w:val="en-US" w:eastAsia="zh-CN"/>
              </w:rPr>
              <w:t>2</w:t>
            </w:r>
            <w:r>
              <w:rPr>
                <w:rFonts w:hint="eastAsia" w:ascii="Times New Roman" w:hAnsi="Times New Roman" w:eastAsia="宋体" w:cs="Times New Roman"/>
                <w:color w:val="auto"/>
                <w:sz w:val="24"/>
                <w:szCs w:val="24"/>
                <w:lang w:val="en-US" w:eastAsia="zh-CN"/>
              </w:rPr>
              <w:t>，暂存能力约</w:t>
            </w:r>
            <w:r>
              <w:rPr>
                <w:rFonts w:hint="eastAsia" w:cs="Times New Roman"/>
                <w:color w:val="auto"/>
                <w:sz w:val="24"/>
                <w:szCs w:val="24"/>
                <w:lang w:val="en-US" w:eastAsia="zh-CN"/>
              </w:rPr>
              <w:t>19</w:t>
            </w:r>
            <w:r>
              <w:rPr>
                <w:rFonts w:hint="eastAsia" w:ascii="Times New Roman" w:hAnsi="Times New Roman" w:eastAsia="宋体" w:cs="Times New Roman"/>
                <w:color w:val="auto"/>
                <w:sz w:val="24"/>
                <w:szCs w:val="24"/>
                <w:lang w:val="en-US" w:eastAsia="zh-CN"/>
              </w:rPr>
              <w:t>t。根据前文分析，项目需在一般工业固废暂存间暂存的一般工业固废产生量约为</w:t>
            </w:r>
            <w:r>
              <w:rPr>
                <w:rFonts w:hint="eastAsia" w:cs="Times New Roman"/>
                <w:color w:val="auto"/>
                <w:sz w:val="24"/>
                <w:szCs w:val="24"/>
                <w:lang w:val="en-US" w:eastAsia="zh-CN"/>
              </w:rPr>
              <w:t>13444.2662</w:t>
            </w:r>
            <w:r>
              <w:rPr>
                <w:rFonts w:hint="eastAsia" w:ascii="Times New Roman" w:hAnsi="Times New Roman" w:eastAsia="宋体" w:cs="Times New Roman"/>
                <w:color w:val="auto"/>
                <w:sz w:val="24"/>
                <w:szCs w:val="24"/>
                <w:lang w:val="en-US" w:eastAsia="zh-CN"/>
              </w:rPr>
              <w:t>t/a</w:t>
            </w:r>
            <w:r>
              <w:rPr>
                <w:rFonts w:hint="eastAsia" w:cs="Times New Roman"/>
                <w:color w:val="auto"/>
                <w:sz w:val="24"/>
                <w:szCs w:val="24"/>
                <w:lang w:val="en-US" w:eastAsia="zh-CN"/>
              </w:rPr>
              <w:t>（其中不合格品产生量为13090.805</w:t>
            </w:r>
            <w:r>
              <w:rPr>
                <w:rFonts w:hint="eastAsia" w:ascii="Times New Roman" w:hAnsi="Times New Roman" w:eastAsia="宋体" w:cs="Times New Roman"/>
                <w:color w:val="auto"/>
                <w:sz w:val="24"/>
                <w:szCs w:val="24"/>
                <w:lang w:val="en-US" w:eastAsia="zh-CN"/>
              </w:rPr>
              <w:t>t/a</w:t>
            </w:r>
            <w:r>
              <w:rPr>
                <w:rFonts w:hint="eastAsia" w:cs="Times New Roman"/>
                <w:color w:val="auto"/>
                <w:sz w:val="24"/>
                <w:szCs w:val="24"/>
                <w:lang w:val="en-US" w:eastAsia="zh-CN"/>
              </w:rPr>
              <w:t>，废钢材、焊渣、不合格品及污泥、沉渣等合计约353.4612</w:t>
            </w:r>
            <w:r>
              <w:rPr>
                <w:rFonts w:hint="eastAsia" w:ascii="Times New Roman" w:hAnsi="Times New Roman" w:eastAsia="宋体" w:cs="Times New Roman"/>
                <w:color w:val="auto"/>
                <w:sz w:val="24"/>
                <w:szCs w:val="24"/>
                <w:lang w:val="en-US" w:eastAsia="zh-CN"/>
              </w:rPr>
              <w:t>t/a</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lang w:eastAsia="zh-CN"/>
              </w:rPr>
              <w:t>，</w:t>
            </w:r>
            <w:r>
              <w:rPr>
                <w:rFonts w:hint="eastAsia" w:cs="Times New Roman"/>
                <w:color w:val="auto"/>
                <w:sz w:val="24"/>
                <w:szCs w:val="24"/>
                <w:lang w:val="en-US" w:eastAsia="zh-CN"/>
              </w:rPr>
              <w:t>不合格品</w:t>
            </w:r>
            <w:r>
              <w:rPr>
                <w:rFonts w:hint="eastAsia" w:ascii="Times New Roman" w:hAnsi="Times New Roman" w:eastAsia="宋体" w:cs="Times New Roman"/>
                <w:color w:val="auto"/>
                <w:sz w:val="24"/>
                <w:szCs w:val="24"/>
                <w:lang w:eastAsia="zh-CN"/>
              </w:rPr>
              <w:t>转运周期</w:t>
            </w:r>
            <w:r>
              <w:rPr>
                <w:rFonts w:hint="eastAsia" w:cs="Times New Roman"/>
                <w:color w:val="auto"/>
                <w:sz w:val="24"/>
                <w:szCs w:val="24"/>
                <w:lang w:val="en-US" w:eastAsia="zh-CN"/>
              </w:rPr>
              <w:t>为每两天一次</w:t>
            </w:r>
            <w:r>
              <w:rPr>
                <w:rFonts w:hint="eastAsia" w:ascii="Times New Roman" w:hAnsi="Times New Roman" w:eastAsia="宋体" w:cs="Times New Roman"/>
                <w:color w:val="auto"/>
                <w:sz w:val="24"/>
                <w:szCs w:val="24"/>
                <w:lang w:eastAsia="zh-CN"/>
              </w:rPr>
              <w:t>，</w:t>
            </w:r>
            <w:r>
              <w:rPr>
                <w:rFonts w:hint="eastAsia" w:cs="Times New Roman"/>
                <w:color w:val="auto"/>
                <w:sz w:val="24"/>
                <w:szCs w:val="24"/>
                <w:lang w:val="en-US" w:eastAsia="zh-CN"/>
              </w:rPr>
              <w:t>其他固废转运周期为每15天一次。项目</w:t>
            </w:r>
            <w:r>
              <w:rPr>
                <w:rFonts w:hint="default" w:ascii="Times New Roman" w:hAnsi="Times New Roman" w:eastAsia="宋体" w:cs="Times New Roman"/>
                <w:color w:val="auto"/>
                <w:sz w:val="24"/>
                <w:szCs w:val="24"/>
                <w:lang w:eastAsia="zh-CN"/>
              </w:rPr>
              <w:t>一般工业固废暂存间内</w:t>
            </w:r>
            <w:r>
              <w:rPr>
                <w:rFonts w:hint="eastAsia" w:cs="Times New Roman"/>
                <w:color w:val="auto"/>
                <w:sz w:val="24"/>
                <w:szCs w:val="24"/>
                <w:lang w:val="en-US" w:eastAsia="zh-CN"/>
              </w:rPr>
              <w:t>不合格品</w:t>
            </w:r>
            <w:r>
              <w:rPr>
                <w:rFonts w:hint="default" w:ascii="Times New Roman" w:hAnsi="Times New Roman" w:eastAsia="宋体" w:cs="Times New Roman"/>
                <w:color w:val="auto"/>
                <w:sz w:val="24"/>
                <w:szCs w:val="24"/>
                <w:lang w:eastAsia="zh-CN"/>
              </w:rPr>
              <w:t>一次最大暂存量</w:t>
            </w:r>
            <w:r>
              <w:rPr>
                <w:rFonts w:hint="eastAsia" w:ascii="Times New Roman" w:hAnsi="Times New Roman" w:eastAsia="宋体" w:cs="Times New Roman"/>
                <w:color w:val="auto"/>
                <w:sz w:val="24"/>
                <w:szCs w:val="24"/>
                <w:lang w:eastAsia="zh-CN"/>
              </w:rPr>
              <w:t>约</w:t>
            </w:r>
            <w:r>
              <w:rPr>
                <w:rFonts w:hint="eastAsia" w:cs="Times New Roman"/>
                <w:color w:val="auto"/>
                <w:sz w:val="24"/>
                <w:szCs w:val="24"/>
                <w:lang w:val="en-US" w:eastAsia="zh-CN"/>
              </w:rPr>
              <w:t>79.156</w:t>
            </w:r>
            <w:r>
              <w:rPr>
                <w:rFonts w:hint="eastAsia" w:ascii="Times New Roman" w:hAnsi="Times New Roman" w:eastAsia="宋体" w:cs="Times New Roman"/>
                <w:color w:val="auto"/>
                <w:sz w:val="24"/>
                <w:szCs w:val="24"/>
                <w:lang w:val="en-US" w:eastAsia="zh-CN"/>
              </w:rPr>
              <w:t>t</w:t>
            </w:r>
            <w:r>
              <w:rPr>
                <w:rFonts w:hint="default" w:ascii="Times New Roman" w:hAnsi="Times New Roman" w:eastAsia="宋体" w:cs="Times New Roman"/>
                <w:color w:val="auto"/>
                <w:sz w:val="24"/>
                <w:szCs w:val="24"/>
                <w:lang w:eastAsia="zh-CN"/>
              </w:rPr>
              <w:t>，</w:t>
            </w:r>
            <w:r>
              <w:rPr>
                <w:rFonts w:hint="eastAsia" w:cs="Times New Roman"/>
                <w:color w:val="auto"/>
                <w:sz w:val="24"/>
                <w:szCs w:val="24"/>
                <w:lang w:val="en-US" w:eastAsia="zh-CN"/>
              </w:rPr>
              <w:t>其他一般工业固废</w:t>
            </w:r>
            <w:r>
              <w:rPr>
                <w:rFonts w:hint="default" w:ascii="Times New Roman" w:hAnsi="Times New Roman" w:eastAsia="宋体" w:cs="Times New Roman"/>
                <w:color w:val="auto"/>
                <w:sz w:val="24"/>
                <w:szCs w:val="24"/>
                <w:lang w:eastAsia="zh-CN"/>
              </w:rPr>
              <w:t>一次最大暂存量</w:t>
            </w:r>
            <w:r>
              <w:rPr>
                <w:rFonts w:hint="eastAsia" w:ascii="Times New Roman" w:hAnsi="Times New Roman" w:eastAsia="宋体" w:cs="Times New Roman"/>
                <w:color w:val="auto"/>
                <w:sz w:val="24"/>
                <w:szCs w:val="24"/>
                <w:lang w:eastAsia="zh-CN"/>
              </w:rPr>
              <w:t>约</w:t>
            </w:r>
            <w:r>
              <w:rPr>
                <w:rFonts w:hint="eastAsia" w:cs="Times New Roman"/>
                <w:color w:val="auto"/>
                <w:sz w:val="24"/>
                <w:szCs w:val="24"/>
                <w:lang w:val="en-US" w:eastAsia="zh-CN"/>
              </w:rPr>
              <w:t>16.06t，</w:t>
            </w:r>
            <w:r>
              <w:rPr>
                <w:rFonts w:hint="eastAsia" w:ascii="Times New Roman" w:hAnsi="Times New Roman" w:eastAsia="宋体" w:cs="Times New Roman"/>
                <w:color w:val="auto"/>
                <w:sz w:val="24"/>
                <w:szCs w:val="24"/>
                <w:lang w:eastAsia="zh-CN"/>
              </w:rPr>
              <w:t>项目拟建</w:t>
            </w:r>
            <w:r>
              <w:rPr>
                <w:rFonts w:hint="eastAsia" w:cs="Times New Roman"/>
                <w:color w:val="auto"/>
                <w:sz w:val="24"/>
                <w:szCs w:val="24"/>
                <w:lang w:val="en-US" w:eastAsia="zh-CN"/>
              </w:rPr>
              <w:t>的两处</w:t>
            </w:r>
            <w:r>
              <w:rPr>
                <w:rFonts w:hint="eastAsia" w:ascii="Times New Roman" w:hAnsi="Times New Roman" w:eastAsia="宋体" w:cs="Times New Roman"/>
                <w:color w:val="auto"/>
                <w:sz w:val="24"/>
                <w:szCs w:val="24"/>
                <w:lang w:eastAsia="zh-CN"/>
              </w:rPr>
              <w:t>一般固废暂存间</w:t>
            </w:r>
            <w:r>
              <w:rPr>
                <w:rFonts w:hint="eastAsia" w:cs="Times New Roman"/>
                <w:color w:val="auto"/>
                <w:sz w:val="24"/>
                <w:szCs w:val="24"/>
                <w:lang w:val="en-US" w:eastAsia="zh-CN"/>
              </w:rPr>
              <w:t>均</w:t>
            </w:r>
            <w:r>
              <w:rPr>
                <w:rFonts w:hint="eastAsia" w:ascii="Times New Roman" w:hAnsi="Times New Roman" w:eastAsia="宋体" w:cs="Times New Roman"/>
                <w:color w:val="auto"/>
                <w:sz w:val="24"/>
                <w:szCs w:val="24"/>
                <w:lang w:val="en-US" w:eastAsia="zh-CN"/>
              </w:rPr>
              <w:t>满足本项目建成后一般工业固废的暂存需求</w:t>
            </w:r>
            <w:r>
              <w:rPr>
                <w:rFonts w:hint="default" w:ascii="Times New Roman" w:hAnsi="Times New Roman" w:eastAsia="宋体" w:cs="Times New Roman"/>
                <w:color w:val="auto"/>
                <w:sz w:val="24"/>
                <w:szCs w:val="24"/>
                <w:lang w:eastAsia="zh-CN"/>
              </w:rPr>
              <w:t>。</w:t>
            </w:r>
          </w:p>
          <w:p w14:paraId="60527C21">
            <w:pPr>
              <w:bidi w:val="0"/>
              <w:rPr>
                <w:rFonts w:hint="default"/>
                <w:b/>
                <w:bCs/>
                <w:color w:val="auto"/>
                <w:sz w:val="24"/>
                <w:szCs w:val="24"/>
                <w:lang w:val="en-US" w:eastAsia="zh-CN"/>
              </w:rPr>
            </w:pPr>
            <w:r>
              <w:rPr>
                <w:rFonts w:hint="eastAsia"/>
                <w:b/>
                <w:bCs/>
                <w:color w:val="auto"/>
                <w:sz w:val="24"/>
                <w:szCs w:val="24"/>
                <w:lang w:val="en-US" w:eastAsia="zh-CN"/>
              </w:rPr>
              <w:t>4.5.2.2</w:t>
            </w:r>
            <w:r>
              <w:rPr>
                <w:rFonts w:hint="default"/>
                <w:b/>
                <w:bCs/>
                <w:color w:val="auto"/>
                <w:sz w:val="24"/>
                <w:szCs w:val="24"/>
                <w:lang w:val="en-US" w:eastAsia="zh-CN"/>
              </w:rPr>
              <w:t>危险废物</w:t>
            </w:r>
          </w:p>
          <w:p w14:paraId="2225B2CE">
            <w:pPr>
              <w:bidi w:val="0"/>
              <w:rPr>
                <w:rFonts w:hint="default"/>
                <w:b w:val="0"/>
                <w:bCs w:val="0"/>
                <w:color w:val="auto"/>
                <w:sz w:val="24"/>
                <w:szCs w:val="24"/>
                <w:lang w:val="en-US" w:eastAsia="zh-CN"/>
              </w:rPr>
            </w:pPr>
            <w:r>
              <w:rPr>
                <w:rFonts w:hint="eastAsia" w:ascii="Times New Roman" w:hAnsi="Times New Roman" w:eastAsia="宋体" w:cs="Times New Roman"/>
                <w:b w:val="0"/>
                <w:bCs w:val="0"/>
                <w:color w:val="auto"/>
                <w:sz w:val="24"/>
                <w:szCs w:val="24"/>
                <w:highlight w:val="none"/>
                <w:lang w:val="en-US" w:eastAsia="zh-CN"/>
              </w:rPr>
              <w:t>（</w:t>
            </w:r>
            <w:r>
              <w:rPr>
                <w:rFonts w:hint="default"/>
                <w:b w:val="0"/>
                <w:bCs w:val="0"/>
                <w:color w:val="auto"/>
                <w:sz w:val="24"/>
                <w:szCs w:val="24"/>
                <w:lang w:val="en-US"/>
              </w:rPr>
              <w:t>1</w:t>
            </w:r>
            <w:r>
              <w:rPr>
                <w:rFonts w:hint="eastAsia"/>
                <w:b w:val="0"/>
                <w:bCs w:val="0"/>
                <w:color w:val="auto"/>
                <w:sz w:val="24"/>
                <w:szCs w:val="24"/>
                <w:lang w:val="en-US" w:eastAsia="zh-CN"/>
              </w:rPr>
              <w:t>）</w:t>
            </w:r>
            <w:r>
              <w:rPr>
                <w:rFonts w:hint="default"/>
                <w:b w:val="0"/>
                <w:bCs w:val="0"/>
                <w:color w:val="auto"/>
                <w:sz w:val="24"/>
                <w:szCs w:val="24"/>
                <w:lang w:val="en-US" w:eastAsia="zh-CN"/>
              </w:rPr>
              <w:t>危险废物贮存场所环境影响分析</w:t>
            </w:r>
          </w:p>
          <w:p w14:paraId="7808779C">
            <w:pPr>
              <w:bidi w:val="0"/>
              <w:rPr>
                <w:rFonts w:hint="eastAsia"/>
                <w:color w:val="auto"/>
                <w:sz w:val="24"/>
                <w:szCs w:val="24"/>
                <w:lang w:val="en-US" w:eastAsia="zh-CN"/>
              </w:rPr>
            </w:pPr>
            <w:r>
              <w:rPr>
                <w:rFonts w:hint="default"/>
                <w:color w:val="auto"/>
                <w:sz w:val="24"/>
                <w:szCs w:val="24"/>
                <w:lang w:val="en-US" w:eastAsia="zh-CN"/>
              </w:rPr>
              <w:t>项目危险废物</w:t>
            </w:r>
            <w:r>
              <w:rPr>
                <w:rFonts w:hint="eastAsia"/>
                <w:color w:val="auto"/>
                <w:sz w:val="24"/>
                <w:szCs w:val="24"/>
                <w:lang w:val="en-US" w:eastAsia="zh-CN"/>
              </w:rPr>
              <w:t>贮存库</w:t>
            </w:r>
            <w:r>
              <w:rPr>
                <w:rFonts w:hint="default"/>
                <w:color w:val="auto"/>
                <w:sz w:val="24"/>
                <w:szCs w:val="24"/>
                <w:lang w:val="en-US" w:eastAsia="zh-CN"/>
              </w:rPr>
              <w:t>应按照《危险废物贮存污染控制标准》</w:t>
            </w:r>
            <w:r>
              <w:rPr>
                <w:rFonts w:hint="eastAsia"/>
                <w:color w:val="auto"/>
                <w:sz w:val="24"/>
                <w:szCs w:val="24"/>
                <w:lang w:val="en-US" w:eastAsia="zh-CN"/>
              </w:rPr>
              <w:t>（GB 18597-2023）</w:t>
            </w:r>
            <w:r>
              <w:rPr>
                <w:rFonts w:hint="default"/>
                <w:color w:val="auto"/>
                <w:sz w:val="24"/>
                <w:szCs w:val="24"/>
                <w:lang w:val="en-US" w:eastAsia="zh-CN"/>
              </w:rPr>
              <w:t>要求进行建设</w:t>
            </w:r>
            <w:r>
              <w:rPr>
                <w:rFonts w:hint="eastAsia"/>
                <w:color w:val="auto"/>
                <w:sz w:val="24"/>
                <w:szCs w:val="24"/>
                <w:lang w:val="en-US" w:eastAsia="zh-CN"/>
              </w:rPr>
              <w:t>：</w:t>
            </w:r>
          </w:p>
          <w:p w14:paraId="41B9029B">
            <w:pPr>
              <w:bidi w:val="0"/>
              <w:rPr>
                <w:rFonts w:hint="default"/>
                <w:color w:val="auto"/>
                <w:sz w:val="24"/>
                <w:szCs w:val="24"/>
                <w:lang w:val="en-US" w:eastAsia="zh-CN"/>
              </w:rPr>
            </w:pPr>
            <w:r>
              <w:rPr>
                <w:rFonts w:hint="default"/>
                <w:color w:val="auto"/>
                <w:sz w:val="24"/>
                <w:szCs w:val="24"/>
                <w:lang w:val="en-US" w:eastAsia="zh-CN"/>
              </w:rPr>
              <w:t>①具备防风、防晒、防雨、防渗</w:t>
            </w:r>
            <w:r>
              <w:rPr>
                <w:rFonts w:hint="eastAsia"/>
                <w:color w:val="auto"/>
                <w:sz w:val="24"/>
                <w:szCs w:val="24"/>
                <w:lang w:val="en-US" w:eastAsia="zh-CN"/>
              </w:rPr>
              <w:t>、防漏、防腐措施。</w:t>
            </w:r>
          </w:p>
          <w:p w14:paraId="20BA8FFB">
            <w:pPr>
              <w:bidi w:val="0"/>
              <w:rPr>
                <w:rFonts w:hint="default"/>
                <w:color w:val="auto"/>
                <w:sz w:val="24"/>
                <w:szCs w:val="24"/>
                <w:lang w:val="en-US" w:eastAsia="zh-CN"/>
              </w:rPr>
            </w:pPr>
            <w:r>
              <w:rPr>
                <w:rFonts w:hint="default"/>
                <w:color w:val="auto"/>
                <w:sz w:val="24"/>
                <w:szCs w:val="24"/>
                <w:lang w:val="en-US" w:eastAsia="zh-CN"/>
              </w:rPr>
              <w:t>②</w:t>
            </w:r>
            <w:r>
              <w:rPr>
                <w:rFonts w:hint="eastAsia"/>
                <w:color w:val="auto"/>
                <w:sz w:val="24"/>
                <w:szCs w:val="24"/>
                <w:lang w:val="en-US" w:eastAsia="zh-CN"/>
              </w:rPr>
              <w:t>根据危险废物的类别、数量、形态、物理化学性质和污染防治等要求设置必要的贮存分区，避免不相容的危险废物接触、混溶。</w:t>
            </w:r>
          </w:p>
          <w:p w14:paraId="536BCE21">
            <w:pPr>
              <w:bidi w:val="0"/>
              <w:rPr>
                <w:rFonts w:hint="default"/>
                <w:color w:val="auto"/>
                <w:sz w:val="24"/>
                <w:szCs w:val="24"/>
                <w:lang w:val="en-US" w:eastAsia="zh-CN"/>
              </w:rPr>
            </w:pPr>
            <w:r>
              <w:rPr>
                <w:rFonts w:hint="default"/>
                <w:color w:val="auto"/>
                <w:sz w:val="24"/>
                <w:szCs w:val="24"/>
                <w:lang w:val="en-US" w:eastAsia="zh-CN"/>
              </w:rPr>
              <w:t>③贮存设施或贮存分区内地面、墙面</w:t>
            </w:r>
            <w:r>
              <w:rPr>
                <w:rFonts w:hint="eastAsia"/>
                <w:color w:val="auto"/>
                <w:sz w:val="24"/>
                <w:szCs w:val="24"/>
                <w:lang w:val="en-US" w:eastAsia="zh-CN"/>
              </w:rPr>
              <w:t>裙角</w:t>
            </w:r>
            <w:r>
              <w:rPr>
                <w:rFonts w:hint="default"/>
                <w:color w:val="auto"/>
                <w:sz w:val="24"/>
                <w:szCs w:val="24"/>
                <w:lang w:val="en-US" w:eastAsia="zh-CN"/>
              </w:rPr>
              <w:t>、堵截泄漏的围堰、接触危险废物的隔板和墙体等应采用坚固的材料建造，表面无裂缝。</w:t>
            </w:r>
          </w:p>
          <w:p w14:paraId="0D01F3EB">
            <w:pPr>
              <w:bidi w:val="0"/>
              <w:rPr>
                <w:rFonts w:hint="default"/>
                <w:color w:val="auto"/>
                <w:sz w:val="24"/>
                <w:szCs w:val="24"/>
                <w:lang w:val="en-US" w:eastAsia="zh-CN"/>
              </w:rPr>
            </w:pPr>
            <w:r>
              <w:rPr>
                <w:rFonts w:hint="default"/>
                <w:color w:val="auto"/>
                <w:sz w:val="24"/>
                <w:szCs w:val="24"/>
                <w:lang w:val="en-US" w:eastAsia="zh-CN"/>
              </w:rPr>
              <w:t>④危险废物贮存</w:t>
            </w:r>
            <w:r>
              <w:rPr>
                <w:rFonts w:hint="eastAsia"/>
                <w:color w:val="auto"/>
                <w:sz w:val="24"/>
                <w:szCs w:val="24"/>
                <w:lang w:val="en-US" w:eastAsia="zh-CN"/>
              </w:rPr>
              <w:t>库</w:t>
            </w:r>
            <w:r>
              <w:rPr>
                <w:rFonts w:hint="default"/>
                <w:color w:val="auto"/>
                <w:sz w:val="24"/>
                <w:szCs w:val="24"/>
                <w:lang w:val="en-US" w:eastAsia="zh-CN"/>
              </w:rPr>
              <w:t>基础必须防渗，贮存设施地面与裙脚应采取表面防渗措施，表面防渗材料应与所接触的物料或污染物相容，可采用抗渗混凝土、高密度</w:t>
            </w:r>
            <w:r>
              <w:rPr>
                <w:rFonts w:hint="eastAsia"/>
                <w:color w:val="auto"/>
                <w:sz w:val="24"/>
                <w:szCs w:val="24"/>
                <w:lang w:val="en-US" w:eastAsia="zh-CN"/>
              </w:rPr>
              <w:t>塑料零部件</w:t>
            </w:r>
            <w:r>
              <w:rPr>
                <w:rFonts w:hint="default"/>
                <w:color w:val="auto"/>
                <w:sz w:val="24"/>
                <w:szCs w:val="24"/>
                <w:lang w:val="en-US" w:eastAsia="zh-CN"/>
              </w:rPr>
              <w:t>、钠基膨润土防水毯或其他防渗性能等效的材料。贮存的危险废物直接接触地面的，还应进行基础防渗，防渗层为至少1m厚黏土层</w:t>
            </w:r>
            <w:r>
              <w:rPr>
                <w:rFonts w:hint="eastAsia"/>
                <w:color w:val="auto"/>
                <w:sz w:val="24"/>
                <w:szCs w:val="24"/>
                <w:lang w:val="en-US" w:eastAsia="zh-CN"/>
              </w:rPr>
              <w:t>（</w:t>
            </w:r>
            <w:r>
              <w:rPr>
                <w:rFonts w:hint="default"/>
                <w:color w:val="auto"/>
                <w:sz w:val="24"/>
                <w:szCs w:val="24"/>
                <w:lang w:val="en-US" w:eastAsia="zh-CN"/>
              </w:rPr>
              <w:t>渗透系数不大于10</w:t>
            </w:r>
            <w:r>
              <w:rPr>
                <w:rFonts w:hint="default"/>
                <w:color w:val="auto"/>
                <w:sz w:val="24"/>
                <w:szCs w:val="24"/>
                <w:vertAlign w:val="superscript"/>
                <w:lang w:val="en-US" w:eastAsia="zh-CN"/>
              </w:rPr>
              <w:t>-7</w:t>
            </w:r>
            <w:r>
              <w:rPr>
                <w:rFonts w:hint="default"/>
                <w:color w:val="auto"/>
                <w:sz w:val="24"/>
                <w:szCs w:val="24"/>
                <w:lang w:val="en-US" w:eastAsia="zh-CN"/>
              </w:rPr>
              <w:t>cm/s)，或至少2mm厚高密度</w:t>
            </w:r>
            <w:r>
              <w:rPr>
                <w:rFonts w:hint="eastAsia"/>
                <w:color w:val="auto"/>
                <w:sz w:val="24"/>
                <w:szCs w:val="24"/>
                <w:lang w:val="en-US" w:eastAsia="zh-CN"/>
              </w:rPr>
              <w:t>塑料零部件</w:t>
            </w:r>
            <w:r>
              <w:rPr>
                <w:rFonts w:hint="default"/>
                <w:color w:val="auto"/>
                <w:sz w:val="24"/>
                <w:szCs w:val="24"/>
                <w:lang w:val="en-US" w:eastAsia="zh-CN"/>
              </w:rPr>
              <w:t>等人工防渗材料</w:t>
            </w:r>
            <w:r>
              <w:rPr>
                <w:rFonts w:hint="eastAsia"/>
                <w:color w:val="auto"/>
                <w:sz w:val="24"/>
                <w:szCs w:val="24"/>
                <w:lang w:val="en-US" w:eastAsia="zh-CN"/>
              </w:rPr>
              <w:t>（</w:t>
            </w:r>
            <w:r>
              <w:rPr>
                <w:rFonts w:hint="default"/>
                <w:color w:val="auto"/>
                <w:sz w:val="24"/>
                <w:szCs w:val="24"/>
                <w:lang w:val="en-US" w:eastAsia="zh-CN"/>
              </w:rPr>
              <w:t>渗透系数不大于10</w:t>
            </w:r>
            <w:r>
              <w:rPr>
                <w:rFonts w:hint="default"/>
                <w:color w:val="auto"/>
                <w:sz w:val="24"/>
                <w:szCs w:val="24"/>
                <w:vertAlign w:val="superscript"/>
                <w:lang w:val="en-US" w:eastAsia="zh-CN"/>
              </w:rPr>
              <w:t>-10</w:t>
            </w:r>
            <w:r>
              <w:rPr>
                <w:rFonts w:hint="default"/>
                <w:color w:val="auto"/>
                <w:sz w:val="24"/>
                <w:szCs w:val="24"/>
                <w:lang w:val="en-US" w:eastAsia="zh-CN"/>
              </w:rPr>
              <w:t>cm/s)，或其他防渗性能等效的材料。</w:t>
            </w:r>
          </w:p>
          <w:p w14:paraId="1F4D0204">
            <w:pPr>
              <w:bidi w:val="0"/>
              <w:rPr>
                <w:rFonts w:hint="eastAsia"/>
                <w:color w:val="auto"/>
                <w:sz w:val="24"/>
                <w:szCs w:val="24"/>
                <w:lang w:val="en-US" w:eastAsia="zh-CN"/>
              </w:rPr>
            </w:pPr>
            <w:r>
              <w:rPr>
                <w:rFonts w:hint="eastAsia"/>
                <w:color w:val="auto"/>
                <w:sz w:val="24"/>
                <w:szCs w:val="24"/>
                <w:lang w:val="en-US" w:eastAsia="zh-CN"/>
              </w:rPr>
              <w:t>同一贮存设施宜采用相同的防渗、防腐工艺（包括防渗、防腐结构或材料），防渗、防腐材料应覆盖所有可能与废物及其渗滤液、渗漏液等接触的构筑物表面；采用不同防渗、防腐工艺应分别建设。</w:t>
            </w:r>
          </w:p>
          <w:p w14:paraId="34FA2943">
            <w:pPr>
              <w:bidi w:val="0"/>
              <w:rPr>
                <w:rFonts w:hint="eastAsia"/>
                <w:color w:val="auto"/>
                <w:sz w:val="24"/>
                <w:szCs w:val="24"/>
                <w:lang w:val="en-US" w:eastAsia="zh-CN"/>
              </w:rPr>
            </w:pPr>
            <w:r>
              <w:rPr>
                <w:rFonts w:hint="eastAsia"/>
                <w:color w:val="auto"/>
                <w:sz w:val="24"/>
                <w:szCs w:val="24"/>
              </w:rPr>
              <w:t>⑤</w:t>
            </w:r>
            <w:r>
              <w:rPr>
                <w:rFonts w:hint="default"/>
                <w:color w:val="auto"/>
                <w:sz w:val="24"/>
                <w:szCs w:val="24"/>
                <w:lang w:val="en-US" w:eastAsia="zh-CN"/>
              </w:rPr>
              <w:t>贮存库内不同贮存分区之间应采取隔离措施。隔离措施可根据危险废物特性采用过道、隔板或隔墙等方式。</w:t>
            </w:r>
          </w:p>
          <w:p w14:paraId="04B05251">
            <w:pPr>
              <w:bidi w:val="0"/>
              <w:rPr>
                <w:rFonts w:hint="default"/>
                <w:color w:val="auto"/>
                <w:sz w:val="24"/>
                <w:szCs w:val="24"/>
                <w:lang w:val="en-US" w:eastAsia="zh-CN"/>
              </w:rPr>
            </w:pPr>
            <w:r>
              <w:rPr>
                <w:rFonts w:hint="eastAsia"/>
                <w:color w:val="auto"/>
                <w:sz w:val="24"/>
                <w:szCs w:val="24"/>
                <w:lang w:val="en-US" w:eastAsia="zh-CN"/>
              </w:rPr>
              <w:t>⑥在贮存库内或通过贮存分区方式贮存液态危险废物的，应具有液体泄漏堵截设施，堵截设施最小容积不应低于对应贮存区域最大液态废物容器容积或液态废物总储量1/10（二者取较大者）；</w:t>
            </w:r>
          </w:p>
          <w:p w14:paraId="4251B971">
            <w:pPr>
              <w:bidi w:val="0"/>
              <w:rPr>
                <w:rFonts w:hint="eastAsia"/>
                <w:color w:val="auto"/>
                <w:sz w:val="24"/>
                <w:szCs w:val="24"/>
                <w:lang w:val="en-US" w:eastAsia="zh-CN"/>
              </w:rPr>
            </w:pPr>
            <w:r>
              <w:rPr>
                <w:rFonts w:hint="eastAsia"/>
                <w:color w:val="auto"/>
                <w:sz w:val="24"/>
                <w:szCs w:val="24"/>
                <w:lang w:val="en-US" w:eastAsia="zh-CN"/>
              </w:rPr>
              <w:t>⑦容器和包装物污染控制要求：容器和包装物材质、内衬应与盛装的危险废物相容；针对不同类别、形态、物理化学性质的危险废物，其容器和包装物应满足相应的防渗、防漏、防腐和强度等要求；硬质容器和包装物及其支护结构堆叠码放时不应有明显变形，无破损泄漏，柔性容器和包装物堆叠码放时应封口严密，无破损泄漏；</w:t>
            </w:r>
            <w:r>
              <w:rPr>
                <w:rFonts w:hint="eastAsia"/>
                <w:color w:val="auto"/>
                <w:sz w:val="24"/>
                <w:szCs w:val="24"/>
              </w:rPr>
              <w:t>使用容器盛装液态、半固态危险废物时，容器内部应留有适当的空间，以适应因温度变化等可能引发的收缩和膨胀，防止其导致容器渗漏或永久变形</w:t>
            </w:r>
            <w:r>
              <w:rPr>
                <w:rFonts w:hint="eastAsia"/>
                <w:color w:val="auto"/>
                <w:sz w:val="24"/>
                <w:szCs w:val="24"/>
                <w:lang w:eastAsia="zh-CN"/>
              </w:rPr>
              <w:t>；容器和包装物外表应保持清洁。</w:t>
            </w:r>
          </w:p>
          <w:p w14:paraId="4DA55AC0">
            <w:pPr>
              <w:bidi w:val="0"/>
              <w:rPr>
                <w:rFonts w:hint="eastAsia"/>
                <w:color w:val="auto"/>
                <w:sz w:val="24"/>
                <w:szCs w:val="24"/>
                <w:lang w:val="en-US" w:eastAsia="zh-CN"/>
              </w:rPr>
            </w:pPr>
            <w:r>
              <w:rPr>
                <w:rFonts w:hint="eastAsia"/>
                <w:color w:val="auto"/>
                <w:sz w:val="24"/>
                <w:szCs w:val="24"/>
                <w:lang w:val="en-US" w:eastAsia="zh-CN"/>
              </w:rPr>
              <w:t>⑧贮存过程污染控制要求：在常温常压下不易水解、不易挥发的固态危险废物可分类堆放贮存，其他固态危险废物应装入容器或包装物内贮存；液态危险废物应装入容器内贮存，或直接采用贮存池、贮存罐区贮存；半固态危险废物应装入容器或包装袋内贮存，或直接采用贮存池贮存；具有热塑性的危险废物应装入容器或包装袋内进行贮存；易产生粉尘、VOCs、酸雾、有毒有害大气污染物和刺激性气味气体的危险废物应装入闭口容器或包装物内贮存。危险废物贮存过程中易产生粉尘等无组织排放的，应采取抑尘等有效措施。</w:t>
            </w:r>
          </w:p>
          <w:p w14:paraId="4E28CD62">
            <w:pPr>
              <w:bidi w:val="0"/>
              <w:rPr>
                <w:rFonts w:hint="eastAsia"/>
                <w:color w:val="auto"/>
                <w:sz w:val="24"/>
                <w:szCs w:val="24"/>
                <w:lang w:val="en-US" w:eastAsia="zh-CN"/>
              </w:rPr>
            </w:pPr>
            <w:r>
              <w:rPr>
                <w:rFonts w:hint="eastAsia"/>
                <w:color w:val="auto"/>
                <w:sz w:val="24"/>
                <w:szCs w:val="24"/>
                <w:lang w:val="en-US" w:eastAsia="zh-CN"/>
              </w:rPr>
              <w:t>⑨项目危险废物暂存标志按照《危险废物识别标志设置技术规范》（HJ 1276-2022）要求进行。</w:t>
            </w:r>
          </w:p>
          <w:p w14:paraId="34DCCF94">
            <w:pPr>
              <w:bidi w:val="0"/>
              <w:rPr>
                <w:rFonts w:hint="eastAsia"/>
                <w:color w:val="auto"/>
                <w:sz w:val="24"/>
                <w:szCs w:val="24"/>
                <w:lang w:val="en-US" w:eastAsia="zh-CN"/>
              </w:rPr>
            </w:pPr>
            <w:r>
              <w:rPr>
                <w:rFonts w:hint="eastAsia"/>
                <w:color w:val="auto"/>
                <w:sz w:val="24"/>
                <w:szCs w:val="24"/>
                <w:lang w:val="en-US" w:eastAsia="zh-CN"/>
              </w:rPr>
              <w:t>项目拟在厂区3#物料库南侧建设1间危险废物贮存库（20m</w:t>
            </w:r>
            <w:r>
              <w:rPr>
                <w:rFonts w:hint="eastAsia"/>
                <w:color w:val="auto"/>
                <w:sz w:val="24"/>
                <w:szCs w:val="24"/>
                <w:vertAlign w:val="superscript"/>
                <w:lang w:val="en-US" w:eastAsia="zh-CN"/>
              </w:rPr>
              <w:t>2</w:t>
            </w:r>
            <w:r>
              <w:rPr>
                <w:rFonts w:hint="eastAsia"/>
                <w:color w:val="auto"/>
                <w:sz w:val="24"/>
                <w:szCs w:val="24"/>
                <w:lang w:val="en-US" w:eastAsia="zh-CN"/>
              </w:rPr>
              <w:t>），</w:t>
            </w:r>
            <w:r>
              <w:rPr>
                <w:rFonts w:hint="default"/>
                <w:color w:val="auto"/>
                <w:sz w:val="24"/>
                <w:szCs w:val="24"/>
                <w:lang w:eastAsia="zh-CN"/>
              </w:rPr>
              <w:t>危险废物贮存</w:t>
            </w:r>
            <w:r>
              <w:rPr>
                <w:rFonts w:hint="eastAsia"/>
                <w:color w:val="auto"/>
                <w:sz w:val="24"/>
                <w:szCs w:val="24"/>
                <w:lang w:eastAsia="zh-CN"/>
              </w:rPr>
              <w:t>情况</w:t>
            </w:r>
            <w:r>
              <w:rPr>
                <w:rFonts w:hint="default"/>
                <w:color w:val="auto"/>
                <w:sz w:val="24"/>
                <w:szCs w:val="24"/>
                <w:lang w:eastAsia="zh-CN"/>
              </w:rPr>
              <w:t>详见表</w:t>
            </w:r>
            <w:r>
              <w:rPr>
                <w:rFonts w:hint="eastAsia"/>
                <w:color w:val="auto"/>
                <w:sz w:val="24"/>
                <w:szCs w:val="24"/>
                <w:lang w:val="en-US" w:eastAsia="zh-CN"/>
              </w:rPr>
              <w:t>4.5</w:t>
            </w:r>
            <w:r>
              <w:rPr>
                <w:rFonts w:hint="default"/>
                <w:color w:val="auto"/>
                <w:sz w:val="24"/>
                <w:szCs w:val="24"/>
                <w:lang w:val="en-US" w:eastAsia="zh-CN"/>
              </w:rPr>
              <w:t>-</w:t>
            </w:r>
            <w:r>
              <w:rPr>
                <w:rFonts w:hint="eastAsia"/>
                <w:color w:val="auto"/>
                <w:sz w:val="24"/>
                <w:szCs w:val="24"/>
                <w:lang w:val="en-US" w:eastAsia="zh-CN"/>
              </w:rPr>
              <w:t>2，根据该表可知，项目拟建危险废物贮存库可满足危险废物暂存需求，同时本评价要求建设单位按危废种类分区存放，委托资质单位及时清运。</w:t>
            </w:r>
          </w:p>
          <w:p w14:paraId="2E6755E5">
            <w:pPr>
              <w:bidi w:val="0"/>
              <w:rPr>
                <w:rFonts w:hint="eastAsia"/>
                <w:color w:val="auto"/>
                <w:sz w:val="24"/>
                <w:szCs w:val="24"/>
                <w:lang w:val="en-US" w:eastAsia="zh-CN"/>
              </w:rPr>
            </w:pPr>
          </w:p>
          <w:p w14:paraId="1332C6C0">
            <w:pPr>
              <w:bidi w:val="0"/>
              <w:rPr>
                <w:rFonts w:hint="eastAsia"/>
                <w:color w:val="auto"/>
                <w:sz w:val="24"/>
                <w:szCs w:val="24"/>
                <w:lang w:val="en-US" w:eastAsia="zh-CN"/>
              </w:rPr>
            </w:pPr>
          </w:p>
          <w:p w14:paraId="6B809FDD">
            <w:pPr>
              <w:bidi w:val="0"/>
              <w:rPr>
                <w:rFonts w:hint="eastAsia"/>
                <w:color w:val="auto"/>
                <w:sz w:val="24"/>
                <w:szCs w:val="24"/>
                <w:lang w:val="en-US" w:eastAsia="zh-CN"/>
              </w:rPr>
            </w:pPr>
          </w:p>
          <w:p w14:paraId="77BEEF28">
            <w:pPr>
              <w:pStyle w:val="33"/>
              <w:keepNext/>
              <w:keepLines w:val="0"/>
              <w:pageBreakBefore w:val="0"/>
              <w:widowControl w:val="0"/>
              <w:kinsoku/>
              <w:wordWrap/>
              <w:overflowPunct/>
              <w:topLinePunct w:val="0"/>
              <w:autoSpaceDE/>
              <w:autoSpaceDN/>
              <w:bidi w:val="0"/>
              <w:adjustRightInd/>
              <w:snapToGrid/>
              <w:textAlignment w:val="auto"/>
              <w:rPr>
                <w:rFonts w:hint="eastAsia"/>
                <w:color w:val="auto"/>
                <w:sz w:val="24"/>
                <w:szCs w:val="24"/>
                <w:lang w:val="en-US" w:eastAsia="zh-CN"/>
              </w:rPr>
            </w:pPr>
            <w:r>
              <w:rPr>
                <w:rFonts w:hint="default"/>
                <w:color w:val="auto"/>
                <w:sz w:val="24"/>
                <w:szCs w:val="24"/>
                <w:lang w:val="en-US" w:eastAsia="zh-CN"/>
              </w:rPr>
              <w:t>表</w:t>
            </w:r>
            <w:r>
              <w:rPr>
                <w:rFonts w:hint="eastAsia"/>
                <w:color w:val="auto"/>
                <w:sz w:val="24"/>
                <w:szCs w:val="24"/>
                <w:lang w:val="en-US" w:eastAsia="zh-CN"/>
              </w:rPr>
              <w:t>4</w:t>
            </w:r>
            <w:r>
              <w:rPr>
                <w:rFonts w:hint="default"/>
                <w:color w:val="auto"/>
                <w:sz w:val="24"/>
                <w:szCs w:val="24"/>
                <w:lang w:val="en-US" w:eastAsia="zh-CN"/>
              </w:rPr>
              <w:t>.</w:t>
            </w:r>
            <w:r>
              <w:rPr>
                <w:rFonts w:hint="eastAsia"/>
                <w:color w:val="auto"/>
                <w:sz w:val="24"/>
                <w:szCs w:val="24"/>
                <w:lang w:val="en-US" w:eastAsia="zh-CN"/>
              </w:rPr>
              <w:t>5</w:t>
            </w:r>
            <w:r>
              <w:rPr>
                <w:rFonts w:hint="default"/>
                <w:color w:val="auto"/>
                <w:sz w:val="24"/>
                <w:szCs w:val="24"/>
                <w:lang w:val="en-US" w:eastAsia="zh-CN"/>
              </w:rPr>
              <w:t>-</w:t>
            </w:r>
            <w:r>
              <w:rPr>
                <w:rFonts w:hint="eastAsia"/>
                <w:color w:val="auto"/>
                <w:sz w:val="24"/>
                <w:szCs w:val="24"/>
                <w:lang w:val="en-US" w:eastAsia="zh-CN"/>
              </w:rPr>
              <w:t>2</w:t>
            </w:r>
            <w:r>
              <w:rPr>
                <w:rFonts w:hint="default"/>
                <w:color w:val="auto"/>
                <w:sz w:val="24"/>
                <w:szCs w:val="24"/>
                <w:lang w:val="en-US" w:eastAsia="zh-CN"/>
              </w:rPr>
              <w:t xml:space="preserve"> </w:t>
            </w:r>
            <w:r>
              <w:rPr>
                <w:rFonts w:hint="eastAsia"/>
                <w:color w:val="auto"/>
                <w:sz w:val="24"/>
                <w:szCs w:val="24"/>
                <w:lang w:val="en-US" w:eastAsia="zh-CN"/>
              </w:rPr>
              <w:t>建设项目危险废物贮存场所（设施）基本情况表</w:t>
            </w:r>
          </w:p>
          <w:p w14:paraId="1E4C0E7F">
            <w:pPr>
              <w:spacing w:before="120" w:beforeLines="50" w:line="360" w:lineRule="auto"/>
              <w:ind w:firstLine="480" w:firstLineChars="200"/>
              <w:rPr>
                <w:color w:val="auto"/>
                <w:sz w:val="24"/>
              </w:rPr>
            </w:pPr>
            <w:r>
              <w:rPr>
                <w:rFonts w:hint="eastAsia" w:ascii="Times New Roman" w:hAnsi="Times New Roman" w:eastAsia="宋体" w:cs="Times New Roman"/>
                <w:b w:val="0"/>
                <w:bCs w:val="0"/>
                <w:color w:val="auto"/>
                <w:sz w:val="24"/>
                <w:szCs w:val="24"/>
                <w:highlight w:val="none"/>
                <w:lang w:val="en-US" w:eastAsia="zh-CN"/>
              </w:rPr>
              <w:t>（</w:t>
            </w:r>
            <w:r>
              <w:rPr>
                <w:rFonts w:hint="eastAsia" w:eastAsia="宋体"/>
                <w:b w:val="0"/>
                <w:bCs w:val="0"/>
                <w:color w:val="auto"/>
                <w:sz w:val="24"/>
                <w:szCs w:val="24"/>
                <w:lang w:val="en-US" w:eastAsia="zh-CN"/>
              </w:rPr>
              <w:t>2</w:t>
            </w:r>
            <w:r>
              <w:rPr>
                <w:rFonts w:hint="eastAsia"/>
                <w:b w:val="0"/>
                <w:bCs w:val="0"/>
                <w:color w:val="auto"/>
                <w:sz w:val="24"/>
                <w:szCs w:val="24"/>
                <w:lang w:val="en-US" w:eastAsia="zh-CN"/>
              </w:rPr>
              <w:t>）</w:t>
            </w:r>
            <w:r>
              <w:rPr>
                <w:color w:val="auto"/>
                <w:sz w:val="24"/>
              </w:rPr>
              <w:t>委托利用或者处置的环境影响分析</w:t>
            </w:r>
          </w:p>
          <w:p w14:paraId="655E505E">
            <w:pPr>
              <w:spacing w:line="360" w:lineRule="auto"/>
              <w:ind w:firstLine="480" w:firstLineChars="200"/>
              <w:rPr>
                <w:color w:val="auto"/>
                <w:sz w:val="24"/>
              </w:rPr>
            </w:pPr>
            <w:r>
              <w:rPr>
                <w:color w:val="auto"/>
                <w:sz w:val="24"/>
              </w:rPr>
              <w:t>本项目不具备危险废物利用或处置能力，项目危险废物定期委托有资质单位统一转移处置，危险废物运输过程也全部委托有资质单位统一进行。</w:t>
            </w:r>
          </w:p>
          <w:p w14:paraId="6CBC5771">
            <w:pPr>
              <w:spacing w:line="360" w:lineRule="auto"/>
              <w:ind w:firstLine="480" w:firstLineChars="200"/>
              <w:rPr>
                <w:color w:val="auto"/>
                <w:sz w:val="24"/>
              </w:rPr>
            </w:pPr>
            <w:r>
              <w:rPr>
                <w:rFonts w:hint="eastAsia" w:ascii="Times New Roman" w:hAnsi="Times New Roman" w:eastAsia="宋体" w:cs="Times New Roman"/>
                <w:b w:val="0"/>
                <w:bCs w:val="0"/>
                <w:color w:val="auto"/>
                <w:sz w:val="24"/>
                <w:szCs w:val="24"/>
                <w:highlight w:val="none"/>
                <w:lang w:val="en-US" w:eastAsia="zh-CN"/>
              </w:rPr>
              <w:t>（</w:t>
            </w:r>
            <w:r>
              <w:rPr>
                <w:rFonts w:hint="eastAsia" w:eastAsia="宋体"/>
                <w:b w:val="0"/>
                <w:bCs w:val="0"/>
                <w:color w:val="auto"/>
                <w:sz w:val="24"/>
                <w:szCs w:val="24"/>
                <w:lang w:val="en-US" w:eastAsia="zh-CN"/>
              </w:rPr>
              <w:t>3</w:t>
            </w:r>
            <w:r>
              <w:rPr>
                <w:rFonts w:hint="eastAsia"/>
                <w:b w:val="0"/>
                <w:bCs w:val="0"/>
                <w:color w:val="auto"/>
                <w:sz w:val="24"/>
                <w:szCs w:val="24"/>
                <w:lang w:val="en-US" w:eastAsia="zh-CN"/>
              </w:rPr>
              <w:t>）</w:t>
            </w:r>
            <w:r>
              <w:rPr>
                <w:color w:val="auto"/>
                <w:sz w:val="24"/>
              </w:rPr>
              <w:t>固体废物运输过程的环境影响分析</w:t>
            </w:r>
          </w:p>
          <w:p w14:paraId="7DE67D22">
            <w:pPr>
              <w:spacing w:line="360" w:lineRule="auto"/>
              <w:ind w:firstLine="480" w:firstLineChars="200"/>
              <w:rPr>
                <w:color w:val="auto"/>
                <w:sz w:val="24"/>
              </w:rPr>
            </w:pPr>
            <w:r>
              <w:rPr>
                <w:color w:val="auto"/>
                <w:sz w:val="24"/>
              </w:rPr>
              <w:t>本项目危险废物</w:t>
            </w:r>
            <w:r>
              <w:rPr>
                <w:rFonts w:hint="eastAsia"/>
                <w:color w:val="auto"/>
                <w:sz w:val="24"/>
              </w:rPr>
              <w:t>密闭桶装/袋装后</w:t>
            </w:r>
            <w:r>
              <w:rPr>
                <w:color w:val="auto"/>
                <w:sz w:val="24"/>
              </w:rPr>
              <w:t>委托有资质的单位处置；</w:t>
            </w:r>
            <w:r>
              <w:rPr>
                <w:rFonts w:hint="eastAsia"/>
                <w:color w:val="auto"/>
                <w:sz w:val="24"/>
              </w:rPr>
              <w:t>项目危险废物运输委托有资质单位进行</w:t>
            </w:r>
            <w:r>
              <w:rPr>
                <w:color w:val="auto"/>
                <w:sz w:val="24"/>
              </w:rPr>
              <w:t>统一进行。</w:t>
            </w:r>
          </w:p>
          <w:p w14:paraId="54A3770E">
            <w:pPr>
              <w:pStyle w:val="45"/>
              <w:ind w:firstLine="480"/>
              <w:rPr>
                <w:rFonts w:hint="eastAsia"/>
                <w:color w:val="auto"/>
              </w:rPr>
            </w:pPr>
            <w:r>
              <w:rPr>
                <w:rFonts w:hint="eastAsia" w:ascii="Times New Roman" w:hAnsi="Times New Roman" w:eastAsia="宋体" w:cs="Times New Roman"/>
                <w:b w:val="0"/>
                <w:bCs w:val="0"/>
                <w:color w:val="auto"/>
                <w:sz w:val="24"/>
                <w:szCs w:val="24"/>
                <w:highlight w:val="none"/>
                <w:lang w:val="en-US" w:eastAsia="zh-CN"/>
              </w:rPr>
              <w:t>（</w:t>
            </w:r>
            <w:r>
              <w:rPr>
                <w:rFonts w:hint="eastAsia"/>
                <w:b w:val="0"/>
                <w:bCs w:val="0"/>
                <w:color w:val="auto"/>
                <w:sz w:val="24"/>
                <w:szCs w:val="24"/>
                <w:lang w:val="en-US" w:eastAsia="zh-CN"/>
              </w:rPr>
              <w:t>4）</w:t>
            </w:r>
            <w:r>
              <w:rPr>
                <w:rFonts w:hint="eastAsia"/>
                <w:color w:val="auto"/>
              </w:rPr>
              <w:t>危险废物转移要求</w:t>
            </w:r>
          </w:p>
          <w:p w14:paraId="16B8CD2C">
            <w:pPr>
              <w:pStyle w:val="45"/>
              <w:ind w:firstLine="480"/>
              <w:jc w:val="left"/>
              <w:rPr>
                <w:rFonts w:hint="eastAsia"/>
                <w:color w:val="auto"/>
              </w:rPr>
            </w:pPr>
            <w:r>
              <w:rPr>
                <w:rFonts w:hint="eastAsia"/>
                <w:color w:val="auto"/>
              </w:rPr>
              <w:t>根据《危险废物转移管理办法》(2021年11月30日生态环境部、公安部、交通运输部令第23号公布，自2022年1月1日起施行)，危险废物转移过程应满足以下要求：</w:t>
            </w:r>
          </w:p>
          <w:p w14:paraId="2D162E65">
            <w:pPr>
              <w:pStyle w:val="45"/>
              <w:ind w:firstLine="480"/>
              <w:jc w:val="left"/>
              <w:rPr>
                <w:rFonts w:hint="eastAsia"/>
                <w:color w:val="auto"/>
              </w:rPr>
            </w:pPr>
            <w:r>
              <w:rPr>
                <w:color w:val="auto"/>
                <w:szCs w:val="24"/>
              </w:rPr>
              <w:t>①</w:t>
            </w:r>
            <w:r>
              <w:rPr>
                <w:rFonts w:hint="eastAsia"/>
                <w:color w:val="auto"/>
              </w:rPr>
              <w:t>危险废物转移联单应当根据危险废物管理计划中填报的危险废物转移等备案信息填写、运行。</w:t>
            </w:r>
          </w:p>
          <w:p w14:paraId="45356E65">
            <w:pPr>
              <w:pStyle w:val="45"/>
              <w:ind w:firstLine="480"/>
              <w:jc w:val="left"/>
              <w:rPr>
                <w:rFonts w:hint="eastAsia"/>
                <w:color w:val="auto"/>
              </w:rPr>
            </w:pPr>
            <w:r>
              <w:rPr>
                <w:color w:val="auto"/>
                <w:szCs w:val="24"/>
              </w:rPr>
              <w:t>②</w:t>
            </w:r>
            <w:r>
              <w:rPr>
                <w:rFonts w:hint="eastAsia"/>
                <w:color w:val="auto"/>
              </w:rPr>
              <w:t>危险废物转移联单实行全国统一编号，编号由十四位阿拉伯数字组成。</w:t>
            </w:r>
          </w:p>
          <w:p w14:paraId="294B2AB5">
            <w:pPr>
              <w:pStyle w:val="45"/>
              <w:ind w:firstLine="480"/>
              <w:jc w:val="left"/>
              <w:rPr>
                <w:rFonts w:hint="eastAsia"/>
                <w:color w:val="auto"/>
              </w:rPr>
            </w:pPr>
            <w:r>
              <w:rPr>
                <w:color w:val="auto"/>
                <w:szCs w:val="24"/>
              </w:rPr>
              <w:t>③</w:t>
            </w:r>
            <w:r>
              <w:rPr>
                <w:rFonts w:hint="eastAsia"/>
                <w:color w:val="auto"/>
              </w:rPr>
              <w:t>移出人每转移一车（船或者其他运输工具）次同类危险废物，应当填写运行一份危险废物转移联单；每车（船或者其他运输工具）次转移多类危险废物的，可以填写、运行一份危险废物转移联单，也可以每一类危险废物填写、运行一份危险废物转移联单。使用同一车（船或者其他运输工具）一次为多个移出人转移危险废物的，每个移出人应当分别填写、运行危险废物转移联单。</w:t>
            </w:r>
          </w:p>
          <w:p w14:paraId="15882D02">
            <w:pPr>
              <w:pStyle w:val="45"/>
              <w:ind w:firstLine="480"/>
              <w:jc w:val="left"/>
              <w:rPr>
                <w:rFonts w:hint="eastAsia"/>
                <w:color w:val="auto"/>
              </w:rPr>
            </w:pPr>
            <w:r>
              <w:rPr>
                <w:color w:val="auto"/>
                <w:szCs w:val="24"/>
              </w:rPr>
              <w:t>④</w:t>
            </w:r>
            <w:r>
              <w:rPr>
                <w:rFonts w:hint="eastAsia"/>
                <w:color w:val="auto"/>
              </w:rPr>
              <w:t>采用联运方式转移危险废物的，前一承运人和后一承运人应当明确运输交接的时间和地点。后一承运人应当核实危险废物转移联单确定的移出人信息、前一承运人信息及危险废物相关信息。</w:t>
            </w:r>
          </w:p>
          <w:p w14:paraId="1039C89F">
            <w:pPr>
              <w:pStyle w:val="45"/>
              <w:ind w:firstLine="480"/>
              <w:jc w:val="left"/>
              <w:rPr>
                <w:rFonts w:hint="eastAsia"/>
                <w:color w:val="auto"/>
              </w:rPr>
            </w:pPr>
            <w:r>
              <w:rPr>
                <w:rFonts w:hint="eastAsia"/>
                <w:color w:val="auto"/>
              </w:rPr>
              <w:t>⑤接受人应当对运抵的危险废物进行核实验收，并在接收之日起五个工作日内通过信息系统确认接受。运抵的危险废物的名称、数量、特性、形态、包装方式与危险废物转移联单填写内容不符的，接受人应当及时告知移出人，视情况决定是否接受，同时向接受地生态环境主管部门报告。</w:t>
            </w:r>
          </w:p>
          <w:p w14:paraId="4287E0B1">
            <w:pPr>
              <w:pStyle w:val="45"/>
              <w:ind w:firstLine="480"/>
              <w:jc w:val="left"/>
              <w:rPr>
                <w:color w:val="auto"/>
              </w:rPr>
            </w:pPr>
            <w:r>
              <w:rPr>
                <w:rFonts w:hint="eastAsia"/>
                <w:color w:val="auto"/>
              </w:rPr>
              <w:t>⑥危险废物电子转移联单数据应当在信息系统中至少保存十年。因特殊原因无法运行危险废物电子转移联单的，可以先使用纸质转移联单，并于转移活动完成后十个工作日内在信息系统中补录电子转移联单</w:t>
            </w:r>
            <w:r>
              <w:rPr>
                <w:color w:val="auto"/>
              </w:rPr>
              <w:t>。</w:t>
            </w:r>
          </w:p>
          <w:p w14:paraId="2FC99A75">
            <w:pPr>
              <w:keepNext w:val="0"/>
              <w:keepLines w:val="0"/>
              <w:pageBreakBefore w:val="0"/>
              <w:widowControl w:val="0"/>
              <w:kinsoku/>
              <w:wordWrap/>
              <w:overflowPunct/>
              <w:topLinePunct w:val="0"/>
              <w:autoSpaceDE/>
              <w:autoSpaceDN/>
              <w:bidi w:val="0"/>
              <w:adjustRightInd/>
              <w:snapToGrid/>
              <w:spacing w:before="157" w:beforeLines="50" w:line="360" w:lineRule="auto"/>
              <w:textAlignment w:val="auto"/>
              <w:rPr>
                <w:rFonts w:hint="default"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lang w:val="en-US" w:eastAsia="zh-CN"/>
              </w:rPr>
              <w:t>4.5.2.3</w:t>
            </w:r>
            <w:r>
              <w:rPr>
                <w:rFonts w:hint="default" w:ascii="Times New Roman" w:hAnsi="Times New Roman" w:eastAsia="宋体" w:cs="Times New Roman"/>
                <w:b/>
                <w:bCs/>
                <w:color w:val="auto"/>
                <w:sz w:val="24"/>
                <w:szCs w:val="24"/>
                <w:highlight w:val="none"/>
              </w:rPr>
              <w:t>生活垃圾</w:t>
            </w:r>
          </w:p>
          <w:p w14:paraId="64D25F20">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项目职工产生的生活垃圾应采取分类收集，并委托环卫部门统一外运处置。综述，本项目固体废物</w:t>
            </w:r>
            <w:r>
              <w:rPr>
                <w:rFonts w:hint="eastAsia" w:ascii="Times New Roman" w:hAnsi="Times New Roman" w:eastAsia="宋体" w:cs="Times New Roman"/>
                <w:color w:val="auto"/>
                <w:sz w:val="24"/>
                <w:szCs w:val="24"/>
                <w:highlight w:val="none"/>
                <w:lang w:eastAsia="zh-CN"/>
              </w:rPr>
              <w:t>采取以上处置处理措施后，正常情况下，不会对周边环境造成二次污染</w:t>
            </w:r>
            <w:r>
              <w:rPr>
                <w:rFonts w:hint="default" w:ascii="Times New Roman" w:hAnsi="Times New Roman" w:eastAsia="宋体" w:cs="Times New Roman"/>
                <w:color w:val="auto"/>
                <w:sz w:val="24"/>
                <w:szCs w:val="24"/>
                <w:highlight w:val="none"/>
              </w:rPr>
              <w:t>。</w:t>
            </w:r>
          </w:p>
          <w:p w14:paraId="328B0E85">
            <w:pPr>
              <w:pStyle w:val="3"/>
              <w:bidi w:val="0"/>
              <w:rPr>
                <w:rFonts w:hint="default"/>
                <w:color w:val="auto"/>
                <w:lang w:eastAsia="zh-CN"/>
              </w:rPr>
            </w:pPr>
            <w:r>
              <w:rPr>
                <w:rFonts w:hint="default"/>
                <w:color w:val="auto"/>
                <w:lang w:val="en-US" w:eastAsia="zh-CN"/>
              </w:rPr>
              <w:t>4.</w:t>
            </w:r>
            <w:r>
              <w:rPr>
                <w:rFonts w:hint="eastAsia"/>
                <w:color w:val="auto"/>
                <w:lang w:val="en-US" w:eastAsia="zh-CN"/>
              </w:rPr>
              <w:t>6</w:t>
            </w:r>
            <w:r>
              <w:rPr>
                <w:rFonts w:hint="default"/>
                <w:color w:val="auto"/>
                <w:lang w:eastAsia="zh-CN"/>
              </w:rPr>
              <w:t>地下水、土壤环境影响和保护措施</w:t>
            </w:r>
          </w:p>
          <w:p w14:paraId="6F26E82A">
            <w:pPr>
              <w:pStyle w:val="4"/>
              <w:bidi w:val="0"/>
              <w:rPr>
                <w:rFonts w:hint="eastAsia"/>
                <w:color w:val="auto"/>
              </w:rPr>
            </w:pPr>
            <w:r>
              <w:rPr>
                <w:rFonts w:hint="eastAsia"/>
                <w:color w:val="auto"/>
              </w:rPr>
              <w:t>4.</w:t>
            </w:r>
            <w:r>
              <w:rPr>
                <w:rFonts w:hint="eastAsia"/>
                <w:color w:val="auto"/>
                <w:lang w:val="en-US" w:eastAsia="zh-CN"/>
              </w:rPr>
              <w:t>6</w:t>
            </w:r>
            <w:r>
              <w:rPr>
                <w:rFonts w:hint="eastAsia"/>
                <w:color w:val="auto"/>
              </w:rPr>
              <w:t xml:space="preserve">.1 </w:t>
            </w:r>
            <w:r>
              <w:rPr>
                <w:color w:val="auto"/>
              </w:rPr>
              <w:t>地下水、土壤环境影响</w:t>
            </w:r>
            <w:r>
              <w:rPr>
                <w:rFonts w:hint="eastAsia"/>
                <w:color w:val="auto"/>
              </w:rPr>
              <w:t>分析</w:t>
            </w:r>
          </w:p>
          <w:p w14:paraId="5DBF59F2">
            <w:pPr>
              <w:spacing w:line="360" w:lineRule="auto"/>
              <w:ind w:firstLine="480" w:firstLineChars="20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地下水环境影响分析</w:t>
            </w:r>
          </w:p>
          <w:p w14:paraId="68AA32F3">
            <w:pPr>
              <w:spacing w:line="360" w:lineRule="auto"/>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本项目</w:t>
            </w:r>
            <w:r>
              <w:rPr>
                <w:rFonts w:hint="eastAsia" w:ascii="Times New Roman" w:hAnsi="Times New Roman" w:eastAsia="宋体" w:cs="Times New Roman"/>
                <w:color w:val="auto"/>
                <w:sz w:val="24"/>
                <w:szCs w:val="24"/>
                <w:lang w:eastAsia="zh-CN"/>
              </w:rPr>
              <w:t>生产废水及初期雨水经处理后回用于搅拌、抑尘、冲洗</w:t>
            </w:r>
            <w:r>
              <w:rPr>
                <w:rFonts w:hint="eastAsia" w:cs="Times New Roman"/>
                <w:color w:val="auto"/>
                <w:sz w:val="24"/>
                <w:szCs w:val="24"/>
                <w:lang w:eastAsia="zh-CN"/>
              </w:rPr>
              <w:t>等</w:t>
            </w:r>
            <w:r>
              <w:rPr>
                <w:rFonts w:hint="eastAsia" w:ascii="Times New Roman" w:hAnsi="Times New Roman" w:eastAsia="宋体" w:cs="Times New Roman"/>
                <w:color w:val="auto"/>
                <w:sz w:val="24"/>
                <w:szCs w:val="24"/>
                <w:lang w:eastAsia="zh-CN"/>
              </w:rPr>
              <w:t>，不外排，</w:t>
            </w:r>
            <w:r>
              <w:rPr>
                <w:rFonts w:hint="eastAsia" w:ascii="Times New Roman" w:hAnsi="Times New Roman" w:eastAsia="宋体" w:cs="Times New Roman"/>
                <w:color w:val="auto"/>
                <w:sz w:val="24"/>
                <w:szCs w:val="24"/>
                <w:lang w:val="en-US" w:eastAsia="zh-CN"/>
              </w:rPr>
              <w:t>生活污水经</w:t>
            </w:r>
            <w:r>
              <w:rPr>
                <w:rFonts w:hint="eastAsia" w:cs="Times New Roman"/>
                <w:color w:val="auto"/>
                <w:sz w:val="24"/>
                <w:szCs w:val="24"/>
                <w:lang w:val="en-US" w:eastAsia="zh-CN"/>
              </w:rPr>
              <w:t>化粪池+一体化污水处理设施</w:t>
            </w:r>
            <w:r>
              <w:rPr>
                <w:rFonts w:hint="eastAsia" w:ascii="Times New Roman" w:hAnsi="Times New Roman" w:eastAsia="宋体" w:cs="Times New Roman"/>
                <w:color w:val="auto"/>
                <w:sz w:val="24"/>
                <w:szCs w:val="24"/>
              </w:rPr>
              <w:t>处理后</w:t>
            </w:r>
            <w:r>
              <w:rPr>
                <w:rFonts w:hint="eastAsia" w:cs="Times New Roman"/>
                <w:color w:val="auto"/>
                <w:sz w:val="24"/>
                <w:szCs w:val="24"/>
                <w:lang w:val="en-US" w:eastAsia="zh-CN"/>
              </w:rPr>
              <w:t>近期回用于厂区绿化灌溉，远期待项目周边市政污水管网及相关配套设施建成后，统一接入当地市政污水处理系统排放处理，不外排</w:t>
            </w:r>
            <w:r>
              <w:rPr>
                <w:rFonts w:hint="eastAsia" w:cs="Times New Roman"/>
                <w:color w:val="auto"/>
                <w:sz w:val="24"/>
                <w:szCs w:val="24"/>
                <w:lang w:eastAsia="zh-CN"/>
              </w:rPr>
              <w:t>。</w:t>
            </w:r>
            <w:r>
              <w:rPr>
                <w:rFonts w:ascii="Times New Roman" w:hAnsi="Times New Roman" w:eastAsia="宋体" w:cs="Times New Roman"/>
                <w:color w:val="auto"/>
                <w:sz w:val="24"/>
                <w:szCs w:val="24"/>
              </w:rPr>
              <w:t>项目废水不含有毒有害污染物，不含重金属等污染物，</w:t>
            </w:r>
            <w:r>
              <w:rPr>
                <w:rFonts w:hint="default" w:ascii="Times New Roman" w:hAnsi="Times New Roman" w:eastAsia="宋体" w:cs="Times New Roman"/>
                <w:color w:val="auto"/>
                <w:sz w:val="24"/>
                <w:szCs w:val="24"/>
              </w:rPr>
              <w:t>正常工况下</w:t>
            </w:r>
            <w:r>
              <w:rPr>
                <w:rFonts w:hint="eastAsia" w:ascii="Times New Roman" w:hAnsi="Times New Roman" w:eastAsia="宋体" w:cs="Times New Roman"/>
                <w:color w:val="auto"/>
                <w:sz w:val="24"/>
                <w:szCs w:val="24"/>
                <w:lang w:val="en-US" w:eastAsia="zh-CN"/>
              </w:rPr>
              <w:t>污水</w:t>
            </w:r>
            <w:r>
              <w:rPr>
                <w:rFonts w:hint="default" w:ascii="Times New Roman" w:hAnsi="Times New Roman" w:eastAsia="宋体" w:cs="Times New Roman"/>
                <w:color w:val="auto"/>
                <w:sz w:val="24"/>
                <w:szCs w:val="24"/>
              </w:rPr>
              <w:t>不易渗漏和进入地下水。根据现场调查，项目</w:t>
            </w:r>
            <w:r>
              <w:rPr>
                <w:rFonts w:hint="eastAsia" w:ascii="Times New Roman" w:hAnsi="Times New Roman" w:eastAsia="宋体" w:cs="Times New Roman"/>
                <w:color w:val="auto"/>
                <w:sz w:val="24"/>
                <w:szCs w:val="24"/>
                <w:lang w:val="en-US" w:eastAsia="zh-CN"/>
              </w:rPr>
              <w:t>周边</w:t>
            </w:r>
            <w:r>
              <w:rPr>
                <w:rFonts w:hint="eastAsia" w:ascii="Times New Roman" w:hAnsi="Times New Roman" w:eastAsia="宋体" w:cs="Times New Roman"/>
                <w:color w:val="auto"/>
                <w:sz w:val="24"/>
                <w:szCs w:val="24"/>
                <w:lang w:eastAsia="zh-CN"/>
              </w:rPr>
              <w:t>区域</w:t>
            </w:r>
            <w:r>
              <w:rPr>
                <w:rFonts w:hint="default" w:ascii="Times New Roman" w:hAnsi="Times New Roman" w:eastAsia="宋体" w:cs="Times New Roman"/>
                <w:color w:val="auto"/>
                <w:sz w:val="24"/>
                <w:szCs w:val="24"/>
              </w:rPr>
              <w:t>已全部开通自来水管网、生活用水采用自来水。</w:t>
            </w:r>
            <w:r>
              <w:rPr>
                <w:rFonts w:hint="eastAsia" w:ascii="Times New Roman" w:hAnsi="Times New Roman" w:eastAsia="宋体" w:cs="Times New Roman"/>
                <w:color w:val="auto"/>
                <w:sz w:val="24"/>
                <w:szCs w:val="24"/>
                <w:lang w:val="en-US" w:eastAsia="zh-CN"/>
              </w:rPr>
              <w:t>拟建</w:t>
            </w:r>
            <w:r>
              <w:rPr>
                <w:rFonts w:ascii="Times New Roman" w:hAnsi="Times New Roman" w:eastAsia="宋体" w:cs="Times New Roman"/>
                <w:color w:val="auto"/>
                <w:sz w:val="24"/>
                <w:szCs w:val="24"/>
              </w:rPr>
              <w:t>项目未对</w:t>
            </w:r>
            <w:r>
              <w:rPr>
                <w:rFonts w:hint="eastAsia" w:ascii="Times New Roman" w:hAnsi="Times New Roman" w:eastAsia="宋体" w:cs="Times New Roman"/>
                <w:color w:val="auto"/>
                <w:sz w:val="24"/>
                <w:szCs w:val="24"/>
              </w:rPr>
              <w:t>地下水进行开采，运营期间用水由市政</w:t>
            </w:r>
            <w:r>
              <w:rPr>
                <w:rFonts w:hint="eastAsia" w:ascii="Times New Roman" w:hAnsi="Times New Roman" w:eastAsia="宋体" w:cs="Times New Roman"/>
                <w:color w:val="auto"/>
                <w:sz w:val="24"/>
                <w:szCs w:val="24"/>
                <w:lang w:eastAsia="zh-CN"/>
              </w:rPr>
              <w:t>管网</w:t>
            </w:r>
            <w:r>
              <w:rPr>
                <w:rFonts w:hint="eastAsia" w:ascii="Times New Roman" w:hAnsi="Times New Roman" w:eastAsia="宋体" w:cs="Times New Roman"/>
                <w:color w:val="auto"/>
                <w:sz w:val="24"/>
                <w:szCs w:val="24"/>
              </w:rPr>
              <w:t>供水，不会对地下水水位产生影响。</w:t>
            </w:r>
          </w:p>
          <w:p w14:paraId="2EAA6C0C">
            <w:pPr>
              <w:spacing w:line="360" w:lineRule="auto"/>
              <w:ind w:firstLine="480" w:firstLineChars="200"/>
              <w:rPr>
                <w:rFonts w:ascii="Times New Roman" w:hAnsi="Times New Roman" w:eastAsia="宋体" w:cs="Times New Roman"/>
                <w:color w:val="auto"/>
                <w:sz w:val="24"/>
                <w:szCs w:val="24"/>
              </w:rPr>
            </w:pPr>
            <w:r>
              <w:rPr>
                <w:rFonts w:ascii="Times New Roman" w:hAnsi="Times New Roman" w:eastAsia="宋体"/>
                <w:color w:val="auto"/>
                <w:kern w:val="18"/>
                <w:sz w:val="24"/>
                <w:szCs w:val="24"/>
              </w:rPr>
              <w:t>建设单位采取分区防渗防控措施</w:t>
            </w:r>
            <w:r>
              <w:rPr>
                <w:rFonts w:hint="eastAsia" w:ascii="Times New Roman" w:hAnsi="Times New Roman" w:eastAsia="宋体"/>
                <w:color w:val="auto"/>
                <w:kern w:val="18"/>
                <w:sz w:val="24"/>
                <w:szCs w:val="24"/>
              </w:rPr>
              <w:t>后，在正常工况下，建设项目防渗设施充足，不会发生泄漏</w:t>
            </w:r>
            <w:r>
              <w:rPr>
                <w:rFonts w:hint="eastAsia" w:ascii="Times New Roman" w:hAnsi="Times New Roman" w:eastAsia="宋体"/>
                <w:color w:val="auto"/>
                <w:kern w:val="18"/>
                <w:sz w:val="24"/>
                <w:szCs w:val="24"/>
                <w:lang w:eastAsia="zh-CN"/>
              </w:rPr>
              <w:t>；</w:t>
            </w:r>
            <w:r>
              <w:rPr>
                <w:rFonts w:hint="eastAsia" w:ascii="Times New Roman" w:hAnsi="Times New Roman" w:eastAsia="宋体" w:cs="Times New Roman"/>
                <w:color w:val="auto"/>
                <w:sz w:val="24"/>
                <w:szCs w:val="24"/>
              </w:rPr>
              <w:t>非正常工况下，会对地下水下游造成一定的污染。为了避免污染事故，评价要求建设单位应严格落实评价提出的各项防治措施及相关设计规范的要求，同时做好地下水监控及污染事故应急方案。</w:t>
            </w:r>
          </w:p>
          <w:p w14:paraId="696B025C">
            <w:pPr>
              <w:spacing w:line="360" w:lineRule="auto"/>
              <w:ind w:firstLine="480" w:firstLineChars="200"/>
              <w:rPr>
                <w:rFonts w:hint="eastAsia" w:ascii="Times New Roman" w:hAnsi="Times New Roman" w:eastAsia="宋体"/>
                <w:color w:val="auto"/>
                <w:sz w:val="24"/>
                <w:szCs w:val="24"/>
              </w:rPr>
            </w:pPr>
            <w:r>
              <w:rPr>
                <w:rFonts w:hint="eastAsia" w:ascii="Times New Roman" w:hAnsi="Times New Roman" w:eastAsia="宋体"/>
                <w:color w:val="auto"/>
                <w:sz w:val="24"/>
                <w:szCs w:val="24"/>
                <w:lang w:eastAsia="zh-CN"/>
              </w:rPr>
              <w:t>（</w:t>
            </w:r>
            <w:r>
              <w:rPr>
                <w:rFonts w:hint="eastAsia" w:ascii="Times New Roman" w:hAnsi="Times New Roman" w:eastAsia="宋体"/>
                <w:color w:val="auto"/>
                <w:sz w:val="24"/>
                <w:szCs w:val="24"/>
                <w:lang w:val="en-US" w:eastAsia="zh-CN"/>
              </w:rPr>
              <w:t>2</w:t>
            </w:r>
            <w:r>
              <w:rPr>
                <w:rFonts w:hint="eastAsia" w:ascii="Times New Roman" w:hAnsi="Times New Roman" w:eastAsia="宋体"/>
                <w:color w:val="auto"/>
                <w:sz w:val="24"/>
                <w:szCs w:val="24"/>
                <w:lang w:eastAsia="zh-CN"/>
              </w:rPr>
              <w:t>）</w:t>
            </w:r>
            <w:r>
              <w:rPr>
                <w:rFonts w:hint="eastAsia" w:ascii="Times New Roman" w:hAnsi="Times New Roman" w:eastAsia="宋体"/>
                <w:color w:val="auto"/>
                <w:sz w:val="24"/>
                <w:szCs w:val="24"/>
              </w:rPr>
              <w:t>土壤</w:t>
            </w:r>
            <w:r>
              <w:rPr>
                <w:rFonts w:ascii="Times New Roman" w:hAnsi="Times New Roman" w:eastAsia="宋体"/>
                <w:color w:val="auto"/>
                <w:sz w:val="24"/>
                <w:szCs w:val="24"/>
              </w:rPr>
              <w:t>环境</w:t>
            </w:r>
            <w:r>
              <w:rPr>
                <w:rFonts w:hint="eastAsia" w:ascii="Times New Roman" w:hAnsi="Times New Roman" w:eastAsia="宋体" w:cs="Times New Roman"/>
                <w:color w:val="auto"/>
                <w:sz w:val="24"/>
                <w:szCs w:val="24"/>
              </w:rPr>
              <w:t>影响分析</w:t>
            </w:r>
          </w:p>
          <w:p w14:paraId="1F02F2C8">
            <w:pPr>
              <w:widowControl/>
              <w:spacing w:line="360" w:lineRule="auto"/>
              <w:ind w:firstLine="480" w:firstLineChars="200"/>
              <w:jc w:val="left"/>
              <w:rPr>
                <w:rFonts w:ascii="Times New Roman" w:hAnsi="Times New Roman" w:eastAsia="宋体"/>
                <w:color w:val="auto"/>
                <w:kern w:val="0"/>
                <w:sz w:val="24"/>
                <w:szCs w:val="24"/>
              </w:rPr>
            </w:pPr>
            <w:r>
              <w:rPr>
                <w:rFonts w:hint="eastAsia" w:ascii="Times New Roman" w:hAnsi="Times New Roman" w:eastAsia="宋体"/>
                <w:color w:val="auto"/>
                <w:kern w:val="0"/>
                <w:sz w:val="24"/>
                <w:szCs w:val="24"/>
              </w:rPr>
              <w:t>项目运营期对土壤的环境影响主要来自“三废”排放。</w:t>
            </w:r>
          </w:p>
          <w:p w14:paraId="65C7F6E0">
            <w:pPr>
              <w:widowControl/>
              <w:spacing w:line="360" w:lineRule="auto"/>
              <w:ind w:firstLine="480" w:firstLineChars="200"/>
              <w:jc w:val="left"/>
              <w:rPr>
                <w:rFonts w:ascii="Times New Roman" w:hAnsi="Times New Roman" w:eastAsia="宋体"/>
                <w:color w:val="auto"/>
                <w:kern w:val="0"/>
                <w:sz w:val="24"/>
                <w:szCs w:val="24"/>
              </w:rPr>
            </w:pPr>
            <w:r>
              <w:rPr>
                <w:rFonts w:hint="eastAsia" w:ascii="Times New Roman" w:hAnsi="Times New Roman" w:eastAsia="宋体"/>
                <w:color w:val="auto"/>
                <w:kern w:val="0"/>
                <w:sz w:val="24"/>
                <w:szCs w:val="24"/>
                <w:lang w:val="en-US" w:eastAsia="zh-CN"/>
              </w:rPr>
              <w:t>①</w:t>
            </w:r>
            <w:r>
              <w:rPr>
                <w:rFonts w:hint="eastAsia" w:ascii="Times New Roman" w:hAnsi="Times New Roman" w:eastAsia="宋体"/>
                <w:color w:val="auto"/>
                <w:kern w:val="0"/>
                <w:sz w:val="24"/>
                <w:szCs w:val="24"/>
              </w:rPr>
              <w:t>废气对土壤环境的影响</w:t>
            </w:r>
          </w:p>
          <w:p w14:paraId="17EDF67A">
            <w:pPr>
              <w:widowControl/>
              <w:spacing w:line="360" w:lineRule="auto"/>
              <w:ind w:firstLine="480" w:firstLineChars="200"/>
              <w:jc w:val="left"/>
              <w:rPr>
                <w:rFonts w:ascii="Times New Roman" w:hAnsi="Times New Roman" w:eastAsia="宋体"/>
                <w:color w:val="auto"/>
                <w:kern w:val="0"/>
                <w:sz w:val="24"/>
                <w:szCs w:val="24"/>
              </w:rPr>
            </w:pPr>
            <w:r>
              <w:rPr>
                <w:rFonts w:hint="eastAsia" w:ascii="Times New Roman" w:hAnsi="Times New Roman" w:eastAsia="宋体"/>
                <w:color w:val="auto"/>
                <w:kern w:val="0"/>
                <w:sz w:val="24"/>
                <w:szCs w:val="24"/>
              </w:rPr>
              <w:t>废气中的污染物，通过降水、扩散和重力作用降落至地面，渗透进入土壤，进而污染土壤环境。</w:t>
            </w:r>
          </w:p>
          <w:p w14:paraId="72C3EDD0">
            <w:pPr>
              <w:widowControl/>
              <w:spacing w:line="360" w:lineRule="auto"/>
              <w:ind w:firstLine="480" w:firstLineChars="200"/>
              <w:jc w:val="left"/>
              <w:rPr>
                <w:rFonts w:ascii="Times New Roman" w:hAnsi="Times New Roman" w:eastAsia="宋体"/>
                <w:color w:val="auto"/>
                <w:kern w:val="0"/>
                <w:sz w:val="24"/>
                <w:szCs w:val="24"/>
              </w:rPr>
            </w:pPr>
            <w:r>
              <w:rPr>
                <w:rFonts w:hint="eastAsia" w:ascii="Times New Roman" w:hAnsi="Times New Roman" w:eastAsia="宋体"/>
                <w:color w:val="auto"/>
                <w:kern w:val="0"/>
                <w:sz w:val="24"/>
                <w:szCs w:val="24"/>
                <w:lang w:val="en-US" w:eastAsia="zh-CN"/>
              </w:rPr>
              <w:t>②</w:t>
            </w:r>
            <w:r>
              <w:rPr>
                <w:rFonts w:hint="eastAsia" w:ascii="Times New Roman" w:hAnsi="Times New Roman" w:eastAsia="宋体"/>
                <w:color w:val="auto"/>
                <w:kern w:val="0"/>
                <w:sz w:val="24"/>
                <w:szCs w:val="24"/>
              </w:rPr>
              <w:t>废水对土壤环境的影响</w:t>
            </w:r>
          </w:p>
          <w:p w14:paraId="6564854F">
            <w:pPr>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ascii="Times New Roman" w:hAnsi="Times New Roman" w:eastAsia="宋体" w:cs="Times New Roman"/>
                <w:color w:val="auto"/>
                <w:sz w:val="24"/>
                <w:szCs w:val="24"/>
              </w:rPr>
              <w:t>本项目</w:t>
            </w:r>
            <w:r>
              <w:rPr>
                <w:rFonts w:hint="eastAsia" w:ascii="Times New Roman" w:hAnsi="Times New Roman" w:eastAsia="宋体" w:cs="Times New Roman"/>
                <w:color w:val="auto"/>
                <w:sz w:val="24"/>
                <w:szCs w:val="24"/>
                <w:lang w:eastAsia="zh-CN"/>
              </w:rPr>
              <w:t>生产废水及初期雨水经处理后回用于搅拌，不外排，</w:t>
            </w:r>
            <w:r>
              <w:rPr>
                <w:rFonts w:hint="eastAsia" w:ascii="Times New Roman" w:hAnsi="Times New Roman" w:eastAsia="宋体" w:cs="Times New Roman"/>
                <w:color w:val="auto"/>
                <w:sz w:val="24"/>
                <w:szCs w:val="24"/>
                <w:lang w:val="en-US" w:eastAsia="zh-CN"/>
              </w:rPr>
              <w:t>生活污水经</w:t>
            </w:r>
            <w:r>
              <w:rPr>
                <w:rFonts w:hint="eastAsia" w:ascii="Times New Roman" w:hAnsi="Times New Roman" w:eastAsia="宋体" w:cs="Times New Roman"/>
                <w:color w:val="auto"/>
                <w:sz w:val="24"/>
                <w:szCs w:val="24"/>
              </w:rPr>
              <w:t>处理</w:t>
            </w:r>
            <w:r>
              <w:rPr>
                <w:rFonts w:hint="eastAsia" w:cs="Times New Roman"/>
                <w:color w:val="auto"/>
                <w:sz w:val="24"/>
                <w:szCs w:val="24"/>
                <w:lang w:val="en-US" w:eastAsia="zh-CN"/>
              </w:rPr>
              <w:t>后回用于厂区绿化灌溉</w:t>
            </w:r>
            <w:r>
              <w:rPr>
                <w:rFonts w:hint="default"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eastAsia="zh-CN"/>
              </w:rPr>
              <w:t>正常情况下，</w:t>
            </w:r>
            <w:r>
              <w:rPr>
                <w:rFonts w:hint="default" w:ascii="Times New Roman" w:hAnsi="Times New Roman" w:eastAsia="宋体" w:cs="Times New Roman"/>
                <w:color w:val="auto"/>
                <w:sz w:val="24"/>
                <w:szCs w:val="24"/>
                <w:highlight w:val="none"/>
                <w:lang w:eastAsia="zh-CN"/>
              </w:rPr>
              <w:t>项目运营期废水对土壤环境的影响不大。</w:t>
            </w:r>
          </w:p>
          <w:p w14:paraId="1759BCC0">
            <w:pPr>
              <w:widowControl/>
              <w:spacing w:line="360" w:lineRule="auto"/>
              <w:ind w:firstLine="480" w:firstLineChars="200"/>
              <w:jc w:val="left"/>
              <w:rPr>
                <w:rFonts w:ascii="Times New Roman" w:hAnsi="Times New Roman" w:eastAsia="宋体"/>
                <w:color w:val="auto"/>
                <w:kern w:val="0"/>
                <w:sz w:val="24"/>
                <w:szCs w:val="24"/>
              </w:rPr>
            </w:pPr>
            <w:r>
              <w:rPr>
                <w:rFonts w:hint="eastAsia" w:ascii="Times New Roman" w:hAnsi="Times New Roman" w:eastAsia="宋体"/>
                <w:color w:val="auto"/>
                <w:kern w:val="0"/>
                <w:sz w:val="24"/>
                <w:szCs w:val="24"/>
                <w:lang w:val="en-US" w:eastAsia="zh-CN"/>
              </w:rPr>
              <w:t>③</w:t>
            </w:r>
            <w:r>
              <w:rPr>
                <w:rFonts w:hint="eastAsia" w:ascii="Times New Roman" w:hAnsi="Times New Roman" w:eastAsia="宋体"/>
                <w:color w:val="auto"/>
                <w:kern w:val="0"/>
                <w:sz w:val="24"/>
                <w:szCs w:val="24"/>
              </w:rPr>
              <w:t>危险废物对土壤环境的影响</w:t>
            </w:r>
          </w:p>
          <w:p w14:paraId="58367791">
            <w:pPr>
              <w:widowControl/>
              <w:spacing w:line="360" w:lineRule="auto"/>
              <w:ind w:firstLine="480" w:firstLineChars="200"/>
              <w:jc w:val="left"/>
              <w:rPr>
                <w:rFonts w:ascii="Times New Roman" w:hAnsi="Times New Roman" w:eastAsia="宋体"/>
                <w:color w:val="auto"/>
                <w:kern w:val="0"/>
                <w:sz w:val="24"/>
                <w:szCs w:val="24"/>
              </w:rPr>
            </w:pPr>
            <w:r>
              <w:rPr>
                <w:rFonts w:hint="eastAsia" w:ascii="Times New Roman" w:hAnsi="Times New Roman" w:eastAsia="宋体"/>
                <w:color w:val="auto"/>
                <w:kern w:val="0"/>
                <w:sz w:val="24"/>
                <w:szCs w:val="24"/>
              </w:rPr>
              <w:t>危险废物泄漏或危险废物未及时处理而产生的渗出液、滤沥液进入土壤，进而污染土壤环境。</w:t>
            </w:r>
          </w:p>
          <w:p w14:paraId="5CC8E724">
            <w:pPr>
              <w:spacing w:line="360" w:lineRule="auto"/>
              <w:ind w:firstLine="480" w:firstLineChars="200"/>
              <w:rPr>
                <w:rFonts w:ascii="Times New Roman" w:hAnsi="Times New Roman" w:eastAsia="宋体"/>
                <w:color w:val="auto"/>
                <w:sz w:val="24"/>
                <w:szCs w:val="24"/>
              </w:rPr>
            </w:pPr>
            <w:r>
              <w:rPr>
                <w:rFonts w:hint="eastAsia" w:ascii="Times New Roman" w:hAnsi="Times New Roman" w:eastAsia="宋体"/>
                <w:color w:val="auto"/>
                <w:sz w:val="24"/>
                <w:szCs w:val="24"/>
                <w:lang w:val="en-US" w:eastAsia="zh-CN"/>
              </w:rPr>
              <w:t>④</w:t>
            </w:r>
            <w:r>
              <w:rPr>
                <w:rFonts w:hint="eastAsia" w:ascii="Times New Roman" w:hAnsi="Times New Roman" w:eastAsia="宋体"/>
                <w:color w:val="auto"/>
                <w:sz w:val="24"/>
                <w:szCs w:val="24"/>
              </w:rPr>
              <w:t>污染物进入土壤产生的影响</w:t>
            </w:r>
          </w:p>
          <w:p w14:paraId="2823E253">
            <w:pPr>
              <w:spacing w:line="360" w:lineRule="auto"/>
              <w:ind w:firstLine="480" w:firstLineChars="200"/>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4"/>
                <w:szCs w:val="24"/>
              </w:rPr>
              <w:t>根据分析可知，物料渗漏影响土壤的主要是有机物，有机物进入土壤的数量和速度超过了土壤的净化作用的速度，破坏了自然动态平衡，使污染物的积累过程逐渐占据优势，从而导致土壤自然正常功能失调，土壤质量下降，并影响到作物的生长发育，以及产量和质量下降。有机物污染进入土壤后，可危及农作物生长和土壤生物的生存，</w:t>
            </w:r>
            <w:r>
              <w:rPr>
                <w:rFonts w:ascii="Times New Roman" w:hAnsi="Times New Roman" w:eastAsia="宋体"/>
                <w:color w:val="auto"/>
                <w:sz w:val="24"/>
                <w:szCs w:val="24"/>
              </w:rPr>
              <w:t>而土壤污染往往是以食物链方式通过粮食、蔬菜、水果、茶叶及草食性动物(如家禽家畜)乃至肉食性动物等最后进入人体而影响人群健康。因此，这是一个逐步累积的过程，具有隐蔽性和潜伏性。</w:t>
            </w:r>
            <w:r>
              <w:rPr>
                <w:rFonts w:hint="eastAsia" w:ascii="Times New Roman" w:hAnsi="Times New Roman" w:eastAsia="宋体"/>
                <w:color w:val="auto"/>
                <w:sz w:val="24"/>
                <w:szCs w:val="24"/>
              </w:rPr>
              <w:t>人体接触污染土壤后，手脚出现红色皮疹，并有恶心，头晕现象。</w:t>
            </w:r>
            <w:r>
              <w:rPr>
                <w:rFonts w:hint="eastAsia" w:ascii="Times New Roman" w:hAnsi="Times New Roman" w:eastAsia="宋体"/>
                <w:color w:val="auto"/>
                <w:sz w:val="24"/>
                <w:szCs w:val="24"/>
                <w:lang w:val="en-US" w:eastAsia="zh-CN"/>
              </w:rPr>
              <w:t>本项目不涉及有机废气的排放，因此</w:t>
            </w:r>
            <w:r>
              <w:rPr>
                <w:rFonts w:hint="eastAsia"/>
                <w:color w:val="auto"/>
                <w:sz w:val="24"/>
                <w:szCs w:val="24"/>
                <w:lang w:val="en-US" w:eastAsia="zh-CN"/>
              </w:rPr>
              <w:t>基本不会对土壤产生有机物</w:t>
            </w:r>
            <w:r>
              <w:rPr>
                <w:rFonts w:hint="eastAsia" w:ascii="Times New Roman" w:hAnsi="Times New Roman" w:eastAsia="宋体"/>
                <w:color w:val="auto"/>
                <w:sz w:val="24"/>
                <w:szCs w:val="24"/>
                <w:lang w:val="en-US" w:eastAsia="zh-CN"/>
              </w:rPr>
              <w:t>富集影响。</w:t>
            </w:r>
          </w:p>
          <w:p w14:paraId="0D3C18F1">
            <w:pPr>
              <w:pStyle w:val="4"/>
              <w:bidi w:val="0"/>
              <w:rPr>
                <w:rFonts w:hint="eastAsia"/>
                <w:color w:val="auto"/>
                <w:highlight w:val="none"/>
                <w:shd w:val="clear" w:color="auto" w:fill="auto"/>
              </w:rPr>
            </w:pPr>
            <w:r>
              <w:rPr>
                <w:rFonts w:hint="eastAsia"/>
                <w:color w:val="auto"/>
                <w:highlight w:val="none"/>
                <w:shd w:val="clear" w:color="auto" w:fill="auto"/>
              </w:rPr>
              <w:t>4.</w:t>
            </w:r>
            <w:r>
              <w:rPr>
                <w:rFonts w:hint="eastAsia"/>
                <w:color w:val="auto"/>
                <w:highlight w:val="none"/>
                <w:shd w:val="clear" w:color="auto" w:fill="auto"/>
                <w:lang w:val="en-US" w:eastAsia="zh-CN"/>
              </w:rPr>
              <w:t>6</w:t>
            </w:r>
            <w:r>
              <w:rPr>
                <w:rFonts w:hint="eastAsia"/>
                <w:color w:val="auto"/>
                <w:highlight w:val="none"/>
                <w:shd w:val="clear" w:color="auto" w:fill="auto"/>
              </w:rPr>
              <w:t xml:space="preserve">.2 </w:t>
            </w:r>
            <w:r>
              <w:rPr>
                <w:color w:val="auto"/>
                <w:highlight w:val="none"/>
                <w:shd w:val="clear" w:color="auto" w:fill="auto"/>
              </w:rPr>
              <w:t>地下水、土壤环境</w:t>
            </w:r>
            <w:r>
              <w:rPr>
                <w:rFonts w:hint="eastAsia"/>
                <w:color w:val="auto"/>
                <w:highlight w:val="none"/>
                <w:shd w:val="clear" w:color="auto" w:fill="auto"/>
              </w:rPr>
              <w:t>防控</w:t>
            </w:r>
            <w:r>
              <w:rPr>
                <w:color w:val="auto"/>
                <w:highlight w:val="none"/>
                <w:shd w:val="clear" w:color="auto" w:fill="auto"/>
              </w:rPr>
              <w:t>措施</w:t>
            </w:r>
          </w:p>
          <w:p w14:paraId="4B6A04E7">
            <w:pPr>
              <w:spacing w:line="360" w:lineRule="auto"/>
              <w:ind w:firstLine="482" w:firstLineChars="200"/>
              <w:rPr>
                <w:rFonts w:hint="default" w:ascii="Times New Roman" w:hAnsi="Times New Roman" w:eastAsia="宋体"/>
                <w:b/>
                <w:bCs/>
                <w:color w:val="auto"/>
                <w:sz w:val="24"/>
                <w:szCs w:val="24"/>
                <w:highlight w:val="none"/>
                <w:shd w:val="clear" w:color="auto" w:fill="auto"/>
                <w:lang w:val="en-US" w:eastAsia="zh-CN"/>
              </w:rPr>
            </w:pPr>
            <w:r>
              <w:rPr>
                <w:rFonts w:hint="eastAsia" w:ascii="Times New Roman" w:hAnsi="Times New Roman" w:eastAsia="宋体"/>
                <w:b/>
                <w:bCs/>
                <w:color w:val="auto"/>
                <w:sz w:val="24"/>
                <w:szCs w:val="24"/>
                <w:highlight w:val="none"/>
                <w:shd w:val="clear" w:color="auto" w:fill="auto"/>
                <w:lang w:val="en-US" w:eastAsia="zh-CN"/>
              </w:rPr>
              <w:t>（1）源头控制</w:t>
            </w:r>
          </w:p>
          <w:p w14:paraId="235EC9EE">
            <w:pPr>
              <w:pStyle w:val="11"/>
              <w:tabs>
                <w:tab w:val="left" w:pos="5460"/>
              </w:tabs>
              <w:spacing w:after="0" w:line="360" w:lineRule="auto"/>
              <w:ind w:left="0" w:leftChars="0" w:firstLine="480" w:firstLineChars="200"/>
              <w:jc w:val="left"/>
              <w:rPr>
                <w:rFonts w:hint="eastAsia" w:ascii="Times New Roman" w:hAnsi="Times New Roman" w:eastAsia="宋体"/>
                <w:color w:val="auto"/>
                <w:sz w:val="24"/>
                <w:szCs w:val="24"/>
                <w:highlight w:val="none"/>
                <w:shd w:val="clear" w:color="auto" w:fill="auto"/>
              </w:rPr>
            </w:pPr>
            <w:r>
              <w:rPr>
                <w:rFonts w:hint="eastAsia" w:ascii="Times New Roman" w:hAnsi="Times New Roman" w:eastAsia="宋体"/>
                <w:color w:val="auto"/>
                <w:sz w:val="24"/>
                <w:szCs w:val="24"/>
                <w:highlight w:val="none"/>
                <w:shd w:val="clear" w:color="auto" w:fill="auto"/>
              </w:rPr>
              <w:t>①对管道、设备、污水储存及处理构筑物等严格检查，有质量问题的及时更换、检修，废水管道及阀门采用优质产品，防止和降低“跑、冒、滴、漏”现象；</w:t>
            </w:r>
          </w:p>
          <w:p w14:paraId="5C764146">
            <w:pPr>
              <w:pStyle w:val="11"/>
              <w:tabs>
                <w:tab w:val="left" w:pos="5460"/>
              </w:tabs>
              <w:spacing w:after="0" w:line="360" w:lineRule="auto"/>
              <w:ind w:left="0" w:leftChars="0" w:firstLine="480" w:firstLineChars="200"/>
              <w:jc w:val="left"/>
              <w:rPr>
                <w:rFonts w:hint="eastAsia" w:ascii="Times New Roman" w:hAnsi="Times New Roman" w:eastAsia="宋体"/>
                <w:color w:val="auto"/>
                <w:sz w:val="24"/>
                <w:szCs w:val="24"/>
                <w:highlight w:val="none"/>
                <w:shd w:val="clear" w:color="auto" w:fill="auto"/>
              </w:rPr>
            </w:pPr>
            <w:r>
              <w:rPr>
                <w:rFonts w:hint="eastAsia" w:ascii="Times New Roman" w:hAnsi="Times New Roman" w:eastAsia="宋体"/>
                <w:color w:val="auto"/>
                <w:sz w:val="24"/>
                <w:szCs w:val="24"/>
                <w:highlight w:val="none"/>
                <w:shd w:val="clear" w:color="auto" w:fill="auto"/>
              </w:rPr>
              <w:t>②危险废物贮存</w:t>
            </w:r>
            <w:r>
              <w:rPr>
                <w:rFonts w:hint="eastAsia"/>
                <w:color w:val="auto"/>
                <w:sz w:val="24"/>
                <w:szCs w:val="24"/>
                <w:highlight w:val="none"/>
                <w:shd w:val="clear" w:color="auto" w:fill="auto"/>
                <w:lang w:eastAsia="zh-CN"/>
              </w:rPr>
              <w:t>库</w:t>
            </w:r>
            <w:r>
              <w:rPr>
                <w:rFonts w:hint="eastAsia" w:ascii="Times New Roman" w:hAnsi="Times New Roman" w:eastAsia="宋体"/>
                <w:color w:val="auto"/>
                <w:sz w:val="24"/>
                <w:szCs w:val="24"/>
                <w:highlight w:val="none"/>
                <w:shd w:val="clear" w:color="auto" w:fill="auto"/>
              </w:rPr>
              <w:t>严格按照</w:t>
            </w:r>
            <w:r>
              <w:rPr>
                <w:rFonts w:ascii="Times New Roman" w:hAnsi="Times New Roman" w:eastAsia="宋体"/>
                <w:snapToGrid w:val="0"/>
                <w:color w:val="auto"/>
                <w:kern w:val="0"/>
                <w:sz w:val="24"/>
                <w:szCs w:val="24"/>
                <w:highlight w:val="none"/>
                <w:shd w:val="clear" w:color="auto" w:fill="auto"/>
              </w:rPr>
              <w:t>《危险废物贮存污染控制标准》（GB18597-</w:t>
            </w:r>
            <w:r>
              <w:rPr>
                <w:rFonts w:hint="eastAsia" w:ascii="Times New Roman" w:hAnsi="Times New Roman" w:eastAsia="宋体"/>
                <w:snapToGrid w:val="0"/>
                <w:color w:val="auto"/>
                <w:kern w:val="0"/>
                <w:sz w:val="24"/>
                <w:szCs w:val="24"/>
                <w:highlight w:val="none"/>
                <w:shd w:val="clear" w:color="auto" w:fill="auto"/>
                <w:lang w:val="en-US" w:eastAsia="zh-CN"/>
              </w:rPr>
              <w:t>2023</w:t>
            </w:r>
            <w:r>
              <w:rPr>
                <w:rFonts w:ascii="Times New Roman" w:hAnsi="Times New Roman" w:eastAsia="宋体"/>
                <w:snapToGrid w:val="0"/>
                <w:color w:val="auto"/>
                <w:kern w:val="0"/>
                <w:sz w:val="24"/>
                <w:szCs w:val="24"/>
                <w:highlight w:val="none"/>
                <w:shd w:val="clear" w:color="auto" w:fill="auto"/>
              </w:rPr>
              <w:t>）</w:t>
            </w:r>
            <w:r>
              <w:rPr>
                <w:rFonts w:hint="eastAsia" w:ascii="Times New Roman" w:hAnsi="Times New Roman" w:eastAsia="宋体"/>
                <w:snapToGrid w:val="0"/>
                <w:color w:val="auto"/>
                <w:kern w:val="0"/>
                <w:sz w:val="24"/>
                <w:szCs w:val="24"/>
                <w:highlight w:val="none"/>
                <w:shd w:val="clear" w:color="auto" w:fill="auto"/>
              </w:rPr>
              <w:t>，地面硬化防渗，</w:t>
            </w:r>
            <w:r>
              <w:rPr>
                <w:rFonts w:hint="eastAsia" w:ascii="Times New Roman" w:hAnsi="Times New Roman" w:eastAsia="宋体"/>
                <w:color w:val="auto"/>
                <w:sz w:val="24"/>
                <w:szCs w:val="24"/>
                <w:highlight w:val="none"/>
                <w:shd w:val="clear" w:color="auto" w:fill="auto"/>
              </w:rPr>
              <w:t>危险废物的搜集、转运、交接、接收、贮存严格按照相应的规程、规范执行。危险废物贮存</w:t>
            </w:r>
            <w:r>
              <w:rPr>
                <w:rFonts w:hint="eastAsia"/>
                <w:color w:val="auto"/>
                <w:sz w:val="24"/>
                <w:szCs w:val="24"/>
                <w:highlight w:val="none"/>
                <w:shd w:val="clear" w:color="auto" w:fill="auto"/>
                <w:lang w:eastAsia="zh-CN"/>
              </w:rPr>
              <w:t>库</w:t>
            </w:r>
            <w:r>
              <w:rPr>
                <w:rFonts w:hint="eastAsia" w:ascii="Times New Roman" w:hAnsi="Times New Roman" w:eastAsia="宋体"/>
                <w:color w:val="auto"/>
                <w:sz w:val="24"/>
                <w:szCs w:val="24"/>
                <w:highlight w:val="none"/>
                <w:shd w:val="clear" w:color="auto" w:fill="auto"/>
              </w:rPr>
              <w:t>的危废容器均根据物料性质选择相容材质的容器存放，液态危险废物</w:t>
            </w:r>
            <w:r>
              <w:rPr>
                <w:rFonts w:hint="eastAsia" w:ascii="Times New Roman" w:hAnsi="Times New Roman" w:eastAsia="宋体"/>
                <w:color w:val="auto"/>
                <w:sz w:val="24"/>
                <w:szCs w:val="24"/>
                <w:highlight w:val="none"/>
                <w:shd w:val="clear" w:color="auto" w:fill="auto"/>
                <w:lang w:val="en-US" w:eastAsia="zh-CN"/>
              </w:rPr>
              <w:t>容器底部加设防渗托盘防渗漏</w:t>
            </w:r>
            <w:r>
              <w:rPr>
                <w:rFonts w:hint="eastAsia" w:ascii="Times New Roman" w:hAnsi="Times New Roman" w:eastAsia="宋体"/>
                <w:color w:val="auto"/>
                <w:sz w:val="24"/>
                <w:szCs w:val="24"/>
                <w:highlight w:val="none"/>
                <w:shd w:val="clear" w:color="auto" w:fill="auto"/>
              </w:rPr>
              <w:t>。</w:t>
            </w:r>
          </w:p>
          <w:p w14:paraId="63E9A35A">
            <w:pPr>
              <w:pStyle w:val="11"/>
              <w:tabs>
                <w:tab w:val="left" w:pos="5460"/>
              </w:tabs>
              <w:spacing w:after="0" w:line="360" w:lineRule="auto"/>
              <w:ind w:left="0" w:leftChars="0" w:firstLine="480" w:firstLineChars="200"/>
              <w:jc w:val="left"/>
              <w:rPr>
                <w:rFonts w:hint="eastAsia" w:ascii="Times New Roman" w:hAnsi="Times New Roman" w:eastAsia="宋体"/>
                <w:color w:val="auto"/>
                <w:sz w:val="24"/>
                <w:szCs w:val="24"/>
                <w:highlight w:val="none"/>
                <w:shd w:val="clear" w:color="auto" w:fill="auto"/>
              </w:rPr>
            </w:pPr>
            <w:r>
              <w:rPr>
                <w:rFonts w:hint="eastAsia" w:ascii="Times New Roman" w:hAnsi="Times New Roman" w:eastAsia="宋体"/>
                <w:color w:val="auto"/>
                <w:sz w:val="24"/>
                <w:szCs w:val="24"/>
                <w:highlight w:val="none"/>
                <w:shd w:val="clear" w:color="auto" w:fill="auto"/>
              </w:rPr>
              <w:t>③日常对厂区地面硬化防渗情况进行检查，有破损区域及时修复。</w:t>
            </w:r>
          </w:p>
          <w:p w14:paraId="62E91236">
            <w:pPr>
              <w:pStyle w:val="11"/>
              <w:tabs>
                <w:tab w:val="left" w:pos="5460"/>
              </w:tabs>
              <w:spacing w:after="0" w:line="360" w:lineRule="auto"/>
              <w:ind w:left="0" w:leftChars="0" w:firstLine="480" w:firstLineChars="200"/>
              <w:jc w:val="left"/>
              <w:rPr>
                <w:rFonts w:hint="eastAsia" w:ascii="Times New Roman" w:hAnsi="Times New Roman" w:eastAsia="宋体"/>
                <w:color w:val="auto"/>
                <w:sz w:val="24"/>
                <w:szCs w:val="24"/>
                <w:highlight w:val="none"/>
                <w:shd w:val="clear" w:color="auto" w:fill="auto"/>
              </w:rPr>
            </w:pPr>
            <w:r>
              <w:rPr>
                <w:rFonts w:hint="eastAsia" w:ascii="Times New Roman" w:hAnsi="Times New Roman" w:eastAsia="宋体"/>
                <w:color w:val="auto"/>
                <w:sz w:val="24"/>
                <w:szCs w:val="24"/>
                <w:highlight w:val="none"/>
                <w:shd w:val="clear" w:color="auto" w:fill="auto"/>
              </w:rPr>
              <w:t>④加强废气处理设施日常检查，保证废气处理设施正常运行，定期委托资质单位进行废气排放情况检测。</w:t>
            </w:r>
          </w:p>
          <w:p w14:paraId="39965E95">
            <w:pPr>
              <w:spacing w:line="360" w:lineRule="auto"/>
              <w:ind w:firstLine="482" w:firstLineChars="200"/>
              <w:rPr>
                <w:rFonts w:ascii="Times New Roman" w:hAnsi="Times New Roman" w:eastAsia="宋体"/>
                <w:b/>
                <w:bCs/>
                <w:color w:val="auto"/>
                <w:sz w:val="24"/>
                <w:szCs w:val="24"/>
                <w:highlight w:val="none"/>
                <w:shd w:val="clear" w:color="auto" w:fill="auto"/>
              </w:rPr>
            </w:pPr>
            <w:r>
              <w:rPr>
                <w:rFonts w:hint="eastAsia" w:ascii="Times New Roman" w:hAnsi="Times New Roman" w:eastAsia="宋体"/>
                <w:b/>
                <w:bCs/>
                <w:color w:val="auto"/>
                <w:sz w:val="24"/>
                <w:szCs w:val="24"/>
                <w:highlight w:val="none"/>
                <w:shd w:val="clear" w:color="auto" w:fill="auto"/>
                <w:lang w:val="en-US" w:eastAsia="zh-CN"/>
              </w:rPr>
              <w:t>（2）分区</w:t>
            </w:r>
            <w:r>
              <w:rPr>
                <w:rFonts w:ascii="Times New Roman" w:hAnsi="Times New Roman" w:eastAsia="宋体"/>
                <w:b/>
                <w:bCs/>
                <w:color w:val="auto"/>
                <w:sz w:val="24"/>
                <w:szCs w:val="24"/>
                <w:highlight w:val="none"/>
                <w:shd w:val="clear" w:color="auto" w:fill="auto"/>
              </w:rPr>
              <w:t>防渗措施</w:t>
            </w:r>
          </w:p>
          <w:p w14:paraId="3C715F14">
            <w:pPr>
              <w:spacing w:line="360" w:lineRule="auto"/>
              <w:ind w:firstLine="480" w:firstLineChars="200"/>
              <w:rPr>
                <w:rFonts w:hint="default" w:ascii="Times New Roman" w:hAnsi="Times New Roman" w:eastAsia="宋体"/>
                <w:color w:val="auto"/>
                <w:sz w:val="24"/>
                <w:szCs w:val="24"/>
                <w:highlight w:val="none"/>
                <w:shd w:val="clear" w:color="auto" w:fill="auto"/>
                <w:lang w:val="en-US" w:eastAsia="zh-CN"/>
              </w:rPr>
            </w:pPr>
            <w:r>
              <w:rPr>
                <w:rFonts w:ascii="Times New Roman" w:hAnsi="Times New Roman" w:eastAsia="宋体"/>
                <w:color w:val="auto"/>
                <w:sz w:val="24"/>
                <w:szCs w:val="24"/>
                <w:highlight w:val="none"/>
                <w:shd w:val="clear" w:color="auto" w:fill="auto"/>
              </w:rPr>
              <w:t>根据本</w:t>
            </w:r>
            <w:r>
              <w:rPr>
                <w:rFonts w:hint="eastAsia" w:ascii="Times New Roman" w:hAnsi="Times New Roman" w:eastAsia="宋体"/>
                <w:color w:val="auto"/>
                <w:sz w:val="24"/>
                <w:szCs w:val="24"/>
                <w:highlight w:val="none"/>
                <w:shd w:val="clear" w:color="auto" w:fill="auto"/>
              </w:rPr>
              <w:t>项目</w:t>
            </w:r>
            <w:r>
              <w:rPr>
                <w:rFonts w:ascii="Times New Roman" w:hAnsi="Times New Roman" w:eastAsia="宋体"/>
                <w:color w:val="auto"/>
                <w:sz w:val="24"/>
                <w:szCs w:val="24"/>
                <w:highlight w:val="none"/>
                <w:shd w:val="clear" w:color="auto" w:fill="auto"/>
              </w:rPr>
              <w:t>可能泄漏至地面区域污染物的性质和生产单元的构筑方式，将</w:t>
            </w:r>
            <w:r>
              <w:rPr>
                <w:rFonts w:hint="eastAsia" w:ascii="Times New Roman" w:hAnsi="Times New Roman" w:eastAsia="宋体"/>
                <w:color w:val="auto"/>
                <w:sz w:val="24"/>
                <w:szCs w:val="24"/>
                <w:highlight w:val="none"/>
                <w:shd w:val="clear" w:color="auto" w:fill="auto"/>
              </w:rPr>
              <w:t>厂区</w:t>
            </w:r>
            <w:r>
              <w:rPr>
                <w:rFonts w:ascii="Times New Roman" w:hAnsi="Times New Roman" w:eastAsia="宋体"/>
                <w:color w:val="auto"/>
                <w:sz w:val="24"/>
                <w:szCs w:val="24"/>
                <w:highlight w:val="none"/>
                <w:shd w:val="clear" w:color="auto" w:fill="auto"/>
              </w:rPr>
              <w:t>划分为重点污染防治区、一般污染防治区，针对不同的区域提出相应的防渗要求。</w:t>
            </w:r>
            <w:r>
              <w:rPr>
                <w:rFonts w:ascii="Times New Roman" w:hAnsi="Times New Roman" w:eastAsia="宋体"/>
                <w:color w:val="auto"/>
                <w:kern w:val="0"/>
                <w:sz w:val="24"/>
                <w:szCs w:val="24"/>
                <w:highlight w:val="none"/>
                <w:shd w:val="clear" w:color="auto" w:fill="auto"/>
              </w:rPr>
              <w:t>根据《环境影响评价技术导则</w:t>
            </w:r>
            <w:r>
              <w:rPr>
                <w:rFonts w:hint="eastAsia" w:ascii="Times New Roman" w:hAnsi="Times New Roman" w:eastAsia="宋体"/>
                <w:color w:val="auto"/>
                <w:kern w:val="0"/>
                <w:sz w:val="24"/>
                <w:szCs w:val="24"/>
                <w:highlight w:val="none"/>
                <w:shd w:val="clear" w:color="auto" w:fill="auto"/>
                <w:lang w:val="en-US" w:eastAsia="zh-CN"/>
              </w:rPr>
              <w:t xml:space="preserve"> </w:t>
            </w:r>
            <w:r>
              <w:rPr>
                <w:rFonts w:ascii="Times New Roman" w:hAnsi="Times New Roman" w:eastAsia="宋体"/>
                <w:color w:val="auto"/>
                <w:kern w:val="0"/>
                <w:sz w:val="24"/>
                <w:szCs w:val="24"/>
                <w:highlight w:val="none"/>
                <w:shd w:val="clear" w:color="auto" w:fill="auto"/>
              </w:rPr>
              <w:t>地下水环境》</w:t>
            </w:r>
            <w:r>
              <w:rPr>
                <w:rFonts w:hint="eastAsia" w:ascii="Times New Roman" w:hAnsi="Times New Roman" w:eastAsia="宋体"/>
                <w:color w:val="auto"/>
                <w:kern w:val="0"/>
                <w:sz w:val="24"/>
                <w:szCs w:val="24"/>
                <w:highlight w:val="none"/>
                <w:shd w:val="clear" w:color="auto" w:fill="auto"/>
              </w:rPr>
              <w:t>(</w:t>
            </w:r>
            <w:r>
              <w:rPr>
                <w:rFonts w:ascii="Times New Roman" w:hAnsi="Times New Roman" w:eastAsia="宋体"/>
                <w:color w:val="auto"/>
                <w:kern w:val="0"/>
                <w:sz w:val="24"/>
                <w:szCs w:val="24"/>
                <w:highlight w:val="none"/>
                <w:shd w:val="clear" w:color="auto" w:fill="auto"/>
              </w:rPr>
              <w:t>HJ610-2016</w:t>
            </w:r>
            <w:r>
              <w:rPr>
                <w:rFonts w:hint="eastAsia" w:ascii="Times New Roman" w:hAnsi="Times New Roman" w:eastAsia="宋体"/>
                <w:color w:val="auto"/>
                <w:kern w:val="0"/>
                <w:sz w:val="24"/>
                <w:szCs w:val="24"/>
                <w:highlight w:val="none"/>
                <w:shd w:val="clear" w:color="auto" w:fill="auto"/>
              </w:rPr>
              <w:t>)</w:t>
            </w:r>
            <w:r>
              <w:rPr>
                <w:rFonts w:ascii="Times New Roman" w:hAnsi="Times New Roman" w:eastAsia="宋体"/>
                <w:color w:val="auto"/>
                <w:kern w:val="0"/>
                <w:sz w:val="24"/>
                <w:szCs w:val="24"/>
                <w:highlight w:val="none"/>
                <w:shd w:val="clear" w:color="auto" w:fill="auto"/>
              </w:rPr>
              <w:t>的要求，</w:t>
            </w:r>
            <w:r>
              <w:rPr>
                <w:rFonts w:ascii="Times New Roman" w:hAnsi="Times New Roman" w:eastAsia="宋体"/>
                <w:color w:val="auto"/>
                <w:sz w:val="24"/>
                <w:szCs w:val="24"/>
                <w:highlight w:val="none"/>
                <w:shd w:val="clear" w:color="auto" w:fill="auto"/>
              </w:rPr>
              <w:t>项目分区</w:t>
            </w:r>
            <w:r>
              <w:rPr>
                <w:rFonts w:hint="eastAsia" w:ascii="Times New Roman" w:hAnsi="Times New Roman" w:eastAsia="宋体"/>
                <w:color w:val="auto"/>
                <w:sz w:val="24"/>
                <w:szCs w:val="24"/>
                <w:highlight w:val="none"/>
                <w:shd w:val="clear" w:color="auto" w:fill="auto"/>
              </w:rPr>
              <w:t>防渗</w:t>
            </w:r>
            <w:r>
              <w:rPr>
                <w:rFonts w:ascii="Times New Roman" w:hAnsi="Times New Roman" w:eastAsia="宋体"/>
                <w:color w:val="auto"/>
                <w:sz w:val="24"/>
                <w:szCs w:val="24"/>
                <w:highlight w:val="none"/>
                <w:shd w:val="clear" w:color="auto" w:fill="auto"/>
              </w:rPr>
              <w:t>防治</w:t>
            </w:r>
            <w:r>
              <w:rPr>
                <w:rFonts w:hint="eastAsia" w:ascii="Times New Roman" w:hAnsi="Times New Roman" w:eastAsia="宋体"/>
                <w:color w:val="auto"/>
                <w:sz w:val="24"/>
                <w:szCs w:val="24"/>
                <w:highlight w:val="none"/>
                <w:shd w:val="clear" w:color="auto" w:fill="auto"/>
                <w:lang w:val="en-US" w:eastAsia="zh-CN"/>
              </w:rPr>
              <w:t>要求</w:t>
            </w:r>
            <w:r>
              <w:rPr>
                <w:rFonts w:ascii="Times New Roman" w:hAnsi="Times New Roman" w:eastAsia="宋体"/>
                <w:color w:val="auto"/>
                <w:sz w:val="24"/>
                <w:szCs w:val="24"/>
                <w:highlight w:val="none"/>
                <w:shd w:val="clear" w:color="auto" w:fill="auto"/>
              </w:rPr>
              <w:t>见表</w:t>
            </w:r>
            <w:r>
              <w:rPr>
                <w:rFonts w:hint="eastAsia" w:ascii="Times New Roman" w:hAnsi="Times New Roman" w:eastAsia="宋体"/>
                <w:color w:val="auto"/>
                <w:sz w:val="24"/>
                <w:szCs w:val="24"/>
                <w:highlight w:val="none"/>
                <w:shd w:val="clear" w:color="auto" w:fill="auto"/>
              </w:rPr>
              <w:t>4.</w:t>
            </w:r>
            <w:r>
              <w:rPr>
                <w:rFonts w:hint="eastAsia" w:ascii="Times New Roman" w:hAnsi="Times New Roman" w:eastAsia="宋体"/>
                <w:color w:val="auto"/>
                <w:sz w:val="24"/>
                <w:szCs w:val="24"/>
                <w:highlight w:val="none"/>
                <w:shd w:val="clear" w:color="auto" w:fill="auto"/>
                <w:lang w:val="en-US" w:eastAsia="zh-CN"/>
              </w:rPr>
              <w:t>7</w:t>
            </w:r>
            <w:r>
              <w:rPr>
                <w:rFonts w:hint="eastAsia" w:ascii="Times New Roman" w:hAnsi="Times New Roman" w:eastAsia="宋体"/>
                <w:color w:val="auto"/>
                <w:sz w:val="24"/>
                <w:szCs w:val="24"/>
                <w:highlight w:val="none"/>
                <w:shd w:val="clear" w:color="auto" w:fill="auto"/>
              </w:rPr>
              <w:t>-1</w:t>
            </w:r>
            <w:r>
              <w:rPr>
                <w:rFonts w:hint="eastAsia" w:ascii="Times New Roman" w:hAnsi="Times New Roman" w:eastAsia="宋体"/>
                <w:color w:val="auto"/>
                <w:sz w:val="24"/>
                <w:szCs w:val="24"/>
                <w:highlight w:val="none"/>
                <w:shd w:val="clear" w:color="auto" w:fill="auto"/>
                <w:lang w:val="en-US" w:eastAsia="zh-CN"/>
              </w:rPr>
              <w:t>。</w:t>
            </w:r>
          </w:p>
          <w:p w14:paraId="603178C1">
            <w:pPr>
              <w:pStyle w:val="33"/>
              <w:bidi w:val="0"/>
              <w:rPr>
                <w:rFonts w:hint="default"/>
                <w:color w:val="auto"/>
                <w:sz w:val="24"/>
                <w:szCs w:val="24"/>
                <w:highlight w:val="none"/>
                <w:shd w:val="clear" w:color="auto" w:fill="auto"/>
              </w:rPr>
            </w:pPr>
            <w:r>
              <w:rPr>
                <w:rFonts w:hint="default"/>
                <w:color w:val="auto"/>
                <w:sz w:val="24"/>
                <w:szCs w:val="24"/>
                <w:highlight w:val="none"/>
                <w:shd w:val="clear" w:color="auto" w:fill="auto"/>
              </w:rPr>
              <w:t>表</w:t>
            </w:r>
            <w:r>
              <w:rPr>
                <w:rFonts w:hint="eastAsia"/>
                <w:color w:val="auto"/>
                <w:sz w:val="24"/>
                <w:szCs w:val="24"/>
                <w:highlight w:val="none"/>
                <w:shd w:val="clear" w:color="auto" w:fill="auto"/>
                <w:lang w:val="en-US" w:eastAsia="zh-CN"/>
              </w:rPr>
              <w:t>4.7-1 项目</w:t>
            </w:r>
            <w:r>
              <w:rPr>
                <w:rFonts w:hint="default"/>
                <w:color w:val="auto"/>
                <w:sz w:val="24"/>
                <w:szCs w:val="24"/>
                <w:highlight w:val="none"/>
                <w:shd w:val="clear" w:color="auto" w:fill="auto"/>
              </w:rPr>
              <w:t>分区</w:t>
            </w:r>
            <w:r>
              <w:rPr>
                <w:rFonts w:hint="eastAsia"/>
                <w:color w:val="auto"/>
                <w:sz w:val="24"/>
                <w:szCs w:val="24"/>
                <w:highlight w:val="none"/>
                <w:shd w:val="clear" w:color="auto" w:fill="auto"/>
              </w:rPr>
              <w:t>防渗</w:t>
            </w:r>
            <w:r>
              <w:rPr>
                <w:rFonts w:hint="default"/>
                <w:color w:val="auto"/>
                <w:sz w:val="24"/>
                <w:szCs w:val="24"/>
                <w:highlight w:val="none"/>
                <w:shd w:val="clear" w:color="auto" w:fill="auto"/>
              </w:rPr>
              <w:t>防治</w:t>
            </w:r>
            <w:r>
              <w:rPr>
                <w:rFonts w:hint="eastAsia"/>
                <w:color w:val="auto"/>
                <w:sz w:val="24"/>
                <w:szCs w:val="24"/>
                <w:highlight w:val="none"/>
                <w:shd w:val="clear" w:color="auto" w:fill="auto"/>
                <w:lang w:val="en-US" w:eastAsia="zh-CN"/>
              </w:rPr>
              <w:t>要求</w:t>
            </w:r>
            <w:r>
              <w:rPr>
                <w:rFonts w:hint="default"/>
                <w:color w:val="auto"/>
                <w:sz w:val="24"/>
                <w:szCs w:val="24"/>
                <w:highlight w:val="none"/>
                <w:shd w:val="clear" w:color="auto" w:fill="auto"/>
              </w:rPr>
              <w:t>一览表</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36"/>
              <w:gridCol w:w="2267"/>
              <w:gridCol w:w="2650"/>
              <w:gridCol w:w="2377"/>
            </w:tblGrid>
            <w:tr w14:paraId="2ED3AB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1" w:type="pct"/>
                  <w:tcBorders>
                    <w:tl2br w:val="nil"/>
                    <w:tr2bl w:val="nil"/>
                  </w:tcBorders>
                  <w:noWrap w:val="0"/>
                  <w:vAlign w:val="center"/>
                </w:tcPr>
                <w:p w14:paraId="063137A7">
                  <w:pPr>
                    <w:pStyle w:val="28"/>
                    <w:bidi w:val="0"/>
                    <w:rPr>
                      <w:color w:val="auto"/>
                      <w:highlight w:val="none"/>
                      <w:shd w:val="clear" w:color="auto" w:fill="auto"/>
                    </w:rPr>
                  </w:pPr>
                  <w:r>
                    <w:rPr>
                      <w:rFonts w:hint="eastAsia"/>
                      <w:color w:val="auto"/>
                      <w:highlight w:val="none"/>
                      <w:shd w:val="clear" w:color="auto" w:fill="auto"/>
                    </w:rPr>
                    <w:t>防治分区</w:t>
                  </w:r>
                </w:p>
              </w:tc>
              <w:tc>
                <w:tcPr>
                  <w:tcW w:w="1360" w:type="pct"/>
                  <w:tcBorders>
                    <w:tl2br w:val="nil"/>
                    <w:tr2bl w:val="nil"/>
                  </w:tcBorders>
                  <w:noWrap w:val="0"/>
                  <w:vAlign w:val="center"/>
                </w:tcPr>
                <w:p w14:paraId="136197B0">
                  <w:pPr>
                    <w:pStyle w:val="28"/>
                    <w:bidi w:val="0"/>
                    <w:rPr>
                      <w:color w:val="auto"/>
                      <w:highlight w:val="none"/>
                      <w:shd w:val="clear" w:color="auto" w:fill="auto"/>
                    </w:rPr>
                  </w:pPr>
                  <w:r>
                    <w:rPr>
                      <w:rFonts w:hint="eastAsia"/>
                      <w:color w:val="auto"/>
                      <w:highlight w:val="none"/>
                      <w:shd w:val="clear" w:color="auto" w:fill="auto"/>
                    </w:rPr>
                    <w:t>装置名称</w:t>
                  </w:r>
                </w:p>
              </w:tc>
              <w:tc>
                <w:tcPr>
                  <w:tcW w:w="1590" w:type="pct"/>
                  <w:tcBorders>
                    <w:tl2br w:val="nil"/>
                    <w:tr2bl w:val="nil"/>
                  </w:tcBorders>
                  <w:noWrap w:val="0"/>
                  <w:vAlign w:val="center"/>
                </w:tcPr>
                <w:p w14:paraId="7EED90C6">
                  <w:pPr>
                    <w:pStyle w:val="28"/>
                    <w:bidi w:val="0"/>
                    <w:rPr>
                      <w:color w:val="auto"/>
                      <w:highlight w:val="none"/>
                      <w:shd w:val="clear" w:color="auto" w:fill="auto"/>
                    </w:rPr>
                  </w:pPr>
                  <w:r>
                    <w:rPr>
                      <w:rFonts w:hint="eastAsia"/>
                      <w:color w:val="auto"/>
                      <w:highlight w:val="none"/>
                      <w:shd w:val="clear" w:color="auto" w:fill="auto"/>
                    </w:rPr>
                    <w:t>防渗区域</w:t>
                  </w:r>
                </w:p>
              </w:tc>
              <w:tc>
                <w:tcPr>
                  <w:tcW w:w="1426" w:type="pct"/>
                  <w:tcBorders>
                    <w:tl2br w:val="nil"/>
                    <w:tr2bl w:val="nil"/>
                  </w:tcBorders>
                  <w:noWrap w:val="0"/>
                  <w:vAlign w:val="center"/>
                </w:tcPr>
                <w:p w14:paraId="4F711BE8">
                  <w:pPr>
                    <w:pStyle w:val="28"/>
                    <w:bidi w:val="0"/>
                    <w:rPr>
                      <w:color w:val="auto"/>
                      <w:highlight w:val="none"/>
                      <w:shd w:val="clear" w:color="auto" w:fill="auto"/>
                    </w:rPr>
                  </w:pPr>
                  <w:r>
                    <w:rPr>
                      <w:rFonts w:hint="eastAsia"/>
                      <w:color w:val="auto"/>
                      <w:highlight w:val="none"/>
                      <w:shd w:val="clear" w:color="auto" w:fill="auto"/>
                    </w:rPr>
                    <w:t>防渗要求</w:t>
                  </w:r>
                </w:p>
              </w:tc>
            </w:tr>
            <w:tr w14:paraId="2CEBF3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1" w:type="pct"/>
                  <w:tcBorders>
                    <w:tl2br w:val="nil"/>
                    <w:tr2bl w:val="nil"/>
                  </w:tcBorders>
                  <w:noWrap w:val="0"/>
                  <w:vAlign w:val="center"/>
                </w:tcPr>
                <w:p w14:paraId="031425D5">
                  <w:pPr>
                    <w:pStyle w:val="28"/>
                    <w:bidi w:val="0"/>
                    <w:rPr>
                      <w:rFonts w:hint="eastAsia"/>
                      <w:color w:val="auto"/>
                      <w:highlight w:val="none"/>
                      <w:shd w:val="clear" w:color="auto" w:fill="auto"/>
                    </w:rPr>
                  </w:pPr>
                  <w:r>
                    <w:rPr>
                      <w:rFonts w:hint="eastAsia"/>
                      <w:color w:val="auto"/>
                      <w:highlight w:val="none"/>
                      <w:shd w:val="clear" w:color="auto" w:fill="auto"/>
                    </w:rPr>
                    <w:t>重点防</w:t>
                  </w:r>
                </w:p>
                <w:p w14:paraId="5C21D9E9">
                  <w:pPr>
                    <w:pStyle w:val="28"/>
                    <w:bidi w:val="0"/>
                    <w:rPr>
                      <w:color w:val="auto"/>
                      <w:highlight w:val="none"/>
                      <w:shd w:val="clear" w:color="auto" w:fill="auto"/>
                    </w:rPr>
                  </w:pPr>
                  <w:r>
                    <w:rPr>
                      <w:rFonts w:hint="eastAsia"/>
                      <w:color w:val="auto"/>
                      <w:highlight w:val="none"/>
                      <w:shd w:val="clear" w:color="auto" w:fill="auto"/>
                    </w:rPr>
                    <w:t>渗区</w:t>
                  </w:r>
                </w:p>
              </w:tc>
              <w:tc>
                <w:tcPr>
                  <w:tcW w:w="1360" w:type="pct"/>
                  <w:tcBorders>
                    <w:tl2br w:val="nil"/>
                    <w:tr2bl w:val="nil"/>
                  </w:tcBorders>
                  <w:noWrap w:val="0"/>
                  <w:vAlign w:val="center"/>
                </w:tcPr>
                <w:p w14:paraId="2E37878B">
                  <w:pPr>
                    <w:pStyle w:val="28"/>
                    <w:bidi w:val="0"/>
                    <w:rPr>
                      <w:rFonts w:hint="default"/>
                      <w:color w:val="auto"/>
                      <w:highlight w:val="none"/>
                      <w:shd w:val="clear" w:color="auto" w:fill="auto"/>
                      <w:lang w:val="en-US" w:eastAsia="zh-CN"/>
                    </w:rPr>
                  </w:pPr>
                  <w:r>
                    <w:rPr>
                      <w:rFonts w:hint="eastAsia"/>
                      <w:color w:val="auto"/>
                      <w:highlight w:val="none"/>
                      <w:shd w:val="clear" w:color="auto" w:fill="auto"/>
                      <w:lang w:val="en-US" w:eastAsia="zh-CN"/>
                    </w:rPr>
                    <w:t>危险废物贮存间</w:t>
                  </w:r>
                </w:p>
              </w:tc>
              <w:tc>
                <w:tcPr>
                  <w:tcW w:w="1590" w:type="pct"/>
                  <w:tcBorders>
                    <w:tl2br w:val="nil"/>
                    <w:tr2bl w:val="nil"/>
                  </w:tcBorders>
                  <w:noWrap w:val="0"/>
                  <w:vAlign w:val="center"/>
                </w:tcPr>
                <w:p w14:paraId="5296D0CD">
                  <w:pPr>
                    <w:pStyle w:val="28"/>
                    <w:bidi w:val="0"/>
                    <w:rPr>
                      <w:color w:val="auto"/>
                      <w:highlight w:val="none"/>
                      <w:shd w:val="clear" w:color="auto" w:fill="auto"/>
                      <w:lang w:val="en-US" w:eastAsia="zh-CN"/>
                    </w:rPr>
                  </w:pPr>
                  <w:r>
                    <w:rPr>
                      <w:rFonts w:hint="eastAsia"/>
                      <w:color w:val="auto"/>
                      <w:highlight w:val="none"/>
                      <w:shd w:val="clear" w:color="auto" w:fill="auto"/>
                      <w:lang w:eastAsia="zh-CN"/>
                    </w:rPr>
                    <w:t>地面、</w:t>
                  </w:r>
                  <w:r>
                    <w:rPr>
                      <w:rFonts w:hint="eastAsia"/>
                      <w:color w:val="auto"/>
                      <w:highlight w:val="none"/>
                      <w:shd w:val="clear" w:color="auto" w:fill="auto"/>
                      <w:lang w:val="en-US" w:eastAsia="zh-CN"/>
                    </w:rPr>
                    <w:t>裙角、导流沟槽</w:t>
                  </w:r>
                </w:p>
              </w:tc>
              <w:tc>
                <w:tcPr>
                  <w:tcW w:w="1426" w:type="pct"/>
                  <w:tcBorders>
                    <w:tl2br w:val="nil"/>
                    <w:tr2bl w:val="nil"/>
                  </w:tcBorders>
                  <w:noWrap w:val="0"/>
                  <w:vAlign w:val="center"/>
                </w:tcPr>
                <w:p w14:paraId="02A8A756">
                  <w:pPr>
                    <w:pStyle w:val="28"/>
                    <w:bidi w:val="0"/>
                    <w:rPr>
                      <w:rFonts w:hint="default"/>
                      <w:color w:val="auto"/>
                      <w:highlight w:val="none"/>
                      <w:shd w:val="clear" w:color="auto" w:fill="auto"/>
                      <w:lang w:val="en-US" w:eastAsia="zh-CN"/>
                    </w:rPr>
                  </w:pPr>
                  <w:r>
                    <w:rPr>
                      <w:rFonts w:hint="eastAsia"/>
                      <w:color w:val="auto"/>
                      <w:highlight w:val="none"/>
                      <w:shd w:val="clear" w:color="auto" w:fill="auto"/>
                    </w:rPr>
                    <w:t>等效黏土防渗层Mb≥</w:t>
                  </w:r>
                  <w:r>
                    <w:rPr>
                      <w:color w:val="auto"/>
                      <w:highlight w:val="none"/>
                      <w:shd w:val="clear" w:color="auto" w:fill="auto"/>
                    </w:rPr>
                    <w:t>6.0m</w:t>
                  </w:r>
                  <w:r>
                    <w:rPr>
                      <w:rFonts w:hint="eastAsia"/>
                      <w:color w:val="auto"/>
                      <w:highlight w:val="none"/>
                      <w:shd w:val="clear" w:color="auto" w:fill="auto"/>
                    </w:rPr>
                    <w:t>、渗透系数K≤</w:t>
                  </w:r>
                  <w:r>
                    <w:rPr>
                      <w:color w:val="auto"/>
                      <w:highlight w:val="none"/>
                      <w:shd w:val="clear" w:color="auto" w:fill="auto"/>
                    </w:rPr>
                    <w:t>1.0</w:t>
                  </w:r>
                  <w:r>
                    <w:rPr>
                      <w:rFonts w:hint="eastAsia"/>
                      <w:color w:val="auto"/>
                      <w:highlight w:val="none"/>
                      <w:shd w:val="clear" w:color="auto" w:fill="auto"/>
                    </w:rPr>
                    <w:t>×</w:t>
                  </w:r>
                  <w:r>
                    <w:rPr>
                      <w:color w:val="auto"/>
                      <w:highlight w:val="none"/>
                      <w:shd w:val="clear" w:color="auto" w:fill="auto"/>
                    </w:rPr>
                    <w:t>10</w:t>
                  </w:r>
                  <w:r>
                    <w:rPr>
                      <w:color w:val="auto"/>
                      <w:highlight w:val="none"/>
                      <w:shd w:val="clear" w:color="auto" w:fill="auto"/>
                      <w:vertAlign w:val="superscript"/>
                    </w:rPr>
                    <w:t>-7</w:t>
                  </w:r>
                  <w:r>
                    <w:rPr>
                      <w:color w:val="auto"/>
                      <w:highlight w:val="none"/>
                      <w:shd w:val="clear" w:color="auto" w:fill="auto"/>
                    </w:rPr>
                    <w:t>cm/s</w:t>
                  </w:r>
                </w:p>
              </w:tc>
            </w:tr>
            <w:tr w14:paraId="4DAE09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621" w:type="pct"/>
                  <w:vMerge w:val="restart"/>
                  <w:tcBorders>
                    <w:tl2br w:val="nil"/>
                    <w:tr2bl w:val="nil"/>
                  </w:tcBorders>
                  <w:noWrap w:val="0"/>
                  <w:vAlign w:val="center"/>
                </w:tcPr>
                <w:p w14:paraId="4EE3126B">
                  <w:pPr>
                    <w:pStyle w:val="28"/>
                    <w:bidi w:val="0"/>
                    <w:rPr>
                      <w:rFonts w:hint="eastAsia"/>
                      <w:color w:val="auto"/>
                      <w:highlight w:val="none"/>
                      <w:shd w:val="clear" w:color="auto" w:fill="auto"/>
                    </w:rPr>
                  </w:pPr>
                  <w:r>
                    <w:rPr>
                      <w:rFonts w:hint="eastAsia"/>
                      <w:color w:val="auto"/>
                      <w:highlight w:val="none"/>
                      <w:shd w:val="clear" w:color="auto" w:fill="auto"/>
                    </w:rPr>
                    <w:t>一般防</w:t>
                  </w:r>
                </w:p>
                <w:p w14:paraId="1E59D7E6">
                  <w:pPr>
                    <w:pStyle w:val="28"/>
                    <w:bidi w:val="0"/>
                    <w:rPr>
                      <w:color w:val="auto"/>
                      <w:highlight w:val="none"/>
                      <w:shd w:val="clear" w:color="auto" w:fill="auto"/>
                    </w:rPr>
                  </w:pPr>
                  <w:r>
                    <w:rPr>
                      <w:rFonts w:hint="eastAsia"/>
                      <w:color w:val="auto"/>
                      <w:highlight w:val="none"/>
                      <w:shd w:val="clear" w:color="auto" w:fill="auto"/>
                    </w:rPr>
                    <w:t>渗区</w:t>
                  </w:r>
                </w:p>
              </w:tc>
              <w:tc>
                <w:tcPr>
                  <w:tcW w:w="1360" w:type="pct"/>
                  <w:tcBorders>
                    <w:tl2br w:val="nil"/>
                    <w:tr2bl w:val="nil"/>
                  </w:tcBorders>
                  <w:noWrap w:val="0"/>
                  <w:vAlign w:val="center"/>
                </w:tcPr>
                <w:p w14:paraId="558FB8CD">
                  <w:pPr>
                    <w:pStyle w:val="28"/>
                    <w:bidi w:val="0"/>
                    <w:rPr>
                      <w:rFonts w:hint="default"/>
                      <w:color w:val="auto"/>
                      <w:highlight w:val="none"/>
                      <w:shd w:val="clear" w:color="auto" w:fill="auto"/>
                      <w:lang w:val="en-US" w:eastAsia="zh-CN"/>
                    </w:rPr>
                  </w:pPr>
                  <w:r>
                    <w:rPr>
                      <w:rFonts w:hint="eastAsia"/>
                      <w:color w:val="auto"/>
                      <w:highlight w:val="none"/>
                      <w:shd w:val="clear" w:color="auto" w:fill="auto"/>
                      <w:lang w:val="en-US" w:eastAsia="zh-CN"/>
                    </w:rPr>
                    <w:t>2#搅拌楼</w:t>
                  </w:r>
                </w:p>
              </w:tc>
              <w:tc>
                <w:tcPr>
                  <w:tcW w:w="1590" w:type="pct"/>
                  <w:tcBorders>
                    <w:tl2br w:val="nil"/>
                    <w:tr2bl w:val="nil"/>
                  </w:tcBorders>
                  <w:noWrap w:val="0"/>
                  <w:vAlign w:val="center"/>
                </w:tcPr>
                <w:p w14:paraId="497E2AFA">
                  <w:pPr>
                    <w:pStyle w:val="28"/>
                    <w:bidi w:val="0"/>
                    <w:rPr>
                      <w:color w:val="auto"/>
                      <w:highlight w:val="none"/>
                      <w:shd w:val="clear" w:color="auto" w:fill="auto"/>
                      <w:lang w:val="en-US" w:eastAsia="zh-CN"/>
                    </w:rPr>
                  </w:pPr>
                  <w:r>
                    <w:rPr>
                      <w:rFonts w:hint="eastAsia"/>
                      <w:color w:val="auto"/>
                      <w:highlight w:val="none"/>
                      <w:shd w:val="clear" w:color="auto" w:fill="auto"/>
                      <w:lang w:eastAsia="zh-CN"/>
                    </w:rPr>
                    <w:t>地面</w:t>
                  </w:r>
                </w:p>
              </w:tc>
              <w:tc>
                <w:tcPr>
                  <w:tcW w:w="1426" w:type="pct"/>
                  <w:vMerge w:val="restart"/>
                  <w:tcBorders>
                    <w:tl2br w:val="nil"/>
                    <w:tr2bl w:val="nil"/>
                  </w:tcBorders>
                  <w:noWrap w:val="0"/>
                  <w:vAlign w:val="center"/>
                </w:tcPr>
                <w:p w14:paraId="216E57D9">
                  <w:pPr>
                    <w:pStyle w:val="28"/>
                    <w:bidi w:val="0"/>
                    <w:rPr>
                      <w:color w:val="auto"/>
                      <w:highlight w:val="none"/>
                      <w:shd w:val="clear" w:color="auto" w:fill="auto"/>
                    </w:rPr>
                  </w:pPr>
                  <w:r>
                    <w:rPr>
                      <w:rFonts w:hint="eastAsia"/>
                      <w:color w:val="auto"/>
                      <w:highlight w:val="none"/>
                      <w:shd w:val="clear" w:color="auto" w:fill="auto"/>
                    </w:rPr>
                    <w:t>等效黏土防渗层Mb≥1.5</w:t>
                  </w:r>
                  <w:r>
                    <w:rPr>
                      <w:color w:val="auto"/>
                      <w:highlight w:val="none"/>
                      <w:shd w:val="clear" w:color="auto" w:fill="auto"/>
                    </w:rPr>
                    <w:t>m</w:t>
                  </w:r>
                  <w:r>
                    <w:rPr>
                      <w:rFonts w:hint="eastAsia"/>
                      <w:color w:val="auto"/>
                      <w:highlight w:val="none"/>
                      <w:shd w:val="clear" w:color="auto" w:fill="auto"/>
                    </w:rPr>
                    <w:t>、渗透系数K≤</w:t>
                  </w:r>
                  <w:r>
                    <w:rPr>
                      <w:color w:val="auto"/>
                      <w:highlight w:val="none"/>
                      <w:shd w:val="clear" w:color="auto" w:fill="auto"/>
                    </w:rPr>
                    <w:t>1.0</w:t>
                  </w:r>
                  <w:r>
                    <w:rPr>
                      <w:rFonts w:hint="eastAsia"/>
                      <w:color w:val="auto"/>
                      <w:highlight w:val="none"/>
                      <w:shd w:val="clear" w:color="auto" w:fill="auto"/>
                    </w:rPr>
                    <w:t>×</w:t>
                  </w:r>
                  <w:r>
                    <w:rPr>
                      <w:color w:val="auto"/>
                      <w:highlight w:val="none"/>
                      <w:shd w:val="clear" w:color="auto" w:fill="auto"/>
                    </w:rPr>
                    <w:t>10</w:t>
                  </w:r>
                  <w:r>
                    <w:rPr>
                      <w:color w:val="auto"/>
                      <w:highlight w:val="none"/>
                      <w:shd w:val="clear" w:color="auto" w:fill="auto"/>
                      <w:vertAlign w:val="superscript"/>
                    </w:rPr>
                    <w:t>-7</w:t>
                  </w:r>
                  <w:r>
                    <w:rPr>
                      <w:color w:val="auto"/>
                      <w:highlight w:val="none"/>
                      <w:shd w:val="clear" w:color="auto" w:fill="auto"/>
                    </w:rPr>
                    <w:t>cm/s</w:t>
                  </w:r>
                </w:p>
              </w:tc>
            </w:tr>
            <w:tr w14:paraId="6198A5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621" w:type="pct"/>
                  <w:vMerge w:val="continue"/>
                  <w:tcBorders>
                    <w:tl2br w:val="nil"/>
                    <w:tr2bl w:val="nil"/>
                  </w:tcBorders>
                  <w:noWrap w:val="0"/>
                  <w:vAlign w:val="center"/>
                </w:tcPr>
                <w:p w14:paraId="4D41D5E6">
                  <w:pPr>
                    <w:pStyle w:val="28"/>
                    <w:bidi w:val="0"/>
                    <w:rPr>
                      <w:rFonts w:hint="eastAsia"/>
                      <w:color w:val="auto"/>
                      <w:highlight w:val="none"/>
                      <w:shd w:val="clear" w:color="auto" w:fill="auto"/>
                    </w:rPr>
                  </w:pPr>
                </w:p>
              </w:tc>
              <w:tc>
                <w:tcPr>
                  <w:tcW w:w="2267" w:type="dxa"/>
                  <w:tcBorders>
                    <w:tl2br w:val="nil"/>
                    <w:tr2bl w:val="nil"/>
                  </w:tcBorders>
                  <w:noWrap w:val="0"/>
                  <w:vAlign w:val="center"/>
                </w:tcPr>
                <w:p w14:paraId="7F48A9F0">
                  <w:pPr>
                    <w:pStyle w:val="28"/>
                    <w:bidi w:val="0"/>
                    <w:ind w:left="0" w:leftChars="0" w:firstLine="0" w:firstLineChars="0"/>
                    <w:rPr>
                      <w:rFonts w:hint="eastAsia"/>
                      <w:color w:val="auto"/>
                      <w:highlight w:val="none"/>
                      <w:shd w:val="clear" w:color="auto" w:fill="auto"/>
                      <w:lang w:val="en-US" w:eastAsia="zh-CN"/>
                    </w:rPr>
                  </w:pPr>
                  <w:r>
                    <w:rPr>
                      <w:rFonts w:hint="eastAsia"/>
                      <w:color w:val="auto"/>
                      <w:highlight w:val="none"/>
                      <w:shd w:val="clear" w:color="auto" w:fill="auto"/>
                      <w:lang w:val="en-US" w:eastAsia="zh-CN"/>
                    </w:rPr>
                    <w:t>3#物料库</w:t>
                  </w:r>
                </w:p>
              </w:tc>
              <w:tc>
                <w:tcPr>
                  <w:tcW w:w="2650" w:type="dxa"/>
                  <w:tcBorders>
                    <w:tl2br w:val="nil"/>
                    <w:tr2bl w:val="nil"/>
                  </w:tcBorders>
                  <w:noWrap w:val="0"/>
                  <w:vAlign w:val="center"/>
                </w:tcPr>
                <w:p w14:paraId="1EF74A2D">
                  <w:pPr>
                    <w:pStyle w:val="28"/>
                    <w:bidi w:val="0"/>
                    <w:ind w:left="0" w:leftChars="0" w:firstLine="0" w:firstLineChars="0"/>
                    <w:rPr>
                      <w:rFonts w:hint="eastAsia"/>
                      <w:color w:val="auto"/>
                      <w:highlight w:val="none"/>
                      <w:shd w:val="clear" w:color="auto" w:fill="auto"/>
                      <w:lang w:eastAsia="zh-CN"/>
                    </w:rPr>
                  </w:pPr>
                  <w:r>
                    <w:rPr>
                      <w:rFonts w:hint="eastAsia"/>
                      <w:color w:val="auto"/>
                      <w:highlight w:val="none"/>
                      <w:shd w:val="clear" w:color="auto" w:fill="auto"/>
                      <w:lang w:eastAsia="zh-CN"/>
                    </w:rPr>
                    <w:t>地面</w:t>
                  </w:r>
                </w:p>
              </w:tc>
              <w:tc>
                <w:tcPr>
                  <w:tcW w:w="1426" w:type="pct"/>
                  <w:vMerge w:val="continue"/>
                  <w:tcBorders>
                    <w:tl2br w:val="nil"/>
                    <w:tr2bl w:val="nil"/>
                  </w:tcBorders>
                  <w:noWrap w:val="0"/>
                  <w:vAlign w:val="center"/>
                </w:tcPr>
                <w:p w14:paraId="3FA28C29">
                  <w:pPr>
                    <w:pStyle w:val="28"/>
                    <w:bidi w:val="0"/>
                    <w:rPr>
                      <w:rFonts w:hint="eastAsia"/>
                      <w:color w:val="auto"/>
                      <w:highlight w:val="none"/>
                      <w:shd w:val="clear" w:color="auto" w:fill="auto"/>
                    </w:rPr>
                  </w:pPr>
                </w:p>
              </w:tc>
            </w:tr>
            <w:tr w14:paraId="560296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1" w:type="pct"/>
                  <w:vMerge w:val="continue"/>
                  <w:tcBorders>
                    <w:tl2br w:val="nil"/>
                    <w:tr2bl w:val="nil"/>
                  </w:tcBorders>
                  <w:noWrap w:val="0"/>
                  <w:vAlign w:val="center"/>
                </w:tcPr>
                <w:p w14:paraId="0E73ED83">
                  <w:pPr>
                    <w:pStyle w:val="28"/>
                    <w:bidi w:val="0"/>
                    <w:rPr>
                      <w:color w:val="auto"/>
                      <w:highlight w:val="none"/>
                      <w:shd w:val="clear" w:color="auto" w:fill="auto"/>
                    </w:rPr>
                  </w:pPr>
                </w:p>
              </w:tc>
              <w:tc>
                <w:tcPr>
                  <w:tcW w:w="1360" w:type="pct"/>
                  <w:tcBorders>
                    <w:tl2br w:val="nil"/>
                    <w:tr2bl w:val="nil"/>
                  </w:tcBorders>
                  <w:noWrap w:val="0"/>
                  <w:vAlign w:val="center"/>
                </w:tcPr>
                <w:p w14:paraId="5686A917">
                  <w:pPr>
                    <w:pStyle w:val="28"/>
                    <w:bidi w:val="0"/>
                    <w:rPr>
                      <w:rFonts w:hint="default"/>
                      <w:color w:val="auto"/>
                      <w:highlight w:val="none"/>
                      <w:shd w:val="clear" w:color="auto" w:fill="auto"/>
                      <w:lang w:val="en-US" w:eastAsia="zh-CN"/>
                    </w:rPr>
                  </w:pPr>
                  <w:r>
                    <w:rPr>
                      <w:rFonts w:hint="eastAsia"/>
                      <w:color w:val="auto"/>
                      <w:highlight w:val="none"/>
                      <w:shd w:val="clear" w:color="auto" w:fill="auto"/>
                      <w:lang w:val="en-US" w:eastAsia="zh-CN"/>
                    </w:rPr>
                    <w:t>5#-6#生产车间</w:t>
                  </w:r>
                </w:p>
              </w:tc>
              <w:tc>
                <w:tcPr>
                  <w:tcW w:w="1590" w:type="pct"/>
                  <w:tcBorders>
                    <w:tl2br w:val="nil"/>
                    <w:tr2bl w:val="nil"/>
                  </w:tcBorders>
                  <w:noWrap w:val="0"/>
                  <w:vAlign w:val="center"/>
                </w:tcPr>
                <w:p w14:paraId="1E162458">
                  <w:pPr>
                    <w:pStyle w:val="28"/>
                    <w:bidi w:val="0"/>
                    <w:rPr>
                      <w:rFonts w:hint="default"/>
                      <w:color w:val="auto"/>
                      <w:highlight w:val="none"/>
                      <w:shd w:val="clear" w:color="auto" w:fill="auto"/>
                      <w:lang w:val="en-US" w:eastAsia="zh-CN"/>
                    </w:rPr>
                  </w:pPr>
                  <w:r>
                    <w:rPr>
                      <w:rFonts w:hint="eastAsia"/>
                      <w:color w:val="auto"/>
                      <w:highlight w:val="none"/>
                      <w:shd w:val="clear" w:color="auto" w:fill="auto"/>
                      <w:lang w:val="en-US" w:eastAsia="zh-CN"/>
                    </w:rPr>
                    <w:t>地面</w:t>
                  </w:r>
                </w:p>
              </w:tc>
              <w:tc>
                <w:tcPr>
                  <w:tcW w:w="1426" w:type="pct"/>
                  <w:vMerge w:val="continue"/>
                  <w:tcBorders>
                    <w:tl2br w:val="nil"/>
                    <w:tr2bl w:val="nil"/>
                  </w:tcBorders>
                  <w:noWrap w:val="0"/>
                  <w:vAlign w:val="center"/>
                </w:tcPr>
                <w:p w14:paraId="13429466">
                  <w:pPr>
                    <w:pStyle w:val="28"/>
                    <w:bidi w:val="0"/>
                    <w:rPr>
                      <w:color w:val="auto"/>
                      <w:highlight w:val="none"/>
                      <w:shd w:val="clear" w:color="auto" w:fill="auto"/>
                    </w:rPr>
                  </w:pPr>
                </w:p>
              </w:tc>
            </w:tr>
            <w:tr w14:paraId="07A9A8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1" w:type="pct"/>
                  <w:vMerge w:val="continue"/>
                  <w:tcBorders>
                    <w:tl2br w:val="nil"/>
                    <w:tr2bl w:val="nil"/>
                  </w:tcBorders>
                  <w:noWrap w:val="0"/>
                  <w:vAlign w:val="center"/>
                </w:tcPr>
                <w:p w14:paraId="10429364">
                  <w:pPr>
                    <w:pStyle w:val="28"/>
                    <w:bidi w:val="0"/>
                    <w:rPr>
                      <w:color w:val="auto"/>
                      <w:highlight w:val="none"/>
                      <w:shd w:val="clear" w:color="auto" w:fill="auto"/>
                    </w:rPr>
                  </w:pPr>
                </w:p>
              </w:tc>
              <w:tc>
                <w:tcPr>
                  <w:tcW w:w="1360" w:type="pct"/>
                  <w:tcBorders>
                    <w:tl2br w:val="nil"/>
                    <w:tr2bl w:val="nil"/>
                  </w:tcBorders>
                  <w:noWrap w:val="0"/>
                  <w:vAlign w:val="center"/>
                </w:tcPr>
                <w:p w14:paraId="55C262A2">
                  <w:pPr>
                    <w:pStyle w:val="28"/>
                    <w:bidi w:val="0"/>
                    <w:rPr>
                      <w:rFonts w:hint="default"/>
                      <w:color w:val="auto"/>
                      <w:highlight w:val="none"/>
                      <w:shd w:val="clear" w:color="auto" w:fill="auto"/>
                      <w:lang w:val="en-US" w:eastAsia="zh-CN"/>
                    </w:rPr>
                  </w:pPr>
                  <w:r>
                    <w:rPr>
                      <w:rFonts w:hint="eastAsia"/>
                      <w:color w:val="auto"/>
                      <w:highlight w:val="none"/>
                      <w:shd w:val="clear" w:color="auto" w:fill="auto"/>
                      <w:lang w:val="en-US" w:eastAsia="zh-CN"/>
                    </w:rPr>
                    <w:t>一般工业固废暂存间</w:t>
                  </w:r>
                </w:p>
              </w:tc>
              <w:tc>
                <w:tcPr>
                  <w:tcW w:w="1590" w:type="pct"/>
                  <w:tcBorders>
                    <w:tl2br w:val="nil"/>
                    <w:tr2bl w:val="nil"/>
                  </w:tcBorders>
                  <w:noWrap w:val="0"/>
                  <w:vAlign w:val="center"/>
                </w:tcPr>
                <w:p w14:paraId="11C05A52">
                  <w:pPr>
                    <w:pStyle w:val="28"/>
                    <w:bidi w:val="0"/>
                    <w:rPr>
                      <w:rFonts w:hint="default"/>
                      <w:color w:val="auto"/>
                      <w:highlight w:val="none"/>
                      <w:shd w:val="clear" w:color="auto" w:fill="auto"/>
                      <w:lang w:val="en-US" w:eastAsia="zh-CN"/>
                    </w:rPr>
                  </w:pPr>
                  <w:r>
                    <w:rPr>
                      <w:rFonts w:hint="eastAsia"/>
                      <w:color w:val="auto"/>
                      <w:highlight w:val="none"/>
                      <w:shd w:val="clear" w:color="auto" w:fill="auto"/>
                      <w:lang w:val="en-US" w:eastAsia="zh-CN"/>
                    </w:rPr>
                    <w:t>地面</w:t>
                  </w:r>
                </w:p>
              </w:tc>
              <w:tc>
                <w:tcPr>
                  <w:tcW w:w="1426" w:type="pct"/>
                  <w:vMerge w:val="continue"/>
                  <w:tcBorders>
                    <w:tl2br w:val="nil"/>
                    <w:tr2bl w:val="nil"/>
                  </w:tcBorders>
                  <w:noWrap w:val="0"/>
                  <w:vAlign w:val="center"/>
                </w:tcPr>
                <w:p w14:paraId="14FE434C">
                  <w:pPr>
                    <w:pStyle w:val="28"/>
                    <w:bidi w:val="0"/>
                    <w:rPr>
                      <w:color w:val="auto"/>
                      <w:highlight w:val="none"/>
                      <w:shd w:val="clear" w:color="auto" w:fill="auto"/>
                    </w:rPr>
                  </w:pPr>
                </w:p>
              </w:tc>
            </w:tr>
            <w:tr w14:paraId="5D76A2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1" w:type="pct"/>
                  <w:vMerge w:val="continue"/>
                  <w:tcBorders>
                    <w:tl2br w:val="nil"/>
                    <w:tr2bl w:val="nil"/>
                  </w:tcBorders>
                  <w:noWrap w:val="0"/>
                  <w:vAlign w:val="center"/>
                </w:tcPr>
                <w:p w14:paraId="63EA5039">
                  <w:pPr>
                    <w:pStyle w:val="28"/>
                    <w:bidi w:val="0"/>
                    <w:rPr>
                      <w:color w:val="auto"/>
                      <w:highlight w:val="none"/>
                      <w:shd w:val="clear" w:color="auto" w:fill="auto"/>
                    </w:rPr>
                  </w:pPr>
                </w:p>
              </w:tc>
              <w:tc>
                <w:tcPr>
                  <w:tcW w:w="1360" w:type="pct"/>
                  <w:tcBorders>
                    <w:tl2br w:val="nil"/>
                    <w:tr2bl w:val="nil"/>
                  </w:tcBorders>
                  <w:noWrap w:val="0"/>
                  <w:vAlign w:val="center"/>
                </w:tcPr>
                <w:p w14:paraId="160D6DCD">
                  <w:pPr>
                    <w:pStyle w:val="28"/>
                    <w:bidi w:val="0"/>
                    <w:rPr>
                      <w:rFonts w:hint="default" w:eastAsia="宋体"/>
                      <w:color w:val="auto"/>
                      <w:highlight w:val="none"/>
                      <w:shd w:val="clear" w:color="auto" w:fill="auto"/>
                      <w:lang w:val="en-US" w:eastAsia="zh-CN"/>
                    </w:rPr>
                  </w:pPr>
                  <w:r>
                    <w:rPr>
                      <w:rFonts w:hint="eastAsia"/>
                      <w:color w:val="auto"/>
                      <w:highlight w:val="none"/>
                      <w:shd w:val="clear" w:color="auto" w:fill="auto"/>
                      <w:lang w:val="en-US" w:eastAsia="zh-CN"/>
                    </w:rPr>
                    <w:t>生产废水处理系统、洗车废水沉淀池、雨水收集池、化粪池、一体化污水处理设施</w:t>
                  </w:r>
                  <w:r>
                    <w:rPr>
                      <w:rFonts w:hint="eastAsia"/>
                      <w:lang w:eastAsia="zh-CN"/>
                    </w:rPr>
                    <w:t>、</w:t>
                  </w:r>
                  <w:r>
                    <w:rPr>
                      <w:rFonts w:hint="eastAsia"/>
                      <w:lang w:val="en-US" w:eastAsia="zh-CN"/>
                    </w:rPr>
                    <w:t>洗砂废水处理系统</w:t>
                  </w:r>
                </w:p>
              </w:tc>
              <w:tc>
                <w:tcPr>
                  <w:tcW w:w="1590" w:type="pct"/>
                  <w:tcBorders>
                    <w:tl2br w:val="nil"/>
                    <w:tr2bl w:val="nil"/>
                  </w:tcBorders>
                  <w:noWrap w:val="0"/>
                  <w:vAlign w:val="center"/>
                </w:tcPr>
                <w:p w14:paraId="1B96014A">
                  <w:pPr>
                    <w:pStyle w:val="28"/>
                    <w:bidi w:val="0"/>
                    <w:rPr>
                      <w:rFonts w:hint="eastAsia"/>
                      <w:color w:val="auto"/>
                      <w:highlight w:val="none"/>
                      <w:shd w:val="clear" w:color="auto" w:fill="auto"/>
                      <w:lang w:val="en-US" w:eastAsia="zh-CN"/>
                    </w:rPr>
                  </w:pPr>
                  <w:r>
                    <w:rPr>
                      <w:rFonts w:hint="eastAsia"/>
                      <w:color w:val="auto"/>
                      <w:highlight w:val="none"/>
                      <w:shd w:val="clear" w:color="auto" w:fill="auto"/>
                      <w:lang w:eastAsia="zh-CN"/>
                    </w:rPr>
                    <w:t>废水设施各构筑物</w:t>
                  </w:r>
                  <w:r>
                    <w:rPr>
                      <w:rFonts w:hint="eastAsia"/>
                      <w:color w:val="auto"/>
                      <w:highlight w:val="none"/>
                      <w:shd w:val="clear" w:color="auto" w:fill="auto"/>
                      <w:lang w:val="en-US" w:eastAsia="zh-CN"/>
                    </w:rPr>
                    <w:t>底部、池体四周</w:t>
                  </w:r>
                </w:p>
              </w:tc>
              <w:tc>
                <w:tcPr>
                  <w:tcW w:w="1426" w:type="pct"/>
                  <w:vMerge w:val="continue"/>
                  <w:tcBorders>
                    <w:tl2br w:val="nil"/>
                    <w:tr2bl w:val="nil"/>
                  </w:tcBorders>
                  <w:noWrap w:val="0"/>
                  <w:vAlign w:val="center"/>
                </w:tcPr>
                <w:p w14:paraId="71C3F245">
                  <w:pPr>
                    <w:pStyle w:val="28"/>
                    <w:bidi w:val="0"/>
                    <w:rPr>
                      <w:color w:val="auto"/>
                      <w:highlight w:val="none"/>
                      <w:shd w:val="clear" w:color="auto" w:fill="auto"/>
                    </w:rPr>
                  </w:pPr>
                </w:p>
              </w:tc>
            </w:tr>
            <w:tr w14:paraId="090D03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1" w:type="pct"/>
                  <w:vMerge w:val="continue"/>
                  <w:tcBorders>
                    <w:tl2br w:val="nil"/>
                    <w:tr2bl w:val="nil"/>
                  </w:tcBorders>
                  <w:noWrap w:val="0"/>
                  <w:vAlign w:val="center"/>
                </w:tcPr>
                <w:p w14:paraId="3B0E9F1C">
                  <w:pPr>
                    <w:pStyle w:val="28"/>
                    <w:bidi w:val="0"/>
                    <w:rPr>
                      <w:color w:val="auto"/>
                      <w:highlight w:val="none"/>
                      <w:shd w:val="clear" w:color="auto" w:fill="auto"/>
                    </w:rPr>
                  </w:pPr>
                </w:p>
              </w:tc>
              <w:tc>
                <w:tcPr>
                  <w:tcW w:w="1360" w:type="pct"/>
                  <w:tcBorders>
                    <w:tl2br w:val="nil"/>
                    <w:tr2bl w:val="nil"/>
                  </w:tcBorders>
                  <w:noWrap w:val="0"/>
                  <w:vAlign w:val="center"/>
                </w:tcPr>
                <w:p w14:paraId="2EB88D84">
                  <w:pPr>
                    <w:pStyle w:val="28"/>
                    <w:bidi w:val="0"/>
                    <w:rPr>
                      <w:rFonts w:hint="eastAsia"/>
                      <w:color w:val="auto"/>
                      <w:highlight w:val="none"/>
                      <w:shd w:val="clear" w:color="auto" w:fill="auto"/>
                      <w:lang w:val="en-US" w:eastAsia="zh-CN"/>
                    </w:rPr>
                  </w:pPr>
                  <w:r>
                    <w:rPr>
                      <w:rFonts w:hint="eastAsia"/>
                      <w:color w:val="auto"/>
                      <w:highlight w:val="none"/>
                      <w:shd w:val="clear" w:color="auto" w:fill="auto"/>
                      <w:lang w:val="en-US" w:eastAsia="zh-CN"/>
                    </w:rPr>
                    <w:t>污水管道、阀门、导流沟槽</w:t>
                  </w:r>
                </w:p>
              </w:tc>
              <w:tc>
                <w:tcPr>
                  <w:tcW w:w="1590" w:type="pct"/>
                  <w:tcBorders>
                    <w:tl2br w:val="nil"/>
                    <w:tr2bl w:val="nil"/>
                  </w:tcBorders>
                  <w:noWrap w:val="0"/>
                  <w:vAlign w:val="center"/>
                </w:tcPr>
                <w:p w14:paraId="46A37BA3">
                  <w:pPr>
                    <w:pStyle w:val="28"/>
                    <w:bidi w:val="0"/>
                    <w:rPr>
                      <w:rFonts w:hint="eastAsia"/>
                      <w:color w:val="auto"/>
                      <w:highlight w:val="none"/>
                      <w:shd w:val="clear" w:color="auto" w:fill="auto"/>
                      <w:lang w:eastAsia="zh-CN"/>
                    </w:rPr>
                  </w:pPr>
                  <w:r>
                    <w:rPr>
                      <w:rFonts w:hint="eastAsia"/>
                      <w:color w:val="auto"/>
                      <w:highlight w:val="none"/>
                      <w:shd w:val="clear" w:color="auto" w:fill="auto"/>
                      <w:lang w:eastAsia="zh-CN"/>
                    </w:rPr>
                    <w:t>管道四周、导流沟槽底部及四周</w:t>
                  </w:r>
                </w:p>
              </w:tc>
              <w:tc>
                <w:tcPr>
                  <w:tcW w:w="1426" w:type="pct"/>
                  <w:vMerge w:val="continue"/>
                  <w:tcBorders>
                    <w:tl2br w:val="nil"/>
                    <w:tr2bl w:val="nil"/>
                  </w:tcBorders>
                  <w:noWrap w:val="0"/>
                  <w:vAlign w:val="center"/>
                </w:tcPr>
                <w:p w14:paraId="140359B5">
                  <w:pPr>
                    <w:pStyle w:val="28"/>
                    <w:bidi w:val="0"/>
                    <w:rPr>
                      <w:color w:val="auto"/>
                      <w:highlight w:val="none"/>
                      <w:shd w:val="clear" w:color="auto" w:fill="auto"/>
                    </w:rPr>
                  </w:pPr>
                </w:p>
              </w:tc>
            </w:tr>
            <w:tr w14:paraId="5C2B72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21" w:type="pct"/>
                  <w:tcBorders>
                    <w:tl2br w:val="nil"/>
                    <w:tr2bl w:val="nil"/>
                  </w:tcBorders>
                  <w:noWrap w:val="0"/>
                  <w:vAlign w:val="center"/>
                </w:tcPr>
                <w:p w14:paraId="07CDD07D">
                  <w:pPr>
                    <w:pStyle w:val="28"/>
                    <w:bidi w:val="0"/>
                    <w:rPr>
                      <w:rFonts w:hint="eastAsia"/>
                      <w:color w:val="auto"/>
                      <w:highlight w:val="none"/>
                      <w:shd w:val="clear" w:color="auto" w:fill="auto"/>
                    </w:rPr>
                  </w:pPr>
                  <w:r>
                    <w:rPr>
                      <w:rFonts w:hint="eastAsia"/>
                      <w:color w:val="auto"/>
                      <w:highlight w:val="none"/>
                      <w:shd w:val="clear" w:color="auto" w:fill="auto"/>
                    </w:rPr>
                    <w:t>简单防</w:t>
                  </w:r>
                </w:p>
                <w:p w14:paraId="3BAE1282">
                  <w:pPr>
                    <w:pStyle w:val="28"/>
                    <w:bidi w:val="0"/>
                    <w:rPr>
                      <w:color w:val="auto"/>
                      <w:highlight w:val="none"/>
                      <w:shd w:val="clear" w:color="auto" w:fill="auto"/>
                      <w:lang w:val="en-US" w:eastAsia="zh-CN"/>
                    </w:rPr>
                  </w:pPr>
                  <w:r>
                    <w:rPr>
                      <w:rFonts w:hint="eastAsia"/>
                      <w:color w:val="auto"/>
                      <w:highlight w:val="none"/>
                      <w:shd w:val="clear" w:color="auto" w:fill="auto"/>
                    </w:rPr>
                    <w:t>渗区</w:t>
                  </w:r>
                </w:p>
              </w:tc>
              <w:tc>
                <w:tcPr>
                  <w:tcW w:w="1360" w:type="pct"/>
                  <w:tcBorders>
                    <w:tl2br w:val="nil"/>
                    <w:tr2bl w:val="nil"/>
                  </w:tcBorders>
                  <w:noWrap w:val="0"/>
                  <w:vAlign w:val="center"/>
                </w:tcPr>
                <w:p w14:paraId="3CEB4EA6">
                  <w:pPr>
                    <w:pStyle w:val="28"/>
                    <w:bidi w:val="0"/>
                    <w:rPr>
                      <w:rFonts w:hint="default"/>
                      <w:color w:val="auto"/>
                      <w:highlight w:val="none"/>
                      <w:shd w:val="clear" w:color="auto" w:fill="auto"/>
                      <w:lang w:val="en-US" w:eastAsia="zh-CN"/>
                    </w:rPr>
                  </w:pPr>
                  <w:r>
                    <w:rPr>
                      <w:rFonts w:hint="eastAsia"/>
                      <w:color w:val="auto"/>
                      <w:highlight w:val="none"/>
                      <w:shd w:val="clear" w:color="auto" w:fill="auto"/>
                      <w:lang w:val="en-US" w:eastAsia="zh-CN"/>
                    </w:rPr>
                    <w:t>办公区等其他区域</w:t>
                  </w:r>
                </w:p>
              </w:tc>
              <w:tc>
                <w:tcPr>
                  <w:tcW w:w="1590" w:type="pct"/>
                  <w:tcBorders>
                    <w:tl2br w:val="nil"/>
                    <w:tr2bl w:val="nil"/>
                  </w:tcBorders>
                  <w:noWrap w:val="0"/>
                  <w:vAlign w:val="center"/>
                </w:tcPr>
                <w:p w14:paraId="12F5E2B9">
                  <w:pPr>
                    <w:pStyle w:val="28"/>
                    <w:bidi w:val="0"/>
                    <w:rPr>
                      <w:rFonts w:hint="eastAsia"/>
                      <w:color w:val="auto"/>
                      <w:highlight w:val="none"/>
                      <w:shd w:val="clear" w:color="auto" w:fill="auto"/>
                      <w:lang w:val="en-US" w:eastAsia="zh-CN"/>
                    </w:rPr>
                  </w:pPr>
                  <w:r>
                    <w:rPr>
                      <w:rFonts w:hint="eastAsia"/>
                      <w:color w:val="auto"/>
                      <w:highlight w:val="none"/>
                      <w:shd w:val="clear" w:color="auto" w:fill="auto"/>
                    </w:rPr>
                    <w:t>地面</w:t>
                  </w:r>
                </w:p>
              </w:tc>
              <w:tc>
                <w:tcPr>
                  <w:tcW w:w="1426" w:type="pct"/>
                  <w:tcBorders>
                    <w:tl2br w:val="nil"/>
                    <w:tr2bl w:val="nil"/>
                  </w:tcBorders>
                  <w:noWrap w:val="0"/>
                  <w:vAlign w:val="center"/>
                </w:tcPr>
                <w:p w14:paraId="652B6B4F">
                  <w:pPr>
                    <w:pStyle w:val="28"/>
                    <w:bidi w:val="0"/>
                    <w:rPr>
                      <w:color w:val="auto"/>
                      <w:highlight w:val="none"/>
                      <w:shd w:val="clear" w:color="auto" w:fill="auto"/>
                    </w:rPr>
                  </w:pPr>
                  <w:r>
                    <w:rPr>
                      <w:rFonts w:hint="eastAsia"/>
                      <w:color w:val="auto"/>
                      <w:highlight w:val="none"/>
                      <w:shd w:val="clear" w:color="auto" w:fill="auto"/>
                    </w:rPr>
                    <w:t>一般地面硬化</w:t>
                  </w:r>
                </w:p>
              </w:tc>
            </w:tr>
          </w:tbl>
          <w:p w14:paraId="02CC3517">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textAlignment w:val="auto"/>
              <w:rPr>
                <w:rFonts w:hint="eastAsia" w:ascii="Times New Roman" w:hAnsi="Times New Roman" w:eastAsia="宋体" w:cs="Times New Roman"/>
                <w:b/>
                <w:bCs/>
                <w:color w:val="auto"/>
                <w:sz w:val="24"/>
                <w:szCs w:val="24"/>
                <w:highlight w:val="none"/>
                <w:shd w:val="clear" w:color="auto" w:fill="auto"/>
              </w:rPr>
            </w:pPr>
            <w:r>
              <w:rPr>
                <w:rFonts w:hint="eastAsia" w:ascii="Times New Roman" w:hAnsi="Times New Roman" w:eastAsia="宋体" w:cs="Times New Roman"/>
                <w:b/>
                <w:bCs/>
                <w:color w:val="auto"/>
                <w:sz w:val="24"/>
                <w:szCs w:val="24"/>
                <w:highlight w:val="none"/>
                <w:shd w:val="clear" w:color="auto" w:fill="auto"/>
                <w:lang w:eastAsia="zh-CN"/>
              </w:rPr>
              <w:t>（</w:t>
            </w:r>
            <w:r>
              <w:rPr>
                <w:rFonts w:hint="eastAsia" w:ascii="Times New Roman" w:hAnsi="Times New Roman" w:eastAsia="宋体" w:cs="Times New Roman"/>
                <w:b/>
                <w:bCs/>
                <w:color w:val="auto"/>
                <w:sz w:val="24"/>
                <w:szCs w:val="24"/>
                <w:highlight w:val="none"/>
                <w:shd w:val="clear" w:color="auto" w:fill="auto"/>
                <w:lang w:val="en-US" w:eastAsia="zh-CN"/>
              </w:rPr>
              <w:t>3</w:t>
            </w:r>
            <w:r>
              <w:rPr>
                <w:rFonts w:hint="eastAsia" w:ascii="Times New Roman" w:hAnsi="Times New Roman" w:eastAsia="宋体" w:cs="Times New Roman"/>
                <w:b/>
                <w:bCs/>
                <w:color w:val="auto"/>
                <w:sz w:val="24"/>
                <w:szCs w:val="24"/>
                <w:highlight w:val="none"/>
                <w:shd w:val="clear" w:color="auto" w:fill="auto"/>
                <w:lang w:eastAsia="zh-CN"/>
              </w:rPr>
              <w:t>）</w:t>
            </w:r>
            <w:r>
              <w:rPr>
                <w:rFonts w:hint="eastAsia" w:ascii="Times New Roman" w:hAnsi="Times New Roman" w:eastAsia="宋体" w:cs="Times New Roman"/>
                <w:b/>
                <w:bCs/>
                <w:color w:val="auto"/>
                <w:sz w:val="24"/>
                <w:szCs w:val="24"/>
                <w:highlight w:val="none"/>
                <w:shd w:val="clear" w:color="auto" w:fill="auto"/>
              </w:rPr>
              <w:t>监控措施</w:t>
            </w:r>
          </w:p>
          <w:p w14:paraId="62DC95EE">
            <w:pPr>
              <w:spacing w:line="360" w:lineRule="auto"/>
              <w:ind w:firstLine="480" w:firstLineChars="200"/>
              <w:rPr>
                <w:rFonts w:hint="eastAsia" w:ascii="Times New Roman" w:hAnsi="Times New Roman" w:eastAsia="宋体" w:cs="Times New Roman"/>
                <w:color w:val="auto"/>
                <w:sz w:val="24"/>
                <w:szCs w:val="24"/>
                <w:highlight w:val="none"/>
                <w:shd w:val="clear" w:color="auto" w:fill="auto"/>
              </w:rPr>
            </w:pPr>
            <w:r>
              <w:rPr>
                <w:rFonts w:hint="eastAsia" w:ascii="Times New Roman" w:hAnsi="Times New Roman" w:eastAsia="宋体" w:cs="Times New Roman"/>
                <w:color w:val="auto"/>
                <w:sz w:val="24"/>
                <w:szCs w:val="24"/>
                <w:highlight w:val="none"/>
                <w:shd w:val="clear" w:color="auto" w:fill="auto"/>
              </w:rPr>
              <w:t>①项目危险废物</w:t>
            </w:r>
            <w:r>
              <w:rPr>
                <w:rFonts w:hint="eastAsia" w:cs="Times New Roman"/>
                <w:color w:val="auto"/>
                <w:sz w:val="24"/>
                <w:szCs w:val="24"/>
                <w:highlight w:val="none"/>
                <w:shd w:val="clear" w:color="auto" w:fill="auto"/>
                <w:lang w:eastAsia="zh-CN"/>
              </w:rPr>
              <w:t>贮存库</w:t>
            </w:r>
            <w:r>
              <w:rPr>
                <w:rFonts w:hint="eastAsia" w:ascii="Times New Roman" w:hAnsi="Times New Roman" w:eastAsia="宋体" w:cs="Times New Roman"/>
                <w:color w:val="auto"/>
                <w:sz w:val="24"/>
                <w:szCs w:val="24"/>
                <w:highlight w:val="none"/>
                <w:shd w:val="clear" w:color="auto" w:fill="auto"/>
                <w:lang w:eastAsia="zh-CN"/>
              </w:rPr>
              <w:t>液态危险废物容器底部设置防渗托盘，</w:t>
            </w:r>
            <w:r>
              <w:rPr>
                <w:rFonts w:hint="eastAsia" w:ascii="Times New Roman" w:hAnsi="Times New Roman" w:eastAsia="宋体" w:cs="Times New Roman"/>
                <w:color w:val="auto"/>
                <w:sz w:val="24"/>
                <w:szCs w:val="24"/>
                <w:highlight w:val="none"/>
                <w:shd w:val="clear" w:color="auto" w:fill="auto"/>
              </w:rPr>
              <w:t>防止</w:t>
            </w:r>
            <w:r>
              <w:rPr>
                <w:rFonts w:hint="eastAsia" w:cs="Times New Roman"/>
                <w:color w:val="auto"/>
                <w:sz w:val="24"/>
                <w:szCs w:val="24"/>
                <w:highlight w:val="none"/>
                <w:shd w:val="clear" w:color="auto" w:fill="auto"/>
                <w:lang w:eastAsia="zh-CN"/>
              </w:rPr>
              <w:t>泄漏物</w:t>
            </w:r>
            <w:r>
              <w:rPr>
                <w:rFonts w:hint="eastAsia" w:ascii="Times New Roman" w:hAnsi="Times New Roman" w:eastAsia="宋体" w:cs="Times New Roman"/>
                <w:color w:val="auto"/>
                <w:sz w:val="24"/>
                <w:szCs w:val="24"/>
                <w:highlight w:val="none"/>
                <w:shd w:val="clear" w:color="auto" w:fill="auto"/>
              </w:rPr>
              <w:t>四处扩散，并可及时移除或者清理污染源；</w:t>
            </w:r>
          </w:p>
          <w:p w14:paraId="37DA7498">
            <w:pPr>
              <w:spacing w:line="360" w:lineRule="auto"/>
              <w:ind w:firstLine="480" w:firstLineChars="200"/>
              <w:rPr>
                <w:rFonts w:hint="eastAsia" w:ascii="Times New Roman" w:hAnsi="Times New Roman" w:eastAsia="宋体" w:cs="Times New Roman"/>
                <w:color w:val="auto"/>
                <w:sz w:val="24"/>
                <w:szCs w:val="24"/>
                <w:highlight w:val="none"/>
                <w:shd w:val="clear" w:color="auto" w:fill="auto"/>
              </w:rPr>
            </w:pPr>
            <w:r>
              <w:rPr>
                <w:rFonts w:hint="eastAsia" w:ascii="Times New Roman" w:hAnsi="Times New Roman" w:eastAsia="宋体" w:cs="Times New Roman"/>
                <w:color w:val="auto"/>
                <w:sz w:val="24"/>
                <w:szCs w:val="24"/>
                <w:highlight w:val="none"/>
                <w:shd w:val="clear" w:color="auto" w:fill="auto"/>
              </w:rPr>
              <w:t>②建立健全环境管理和监测制度，保证各环保设施正常运转，同时强化风险防范意识，如遇环保设施不能正常运转，应立即停产检修；</w:t>
            </w:r>
          </w:p>
          <w:p w14:paraId="564F9421">
            <w:pPr>
              <w:spacing w:line="360" w:lineRule="auto"/>
              <w:ind w:firstLine="480" w:firstLineChars="200"/>
              <w:rPr>
                <w:rFonts w:hint="eastAsia" w:ascii="Times New Roman" w:hAnsi="Times New Roman" w:eastAsia="宋体" w:cs="Times New Roman"/>
                <w:color w:val="auto"/>
                <w:sz w:val="24"/>
                <w:szCs w:val="24"/>
                <w:highlight w:val="none"/>
                <w:shd w:val="clear" w:color="auto" w:fill="auto"/>
              </w:rPr>
            </w:pPr>
            <w:r>
              <w:rPr>
                <w:rFonts w:hint="eastAsia" w:ascii="Times New Roman" w:hAnsi="Times New Roman" w:eastAsia="宋体" w:cs="Times New Roman"/>
                <w:color w:val="auto"/>
                <w:sz w:val="24"/>
                <w:szCs w:val="24"/>
                <w:highlight w:val="none"/>
                <w:shd w:val="clear" w:color="auto" w:fill="auto"/>
              </w:rPr>
              <w:t>③</w:t>
            </w:r>
            <w:r>
              <w:rPr>
                <w:rFonts w:hint="eastAsia" w:ascii="Times New Roman" w:hAnsi="Times New Roman" w:eastAsia="宋体"/>
                <w:color w:val="auto"/>
                <w:sz w:val="24"/>
                <w:szCs w:val="24"/>
                <w:highlight w:val="none"/>
                <w:shd w:val="clear" w:color="auto" w:fill="auto"/>
              </w:rPr>
              <w:t>设置专门管理制度，加强对原辅材料及危险废物的规范化管理，定期巡查维护环保设施的运行情况，及时处理非正常运行情况；</w:t>
            </w:r>
          </w:p>
          <w:p w14:paraId="64A8CDF4">
            <w:pPr>
              <w:spacing w:line="360" w:lineRule="auto"/>
              <w:ind w:firstLine="480" w:firstLineChars="200"/>
              <w:rPr>
                <w:rFonts w:hint="eastAsia" w:ascii="Times New Roman" w:hAnsi="Times New Roman" w:eastAsia="宋体"/>
                <w:color w:val="auto"/>
                <w:sz w:val="24"/>
                <w:szCs w:val="24"/>
                <w:highlight w:val="none"/>
                <w:shd w:val="clear" w:color="auto" w:fill="auto"/>
              </w:rPr>
            </w:pPr>
            <w:r>
              <w:rPr>
                <w:rFonts w:hint="eastAsia" w:ascii="Times New Roman" w:hAnsi="Times New Roman" w:eastAsia="宋体" w:cs="Times New Roman"/>
                <w:color w:val="auto"/>
                <w:sz w:val="24"/>
                <w:szCs w:val="24"/>
                <w:highlight w:val="none"/>
                <w:shd w:val="clear" w:color="auto" w:fill="auto"/>
              </w:rPr>
              <w:t>④</w:t>
            </w:r>
            <w:r>
              <w:rPr>
                <w:rFonts w:hint="eastAsia" w:ascii="Times New Roman" w:hAnsi="Times New Roman" w:eastAsia="宋体"/>
                <w:color w:val="auto"/>
                <w:sz w:val="24"/>
                <w:szCs w:val="24"/>
                <w:highlight w:val="none"/>
                <w:shd w:val="clear" w:color="auto" w:fill="auto"/>
              </w:rPr>
              <w:t>建立相应制度，对运行期项目可能造成的土壤污染问题承担相应的责任并进行修复，将其列入企业内部的环保管理规定中。</w:t>
            </w:r>
          </w:p>
          <w:p w14:paraId="652E55E9">
            <w:pPr>
              <w:spacing w:line="360" w:lineRule="auto"/>
              <w:ind w:firstLine="480" w:firstLineChars="200"/>
              <w:rPr>
                <w:rFonts w:ascii="Times New Roman" w:hAnsi="Times New Roman" w:eastAsia="宋体"/>
                <w:color w:val="auto"/>
                <w:sz w:val="24"/>
                <w:szCs w:val="24"/>
                <w:highlight w:val="none"/>
                <w:shd w:val="clear" w:color="auto" w:fill="auto"/>
              </w:rPr>
            </w:pPr>
            <w:r>
              <w:rPr>
                <w:rFonts w:hint="eastAsia" w:ascii="Times New Roman" w:hAnsi="Times New Roman" w:eastAsia="宋体" w:cs="Times New Roman"/>
                <w:color w:val="auto"/>
                <w:sz w:val="24"/>
                <w:szCs w:val="24"/>
                <w:highlight w:val="none"/>
                <w:shd w:val="clear" w:color="auto" w:fill="auto"/>
              </w:rPr>
              <w:t>⑤</w:t>
            </w:r>
            <w:r>
              <w:rPr>
                <w:rFonts w:hint="eastAsia" w:ascii="Times New Roman" w:hAnsi="Times New Roman" w:eastAsia="宋体"/>
                <w:color w:val="auto"/>
                <w:sz w:val="24"/>
                <w:szCs w:val="24"/>
                <w:highlight w:val="none"/>
                <w:shd w:val="clear" w:color="auto" w:fill="auto"/>
              </w:rPr>
              <w:t>加强内部管理，将土壤污染防治纳入项目环境风险防控体系，严格依法依规建设和运行污染治理设施，确保重点污染物稳定达标排放；另外，提供企业员工污染隐患和环境风险防范意识，并定期开展培训。</w:t>
            </w:r>
          </w:p>
          <w:p w14:paraId="190F94F2">
            <w:pPr>
              <w:spacing w:line="360" w:lineRule="auto"/>
              <w:ind w:firstLine="480" w:firstLineChars="200"/>
              <w:rPr>
                <w:rFonts w:hint="eastAsia" w:ascii="Times New Roman" w:hAnsi="Times New Roman" w:eastAsia="宋体"/>
                <w:color w:val="auto"/>
                <w:sz w:val="21"/>
                <w:szCs w:val="21"/>
                <w:highlight w:val="none"/>
                <w:shd w:val="clear" w:color="auto" w:fill="auto"/>
              </w:rPr>
            </w:pPr>
            <w:r>
              <w:rPr>
                <w:rFonts w:hint="eastAsia" w:ascii="Times New Roman" w:hAnsi="Times New Roman" w:eastAsia="宋体"/>
                <w:color w:val="auto"/>
                <w:sz w:val="24"/>
                <w:szCs w:val="24"/>
                <w:highlight w:val="none"/>
                <w:shd w:val="clear" w:color="auto" w:fill="auto"/>
              </w:rPr>
              <w:t>综上所述，加强项目运行过程中环境管理，则项目实施对厂区及周边</w:t>
            </w:r>
            <w:r>
              <w:rPr>
                <w:rFonts w:hint="eastAsia" w:ascii="Times New Roman" w:hAnsi="Times New Roman" w:eastAsia="宋体"/>
                <w:color w:val="auto"/>
                <w:sz w:val="24"/>
                <w:szCs w:val="24"/>
                <w:highlight w:val="none"/>
                <w:shd w:val="clear" w:color="auto" w:fill="auto"/>
                <w:lang w:val="en-US" w:eastAsia="zh-CN"/>
              </w:rPr>
              <w:t>地下水、</w:t>
            </w:r>
            <w:r>
              <w:rPr>
                <w:rFonts w:hint="eastAsia" w:ascii="Times New Roman" w:hAnsi="Times New Roman" w:eastAsia="宋体"/>
                <w:color w:val="auto"/>
                <w:sz w:val="24"/>
                <w:szCs w:val="24"/>
                <w:highlight w:val="none"/>
                <w:shd w:val="clear" w:color="auto" w:fill="auto"/>
              </w:rPr>
              <w:t>土壤环境的影响可控。</w:t>
            </w:r>
          </w:p>
          <w:p w14:paraId="71342F2E">
            <w:pPr>
              <w:pStyle w:val="4"/>
              <w:bidi w:val="0"/>
              <w:rPr>
                <w:color w:val="auto"/>
                <w:highlight w:val="none"/>
                <w:shd w:val="clear" w:color="auto" w:fill="auto"/>
              </w:rPr>
            </w:pPr>
            <w:r>
              <w:rPr>
                <w:rFonts w:hint="eastAsia"/>
                <w:color w:val="auto"/>
                <w:highlight w:val="none"/>
                <w:shd w:val="clear" w:color="auto" w:fill="auto"/>
              </w:rPr>
              <w:t>4.</w:t>
            </w:r>
            <w:r>
              <w:rPr>
                <w:rFonts w:hint="eastAsia"/>
                <w:color w:val="auto"/>
                <w:highlight w:val="none"/>
                <w:shd w:val="clear" w:color="auto" w:fill="auto"/>
                <w:lang w:val="en-US" w:eastAsia="zh-CN"/>
              </w:rPr>
              <w:t>6</w:t>
            </w:r>
            <w:r>
              <w:rPr>
                <w:rFonts w:hint="eastAsia"/>
                <w:color w:val="auto"/>
                <w:highlight w:val="none"/>
                <w:shd w:val="clear" w:color="auto" w:fill="auto"/>
              </w:rPr>
              <w:t>.3 跟踪监测要求</w:t>
            </w:r>
          </w:p>
          <w:p w14:paraId="225718DA">
            <w:pPr>
              <w:spacing w:line="360" w:lineRule="auto"/>
              <w:ind w:firstLine="480" w:firstLineChars="200"/>
              <w:rPr>
                <w:rFonts w:ascii="Times New Roman" w:hAnsi="Times New Roman" w:eastAsia="宋体"/>
                <w:color w:val="auto"/>
                <w:sz w:val="24"/>
                <w:szCs w:val="24"/>
                <w:highlight w:val="none"/>
                <w:shd w:val="clear" w:color="auto" w:fill="auto"/>
              </w:rPr>
            </w:pPr>
            <w:r>
              <w:rPr>
                <w:rFonts w:hint="eastAsia" w:ascii="Times New Roman" w:hAnsi="Times New Roman" w:eastAsia="宋体"/>
                <w:color w:val="auto"/>
                <w:sz w:val="24"/>
                <w:szCs w:val="24"/>
                <w:highlight w:val="none"/>
                <w:shd w:val="clear" w:color="auto" w:fill="auto"/>
              </w:rPr>
              <w:t>项目建设后，厂区</w:t>
            </w:r>
            <w:r>
              <w:rPr>
                <w:rFonts w:hint="eastAsia"/>
                <w:color w:val="auto"/>
                <w:sz w:val="24"/>
                <w:szCs w:val="24"/>
                <w:highlight w:val="none"/>
                <w:shd w:val="clear" w:color="auto" w:fill="auto"/>
                <w:lang w:eastAsia="zh-CN"/>
              </w:rPr>
              <w:t>除绿化外全部</w:t>
            </w:r>
            <w:r>
              <w:rPr>
                <w:rFonts w:hint="eastAsia" w:ascii="Times New Roman" w:hAnsi="Times New Roman" w:eastAsia="宋体"/>
                <w:color w:val="auto"/>
                <w:sz w:val="24"/>
                <w:szCs w:val="24"/>
                <w:highlight w:val="none"/>
                <w:shd w:val="clear" w:color="auto" w:fill="auto"/>
              </w:rPr>
              <w:t>硬化，生产过程不排放持久性及重金属等污染物，严格按照要求对项目进行分区防渗防治后，项目对地下水、土壤环境影响很小，因此，本评价不对项目地下水、土壤环境提出跟踪监测要求。</w:t>
            </w:r>
          </w:p>
          <w:p w14:paraId="61425A38">
            <w:pPr>
              <w:pStyle w:val="3"/>
              <w:bidi w:val="0"/>
              <w:rPr>
                <w:rFonts w:hint="default"/>
                <w:color w:val="auto"/>
                <w:highlight w:val="none"/>
                <w:lang w:eastAsia="zh-CN"/>
              </w:rPr>
            </w:pPr>
            <w:r>
              <w:rPr>
                <w:rFonts w:hint="default"/>
                <w:color w:val="auto"/>
                <w:highlight w:val="none"/>
                <w:lang w:val="en-US" w:eastAsia="zh-CN"/>
              </w:rPr>
              <w:t>4.</w:t>
            </w:r>
            <w:r>
              <w:rPr>
                <w:rFonts w:hint="eastAsia"/>
                <w:color w:val="auto"/>
                <w:highlight w:val="none"/>
                <w:lang w:val="en-US" w:eastAsia="zh-CN"/>
              </w:rPr>
              <w:t>7</w:t>
            </w:r>
            <w:r>
              <w:rPr>
                <w:rFonts w:hint="default"/>
                <w:color w:val="auto"/>
                <w:highlight w:val="none"/>
                <w:lang w:eastAsia="zh-CN"/>
              </w:rPr>
              <w:t>环境风险影响和</w:t>
            </w:r>
            <w:r>
              <w:rPr>
                <w:rFonts w:hint="eastAsia"/>
                <w:color w:val="auto"/>
                <w:highlight w:val="none"/>
                <w:lang w:val="en-US" w:eastAsia="zh-CN"/>
              </w:rPr>
              <w:t>防范</w:t>
            </w:r>
            <w:r>
              <w:rPr>
                <w:rFonts w:hint="default"/>
                <w:color w:val="auto"/>
                <w:highlight w:val="none"/>
                <w:lang w:eastAsia="zh-CN"/>
              </w:rPr>
              <w:t>措施</w:t>
            </w:r>
          </w:p>
          <w:p w14:paraId="1E78F1F8">
            <w:pPr>
              <w:spacing w:line="360" w:lineRule="auto"/>
              <w:ind w:firstLine="480" w:firstLineChars="200"/>
              <w:rPr>
                <w:rFonts w:hint="eastAsia" w:ascii="Times New Roman" w:hAnsi="Times New Roman" w:eastAsia="宋体"/>
                <w:color w:val="auto"/>
                <w:sz w:val="24"/>
                <w:highlight w:val="none"/>
              </w:rPr>
            </w:pPr>
            <w:r>
              <w:rPr>
                <w:rFonts w:hint="eastAsia" w:ascii="Times New Roman" w:hAnsi="Times New Roman" w:eastAsia="宋体"/>
                <w:color w:val="auto"/>
                <w:sz w:val="24"/>
                <w:szCs w:val="24"/>
                <w:highlight w:val="none"/>
              </w:rPr>
              <w:t>根据</w:t>
            </w:r>
            <w:r>
              <w:rPr>
                <w:rFonts w:ascii="Times New Roman" w:hAnsi="Times New Roman" w:eastAsia="宋体"/>
                <w:color w:val="auto"/>
                <w:sz w:val="24"/>
                <w:szCs w:val="24"/>
                <w:highlight w:val="none"/>
              </w:rPr>
              <w:t>《建设项目环境影响报告表编制技术指南</w:t>
            </w:r>
            <w:r>
              <w:rPr>
                <w:rFonts w:hint="eastAsia" w:ascii="Times New Roman" w:hAnsi="Times New Roman" w:eastAsia="宋体"/>
                <w:color w:val="auto"/>
                <w:sz w:val="24"/>
                <w:szCs w:val="24"/>
                <w:highlight w:val="none"/>
              </w:rPr>
              <w:t>(</w:t>
            </w:r>
            <w:r>
              <w:rPr>
                <w:rFonts w:ascii="Times New Roman" w:hAnsi="Times New Roman" w:eastAsia="宋体"/>
                <w:color w:val="auto"/>
                <w:sz w:val="24"/>
                <w:szCs w:val="24"/>
                <w:highlight w:val="none"/>
              </w:rPr>
              <w:t>污染影响类</w:t>
            </w:r>
            <w:r>
              <w:rPr>
                <w:rFonts w:hint="eastAsia" w:ascii="Times New Roman" w:hAnsi="Times New Roman" w:eastAsia="宋体"/>
                <w:color w:val="auto"/>
                <w:sz w:val="24"/>
                <w:szCs w:val="24"/>
                <w:highlight w:val="none"/>
              </w:rPr>
              <w:t>)(</w:t>
            </w:r>
            <w:r>
              <w:rPr>
                <w:rFonts w:ascii="Times New Roman" w:hAnsi="Times New Roman" w:eastAsia="宋体"/>
                <w:color w:val="auto"/>
                <w:sz w:val="24"/>
                <w:szCs w:val="24"/>
                <w:highlight w:val="none"/>
              </w:rPr>
              <w:t>试行</w:t>
            </w:r>
            <w:r>
              <w:rPr>
                <w:rFonts w:hint="eastAsia" w:ascii="Times New Roman" w:hAnsi="Times New Roman" w:eastAsia="宋体"/>
                <w:color w:val="auto"/>
                <w:sz w:val="24"/>
                <w:szCs w:val="24"/>
                <w:highlight w:val="none"/>
              </w:rPr>
              <w:t>)</w:t>
            </w:r>
            <w:r>
              <w:rPr>
                <w:rFonts w:ascii="Times New Roman" w:hAnsi="Times New Roman" w:eastAsia="宋体"/>
                <w:color w:val="auto"/>
                <w:sz w:val="24"/>
                <w:szCs w:val="24"/>
                <w:highlight w:val="none"/>
              </w:rPr>
              <w:t>》</w:t>
            </w:r>
            <w:r>
              <w:rPr>
                <w:rFonts w:hint="eastAsia" w:ascii="Times New Roman" w:hAnsi="Times New Roman" w:eastAsia="宋体"/>
                <w:color w:val="auto"/>
                <w:sz w:val="24"/>
                <w:szCs w:val="24"/>
                <w:highlight w:val="none"/>
              </w:rPr>
              <w:t>(</w:t>
            </w:r>
            <w:r>
              <w:rPr>
                <w:rFonts w:ascii="Times New Roman" w:hAnsi="Times New Roman" w:eastAsia="宋体"/>
                <w:color w:val="auto"/>
                <w:sz w:val="24"/>
                <w:szCs w:val="24"/>
                <w:highlight w:val="none"/>
              </w:rPr>
              <w:t>环办环评〔2020〕33号</w:t>
            </w:r>
            <w:r>
              <w:rPr>
                <w:rFonts w:hint="eastAsia" w:ascii="Times New Roman" w:hAnsi="Times New Roman" w:eastAsia="宋体"/>
                <w:color w:val="auto"/>
                <w:sz w:val="24"/>
                <w:szCs w:val="24"/>
                <w:highlight w:val="none"/>
              </w:rPr>
              <w:t>)关于环境风险评价要求：“明确有毒有害和易燃易爆等危险物质和风险源分布情况及可能影响途径，并提出相应环境风险防范措施”。</w:t>
            </w:r>
          </w:p>
          <w:p w14:paraId="16B509AF">
            <w:pPr>
              <w:pStyle w:val="4"/>
              <w:bidi w:val="0"/>
              <w:rPr>
                <w:rFonts w:hint="default"/>
                <w:color w:val="auto"/>
                <w:highlight w:val="none"/>
                <w:lang w:val="en-US" w:eastAsia="zh-CN"/>
              </w:rPr>
            </w:pPr>
            <w:r>
              <w:rPr>
                <w:rFonts w:hint="eastAsia"/>
                <w:color w:val="auto"/>
                <w:highlight w:val="none"/>
                <w:lang w:val="en-US" w:eastAsia="zh-CN"/>
              </w:rPr>
              <w:t>4.7.1</w:t>
            </w:r>
            <w:r>
              <w:rPr>
                <w:rFonts w:hint="default"/>
                <w:color w:val="auto"/>
                <w:highlight w:val="none"/>
                <w:lang w:val="en-US" w:eastAsia="zh-CN"/>
              </w:rPr>
              <w:t>项目</w:t>
            </w:r>
            <w:r>
              <w:rPr>
                <w:rFonts w:hint="eastAsia"/>
                <w:color w:val="auto"/>
                <w:highlight w:val="none"/>
                <w:lang w:val="en-US" w:eastAsia="zh-CN"/>
              </w:rPr>
              <w:t>危险物资</w:t>
            </w:r>
            <w:r>
              <w:rPr>
                <w:rFonts w:hint="default"/>
                <w:color w:val="auto"/>
                <w:highlight w:val="none"/>
                <w:lang w:val="en-US" w:eastAsia="zh-CN"/>
              </w:rPr>
              <w:t>调查</w:t>
            </w:r>
          </w:p>
          <w:p w14:paraId="4E8B8654">
            <w:pPr>
              <w:spacing w:line="360" w:lineRule="auto"/>
              <w:ind w:firstLine="480" w:firstLineChars="200"/>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rPr>
              <w:t>对照《建设项目环境风险评价技术导则》（HJ 169-2018）附录B及《企业突发环境事件风险分级方法》 HJ941-2018附录A可知，项目</w:t>
            </w:r>
            <w:r>
              <w:rPr>
                <w:rFonts w:hint="eastAsia" w:ascii="Times New Roman" w:hAnsi="Times New Roman" w:eastAsia="宋体" w:cs="Times New Roman"/>
                <w:color w:val="auto"/>
                <w:sz w:val="24"/>
                <w:szCs w:val="24"/>
                <w:highlight w:val="none"/>
                <w:lang w:val="en-US" w:eastAsia="zh-CN"/>
              </w:rPr>
              <w:t>涉及环境风险物质如下：</w:t>
            </w:r>
          </w:p>
          <w:p w14:paraId="584B16CD">
            <w:pPr>
              <w:pStyle w:val="33"/>
              <w:bidi w:val="0"/>
              <w:rPr>
                <w:rFonts w:hint="default"/>
                <w:color w:val="auto"/>
                <w:sz w:val="24"/>
                <w:szCs w:val="24"/>
                <w:highlight w:val="none"/>
                <w:lang w:val="en-US" w:eastAsia="zh-CN"/>
              </w:rPr>
            </w:pPr>
            <w:r>
              <w:rPr>
                <w:rFonts w:hint="default"/>
                <w:color w:val="auto"/>
                <w:sz w:val="24"/>
                <w:szCs w:val="24"/>
                <w:highlight w:val="none"/>
                <w:lang w:val="en-US" w:eastAsia="zh-CN"/>
              </w:rPr>
              <w:t>表</w:t>
            </w:r>
            <w:r>
              <w:rPr>
                <w:rFonts w:hint="eastAsia"/>
                <w:color w:val="auto"/>
                <w:sz w:val="24"/>
                <w:szCs w:val="24"/>
                <w:highlight w:val="none"/>
                <w:lang w:val="en-US" w:eastAsia="zh-CN"/>
              </w:rPr>
              <w:t>4.7-1</w:t>
            </w:r>
            <w:r>
              <w:rPr>
                <w:rFonts w:hint="default"/>
                <w:color w:val="auto"/>
                <w:sz w:val="24"/>
                <w:szCs w:val="24"/>
                <w:highlight w:val="none"/>
                <w:lang w:val="en-US" w:eastAsia="zh-CN"/>
              </w:rPr>
              <w:t xml:space="preserve"> 主要风险物质数量、有害因素分布表</w:t>
            </w:r>
          </w:p>
          <w:tbl>
            <w:tblPr>
              <w:tblStyle w:val="21"/>
              <w:tblW w:w="49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3"/>
              <w:gridCol w:w="1018"/>
              <w:gridCol w:w="405"/>
              <w:gridCol w:w="985"/>
              <w:gridCol w:w="877"/>
              <w:gridCol w:w="789"/>
              <w:gridCol w:w="909"/>
              <w:gridCol w:w="772"/>
              <w:gridCol w:w="933"/>
              <w:gridCol w:w="969"/>
            </w:tblGrid>
            <w:tr w14:paraId="1135A2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1009" w:type="pct"/>
                  <w:gridSpan w:val="2"/>
                  <w:tcBorders>
                    <w:tl2br w:val="nil"/>
                    <w:tr2bl w:val="nil"/>
                  </w:tcBorders>
                  <w:noWrap w:val="0"/>
                  <w:vAlign w:val="center"/>
                </w:tcPr>
                <w:p w14:paraId="5C149F05">
                  <w:pPr>
                    <w:pStyle w:val="28"/>
                    <w:bidi w:val="0"/>
                    <w:rPr>
                      <w:rFonts w:hint="default"/>
                      <w:color w:val="auto"/>
                      <w:highlight w:val="none"/>
                      <w:lang w:eastAsia="zh-CN"/>
                    </w:rPr>
                  </w:pPr>
                  <w:r>
                    <w:rPr>
                      <w:rFonts w:hint="default"/>
                      <w:color w:val="auto"/>
                      <w:highlight w:val="none"/>
                      <w:lang w:eastAsia="zh-CN"/>
                    </w:rPr>
                    <w:t>物质</w:t>
                  </w:r>
                </w:p>
                <w:p w14:paraId="6F37D714">
                  <w:pPr>
                    <w:pStyle w:val="28"/>
                    <w:bidi w:val="0"/>
                    <w:rPr>
                      <w:rFonts w:hint="default"/>
                      <w:color w:val="auto"/>
                      <w:highlight w:val="none"/>
                      <w:lang w:eastAsia="zh-CN"/>
                    </w:rPr>
                  </w:pPr>
                  <w:r>
                    <w:rPr>
                      <w:rFonts w:hint="default"/>
                      <w:color w:val="auto"/>
                      <w:highlight w:val="none"/>
                      <w:lang w:eastAsia="zh-CN"/>
                    </w:rPr>
                    <w:t>名称</w:t>
                  </w:r>
                </w:p>
              </w:tc>
              <w:tc>
                <w:tcPr>
                  <w:tcW w:w="243" w:type="pct"/>
                  <w:tcBorders>
                    <w:tl2br w:val="nil"/>
                    <w:tr2bl w:val="nil"/>
                  </w:tcBorders>
                  <w:noWrap w:val="0"/>
                  <w:vAlign w:val="center"/>
                </w:tcPr>
                <w:p w14:paraId="3BCAAEDA">
                  <w:pPr>
                    <w:pStyle w:val="28"/>
                    <w:bidi w:val="0"/>
                    <w:rPr>
                      <w:rFonts w:hint="default"/>
                      <w:color w:val="auto"/>
                      <w:highlight w:val="none"/>
                      <w:lang w:eastAsia="zh-CN"/>
                    </w:rPr>
                  </w:pPr>
                  <w:r>
                    <w:rPr>
                      <w:rFonts w:hint="default"/>
                      <w:color w:val="auto"/>
                      <w:highlight w:val="none"/>
                      <w:lang w:eastAsia="zh-CN"/>
                    </w:rPr>
                    <w:t>形态</w:t>
                  </w:r>
                </w:p>
              </w:tc>
              <w:tc>
                <w:tcPr>
                  <w:tcW w:w="591" w:type="pct"/>
                  <w:tcBorders>
                    <w:tl2br w:val="nil"/>
                    <w:tr2bl w:val="nil"/>
                  </w:tcBorders>
                  <w:noWrap w:val="0"/>
                  <w:vAlign w:val="center"/>
                </w:tcPr>
                <w:p w14:paraId="0501AB26">
                  <w:pPr>
                    <w:pStyle w:val="28"/>
                    <w:bidi w:val="0"/>
                    <w:rPr>
                      <w:rFonts w:hint="default"/>
                      <w:color w:val="auto"/>
                      <w:highlight w:val="none"/>
                      <w:lang w:eastAsia="zh-CN"/>
                    </w:rPr>
                  </w:pPr>
                  <w:r>
                    <w:rPr>
                      <w:rFonts w:hint="eastAsia"/>
                      <w:color w:val="auto"/>
                      <w:highlight w:val="none"/>
                      <w:lang w:val="en-US" w:eastAsia="zh-CN"/>
                    </w:rPr>
                    <w:t>一次最大</w:t>
                  </w:r>
                  <w:r>
                    <w:rPr>
                      <w:rFonts w:hint="default"/>
                      <w:color w:val="auto"/>
                      <w:highlight w:val="none"/>
                      <w:lang w:eastAsia="zh-CN"/>
                    </w:rPr>
                    <w:t>储量</w:t>
                  </w:r>
                </w:p>
                <w:p w14:paraId="05B9A56C">
                  <w:pPr>
                    <w:pStyle w:val="28"/>
                    <w:bidi w:val="0"/>
                    <w:rPr>
                      <w:rFonts w:hint="default"/>
                      <w:color w:val="auto"/>
                      <w:highlight w:val="none"/>
                      <w:lang w:val="en-US" w:eastAsia="zh-CN"/>
                    </w:rPr>
                  </w:pPr>
                  <w:r>
                    <w:rPr>
                      <w:rFonts w:hint="default"/>
                      <w:color w:val="auto"/>
                      <w:highlight w:val="none"/>
                      <w:lang w:val="en-US" w:eastAsia="zh-CN"/>
                    </w:rPr>
                    <w:t>(t)</w:t>
                  </w:r>
                </w:p>
              </w:tc>
              <w:tc>
                <w:tcPr>
                  <w:tcW w:w="527" w:type="pct"/>
                  <w:tcBorders>
                    <w:tl2br w:val="nil"/>
                    <w:tr2bl w:val="nil"/>
                  </w:tcBorders>
                  <w:noWrap w:val="0"/>
                  <w:vAlign w:val="center"/>
                </w:tcPr>
                <w:p w14:paraId="784F8F04">
                  <w:pPr>
                    <w:pStyle w:val="28"/>
                    <w:bidi w:val="0"/>
                    <w:rPr>
                      <w:rFonts w:hint="default"/>
                      <w:color w:val="auto"/>
                      <w:highlight w:val="none"/>
                      <w:lang w:eastAsia="zh-CN"/>
                    </w:rPr>
                  </w:pPr>
                  <w:r>
                    <w:rPr>
                      <w:rFonts w:hint="default"/>
                      <w:color w:val="auto"/>
                      <w:highlight w:val="none"/>
                      <w:lang w:eastAsia="zh-CN"/>
                    </w:rPr>
                    <w:t>危险物</w:t>
                  </w:r>
                </w:p>
                <w:p w14:paraId="67DA4D43">
                  <w:pPr>
                    <w:pStyle w:val="28"/>
                    <w:bidi w:val="0"/>
                    <w:rPr>
                      <w:rFonts w:hint="default"/>
                      <w:color w:val="auto"/>
                      <w:highlight w:val="none"/>
                      <w:lang w:eastAsia="zh-CN"/>
                    </w:rPr>
                  </w:pPr>
                  <w:r>
                    <w:rPr>
                      <w:rFonts w:hint="default"/>
                      <w:color w:val="auto"/>
                      <w:highlight w:val="none"/>
                      <w:lang w:eastAsia="zh-CN"/>
                    </w:rPr>
                    <w:t>质成分</w:t>
                  </w:r>
                </w:p>
              </w:tc>
              <w:tc>
                <w:tcPr>
                  <w:tcW w:w="474" w:type="pct"/>
                  <w:tcBorders>
                    <w:tl2br w:val="nil"/>
                    <w:tr2bl w:val="nil"/>
                  </w:tcBorders>
                  <w:noWrap w:val="0"/>
                  <w:vAlign w:val="center"/>
                </w:tcPr>
                <w:p w14:paraId="2AA1291B">
                  <w:pPr>
                    <w:pStyle w:val="28"/>
                    <w:bidi w:val="0"/>
                    <w:rPr>
                      <w:rFonts w:hint="default"/>
                      <w:color w:val="auto"/>
                      <w:highlight w:val="none"/>
                      <w:lang w:eastAsia="zh-CN"/>
                    </w:rPr>
                  </w:pPr>
                  <w:r>
                    <w:rPr>
                      <w:rFonts w:hint="default"/>
                      <w:color w:val="auto"/>
                      <w:highlight w:val="none"/>
                      <w:lang w:eastAsia="zh-CN"/>
                    </w:rPr>
                    <w:t>危险物质含量</w:t>
                  </w:r>
                </w:p>
              </w:tc>
              <w:tc>
                <w:tcPr>
                  <w:tcW w:w="546" w:type="pct"/>
                  <w:tcBorders>
                    <w:tl2br w:val="nil"/>
                    <w:tr2bl w:val="nil"/>
                  </w:tcBorders>
                  <w:noWrap w:val="0"/>
                  <w:vAlign w:val="center"/>
                </w:tcPr>
                <w:p w14:paraId="77D217FB">
                  <w:pPr>
                    <w:pStyle w:val="28"/>
                    <w:bidi w:val="0"/>
                    <w:rPr>
                      <w:rFonts w:hint="default"/>
                      <w:color w:val="auto"/>
                      <w:highlight w:val="none"/>
                      <w:lang w:eastAsia="zh-CN"/>
                    </w:rPr>
                  </w:pPr>
                  <w:r>
                    <w:rPr>
                      <w:rFonts w:hint="default"/>
                      <w:color w:val="auto"/>
                      <w:highlight w:val="none"/>
                      <w:lang w:eastAsia="zh-CN"/>
                    </w:rPr>
                    <w:t>危险物</w:t>
                  </w:r>
                </w:p>
                <w:p w14:paraId="2D0E5636">
                  <w:pPr>
                    <w:pStyle w:val="28"/>
                    <w:bidi w:val="0"/>
                    <w:rPr>
                      <w:rFonts w:hint="default"/>
                      <w:color w:val="auto"/>
                      <w:highlight w:val="none"/>
                    </w:rPr>
                  </w:pPr>
                  <w:r>
                    <w:rPr>
                      <w:rFonts w:hint="default"/>
                      <w:color w:val="auto"/>
                      <w:highlight w:val="none"/>
                      <w:lang w:eastAsia="zh-CN"/>
                    </w:rPr>
                    <w:t>质储量</w:t>
                  </w:r>
                  <w:r>
                    <w:rPr>
                      <w:rFonts w:hint="eastAsia"/>
                      <w:color w:val="auto"/>
                      <w:highlight w:val="none"/>
                      <w:lang w:eastAsia="zh-CN"/>
                    </w:rPr>
                    <w:t>（</w:t>
                  </w:r>
                  <w:r>
                    <w:rPr>
                      <w:rFonts w:hint="default"/>
                      <w:color w:val="auto"/>
                      <w:highlight w:val="none"/>
                      <w:lang w:val="en-US" w:eastAsia="zh-CN"/>
                    </w:rPr>
                    <w:t>t)</w:t>
                  </w:r>
                </w:p>
              </w:tc>
              <w:tc>
                <w:tcPr>
                  <w:tcW w:w="464" w:type="pct"/>
                  <w:tcBorders>
                    <w:tl2br w:val="nil"/>
                    <w:tr2bl w:val="nil"/>
                  </w:tcBorders>
                  <w:noWrap w:val="0"/>
                  <w:vAlign w:val="center"/>
                </w:tcPr>
                <w:p w14:paraId="7F013193">
                  <w:pPr>
                    <w:pStyle w:val="28"/>
                    <w:bidi w:val="0"/>
                    <w:rPr>
                      <w:rFonts w:hint="default"/>
                      <w:color w:val="auto"/>
                      <w:highlight w:val="none"/>
                      <w:lang w:val="en-US" w:eastAsia="zh-CN"/>
                    </w:rPr>
                  </w:pPr>
                  <w:r>
                    <w:rPr>
                      <w:rFonts w:hint="eastAsia"/>
                      <w:color w:val="auto"/>
                      <w:highlight w:val="none"/>
                      <w:lang w:val="en-US" w:eastAsia="zh-CN"/>
                    </w:rPr>
                    <w:t>临界量（</w:t>
                  </w:r>
                  <w:r>
                    <w:rPr>
                      <w:rFonts w:hint="default"/>
                      <w:color w:val="auto"/>
                      <w:highlight w:val="none"/>
                      <w:lang w:val="en-US" w:eastAsia="zh-CN"/>
                    </w:rPr>
                    <w:t>t)</w:t>
                  </w:r>
                </w:p>
              </w:tc>
              <w:tc>
                <w:tcPr>
                  <w:tcW w:w="560" w:type="pct"/>
                  <w:tcBorders>
                    <w:tl2br w:val="nil"/>
                    <w:tr2bl w:val="nil"/>
                  </w:tcBorders>
                  <w:noWrap w:val="0"/>
                  <w:vAlign w:val="center"/>
                </w:tcPr>
                <w:p w14:paraId="0E083A03">
                  <w:pPr>
                    <w:pStyle w:val="28"/>
                    <w:bidi w:val="0"/>
                    <w:rPr>
                      <w:rFonts w:hint="default"/>
                      <w:color w:val="auto"/>
                      <w:highlight w:val="none"/>
                      <w:lang w:val="en-US" w:eastAsia="zh-CN"/>
                    </w:rPr>
                  </w:pPr>
                  <w:r>
                    <w:rPr>
                      <w:rFonts w:hint="eastAsia"/>
                      <w:color w:val="auto"/>
                      <w:highlight w:val="none"/>
                      <w:lang w:val="en-US" w:eastAsia="zh-CN"/>
                    </w:rPr>
                    <w:t>Q值</w:t>
                  </w:r>
                </w:p>
              </w:tc>
              <w:tc>
                <w:tcPr>
                  <w:tcW w:w="582" w:type="pct"/>
                  <w:tcBorders>
                    <w:tl2br w:val="nil"/>
                    <w:tr2bl w:val="nil"/>
                  </w:tcBorders>
                  <w:noWrap w:val="0"/>
                  <w:vAlign w:val="center"/>
                </w:tcPr>
                <w:p w14:paraId="2EA16BB3">
                  <w:pPr>
                    <w:pStyle w:val="28"/>
                    <w:bidi w:val="0"/>
                    <w:rPr>
                      <w:rFonts w:hint="default"/>
                      <w:color w:val="auto"/>
                      <w:highlight w:val="none"/>
                      <w:lang w:val="en-US" w:eastAsia="zh-CN"/>
                    </w:rPr>
                  </w:pPr>
                  <w:r>
                    <w:rPr>
                      <w:rFonts w:hint="eastAsia"/>
                      <w:color w:val="auto"/>
                      <w:highlight w:val="none"/>
                      <w:lang w:val="en-US" w:eastAsia="zh-CN"/>
                    </w:rPr>
                    <w:t>位置</w:t>
                  </w:r>
                </w:p>
              </w:tc>
            </w:tr>
            <w:tr w14:paraId="649CC4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398" w:type="pct"/>
                  <w:vMerge w:val="restart"/>
                  <w:tcBorders>
                    <w:tl2br w:val="nil"/>
                    <w:tr2bl w:val="nil"/>
                  </w:tcBorders>
                  <w:noWrap w:val="0"/>
                  <w:vAlign w:val="center"/>
                </w:tcPr>
                <w:p w14:paraId="7BB871DF">
                  <w:pPr>
                    <w:pStyle w:val="28"/>
                    <w:bidi w:val="0"/>
                    <w:rPr>
                      <w:rFonts w:hint="default"/>
                      <w:color w:val="auto"/>
                      <w:highlight w:val="none"/>
                      <w:lang w:val="en-US" w:eastAsia="zh-CN"/>
                    </w:rPr>
                  </w:pPr>
                  <w:r>
                    <w:rPr>
                      <w:rFonts w:hint="eastAsia"/>
                      <w:color w:val="auto"/>
                      <w:highlight w:val="none"/>
                      <w:lang w:val="en-US" w:eastAsia="zh-CN"/>
                    </w:rPr>
                    <w:t>危险废物</w:t>
                  </w:r>
                </w:p>
              </w:tc>
              <w:tc>
                <w:tcPr>
                  <w:tcW w:w="611" w:type="pct"/>
                  <w:tcBorders>
                    <w:tl2br w:val="nil"/>
                    <w:tr2bl w:val="nil"/>
                  </w:tcBorders>
                  <w:noWrap w:val="0"/>
                  <w:vAlign w:val="center"/>
                </w:tcPr>
                <w:p w14:paraId="223CC47D">
                  <w:pPr>
                    <w:pStyle w:val="28"/>
                    <w:bidi w:val="0"/>
                    <w:rPr>
                      <w:rFonts w:hint="default"/>
                      <w:color w:val="auto"/>
                      <w:highlight w:val="none"/>
                      <w:lang w:val="en-US" w:eastAsia="zh-CN"/>
                    </w:rPr>
                  </w:pPr>
                  <w:r>
                    <w:rPr>
                      <w:rFonts w:hint="eastAsia"/>
                      <w:color w:val="auto"/>
                      <w:highlight w:val="none"/>
                      <w:lang w:val="en-US" w:eastAsia="zh-CN"/>
                    </w:rPr>
                    <w:t>废机油</w:t>
                  </w:r>
                </w:p>
              </w:tc>
              <w:tc>
                <w:tcPr>
                  <w:tcW w:w="243" w:type="pct"/>
                  <w:tcBorders>
                    <w:tl2br w:val="nil"/>
                    <w:tr2bl w:val="nil"/>
                  </w:tcBorders>
                  <w:noWrap w:val="0"/>
                  <w:vAlign w:val="center"/>
                </w:tcPr>
                <w:p w14:paraId="4694946D">
                  <w:pPr>
                    <w:pStyle w:val="28"/>
                    <w:bidi w:val="0"/>
                    <w:rPr>
                      <w:rFonts w:hint="default"/>
                      <w:color w:val="auto"/>
                      <w:highlight w:val="none"/>
                      <w:lang w:val="en-US" w:eastAsia="zh-CN"/>
                    </w:rPr>
                  </w:pPr>
                  <w:r>
                    <w:rPr>
                      <w:rFonts w:hint="eastAsia"/>
                      <w:color w:val="auto"/>
                      <w:highlight w:val="none"/>
                      <w:lang w:val="en-US" w:eastAsia="zh-CN"/>
                    </w:rPr>
                    <w:t>液态</w:t>
                  </w:r>
                </w:p>
              </w:tc>
              <w:tc>
                <w:tcPr>
                  <w:tcW w:w="591" w:type="pct"/>
                  <w:tcBorders>
                    <w:tl2br w:val="nil"/>
                    <w:tr2bl w:val="nil"/>
                  </w:tcBorders>
                  <w:noWrap w:val="0"/>
                  <w:vAlign w:val="center"/>
                </w:tcPr>
                <w:p w14:paraId="3B9AB04D">
                  <w:pPr>
                    <w:pStyle w:val="28"/>
                    <w:bidi w:val="0"/>
                    <w:rPr>
                      <w:rFonts w:hint="default"/>
                      <w:color w:val="auto"/>
                      <w:highlight w:val="none"/>
                      <w:lang w:val="en-US" w:eastAsia="zh-CN"/>
                    </w:rPr>
                  </w:pPr>
                  <w:r>
                    <w:rPr>
                      <w:rFonts w:hint="eastAsia"/>
                      <w:color w:val="auto"/>
                      <w:highlight w:val="none"/>
                      <w:lang w:val="en-US" w:eastAsia="zh-CN"/>
                    </w:rPr>
                    <w:t>0.2</w:t>
                  </w:r>
                </w:p>
              </w:tc>
              <w:tc>
                <w:tcPr>
                  <w:tcW w:w="527" w:type="pct"/>
                  <w:tcBorders>
                    <w:tl2br w:val="nil"/>
                    <w:tr2bl w:val="nil"/>
                  </w:tcBorders>
                  <w:noWrap w:val="0"/>
                  <w:vAlign w:val="center"/>
                </w:tcPr>
                <w:p w14:paraId="62F4F2BF">
                  <w:pPr>
                    <w:pStyle w:val="28"/>
                    <w:bidi w:val="0"/>
                    <w:rPr>
                      <w:rFonts w:hint="default"/>
                      <w:color w:val="auto"/>
                      <w:highlight w:val="none"/>
                      <w:lang w:val="en-US" w:eastAsia="zh-CN"/>
                    </w:rPr>
                  </w:pPr>
                  <w:r>
                    <w:rPr>
                      <w:rFonts w:hint="eastAsia"/>
                      <w:color w:val="auto"/>
                      <w:highlight w:val="none"/>
                      <w:lang w:val="en-US" w:eastAsia="zh-CN"/>
                    </w:rPr>
                    <w:t>废矿物油</w:t>
                  </w:r>
                </w:p>
              </w:tc>
              <w:tc>
                <w:tcPr>
                  <w:tcW w:w="474" w:type="pct"/>
                  <w:tcBorders>
                    <w:tl2br w:val="nil"/>
                    <w:tr2bl w:val="nil"/>
                  </w:tcBorders>
                  <w:noWrap w:val="0"/>
                  <w:vAlign w:val="center"/>
                </w:tcPr>
                <w:p w14:paraId="1BD1F41B">
                  <w:pPr>
                    <w:pStyle w:val="28"/>
                    <w:bidi w:val="0"/>
                    <w:rPr>
                      <w:rFonts w:hint="default"/>
                      <w:color w:val="auto"/>
                      <w:highlight w:val="none"/>
                      <w:lang w:val="en-US" w:eastAsia="zh-CN"/>
                    </w:rPr>
                  </w:pPr>
                  <w:r>
                    <w:rPr>
                      <w:rFonts w:hint="eastAsia"/>
                      <w:color w:val="auto"/>
                      <w:highlight w:val="none"/>
                      <w:lang w:val="en-US" w:eastAsia="zh-CN"/>
                    </w:rPr>
                    <w:t>100%</w:t>
                  </w:r>
                </w:p>
              </w:tc>
              <w:tc>
                <w:tcPr>
                  <w:tcW w:w="546" w:type="pct"/>
                  <w:tcBorders>
                    <w:tl2br w:val="nil"/>
                    <w:tr2bl w:val="nil"/>
                  </w:tcBorders>
                  <w:noWrap w:val="0"/>
                  <w:vAlign w:val="center"/>
                </w:tcPr>
                <w:p w14:paraId="4AF5D28C">
                  <w:pPr>
                    <w:pStyle w:val="28"/>
                    <w:bidi w:val="0"/>
                    <w:rPr>
                      <w:rFonts w:hint="default"/>
                      <w:color w:val="auto"/>
                      <w:highlight w:val="none"/>
                      <w:lang w:val="en-US" w:eastAsia="zh-CN"/>
                    </w:rPr>
                  </w:pPr>
                  <w:r>
                    <w:rPr>
                      <w:rFonts w:hint="eastAsia"/>
                      <w:color w:val="auto"/>
                      <w:highlight w:val="none"/>
                      <w:lang w:val="en-US" w:eastAsia="zh-CN"/>
                    </w:rPr>
                    <w:t>0.2</w:t>
                  </w:r>
                </w:p>
              </w:tc>
              <w:tc>
                <w:tcPr>
                  <w:tcW w:w="464" w:type="pct"/>
                  <w:tcBorders>
                    <w:tl2br w:val="nil"/>
                    <w:tr2bl w:val="nil"/>
                  </w:tcBorders>
                  <w:noWrap w:val="0"/>
                  <w:vAlign w:val="center"/>
                </w:tcPr>
                <w:p w14:paraId="4535B1B7">
                  <w:pPr>
                    <w:pStyle w:val="28"/>
                    <w:bidi w:val="0"/>
                    <w:rPr>
                      <w:rFonts w:hint="eastAsia"/>
                      <w:color w:val="auto"/>
                      <w:highlight w:val="none"/>
                      <w:lang w:val="en-US" w:eastAsia="zh-CN"/>
                    </w:rPr>
                  </w:pPr>
                  <w:r>
                    <w:rPr>
                      <w:rFonts w:hint="eastAsia"/>
                      <w:color w:val="auto"/>
                      <w:highlight w:val="none"/>
                      <w:lang w:val="en-US" w:eastAsia="zh-CN"/>
                    </w:rPr>
                    <w:t>2500</w:t>
                  </w:r>
                </w:p>
              </w:tc>
              <w:tc>
                <w:tcPr>
                  <w:tcW w:w="560" w:type="pct"/>
                  <w:tcBorders>
                    <w:tl2br w:val="nil"/>
                    <w:tr2bl w:val="nil"/>
                  </w:tcBorders>
                  <w:noWrap w:val="0"/>
                  <w:vAlign w:val="center"/>
                </w:tcPr>
                <w:p w14:paraId="64103FFD">
                  <w:pPr>
                    <w:pStyle w:val="28"/>
                    <w:bidi w:val="0"/>
                    <w:rPr>
                      <w:rFonts w:hint="default"/>
                      <w:color w:val="auto"/>
                      <w:highlight w:val="none"/>
                      <w:lang w:val="en-US" w:eastAsia="zh-CN"/>
                    </w:rPr>
                  </w:pPr>
                  <w:r>
                    <w:rPr>
                      <w:rFonts w:hint="eastAsia"/>
                      <w:color w:val="auto"/>
                      <w:highlight w:val="none"/>
                      <w:lang w:val="en-US" w:eastAsia="zh-CN"/>
                    </w:rPr>
                    <w:t>0.00008</w:t>
                  </w:r>
                </w:p>
              </w:tc>
              <w:tc>
                <w:tcPr>
                  <w:tcW w:w="582" w:type="pct"/>
                  <w:vMerge w:val="restart"/>
                  <w:tcBorders>
                    <w:tl2br w:val="nil"/>
                    <w:tr2bl w:val="nil"/>
                  </w:tcBorders>
                  <w:noWrap w:val="0"/>
                  <w:vAlign w:val="center"/>
                </w:tcPr>
                <w:p w14:paraId="73A02AEC">
                  <w:pPr>
                    <w:pStyle w:val="28"/>
                    <w:bidi w:val="0"/>
                    <w:rPr>
                      <w:rFonts w:hint="default"/>
                      <w:color w:val="auto"/>
                      <w:highlight w:val="none"/>
                      <w:lang w:val="en-US" w:eastAsia="zh-CN"/>
                    </w:rPr>
                  </w:pPr>
                  <w:r>
                    <w:rPr>
                      <w:rFonts w:hint="eastAsia"/>
                      <w:color w:val="auto"/>
                      <w:highlight w:val="none"/>
                      <w:lang w:val="en-US" w:eastAsia="zh-CN"/>
                    </w:rPr>
                    <w:t>危险废物贮存库</w:t>
                  </w:r>
                </w:p>
              </w:tc>
            </w:tr>
            <w:tr w14:paraId="5ACC6C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398" w:type="pct"/>
                  <w:vMerge w:val="continue"/>
                  <w:tcBorders>
                    <w:tl2br w:val="nil"/>
                    <w:tr2bl w:val="nil"/>
                  </w:tcBorders>
                  <w:noWrap w:val="0"/>
                  <w:vAlign w:val="center"/>
                </w:tcPr>
                <w:p w14:paraId="3540541A">
                  <w:pPr>
                    <w:pStyle w:val="28"/>
                    <w:bidi w:val="0"/>
                    <w:rPr>
                      <w:rFonts w:hint="eastAsia"/>
                      <w:color w:val="auto"/>
                      <w:highlight w:val="none"/>
                      <w:lang w:val="en-US" w:eastAsia="zh-CN"/>
                    </w:rPr>
                  </w:pPr>
                </w:p>
              </w:tc>
              <w:tc>
                <w:tcPr>
                  <w:tcW w:w="611" w:type="pct"/>
                  <w:tcBorders>
                    <w:tl2br w:val="nil"/>
                    <w:tr2bl w:val="nil"/>
                  </w:tcBorders>
                  <w:noWrap w:val="0"/>
                  <w:vAlign w:val="center"/>
                </w:tcPr>
                <w:p w14:paraId="61C00795">
                  <w:pPr>
                    <w:pStyle w:val="28"/>
                    <w:bidi w:val="0"/>
                    <w:rPr>
                      <w:rFonts w:hint="default"/>
                      <w:color w:val="auto"/>
                      <w:highlight w:val="none"/>
                      <w:lang w:val="en-US" w:eastAsia="zh-CN"/>
                    </w:rPr>
                  </w:pPr>
                  <w:r>
                    <w:rPr>
                      <w:rFonts w:hint="eastAsia"/>
                      <w:color w:val="auto"/>
                      <w:highlight w:val="none"/>
                      <w:lang w:val="en-US" w:eastAsia="zh-CN"/>
                    </w:rPr>
                    <w:t>其他危险废物（废吸油毡、废油桶）</w:t>
                  </w:r>
                </w:p>
              </w:tc>
              <w:tc>
                <w:tcPr>
                  <w:tcW w:w="243" w:type="pct"/>
                  <w:tcBorders>
                    <w:tl2br w:val="nil"/>
                    <w:tr2bl w:val="nil"/>
                  </w:tcBorders>
                  <w:noWrap w:val="0"/>
                  <w:vAlign w:val="center"/>
                </w:tcPr>
                <w:p w14:paraId="2BA5D20D">
                  <w:pPr>
                    <w:pStyle w:val="28"/>
                    <w:bidi w:val="0"/>
                    <w:rPr>
                      <w:rFonts w:hint="default"/>
                      <w:color w:val="auto"/>
                      <w:highlight w:val="none"/>
                      <w:lang w:val="en-US" w:eastAsia="zh-CN"/>
                    </w:rPr>
                  </w:pPr>
                  <w:r>
                    <w:rPr>
                      <w:rFonts w:hint="eastAsia"/>
                      <w:color w:val="auto"/>
                      <w:highlight w:val="none"/>
                      <w:lang w:val="en-US" w:eastAsia="zh-CN"/>
                    </w:rPr>
                    <w:t>固体</w:t>
                  </w:r>
                </w:p>
              </w:tc>
              <w:tc>
                <w:tcPr>
                  <w:tcW w:w="591" w:type="pct"/>
                  <w:tcBorders>
                    <w:tl2br w:val="nil"/>
                    <w:tr2bl w:val="nil"/>
                  </w:tcBorders>
                  <w:noWrap w:val="0"/>
                  <w:vAlign w:val="center"/>
                </w:tcPr>
                <w:p w14:paraId="47D8102E">
                  <w:pPr>
                    <w:pStyle w:val="28"/>
                    <w:bidi w:val="0"/>
                    <w:rPr>
                      <w:rFonts w:hint="default"/>
                      <w:color w:val="auto"/>
                      <w:highlight w:val="none"/>
                      <w:lang w:val="en-US" w:eastAsia="zh-CN"/>
                    </w:rPr>
                  </w:pPr>
                  <w:r>
                    <w:rPr>
                      <w:rFonts w:hint="eastAsia"/>
                      <w:color w:val="auto"/>
                      <w:highlight w:val="none"/>
                      <w:lang w:val="en-US" w:eastAsia="zh-CN"/>
                    </w:rPr>
                    <w:t>0.35</w:t>
                  </w:r>
                </w:p>
              </w:tc>
              <w:tc>
                <w:tcPr>
                  <w:tcW w:w="527" w:type="pct"/>
                  <w:tcBorders>
                    <w:tl2br w:val="nil"/>
                    <w:tr2bl w:val="nil"/>
                  </w:tcBorders>
                  <w:noWrap w:val="0"/>
                  <w:vAlign w:val="center"/>
                </w:tcPr>
                <w:p w14:paraId="2CB40BDE">
                  <w:pPr>
                    <w:pStyle w:val="28"/>
                    <w:bidi w:val="0"/>
                    <w:rPr>
                      <w:rFonts w:hint="eastAsia"/>
                      <w:color w:val="auto"/>
                      <w:highlight w:val="none"/>
                      <w:lang w:val="en-US" w:eastAsia="zh-CN"/>
                    </w:rPr>
                  </w:pPr>
                  <w:r>
                    <w:rPr>
                      <w:rFonts w:hint="eastAsia"/>
                      <w:color w:val="auto"/>
                      <w:highlight w:val="none"/>
                      <w:lang w:val="en-US" w:eastAsia="zh-CN"/>
                    </w:rPr>
                    <w:t>危险废物</w:t>
                  </w:r>
                </w:p>
              </w:tc>
              <w:tc>
                <w:tcPr>
                  <w:tcW w:w="474" w:type="pct"/>
                  <w:tcBorders>
                    <w:tl2br w:val="nil"/>
                    <w:tr2bl w:val="nil"/>
                  </w:tcBorders>
                  <w:noWrap w:val="0"/>
                  <w:vAlign w:val="center"/>
                </w:tcPr>
                <w:p w14:paraId="547B08EC">
                  <w:pPr>
                    <w:pStyle w:val="28"/>
                    <w:bidi w:val="0"/>
                    <w:rPr>
                      <w:rFonts w:hint="eastAsia"/>
                      <w:color w:val="auto"/>
                      <w:highlight w:val="none"/>
                      <w:lang w:val="en-US" w:eastAsia="zh-CN"/>
                    </w:rPr>
                  </w:pPr>
                  <w:r>
                    <w:rPr>
                      <w:rFonts w:hint="eastAsia"/>
                      <w:color w:val="auto"/>
                      <w:highlight w:val="none"/>
                      <w:lang w:val="en-US" w:eastAsia="zh-CN"/>
                    </w:rPr>
                    <w:t>100%</w:t>
                  </w:r>
                </w:p>
              </w:tc>
              <w:tc>
                <w:tcPr>
                  <w:tcW w:w="546" w:type="pct"/>
                  <w:tcBorders>
                    <w:tl2br w:val="nil"/>
                    <w:tr2bl w:val="nil"/>
                  </w:tcBorders>
                  <w:noWrap w:val="0"/>
                  <w:vAlign w:val="center"/>
                </w:tcPr>
                <w:p w14:paraId="3BC2999F">
                  <w:pPr>
                    <w:pStyle w:val="28"/>
                    <w:bidi w:val="0"/>
                    <w:rPr>
                      <w:rFonts w:hint="default"/>
                      <w:color w:val="auto"/>
                      <w:highlight w:val="none"/>
                      <w:lang w:val="en-US" w:eastAsia="zh-CN"/>
                    </w:rPr>
                  </w:pPr>
                  <w:r>
                    <w:rPr>
                      <w:rFonts w:hint="eastAsia"/>
                      <w:color w:val="auto"/>
                      <w:highlight w:val="none"/>
                      <w:lang w:val="en-US" w:eastAsia="zh-CN"/>
                    </w:rPr>
                    <w:t>0.35</w:t>
                  </w:r>
                </w:p>
              </w:tc>
              <w:tc>
                <w:tcPr>
                  <w:tcW w:w="464" w:type="pct"/>
                  <w:tcBorders>
                    <w:tl2br w:val="nil"/>
                    <w:tr2bl w:val="nil"/>
                  </w:tcBorders>
                  <w:noWrap w:val="0"/>
                  <w:vAlign w:val="center"/>
                </w:tcPr>
                <w:p w14:paraId="05A867AA">
                  <w:pPr>
                    <w:pStyle w:val="28"/>
                    <w:bidi w:val="0"/>
                    <w:rPr>
                      <w:rFonts w:hint="default"/>
                      <w:color w:val="auto"/>
                      <w:highlight w:val="none"/>
                      <w:lang w:val="en-US" w:eastAsia="zh-CN"/>
                    </w:rPr>
                  </w:pPr>
                  <w:r>
                    <w:rPr>
                      <w:rFonts w:hint="eastAsia"/>
                      <w:color w:val="auto"/>
                      <w:highlight w:val="none"/>
                      <w:lang w:val="en-US" w:eastAsia="zh-CN"/>
                    </w:rPr>
                    <w:t>50</w:t>
                  </w:r>
                </w:p>
              </w:tc>
              <w:tc>
                <w:tcPr>
                  <w:tcW w:w="560" w:type="pct"/>
                  <w:tcBorders>
                    <w:tl2br w:val="nil"/>
                    <w:tr2bl w:val="nil"/>
                  </w:tcBorders>
                  <w:noWrap w:val="0"/>
                  <w:vAlign w:val="center"/>
                </w:tcPr>
                <w:p w14:paraId="77A83130">
                  <w:pPr>
                    <w:pStyle w:val="28"/>
                    <w:bidi w:val="0"/>
                    <w:rPr>
                      <w:rFonts w:hint="default"/>
                      <w:color w:val="auto"/>
                      <w:highlight w:val="none"/>
                      <w:lang w:val="en-US" w:eastAsia="zh-CN"/>
                    </w:rPr>
                  </w:pPr>
                  <w:r>
                    <w:rPr>
                      <w:rFonts w:hint="eastAsia"/>
                      <w:color w:val="auto"/>
                      <w:highlight w:val="none"/>
                      <w:lang w:val="en-US" w:eastAsia="zh-CN"/>
                    </w:rPr>
                    <w:t>0.007</w:t>
                  </w:r>
                </w:p>
              </w:tc>
              <w:tc>
                <w:tcPr>
                  <w:tcW w:w="582" w:type="pct"/>
                  <w:vMerge w:val="continue"/>
                  <w:tcBorders>
                    <w:tl2br w:val="nil"/>
                    <w:tr2bl w:val="nil"/>
                  </w:tcBorders>
                  <w:noWrap w:val="0"/>
                  <w:vAlign w:val="center"/>
                </w:tcPr>
                <w:p w14:paraId="1C4E4B65">
                  <w:pPr>
                    <w:pStyle w:val="28"/>
                    <w:bidi w:val="0"/>
                    <w:rPr>
                      <w:rFonts w:hint="eastAsia"/>
                      <w:color w:val="auto"/>
                      <w:highlight w:val="none"/>
                      <w:lang w:val="en-US" w:eastAsia="zh-CN"/>
                    </w:rPr>
                  </w:pPr>
                </w:p>
              </w:tc>
            </w:tr>
          </w:tbl>
          <w:p w14:paraId="127DE9A9">
            <w:pPr>
              <w:ind w:firstLine="420" w:firstLineChars="20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注：1.其他危险废物参照风险导则HJ169-2018附录B中健康危险急性毒性物质（类别2，类别3）临界量</w:t>
            </w:r>
            <w:r>
              <w:rPr>
                <w:rFonts w:hint="eastAsia" w:cs="Times New Roman"/>
                <w:color w:val="auto"/>
                <w:sz w:val="21"/>
                <w:szCs w:val="21"/>
                <w:highlight w:val="none"/>
                <w:lang w:val="en-US" w:eastAsia="zh-CN"/>
              </w:rPr>
              <w:t>50t计</w:t>
            </w:r>
            <w:r>
              <w:rPr>
                <w:rFonts w:hint="eastAsia" w:ascii="Times New Roman" w:hAnsi="Times New Roman" w:eastAsia="宋体" w:cs="Times New Roman"/>
                <w:color w:val="auto"/>
                <w:sz w:val="21"/>
                <w:szCs w:val="21"/>
                <w:highlight w:val="none"/>
                <w:lang w:val="en-US" w:eastAsia="zh-CN"/>
              </w:rPr>
              <w:t>。</w:t>
            </w:r>
          </w:p>
          <w:p w14:paraId="45789386">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rPr>
                <w:rFonts w:hint="eastAsia" w:ascii="Times New Roman" w:hAnsi="Times New Roman" w:eastAsia="宋体"/>
                <w:color w:val="auto"/>
                <w:sz w:val="24"/>
                <w:szCs w:val="24"/>
                <w:highlight w:val="none"/>
                <w:lang w:val="zh-CN"/>
              </w:rPr>
            </w:pPr>
            <w:r>
              <w:rPr>
                <w:rFonts w:ascii="Times New Roman" w:hAnsi="Times New Roman" w:eastAsia="宋体"/>
                <w:color w:val="auto"/>
                <w:sz w:val="24"/>
                <w:szCs w:val="24"/>
                <w:highlight w:val="none"/>
                <w:lang w:val="zh-CN"/>
              </w:rPr>
              <w:t>由表可知，</w:t>
            </w:r>
            <w:r>
              <w:rPr>
                <w:rFonts w:hint="eastAsia" w:ascii="Times New Roman" w:hAnsi="Times New Roman" w:eastAsia="宋体" w:cs="Times New Roman"/>
                <w:b w:val="0"/>
                <w:bCs w:val="0"/>
                <w:color w:val="auto"/>
                <w:sz w:val="24"/>
                <w:szCs w:val="24"/>
                <w:highlight w:val="none"/>
                <w:lang w:val="en-US" w:eastAsia="zh-CN"/>
              </w:rPr>
              <w:t>项目</w:t>
            </w:r>
            <w:r>
              <w:rPr>
                <w:rFonts w:hint="default" w:ascii="Times New Roman" w:hAnsi="Times New Roman" w:eastAsia="宋体" w:cs="Times New Roman"/>
                <w:b w:val="0"/>
                <w:bCs w:val="0"/>
                <w:color w:val="auto"/>
                <w:sz w:val="24"/>
                <w:szCs w:val="24"/>
                <w:highlight w:val="none"/>
                <w:lang w:val="en-US" w:eastAsia="zh-CN"/>
              </w:rPr>
              <w:t>环境风险物质数量与临界量比值</w:t>
            </w:r>
            <w:r>
              <w:rPr>
                <w:rFonts w:ascii="Times New Roman" w:hAnsi="Times New Roman" w:eastAsia="宋体"/>
                <w:color w:val="auto"/>
                <w:sz w:val="24"/>
                <w:szCs w:val="24"/>
                <w:highlight w:val="none"/>
                <w:lang w:val="zh-CN"/>
              </w:rPr>
              <w:t>Q=</w:t>
            </w:r>
            <w:r>
              <w:rPr>
                <w:rFonts w:hint="eastAsia"/>
                <w:color w:val="auto"/>
                <w:sz w:val="24"/>
                <w:szCs w:val="24"/>
                <w:highlight w:val="none"/>
                <w:lang w:val="en-US" w:eastAsia="zh-CN"/>
              </w:rPr>
              <w:t>0.00718</w:t>
            </w:r>
            <w:r>
              <w:rPr>
                <w:rFonts w:hint="eastAsia" w:ascii="Times New Roman" w:hAnsi="Times New Roman" w:eastAsia="宋体"/>
                <w:color w:val="auto"/>
                <w:sz w:val="24"/>
                <w:szCs w:val="24"/>
                <w:highlight w:val="none"/>
                <w:lang w:val="en-US" w:eastAsia="zh-CN"/>
              </w:rPr>
              <w:t>＜1</w:t>
            </w:r>
            <w:r>
              <w:rPr>
                <w:rFonts w:ascii="Times New Roman" w:hAnsi="Times New Roman" w:eastAsia="宋体"/>
                <w:color w:val="auto"/>
                <w:sz w:val="24"/>
                <w:szCs w:val="24"/>
                <w:highlight w:val="none"/>
                <w:lang w:val="zh-CN"/>
              </w:rPr>
              <w:t>，则</w:t>
            </w:r>
            <w:r>
              <w:rPr>
                <w:rFonts w:hint="eastAsia" w:ascii="Times New Roman" w:hAnsi="Times New Roman" w:eastAsia="宋体"/>
                <w:color w:val="auto"/>
                <w:sz w:val="24"/>
                <w:szCs w:val="24"/>
                <w:highlight w:val="none"/>
                <w:lang w:val="en-US" w:eastAsia="zh-CN"/>
              </w:rPr>
              <w:t>项目</w:t>
            </w:r>
            <w:r>
              <w:rPr>
                <w:rFonts w:ascii="Times New Roman" w:hAnsi="Times New Roman" w:eastAsia="宋体"/>
                <w:color w:val="auto"/>
                <w:sz w:val="24"/>
                <w:szCs w:val="24"/>
                <w:highlight w:val="none"/>
                <w:lang w:val="zh-CN"/>
              </w:rPr>
              <w:t>环境风险潜势为I。</w:t>
            </w:r>
            <w:r>
              <w:rPr>
                <w:rFonts w:hint="eastAsia" w:ascii="Times New Roman" w:hAnsi="Times New Roman" w:eastAsia="宋体"/>
                <w:color w:val="auto"/>
                <w:sz w:val="24"/>
                <w:szCs w:val="24"/>
                <w:highlight w:val="none"/>
                <w:lang w:val="zh-CN"/>
              </w:rPr>
              <w:t>根据《建设项目环境风险评价技术导则》(HJ 169-2018)附录C可知，当Q＜1时，该项目环境风险潜势为Ⅰ，环境风险潜势为Ⅰ时，评价工作级别简单分析，因此，本评价主要在描述环境影响途径、环境危害后果、风险防范措施等方面给出定性说明。</w:t>
            </w:r>
          </w:p>
          <w:p w14:paraId="21E7DE1E">
            <w:pPr>
              <w:pStyle w:val="4"/>
              <w:bidi w:val="0"/>
              <w:rPr>
                <w:rFonts w:hint="default"/>
                <w:color w:val="auto"/>
                <w:highlight w:val="none"/>
                <w:lang w:val="en-US" w:eastAsia="zh-CN"/>
              </w:rPr>
            </w:pPr>
            <w:r>
              <w:rPr>
                <w:rFonts w:hint="default"/>
                <w:color w:val="auto"/>
                <w:highlight w:val="none"/>
                <w:lang w:val="en-US" w:eastAsia="zh-CN"/>
              </w:rPr>
              <w:t>4.</w:t>
            </w:r>
            <w:r>
              <w:rPr>
                <w:rFonts w:hint="eastAsia"/>
                <w:color w:val="auto"/>
                <w:highlight w:val="none"/>
                <w:lang w:val="en-US" w:eastAsia="zh-CN"/>
              </w:rPr>
              <w:t>7</w:t>
            </w:r>
            <w:r>
              <w:rPr>
                <w:rFonts w:hint="default"/>
                <w:color w:val="auto"/>
                <w:highlight w:val="none"/>
                <w:lang w:val="en-US" w:eastAsia="zh-CN"/>
              </w:rPr>
              <w:t>.</w:t>
            </w:r>
            <w:r>
              <w:rPr>
                <w:rFonts w:hint="eastAsia"/>
                <w:color w:val="auto"/>
                <w:highlight w:val="none"/>
                <w:lang w:val="en-US" w:eastAsia="zh-CN"/>
              </w:rPr>
              <w:t>2</w:t>
            </w:r>
            <w:r>
              <w:rPr>
                <w:rFonts w:hint="default"/>
                <w:color w:val="auto"/>
                <w:highlight w:val="none"/>
                <w:lang w:val="en-US" w:eastAsia="zh-CN"/>
              </w:rPr>
              <w:t xml:space="preserve"> 环境风险识别</w:t>
            </w:r>
          </w:p>
          <w:p w14:paraId="408C5A83">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highlight w:val="none"/>
              </w:rPr>
            </w:pPr>
            <w:r>
              <w:rPr>
                <w:rFonts w:hint="eastAsia" w:ascii="Times New Roman" w:hAnsi="Times New Roman" w:eastAsia="宋体" w:cs="Times New Roman"/>
                <w:color w:val="auto"/>
                <w:kern w:val="0"/>
                <w:sz w:val="24"/>
                <w:highlight w:val="none"/>
                <w:lang w:val="en-US" w:eastAsia="zh-CN"/>
              </w:rPr>
              <w:t>通过对项目</w:t>
            </w:r>
            <w:r>
              <w:rPr>
                <w:rFonts w:hint="default" w:ascii="Times New Roman" w:hAnsi="Times New Roman" w:eastAsia="宋体" w:cs="Times New Roman"/>
                <w:color w:val="auto"/>
                <w:kern w:val="0"/>
                <w:sz w:val="24"/>
                <w:highlight w:val="none"/>
              </w:rPr>
              <w:t>生产系统、公用系统、环保系统</w:t>
            </w:r>
            <w:r>
              <w:rPr>
                <w:rFonts w:hint="eastAsia" w:ascii="Times New Roman" w:hAnsi="Times New Roman" w:eastAsia="宋体" w:cs="Times New Roman"/>
                <w:color w:val="auto"/>
                <w:kern w:val="0"/>
                <w:sz w:val="24"/>
                <w:highlight w:val="none"/>
                <w:lang w:val="en-US" w:eastAsia="zh-CN"/>
              </w:rPr>
              <w:t>等分析</w:t>
            </w:r>
            <w:r>
              <w:rPr>
                <w:rFonts w:hint="default" w:ascii="Times New Roman" w:hAnsi="Times New Roman" w:eastAsia="宋体" w:cs="Times New Roman"/>
                <w:color w:val="auto"/>
                <w:kern w:val="0"/>
                <w:sz w:val="24"/>
                <w:highlight w:val="none"/>
              </w:rPr>
              <w:t>，项目</w:t>
            </w:r>
            <w:r>
              <w:rPr>
                <w:rFonts w:hint="default" w:ascii="Times New Roman" w:hAnsi="Times New Roman" w:eastAsia="宋体" w:cs="Times New Roman"/>
                <w:color w:val="auto"/>
                <w:kern w:val="0"/>
                <w:sz w:val="24"/>
                <w:highlight w:val="none"/>
                <w:lang w:eastAsia="zh-CN"/>
              </w:rPr>
              <w:t>潜在环境风险事故</w:t>
            </w:r>
            <w:r>
              <w:rPr>
                <w:rFonts w:hint="default" w:ascii="Times New Roman" w:hAnsi="Times New Roman" w:eastAsia="宋体" w:cs="Times New Roman"/>
                <w:color w:val="auto"/>
                <w:kern w:val="0"/>
                <w:sz w:val="24"/>
                <w:highlight w:val="none"/>
              </w:rPr>
              <w:t>识别结果见</w:t>
            </w:r>
            <w:r>
              <w:rPr>
                <w:rFonts w:hint="default" w:ascii="Times New Roman" w:hAnsi="Times New Roman" w:eastAsia="宋体" w:cs="Times New Roman"/>
                <w:color w:val="auto"/>
                <w:kern w:val="0"/>
                <w:sz w:val="24"/>
                <w:highlight w:val="none"/>
                <w:lang w:eastAsia="zh-CN"/>
              </w:rPr>
              <w:t>下表</w:t>
            </w:r>
            <w:r>
              <w:rPr>
                <w:rFonts w:hint="default" w:ascii="Times New Roman" w:hAnsi="Times New Roman" w:eastAsia="宋体" w:cs="Times New Roman"/>
                <w:color w:val="auto"/>
                <w:kern w:val="0"/>
                <w:sz w:val="24"/>
                <w:highlight w:val="none"/>
                <w:lang w:val="en-US" w:eastAsia="zh-CN"/>
              </w:rPr>
              <w:t>4.</w:t>
            </w:r>
            <w:r>
              <w:rPr>
                <w:rFonts w:hint="eastAsia" w:cs="Times New Roman"/>
                <w:color w:val="auto"/>
                <w:kern w:val="0"/>
                <w:sz w:val="24"/>
                <w:highlight w:val="none"/>
                <w:lang w:val="en-US" w:eastAsia="zh-CN"/>
              </w:rPr>
              <w:t>7</w:t>
            </w:r>
            <w:r>
              <w:rPr>
                <w:rFonts w:hint="default" w:ascii="Times New Roman" w:hAnsi="Times New Roman" w:eastAsia="宋体" w:cs="Times New Roman"/>
                <w:color w:val="auto"/>
                <w:kern w:val="0"/>
                <w:sz w:val="24"/>
                <w:highlight w:val="none"/>
                <w:lang w:val="en-US" w:eastAsia="zh-CN"/>
              </w:rPr>
              <w:t>-2</w:t>
            </w:r>
            <w:r>
              <w:rPr>
                <w:rFonts w:hint="default" w:ascii="Times New Roman" w:hAnsi="Times New Roman" w:eastAsia="宋体" w:cs="Times New Roman"/>
                <w:color w:val="auto"/>
                <w:kern w:val="0"/>
                <w:sz w:val="24"/>
                <w:highlight w:val="none"/>
                <w:lang w:eastAsia="zh-CN"/>
              </w:rPr>
              <w:t>。</w:t>
            </w:r>
          </w:p>
          <w:p w14:paraId="6D95016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表4.</w:t>
            </w:r>
            <w:r>
              <w:rPr>
                <w:rFonts w:hint="eastAsia" w:cs="Times New Roman"/>
                <w:b/>
                <w:bCs/>
                <w:color w:val="auto"/>
                <w:sz w:val="24"/>
                <w:szCs w:val="24"/>
                <w:highlight w:val="none"/>
                <w:lang w:val="en-US" w:eastAsia="zh-CN"/>
              </w:rPr>
              <w:t>7</w:t>
            </w:r>
            <w:r>
              <w:rPr>
                <w:rFonts w:hint="eastAsia" w:ascii="Times New Roman" w:hAnsi="Times New Roman" w:eastAsia="宋体" w:cs="Times New Roman"/>
                <w:b/>
                <w:bCs/>
                <w:color w:val="auto"/>
                <w:sz w:val="24"/>
                <w:szCs w:val="24"/>
                <w:highlight w:val="none"/>
                <w:lang w:val="en-US" w:eastAsia="zh-CN"/>
              </w:rPr>
              <w:t>-2 项目环境风险识别汇总表</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90"/>
              <w:gridCol w:w="1872"/>
              <w:gridCol w:w="1105"/>
              <w:gridCol w:w="1024"/>
              <w:gridCol w:w="1812"/>
              <w:gridCol w:w="1624"/>
            </w:tblGrid>
            <w:tr w14:paraId="228C353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19" w:hRule="atLeast"/>
                <w:jc w:val="center"/>
              </w:trPr>
              <w:tc>
                <w:tcPr>
                  <w:tcW w:w="534" w:type="pct"/>
                  <w:noWrap w:val="0"/>
                  <w:vAlign w:val="center"/>
                </w:tcPr>
                <w:p w14:paraId="58620B46">
                  <w:pPr>
                    <w:pStyle w:val="28"/>
                    <w:bidi w:val="0"/>
                    <w:rPr>
                      <w:rFonts w:hint="default"/>
                      <w:b/>
                      <w:bCs/>
                      <w:color w:val="auto"/>
                      <w:highlight w:val="none"/>
                    </w:rPr>
                  </w:pPr>
                  <w:r>
                    <w:rPr>
                      <w:rFonts w:hint="default"/>
                      <w:b/>
                      <w:bCs/>
                      <w:color w:val="auto"/>
                      <w:highlight w:val="none"/>
                    </w:rPr>
                    <w:t>潜在事故类型</w:t>
                  </w:r>
                </w:p>
              </w:tc>
              <w:tc>
                <w:tcPr>
                  <w:tcW w:w="1124" w:type="pct"/>
                  <w:noWrap w:val="0"/>
                  <w:vAlign w:val="center"/>
                </w:tcPr>
                <w:p w14:paraId="4AF31B3E">
                  <w:pPr>
                    <w:pStyle w:val="28"/>
                    <w:bidi w:val="0"/>
                    <w:rPr>
                      <w:rFonts w:hint="default"/>
                      <w:b/>
                      <w:bCs/>
                      <w:color w:val="auto"/>
                      <w:highlight w:val="none"/>
                    </w:rPr>
                  </w:pPr>
                  <w:r>
                    <w:rPr>
                      <w:rFonts w:hint="default"/>
                      <w:b/>
                      <w:bCs/>
                      <w:color w:val="auto"/>
                      <w:highlight w:val="none"/>
                    </w:rPr>
                    <w:t>事故原因</w:t>
                  </w:r>
                </w:p>
              </w:tc>
              <w:tc>
                <w:tcPr>
                  <w:tcW w:w="663" w:type="pct"/>
                  <w:noWrap w:val="0"/>
                  <w:vAlign w:val="center"/>
                </w:tcPr>
                <w:p w14:paraId="044FFDC7">
                  <w:pPr>
                    <w:pStyle w:val="28"/>
                    <w:bidi w:val="0"/>
                    <w:rPr>
                      <w:rFonts w:hint="default"/>
                      <w:b/>
                      <w:bCs/>
                      <w:color w:val="auto"/>
                      <w:highlight w:val="none"/>
                      <w:lang w:val="en-US" w:eastAsia="zh-CN"/>
                    </w:rPr>
                  </w:pPr>
                  <w:r>
                    <w:rPr>
                      <w:rFonts w:hint="eastAsia"/>
                      <w:b/>
                      <w:bCs/>
                      <w:color w:val="auto"/>
                      <w:highlight w:val="none"/>
                      <w:lang w:val="en-US" w:eastAsia="zh-CN"/>
                    </w:rPr>
                    <w:t>危险单位</w:t>
                  </w:r>
                </w:p>
              </w:tc>
              <w:tc>
                <w:tcPr>
                  <w:tcW w:w="614" w:type="pct"/>
                  <w:noWrap w:val="0"/>
                  <w:vAlign w:val="center"/>
                </w:tcPr>
                <w:p w14:paraId="757054C2">
                  <w:pPr>
                    <w:pStyle w:val="28"/>
                    <w:bidi w:val="0"/>
                    <w:rPr>
                      <w:rFonts w:hint="default"/>
                      <w:b/>
                      <w:bCs/>
                      <w:color w:val="auto"/>
                      <w:highlight w:val="none"/>
                      <w:lang w:val="en-US" w:eastAsia="zh-CN"/>
                    </w:rPr>
                  </w:pPr>
                  <w:r>
                    <w:rPr>
                      <w:rFonts w:hint="eastAsia"/>
                      <w:b/>
                      <w:bCs/>
                      <w:color w:val="auto"/>
                      <w:highlight w:val="none"/>
                      <w:lang w:val="en-US" w:eastAsia="zh-CN"/>
                    </w:rPr>
                    <w:t>危险物质</w:t>
                  </w:r>
                </w:p>
              </w:tc>
              <w:tc>
                <w:tcPr>
                  <w:tcW w:w="1087" w:type="pct"/>
                  <w:noWrap w:val="0"/>
                  <w:vAlign w:val="center"/>
                </w:tcPr>
                <w:p w14:paraId="12D63FAD">
                  <w:pPr>
                    <w:pStyle w:val="28"/>
                    <w:bidi w:val="0"/>
                    <w:rPr>
                      <w:rFonts w:hint="default"/>
                      <w:b/>
                      <w:bCs/>
                      <w:color w:val="auto"/>
                      <w:highlight w:val="none"/>
                    </w:rPr>
                  </w:pPr>
                  <w:r>
                    <w:rPr>
                      <w:rFonts w:hint="default"/>
                      <w:b/>
                      <w:bCs/>
                      <w:color w:val="auto"/>
                      <w:highlight w:val="none"/>
                      <w:lang w:val="en-US" w:eastAsia="zh-CN"/>
                    </w:rPr>
                    <w:t>环境影响途径</w:t>
                  </w:r>
                </w:p>
              </w:tc>
              <w:tc>
                <w:tcPr>
                  <w:tcW w:w="975" w:type="pct"/>
                  <w:noWrap w:val="0"/>
                  <w:vAlign w:val="center"/>
                </w:tcPr>
                <w:p w14:paraId="5B0E1540">
                  <w:pPr>
                    <w:pStyle w:val="28"/>
                    <w:bidi w:val="0"/>
                    <w:rPr>
                      <w:rFonts w:hint="default"/>
                      <w:b/>
                      <w:bCs/>
                      <w:color w:val="auto"/>
                      <w:highlight w:val="none"/>
                    </w:rPr>
                  </w:pPr>
                  <w:r>
                    <w:rPr>
                      <w:rFonts w:hint="default"/>
                      <w:b/>
                      <w:bCs/>
                      <w:color w:val="auto"/>
                      <w:highlight w:val="none"/>
                      <w:lang w:val="en-US" w:eastAsia="zh-CN"/>
                    </w:rPr>
                    <w:t>环境危害后果</w:t>
                  </w:r>
                </w:p>
              </w:tc>
            </w:tr>
            <w:tr w14:paraId="4F0CE30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06" w:hRule="atLeast"/>
                <w:jc w:val="center"/>
              </w:trPr>
              <w:tc>
                <w:tcPr>
                  <w:tcW w:w="534" w:type="pct"/>
                  <w:noWrap w:val="0"/>
                  <w:vAlign w:val="center"/>
                </w:tcPr>
                <w:p w14:paraId="41C2434E">
                  <w:pPr>
                    <w:pStyle w:val="28"/>
                    <w:bidi w:val="0"/>
                    <w:rPr>
                      <w:rFonts w:hint="default"/>
                      <w:color w:val="auto"/>
                      <w:highlight w:val="none"/>
                      <w:lang w:val="en-US" w:eastAsia="zh-CN"/>
                    </w:rPr>
                  </w:pPr>
                  <w:r>
                    <w:rPr>
                      <w:rFonts w:hint="eastAsia"/>
                      <w:color w:val="auto"/>
                      <w:highlight w:val="none"/>
                      <w:lang w:val="en-US" w:eastAsia="zh-CN"/>
                    </w:rPr>
                    <w:t>废气事故排放</w:t>
                  </w:r>
                </w:p>
              </w:tc>
              <w:tc>
                <w:tcPr>
                  <w:tcW w:w="1124" w:type="pct"/>
                  <w:noWrap w:val="0"/>
                  <w:vAlign w:val="center"/>
                </w:tcPr>
                <w:p w14:paraId="09613652">
                  <w:pPr>
                    <w:pStyle w:val="28"/>
                    <w:bidi w:val="0"/>
                    <w:rPr>
                      <w:rFonts w:hint="eastAsia"/>
                      <w:color w:val="auto"/>
                      <w:highlight w:val="none"/>
                      <w:lang w:val="en-US" w:eastAsia="zh-CN"/>
                    </w:rPr>
                  </w:pPr>
                  <w:r>
                    <w:rPr>
                      <w:rFonts w:hint="eastAsia"/>
                      <w:color w:val="auto"/>
                      <w:highlight w:val="none"/>
                      <w:lang w:val="en-US" w:eastAsia="zh-CN"/>
                    </w:rPr>
                    <w:t>废气处理</w:t>
                  </w:r>
                </w:p>
                <w:p w14:paraId="098EC214">
                  <w:pPr>
                    <w:pStyle w:val="28"/>
                    <w:bidi w:val="0"/>
                    <w:rPr>
                      <w:rFonts w:hint="default"/>
                      <w:color w:val="auto"/>
                      <w:highlight w:val="none"/>
                      <w:lang w:val="en-US" w:eastAsia="zh-CN"/>
                    </w:rPr>
                  </w:pPr>
                  <w:r>
                    <w:rPr>
                      <w:rFonts w:hint="eastAsia"/>
                      <w:color w:val="auto"/>
                      <w:highlight w:val="none"/>
                      <w:lang w:val="en-US" w:eastAsia="zh-CN"/>
                    </w:rPr>
                    <w:t>设施故障</w:t>
                  </w:r>
                </w:p>
              </w:tc>
              <w:tc>
                <w:tcPr>
                  <w:tcW w:w="663" w:type="pct"/>
                  <w:noWrap w:val="0"/>
                  <w:vAlign w:val="center"/>
                </w:tcPr>
                <w:p w14:paraId="0791D78E">
                  <w:pPr>
                    <w:pStyle w:val="28"/>
                    <w:bidi w:val="0"/>
                    <w:rPr>
                      <w:rFonts w:hint="default"/>
                      <w:color w:val="auto"/>
                      <w:highlight w:val="none"/>
                      <w:lang w:val="en-US" w:eastAsia="zh-CN"/>
                    </w:rPr>
                  </w:pPr>
                  <w:r>
                    <w:rPr>
                      <w:rFonts w:hint="eastAsia"/>
                      <w:color w:val="auto"/>
                      <w:highlight w:val="none"/>
                      <w:lang w:val="en-US" w:eastAsia="zh-CN"/>
                    </w:rPr>
                    <w:t>粉料仓</w:t>
                  </w:r>
                </w:p>
              </w:tc>
              <w:tc>
                <w:tcPr>
                  <w:tcW w:w="614" w:type="pct"/>
                  <w:noWrap w:val="0"/>
                  <w:vAlign w:val="center"/>
                </w:tcPr>
                <w:p w14:paraId="50A6765F">
                  <w:pPr>
                    <w:pStyle w:val="28"/>
                    <w:bidi w:val="0"/>
                    <w:rPr>
                      <w:rFonts w:hint="default"/>
                      <w:color w:val="auto"/>
                      <w:highlight w:val="none"/>
                      <w:lang w:val="en-US" w:eastAsia="zh-CN"/>
                    </w:rPr>
                  </w:pPr>
                  <w:r>
                    <w:rPr>
                      <w:rFonts w:hint="eastAsia"/>
                      <w:color w:val="auto"/>
                      <w:highlight w:val="none"/>
                      <w:lang w:val="en-US" w:eastAsia="zh-CN"/>
                    </w:rPr>
                    <w:t>未经处理废气</w:t>
                  </w:r>
                </w:p>
              </w:tc>
              <w:tc>
                <w:tcPr>
                  <w:tcW w:w="1087" w:type="pct"/>
                  <w:noWrap w:val="0"/>
                  <w:vAlign w:val="center"/>
                </w:tcPr>
                <w:p w14:paraId="56441D27">
                  <w:pPr>
                    <w:pStyle w:val="28"/>
                    <w:bidi w:val="0"/>
                    <w:rPr>
                      <w:rFonts w:hint="default"/>
                      <w:color w:val="auto"/>
                      <w:highlight w:val="none"/>
                      <w:lang w:val="en-US" w:eastAsia="zh-CN"/>
                    </w:rPr>
                  </w:pPr>
                  <w:r>
                    <w:rPr>
                      <w:rFonts w:hint="eastAsia"/>
                      <w:color w:val="auto"/>
                      <w:highlight w:val="none"/>
                      <w:lang w:val="en-US" w:eastAsia="zh-CN"/>
                    </w:rPr>
                    <w:t>粉尘未经处理</w:t>
                  </w:r>
                  <w:r>
                    <w:rPr>
                      <w:rFonts w:hint="default"/>
                      <w:color w:val="auto"/>
                      <w:highlight w:val="none"/>
                    </w:rPr>
                    <w:t>全部</w:t>
                  </w:r>
                  <w:r>
                    <w:rPr>
                      <w:rFonts w:hint="eastAsia"/>
                      <w:color w:val="auto"/>
                      <w:highlight w:val="none"/>
                      <w:lang w:val="en-US" w:eastAsia="zh-CN"/>
                    </w:rPr>
                    <w:t>直接</w:t>
                  </w:r>
                  <w:r>
                    <w:rPr>
                      <w:rFonts w:hint="default"/>
                      <w:color w:val="auto"/>
                      <w:highlight w:val="none"/>
                    </w:rPr>
                    <w:t>排放扩散</w:t>
                  </w:r>
                </w:p>
              </w:tc>
              <w:tc>
                <w:tcPr>
                  <w:tcW w:w="975" w:type="pct"/>
                  <w:noWrap w:val="0"/>
                  <w:vAlign w:val="center"/>
                </w:tcPr>
                <w:p w14:paraId="458159A5">
                  <w:pPr>
                    <w:pStyle w:val="28"/>
                    <w:bidi w:val="0"/>
                    <w:rPr>
                      <w:rFonts w:hint="default"/>
                      <w:color w:val="auto"/>
                      <w:highlight w:val="none"/>
                      <w:lang w:val="en-US" w:eastAsia="zh-CN"/>
                    </w:rPr>
                  </w:pPr>
                  <w:r>
                    <w:rPr>
                      <w:rFonts w:hint="default"/>
                      <w:color w:val="auto"/>
                      <w:highlight w:val="none"/>
                    </w:rPr>
                    <w:t>对大气环境有</w:t>
                  </w:r>
                  <w:r>
                    <w:rPr>
                      <w:rFonts w:hint="eastAsia"/>
                      <w:color w:val="auto"/>
                      <w:highlight w:val="none"/>
                      <w:lang w:val="en-US" w:eastAsia="zh-CN"/>
                    </w:rPr>
                    <w:t>轻微的</w:t>
                  </w:r>
                  <w:r>
                    <w:rPr>
                      <w:rFonts w:hint="default"/>
                      <w:color w:val="auto"/>
                      <w:highlight w:val="none"/>
                    </w:rPr>
                    <w:t>影响</w:t>
                  </w:r>
                </w:p>
              </w:tc>
            </w:tr>
            <w:tr w14:paraId="5455478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06" w:hRule="atLeast"/>
                <w:jc w:val="center"/>
              </w:trPr>
              <w:tc>
                <w:tcPr>
                  <w:tcW w:w="868" w:type="dxa"/>
                  <w:noWrap w:val="0"/>
                  <w:vAlign w:val="center"/>
                </w:tcPr>
                <w:p w14:paraId="1B96D8E9">
                  <w:pPr>
                    <w:pStyle w:val="46"/>
                    <w:keepNext w:val="0"/>
                    <w:keepLines w:val="0"/>
                    <w:pageBreakBefore w:val="0"/>
                    <w:widowControl w:val="0"/>
                    <w:kinsoku/>
                    <w:wordWrap/>
                    <w:overflowPunct/>
                    <w:topLinePunct w:val="0"/>
                    <w:autoSpaceDE w:val="0"/>
                    <w:autoSpaceDN w:val="0"/>
                    <w:bidi w:val="0"/>
                    <w:adjustRightInd w:val="0"/>
                    <w:snapToGrid w:val="0"/>
                    <w:spacing w:before="0" w:beforeLines="0" w:beforeAutospacing="0" w:after="0" w:afterLines="0" w:afterAutospacing="0" w:line="340" w:lineRule="exact"/>
                    <w:ind w:left="0" w:leftChars="0" w:firstLine="0" w:firstLineChars="0"/>
                    <w:jc w:val="center"/>
                    <w:textAlignment w:val="auto"/>
                    <w:rPr>
                      <w:rFonts w:hint="eastAsia"/>
                      <w:color w:val="auto"/>
                      <w:highlight w:val="none"/>
                      <w:lang w:val="en-US" w:eastAsia="zh-CN"/>
                    </w:rPr>
                  </w:pPr>
                  <w:r>
                    <w:rPr>
                      <w:rFonts w:hint="eastAsia" w:ascii="Times New Roman" w:hAnsi="Times New Roman" w:eastAsia="宋体" w:cs="Times New Roman"/>
                      <w:color w:val="auto"/>
                      <w:sz w:val="21"/>
                      <w:szCs w:val="21"/>
                      <w:highlight w:val="none"/>
                      <w:u w:val="none"/>
                      <w:lang w:val="en-US" w:eastAsia="zh-CN"/>
                    </w:rPr>
                    <w:t>废水事故排放</w:t>
                  </w:r>
                </w:p>
              </w:tc>
              <w:tc>
                <w:tcPr>
                  <w:tcW w:w="1825" w:type="dxa"/>
                  <w:noWrap w:val="0"/>
                  <w:vAlign w:val="center"/>
                </w:tcPr>
                <w:p w14:paraId="38ED3EED">
                  <w:pPr>
                    <w:pStyle w:val="46"/>
                    <w:keepNext w:val="0"/>
                    <w:keepLines w:val="0"/>
                    <w:pageBreakBefore w:val="0"/>
                    <w:widowControl w:val="0"/>
                    <w:kinsoku/>
                    <w:wordWrap/>
                    <w:overflowPunct/>
                    <w:topLinePunct w:val="0"/>
                    <w:autoSpaceDE w:val="0"/>
                    <w:autoSpaceDN w:val="0"/>
                    <w:bidi w:val="0"/>
                    <w:adjustRightInd w:val="0"/>
                    <w:snapToGrid w:val="0"/>
                    <w:spacing w:before="0" w:beforeLines="0" w:beforeAutospacing="0" w:after="0" w:afterLines="0" w:afterAutospacing="0" w:line="340" w:lineRule="exact"/>
                    <w:ind w:left="0" w:leftChars="0" w:firstLine="0" w:firstLineChars="0"/>
                    <w:jc w:val="center"/>
                    <w:textAlignment w:val="auto"/>
                    <w:rPr>
                      <w:rFonts w:hint="eastAsia"/>
                      <w:color w:val="auto"/>
                      <w:highlight w:val="none"/>
                      <w:lang w:val="en-US" w:eastAsia="zh-CN"/>
                    </w:rPr>
                  </w:pPr>
                  <w:r>
                    <w:rPr>
                      <w:rFonts w:hint="eastAsia" w:ascii="Times New Roman" w:hAnsi="Times New Roman" w:eastAsia="宋体" w:cs="Times New Roman"/>
                      <w:color w:val="auto"/>
                      <w:sz w:val="21"/>
                      <w:szCs w:val="21"/>
                      <w:highlight w:val="none"/>
                      <w:u w:val="none"/>
                      <w:lang w:val="en-US" w:eastAsia="zh-CN"/>
                    </w:rPr>
                    <w:t>废水处理设施故障、管道破裂、人为操作失误</w:t>
                  </w:r>
                </w:p>
              </w:tc>
              <w:tc>
                <w:tcPr>
                  <w:tcW w:w="1077" w:type="dxa"/>
                  <w:noWrap w:val="0"/>
                  <w:vAlign w:val="center"/>
                </w:tcPr>
                <w:p w14:paraId="6B02F33C">
                  <w:pPr>
                    <w:pStyle w:val="46"/>
                    <w:keepNext w:val="0"/>
                    <w:keepLines w:val="0"/>
                    <w:pageBreakBefore w:val="0"/>
                    <w:widowControl w:val="0"/>
                    <w:kinsoku/>
                    <w:wordWrap/>
                    <w:overflowPunct/>
                    <w:topLinePunct w:val="0"/>
                    <w:autoSpaceDE w:val="0"/>
                    <w:autoSpaceDN w:val="0"/>
                    <w:bidi w:val="0"/>
                    <w:adjustRightInd w:val="0"/>
                    <w:snapToGrid w:val="0"/>
                    <w:spacing w:before="0" w:beforeLines="0" w:beforeAutospacing="0" w:after="0" w:afterLines="0" w:afterAutospacing="0" w:line="340" w:lineRule="exact"/>
                    <w:ind w:left="0" w:leftChars="0" w:firstLine="0" w:firstLineChars="0"/>
                    <w:jc w:val="center"/>
                    <w:textAlignment w:val="auto"/>
                    <w:rPr>
                      <w:rFonts w:hint="eastAsia"/>
                      <w:color w:val="auto"/>
                      <w:highlight w:val="none"/>
                      <w:lang w:val="en-US" w:eastAsia="zh-CN"/>
                    </w:rPr>
                  </w:pPr>
                  <w:r>
                    <w:rPr>
                      <w:rFonts w:hint="eastAsia" w:ascii="Times New Roman" w:hAnsi="Times New Roman" w:eastAsia="宋体" w:cs="Times New Roman"/>
                      <w:color w:val="auto"/>
                      <w:sz w:val="21"/>
                      <w:szCs w:val="21"/>
                      <w:highlight w:val="none"/>
                      <w:u w:val="none"/>
                      <w:lang w:val="en-US" w:eastAsia="zh-CN"/>
                    </w:rPr>
                    <w:t>生产废水处理系统</w:t>
                  </w:r>
                </w:p>
              </w:tc>
              <w:tc>
                <w:tcPr>
                  <w:tcW w:w="998" w:type="dxa"/>
                  <w:noWrap w:val="0"/>
                  <w:vAlign w:val="center"/>
                </w:tcPr>
                <w:p w14:paraId="050210D4">
                  <w:pPr>
                    <w:pStyle w:val="46"/>
                    <w:keepNext w:val="0"/>
                    <w:keepLines w:val="0"/>
                    <w:pageBreakBefore w:val="0"/>
                    <w:widowControl w:val="0"/>
                    <w:kinsoku/>
                    <w:wordWrap/>
                    <w:overflowPunct/>
                    <w:topLinePunct w:val="0"/>
                    <w:autoSpaceDE w:val="0"/>
                    <w:autoSpaceDN w:val="0"/>
                    <w:bidi w:val="0"/>
                    <w:adjustRightInd w:val="0"/>
                    <w:snapToGrid w:val="0"/>
                    <w:spacing w:before="0" w:beforeLines="0" w:beforeAutospacing="0" w:after="0" w:afterLines="0" w:afterAutospacing="0" w:line="340" w:lineRule="exact"/>
                    <w:ind w:left="0" w:leftChars="0" w:firstLine="0" w:firstLineChars="0"/>
                    <w:jc w:val="center"/>
                    <w:textAlignment w:val="auto"/>
                    <w:rPr>
                      <w:rFonts w:hint="eastAsia"/>
                      <w:color w:val="auto"/>
                      <w:highlight w:val="none"/>
                      <w:lang w:val="en-US" w:eastAsia="zh-CN"/>
                    </w:rPr>
                  </w:pPr>
                  <w:r>
                    <w:rPr>
                      <w:rFonts w:hint="eastAsia" w:ascii="Times New Roman" w:hAnsi="Times New Roman" w:eastAsia="宋体" w:cs="Times New Roman"/>
                      <w:color w:val="auto"/>
                      <w:sz w:val="21"/>
                      <w:szCs w:val="21"/>
                      <w:highlight w:val="none"/>
                      <w:u w:val="none"/>
                      <w:lang w:val="en-US" w:eastAsia="zh-CN"/>
                    </w:rPr>
                    <w:t>未经处理的生产废水</w:t>
                  </w:r>
                </w:p>
              </w:tc>
              <w:tc>
                <w:tcPr>
                  <w:tcW w:w="1766" w:type="dxa"/>
                  <w:noWrap w:val="0"/>
                  <w:vAlign w:val="center"/>
                </w:tcPr>
                <w:p w14:paraId="25BC332F">
                  <w:pPr>
                    <w:pStyle w:val="46"/>
                    <w:keepNext w:val="0"/>
                    <w:keepLines w:val="0"/>
                    <w:pageBreakBefore w:val="0"/>
                    <w:widowControl w:val="0"/>
                    <w:kinsoku/>
                    <w:wordWrap/>
                    <w:overflowPunct/>
                    <w:topLinePunct w:val="0"/>
                    <w:autoSpaceDE w:val="0"/>
                    <w:autoSpaceDN w:val="0"/>
                    <w:bidi w:val="0"/>
                    <w:adjustRightInd w:val="0"/>
                    <w:snapToGrid w:val="0"/>
                    <w:spacing w:before="0" w:beforeLines="0" w:beforeAutospacing="0" w:after="0" w:afterLines="0" w:afterAutospacing="0" w:line="340" w:lineRule="exact"/>
                    <w:ind w:left="0" w:leftChars="0" w:firstLine="0" w:firstLineChars="0"/>
                    <w:jc w:val="center"/>
                    <w:textAlignment w:val="auto"/>
                    <w:rPr>
                      <w:rFonts w:hint="eastAsia"/>
                      <w:color w:val="auto"/>
                      <w:highlight w:val="none"/>
                      <w:lang w:val="en-US" w:eastAsia="zh-CN"/>
                    </w:rPr>
                  </w:pPr>
                  <w:r>
                    <w:rPr>
                      <w:rFonts w:hint="eastAsia" w:ascii="Times New Roman" w:hAnsi="Times New Roman" w:eastAsia="宋体" w:cs="Times New Roman"/>
                      <w:color w:val="auto"/>
                      <w:sz w:val="21"/>
                      <w:szCs w:val="21"/>
                      <w:highlight w:val="none"/>
                      <w:u w:val="none"/>
                      <w:lang w:val="en-US" w:eastAsia="zh-CN"/>
                    </w:rPr>
                    <w:t>生产废水未经处理泄漏至周边地表水体</w:t>
                  </w:r>
                </w:p>
              </w:tc>
              <w:tc>
                <w:tcPr>
                  <w:tcW w:w="1583" w:type="dxa"/>
                  <w:noWrap w:val="0"/>
                  <w:vAlign w:val="center"/>
                </w:tcPr>
                <w:p w14:paraId="56234EB0">
                  <w:pPr>
                    <w:pStyle w:val="46"/>
                    <w:keepNext w:val="0"/>
                    <w:keepLines w:val="0"/>
                    <w:pageBreakBefore w:val="0"/>
                    <w:widowControl w:val="0"/>
                    <w:kinsoku/>
                    <w:wordWrap/>
                    <w:overflowPunct/>
                    <w:topLinePunct w:val="0"/>
                    <w:autoSpaceDE w:val="0"/>
                    <w:autoSpaceDN w:val="0"/>
                    <w:bidi w:val="0"/>
                    <w:adjustRightInd w:val="0"/>
                    <w:snapToGrid w:val="0"/>
                    <w:spacing w:before="0" w:beforeLines="0" w:beforeAutospacing="0" w:after="0" w:afterLines="0" w:afterAutospacing="0" w:line="340" w:lineRule="exact"/>
                    <w:ind w:left="0" w:leftChars="0" w:firstLine="0" w:firstLineChars="0"/>
                    <w:jc w:val="center"/>
                    <w:textAlignment w:val="auto"/>
                    <w:rPr>
                      <w:rFonts w:hint="default"/>
                      <w:color w:val="auto"/>
                      <w:highlight w:val="none"/>
                    </w:rPr>
                  </w:pPr>
                  <w:r>
                    <w:rPr>
                      <w:rFonts w:hint="default" w:ascii="Times New Roman" w:hAnsi="Times New Roman" w:eastAsia="宋体" w:cs="Times New Roman"/>
                      <w:color w:val="auto"/>
                      <w:sz w:val="21"/>
                      <w:szCs w:val="21"/>
                      <w:highlight w:val="none"/>
                      <w:u w:val="none"/>
                    </w:rPr>
                    <w:t>对周边地表水体有</w:t>
                  </w:r>
                  <w:r>
                    <w:rPr>
                      <w:rFonts w:hint="eastAsia" w:ascii="Times New Roman" w:eastAsia="宋体" w:cs="Times New Roman"/>
                      <w:color w:val="auto"/>
                      <w:sz w:val="21"/>
                      <w:szCs w:val="21"/>
                      <w:highlight w:val="none"/>
                      <w:u w:val="none"/>
                      <w:lang w:val="en-US" w:eastAsia="zh-CN"/>
                    </w:rPr>
                    <w:t>一定</w:t>
                  </w:r>
                  <w:r>
                    <w:rPr>
                      <w:rFonts w:hint="default" w:ascii="Times New Roman" w:hAnsi="Times New Roman" w:eastAsia="宋体" w:cs="Times New Roman"/>
                      <w:color w:val="auto"/>
                      <w:sz w:val="21"/>
                      <w:szCs w:val="21"/>
                      <w:highlight w:val="none"/>
                      <w:u w:val="none"/>
                    </w:rPr>
                    <w:t>影响</w:t>
                  </w:r>
                </w:p>
              </w:tc>
            </w:tr>
            <w:tr w14:paraId="63C24AC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06" w:hRule="atLeast"/>
                <w:jc w:val="center"/>
              </w:trPr>
              <w:tc>
                <w:tcPr>
                  <w:tcW w:w="534" w:type="pct"/>
                  <w:noWrap w:val="0"/>
                  <w:vAlign w:val="center"/>
                </w:tcPr>
                <w:p w14:paraId="321E9FFE">
                  <w:pPr>
                    <w:pStyle w:val="28"/>
                    <w:bidi w:val="0"/>
                    <w:rPr>
                      <w:rFonts w:hint="default"/>
                      <w:color w:val="auto"/>
                      <w:highlight w:val="none"/>
                    </w:rPr>
                  </w:pPr>
                  <w:r>
                    <w:rPr>
                      <w:rFonts w:hint="eastAsia"/>
                      <w:color w:val="auto"/>
                      <w:highlight w:val="none"/>
                      <w:lang w:val="en-US" w:eastAsia="zh-CN"/>
                    </w:rPr>
                    <w:t>危险废物等</w:t>
                  </w:r>
                  <w:r>
                    <w:rPr>
                      <w:rFonts w:hint="default"/>
                      <w:color w:val="auto"/>
                      <w:highlight w:val="none"/>
                    </w:rPr>
                    <w:t>泄漏</w:t>
                  </w:r>
                </w:p>
              </w:tc>
              <w:tc>
                <w:tcPr>
                  <w:tcW w:w="1124" w:type="pct"/>
                  <w:noWrap w:val="0"/>
                  <w:vAlign w:val="center"/>
                </w:tcPr>
                <w:p w14:paraId="328C2820">
                  <w:pPr>
                    <w:pStyle w:val="28"/>
                    <w:bidi w:val="0"/>
                    <w:rPr>
                      <w:rFonts w:hint="default"/>
                      <w:color w:val="auto"/>
                      <w:highlight w:val="none"/>
                    </w:rPr>
                  </w:pPr>
                  <w:r>
                    <w:rPr>
                      <w:rFonts w:hint="eastAsia"/>
                      <w:color w:val="auto"/>
                      <w:highlight w:val="none"/>
                      <w:lang w:val="en-US" w:eastAsia="zh-CN"/>
                    </w:rPr>
                    <w:t>容器</w:t>
                  </w:r>
                  <w:r>
                    <w:rPr>
                      <w:rFonts w:hint="default"/>
                      <w:color w:val="auto"/>
                      <w:highlight w:val="none"/>
                    </w:rPr>
                    <w:t>桶泄漏</w:t>
                  </w:r>
                  <w:r>
                    <w:rPr>
                      <w:rFonts w:hint="eastAsia"/>
                      <w:color w:val="auto"/>
                      <w:highlight w:val="none"/>
                      <w:lang w:eastAsia="zh-CN"/>
                    </w:rPr>
                    <w:t>、</w:t>
                  </w:r>
                  <w:r>
                    <w:rPr>
                      <w:rFonts w:hint="eastAsia"/>
                      <w:color w:val="auto"/>
                      <w:highlight w:val="none"/>
                      <w:lang w:val="en-US" w:eastAsia="zh-CN"/>
                    </w:rPr>
                    <w:t>人为操作不当、</w:t>
                  </w:r>
                  <w:r>
                    <w:rPr>
                      <w:rFonts w:hint="default"/>
                      <w:color w:val="auto"/>
                      <w:highlight w:val="none"/>
                    </w:rPr>
                    <w:t>运输车辆发生事故发生泄漏</w:t>
                  </w:r>
                </w:p>
              </w:tc>
              <w:tc>
                <w:tcPr>
                  <w:tcW w:w="663" w:type="pct"/>
                  <w:noWrap w:val="0"/>
                  <w:vAlign w:val="center"/>
                </w:tcPr>
                <w:p w14:paraId="7DE039E9">
                  <w:pPr>
                    <w:pStyle w:val="28"/>
                    <w:bidi w:val="0"/>
                    <w:rPr>
                      <w:rFonts w:hint="default"/>
                      <w:color w:val="auto"/>
                      <w:highlight w:val="none"/>
                      <w:lang w:val="en-US" w:eastAsia="zh-CN"/>
                    </w:rPr>
                  </w:pPr>
                  <w:r>
                    <w:rPr>
                      <w:rFonts w:hint="eastAsia"/>
                      <w:color w:val="auto"/>
                      <w:highlight w:val="none"/>
                      <w:lang w:val="en-US" w:eastAsia="zh-CN"/>
                    </w:rPr>
                    <w:t>危险废物贮存库</w:t>
                  </w:r>
                </w:p>
              </w:tc>
              <w:tc>
                <w:tcPr>
                  <w:tcW w:w="614" w:type="pct"/>
                  <w:noWrap w:val="0"/>
                  <w:vAlign w:val="center"/>
                </w:tcPr>
                <w:p w14:paraId="12963D9A">
                  <w:pPr>
                    <w:pStyle w:val="28"/>
                    <w:bidi w:val="0"/>
                    <w:rPr>
                      <w:rFonts w:hint="default"/>
                      <w:color w:val="auto"/>
                      <w:highlight w:val="none"/>
                      <w:lang w:val="en-US" w:eastAsia="zh-CN"/>
                    </w:rPr>
                  </w:pPr>
                  <w:r>
                    <w:rPr>
                      <w:rFonts w:hint="eastAsia"/>
                      <w:color w:val="auto"/>
                      <w:highlight w:val="none"/>
                      <w:lang w:val="en-US" w:eastAsia="zh-CN"/>
                    </w:rPr>
                    <w:t>危险废物（废机油、废吸油毡等）</w:t>
                  </w:r>
                </w:p>
              </w:tc>
              <w:tc>
                <w:tcPr>
                  <w:tcW w:w="1087" w:type="pct"/>
                  <w:noWrap w:val="0"/>
                  <w:vAlign w:val="center"/>
                </w:tcPr>
                <w:p w14:paraId="35DCF21D">
                  <w:pPr>
                    <w:pStyle w:val="28"/>
                    <w:bidi w:val="0"/>
                    <w:rPr>
                      <w:rFonts w:hint="default"/>
                      <w:color w:val="auto"/>
                      <w:highlight w:val="none"/>
                    </w:rPr>
                  </w:pPr>
                  <w:r>
                    <w:rPr>
                      <w:rFonts w:hint="default"/>
                      <w:color w:val="auto"/>
                      <w:highlight w:val="none"/>
                    </w:rPr>
                    <w:t>渗入土壤</w:t>
                  </w:r>
                  <w:r>
                    <w:rPr>
                      <w:rFonts w:hint="eastAsia"/>
                      <w:color w:val="auto"/>
                      <w:highlight w:val="none"/>
                      <w:lang w:eastAsia="zh-CN"/>
                    </w:rPr>
                    <w:t>、</w:t>
                  </w:r>
                  <w:r>
                    <w:rPr>
                      <w:rFonts w:hint="eastAsia"/>
                      <w:color w:val="auto"/>
                      <w:highlight w:val="none"/>
                      <w:lang w:val="en-US" w:eastAsia="zh-CN"/>
                    </w:rPr>
                    <w:t>地下水</w:t>
                  </w:r>
                  <w:r>
                    <w:rPr>
                      <w:rFonts w:hint="default"/>
                      <w:color w:val="auto"/>
                      <w:highlight w:val="none"/>
                    </w:rPr>
                    <w:t>及排入周边水体</w:t>
                  </w:r>
                </w:p>
              </w:tc>
              <w:tc>
                <w:tcPr>
                  <w:tcW w:w="975" w:type="pct"/>
                  <w:noWrap w:val="0"/>
                  <w:vAlign w:val="center"/>
                </w:tcPr>
                <w:p w14:paraId="7FB7D50E">
                  <w:pPr>
                    <w:pStyle w:val="28"/>
                    <w:bidi w:val="0"/>
                    <w:rPr>
                      <w:rFonts w:hint="default"/>
                      <w:color w:val="auto"/>
                      <w:highlight w:val="none"/>
                    </w:rPr>
                  </w:pPr>
                  <w:r>
                    <w:rPr>
                      <w:rFonts w:hint="default"/>
                      <w:color w:val="auto"/>
                      <w:highlight w:val="none"/>
                    </w:rPr>
                    <w:t>对周边</w:t>
                  </w:r>
                  <w:r>
                    <w:rPr>
                      <w:rFonts w:hint="eastAsia"/>
                      <w:color w:val="auto"/>
                      <w:highlight w:val="none"/>
                      <w:lang w:val="en-US" w:eastAsia="zh-CN"/>
                    </w:rPr>
                    <w:t>土壤、</w:t>
                  </w:r>
                  <w:r>
                    <w:rPr>
                      <w:rFonts w:hint="default"/>
                      <w:color w:val="auto"/>
                      <w:highlight w:val="none"/>
                    </w:rPr>
                    <w:t>地下水及周边</w:t>
                  </w:r>
                  <w:r>
                    <w:rPr>
                      <w:rFonts w:hint="eastAsia"/>
                      <w:color w:val="auto"/>
                      <w:highlight w:val="none"/>
                      <w:lang w:val="en-US" w:eastAsia="zh-CN"/>
                    </w:rPr>
                    <w:t>地表水</w:t>
                  </w:r>
                  <w:r>
                    <w:rPr>
                      <w:rFonts w:hint="default"/>
                      <w:color w:val="auto"/>
                      <w:highlight w:val="none"/>
                    </w:rPr>
                    <w:t>可能造成</w:t>
                  </w:r>
                  <w:r>
                    <w:rPr>
                      <w:rFonts w:hint="eastAsia"/>
                      <w:color w:val="auto"/>
                      <w:highlight w:val="none"/>
                      <w:lang w:val="en-US" w:eastAsia="zh-CN"/>
                    </w:rPr>
                    <w:t>较大</w:t>
                  </w:r>
                  <w:r>
                    <w:rPr>
                      <w:rFonts w:hint="default"/>
                      <w:color w:val="auto"/>
                      <w:highlight w:val="none"/>
                    </w:rPr>
                    <w:t>影响</w:t>
                  </w:r>
                </w:p>
              </w:tc>
            </w:tr>
            <w:tr w14:paraId="54C0B1D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21" w:hRule="atLeast"/>
                <w:jc w:val="center"/>
              </w:trPr>
              <w:tc>
                <w:tcPr>
                  <w:tcW w:w="534" w:type="pct"/>
                  <w:noWrap w:val="0"/>
                  <w:vAlign w:val="center"/>
                </w:tcPr>
                <w:p w14:paraId="733E8082">
                  <w:pPr>
                    <w:pStyle w:val="28"/>
                    <w:bidi w:val="0"/>
                    <w:rPr>
                      <w:rFonts w:hint="default"/>
                      <w:color w:val="auto"/>
                      <w:highlight w:val="none"/>
                      <w:lang w:val="en-US" w:eastAsia="zh-CN"/>
                    </w:rPr>
                  </w:pPr>
                  <w:r>
                    <w:rPr>
                      <w:rFonts w:hint="default"/>
                      <w:color w:val="auto"/>
                      <w:highlight w:val="none"/>
                    </w:rPr>
                    <w:t>火灾事故</w:t>
                  </w:r>
                </w:p>
              </w:tc>
              <w:tc>
                <w:tcPr>
                  <w:tcW w:w="1124" w:type="pct"/>
                  <w:noWrap w:val="0"/>
                  <w:vAlign w:val="center"/>
                </w:tcPr>
                <w:p w14:paraId="05F92059">
                  <w:pPr>
                    <w:pStyle w:val="28"/>
                    <w:bidi w:val="0"/>
                    <w:rPr>
                      <w:rFonts w:hint="default"/>
                      <w:color w:val="auto"/>
                      <w:highlight w:val="none"/>
                      <w:lang w:val="en-US" w:eastAsia="zh-CN"/>
                    </w:rPr>
                  </w:pPr>
                  <w:r>
                    <w:rPr>
                      <w:rFonts w:hint="default"/>
                      <w:color w:val="auto"/>
                      <w:highlight w:val="none"/>
                    </w:rPr>
                    <w:t>电线短路</w:t>
                  </w:r>
                  <w:r>
                    <w:rPr>
                      <w:rFonts w:hint="eastAsia"/>
                      <w:color w:val="auto"/>
                      <w:highlight w:val="none"/>
                      <w:lang w:eastAsia="zh-CN"/>
                    </w:rPr>
                    <w:t>、</w:t>
                  </w:r>
                  <w:r>
                    <w:rPr>
                      <w:rFonts w:hint="default"/>
                      <w:color w:val="auto"/>
                      <w:highlight w:val="none"/>
                    </w:rPr>
                    <w:t>静电火花等</w:t>
                  </w:r>
                  <w:r>
                    <w:rPr>
                      <w:rFonts w:hint="eastAsia"/>
                      <w:color w:val="auto"/>
                      <w:highlight w:val="none"/>
                      <w:lang w:eastAsia="zh-CN"/>
                    </w:rPr>
                    <w:t>，</w:t>
                  </w:r>
                  <w:r>
                    <w:rPr>
                      <w:rFonts w:hint="eastAsia"/>
                      <w:color w:val="auto"/>
                      <w:highlight w:val="none"/>
                      <w:lang w:val="en-US" w:eastAsia="zh-CN"/>
                    </w:rPr>
                    <w:t>废机油等泄漏</w:t>
                  </w:r>
                  <w:r>
                    <w:rPr>
                      <w:rFonts w:hint="default"/>
                      <w:color w:val="auto"/>
                      <w:highlight w:val="none"/>
                    </w:rPr>
                    <w:t>遇明火或高热发生火灾</w:t>
                  </w:r>
                </w:p>
              </w:tc>
              <w:tc>
                <w:tcPr>
                  <w:tcW w:w="663" w:type="pct"/>
                  <w:noWrap w:val="0"/>
                  <w:vAlign w:val="center"/>
                </w:tcPr>
                <w:p w14:paraId="64B56751">
                  <w:pPr>
                    <w:pStyle w:val="28"/>
                    <w:bidi w:val="0"/>
                    <w:rPr>
                      <w:rFonts w:hint="default"/>
                      <w:color w:val="auto"/>
                      <w:highlight w:val="none"/>
                      <w:lang w:val="en-US" w:eastAsia="zh-CN"/>
                    </w:rPr>
                  </w:pPr>
                  <w:r>
                    <w:rPr>
                      <w:rFonts w:hint="eastAsia"/>
                      <w:color w:val="auto"/>
                      <w:highlight w:val="none"/>
                      <w:lang w:val="en-US" w:eastAsia="zh-CN"/>
                    </w:rPr>
                    <w:t>危险废物贮存库</w:t>
                  </w:r>
                </w:p>
              </w:tc>
              <w:tc>
                <w:tcPr>
                  <w:tcW w:w="614" w:type="pct"/>
                  <w:noWrap w:val="0"/>
                  <w:vAlign w:val="center"/>
                </w:tcPr>
                <w:p w14:paraId="60F93659">
                  <w:pPr>
                    <w:pStyle w:val="28"/>
                    <w:bidi w:val="0"/>
                    <w:rPr>
                      <w:rFonts w:hint="default"/>
                      <w:color w:val="auto"/>
                      <w:highlight w:val="none"/>
                      <w:lang w:val="en-US" w:eastAsia="zh-CN"/>
                    </w:rPr>
                  </w:pPr>
                  <w:r>
                    <w:rPr>
                      <w:rFonts w:hint="eastAsia"/>
                      <w:color w:val="auto"/>
                      <w:highlight w:val="none"/>
                      <w:lang w:val="en-US" w:eastAsia="zh-CN"/>
                    </w:rPr>
                    <w:t>废机油</w:t>
                  </w:r>
                </w:p>
              </w:tc>
              <w:tc>
                <w:tcPr>
                  <w:tcW w:w="1087" w:type="pct"/>
                  <w:noWrap w:val="0"/>
                  <w:vAlign w:val="center"/>
                </w:tcPr>
                <w:p w14:paraId="3280014E">
                  <w:pPr>
                    <w:pStyle w:val="28"/>
                    <w:bidi w:val="0"/>
                    <w:rPr>
                      <w:rFonts w:hint="default"/>
                      <w:color w:val="auto"/>
                      <w:highlight w:val="none"/>
                      <w:lang w:val="en-US" w:eastAsia="zh-CN"/>
                    </w:rPr>
                  </w:pPr>
                  <w:r>
                    <w:rPr>
                      <w:rFonts w:hint="default"/>
                      <w:color w:val="auto"/>
                      <w:highlight w:val="none"/>
                    </w:rPr>
                    <w:t>火灾产生的热辐射、浓烟、有害气体等直接进入环境，火灾扑救</w:t>
                  </w:r>
                  <w:r>
                    <w:rPr>
                      <w:rFonts w:hint="eastAsia"/>
                      <w:color w:val="auto"/>
                      <w:highlight w:val="none"/>
                      <w:lang w:val="en-US" w:eastAsia="zh-CN"/>
                    </w:rPr>
                    <w:t>采用干粉或二氧化碳灭火器，不产生</w:t>
                  </w:r>
                  <w:r>
                    <w:rPr>
                      <w:rFonts w:hint="default"/>
                      <w:color w:val="auto"/>
                      <w:highlight w:val="none"/>
                    </w:rPr>
                    <w:t>消防废水</w:t>
                  </w:r>
                </w:p>
              </w:tc>
              <w:tc>
                <w:tcPr>
                  <w:tcW w:w="975" w:type="pct"/>
                  <w:noWrap w:val="0"/>
                  <w:vAlign w:val="center"/>
                </w:tcPr>
                <w:p w14:paraId="7BB11266">
                  <w:pPr>
                    <w:pStyle w:val="28"/>
                    <w:bidi w:val="0"/>
                    <w:rPr>
                      <w:rFonts w:hint="default"/>
                      <w:color w:val="auto"/>
                      <w:highlight w:val="none"/>
                      <w:lang w:val="en-US" w:eastAsia="zh-CN"/>
                    </w:rPr>
                  </w:pPr>
                  <w:r>
                    <w:rPr>
                      <w:rFonts w:hint="default"/>
                      <w:color w:val="auto"/>
                      <w:highlight w:val="none"/>
                    </w:rPr>
                    <w:t>对</w:t>
                  </w:r>
                  <w:r>
                    <w:rPr>
                      <w:rFonts w:hint="eastAsia"/>
                      <w:color w:val="auto"/>
                      <w:highlight w:val="none"/>
                      <w:lang w:val="en-US" w:eastAsia="zh-CN"/>
                    </w:rPr>
                    <w:t>周边环境空气等造成一定影响</w:t>
                  </w:r>
                </w:p>
              </w:tc>
            </w:tr>
          </w:tbl>
          <w:p w14:paraId="57970420">
            <w:pPr>
              <w:pStyle w:val="4"/>
              <w:bidi w:val="0"/>
              <w:rPr>
                <w:rFonts w:hint="eastAsia"/>
                <w:color w:val="auto"/>
                <w:highlight w:val="none"/>
                <w:lang w:val="en-US" w:eastAsia="zh-CN"/>
              </w:rPr>
            </w:pPr>
            <w:bookmarkStart w:id="42" w:name="_Toc215736207"/>
            <w:r>
              <w:rPr>
                <w:rFonts w:hint="eastAsia"/>
                <w:color w:val="auto"/>
                <w:highlight w:val="none"/>
              </w:rPr>
              <w:t>4.</w:t>
            </w:r>
            <w:r>
              <w:rPr>
                <w:rFonts w:hint="eastAsia"/>
                <w:color w:val="auto"/>
                <w:highlight w:val="none"/>
                <w:lang w:val="en-US" w:eastAsia="zh-CN"/>
              </w:rPr>
              <w:t>7</w:t>
            </w:r>
            <w:r>
              <w:rPr>
                <w:rFonts w:hint="eastAsia"/>
                <w:color w:val="auto"/>
                <w:highlight w:val="none"/>
              </w:rPr>
              <w:t>.</w:t>
            </w:r>
            <w:r>
              <w:rPr>
                <w:rFonts w:hint="eastAsia"/>
                <w:color w:val="auto"/>
                <w:highlight w:val="none"/>
                <w:lang w:val="en-US" w:eastAsia="zh-CN"/>
              </w:rPr>
              <w:t>3</w:t>
            </w:r>
            <w:r>
              <w:rPr>
                <w:rFonts w:hint="eastAsia"/>
                <w:color w:val="auto"/>
                <w:highlight w:val="none"/>
              </w:rPr>
              <w:t xml:space="preserve"> </w:t>
            </w:r>
            <w:r>
              <w:rPr>
                <w:rFonts w:hint="eastAsia"/>
                <w:color w:val="auto"/>
                <w:highlight w:val="none"/>
                <w:lang w:eastAsia="zh-CN"/>
              </w:rPr>
              <w:t>环境敏感目标概况</w:t>
            </w:r>
          </w:p>
          <w:p w14:paraId="4BFA0769">
            <w:pPr>
              <w:spacing w:line="360" w:lineRule="auto"/>
              <w:ind w:firstLine="480" w:firstLineChars="200"/>
              <w:jc w:val="left"/>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zh-CN" w:eastAsia="zh-CN"/>
              </w:rPr>
              <w:t>项目周边主要环境敏感目标为西北侧约</w:t>
            </w:r>
            <w:r>
              <w:rPr>
                <w:rFonts w:hint="eastAsia" w:cs="Times New Roman"/>
                <w:color w:val="auto"/>
                <w:sz w:val="24"/>
                <w:highlight w:val="none"/>
                <w:lang w:val="en-US" w:eastAsia="zh-CN"/>
              </w:rPr>
              <w:t>260</w:t>
            </w:r>
            <w:r>
              <w:rPr>
                <w:rFonts w:hint="eastAsia" w:ascii="Times New Roman" w:hAnsi="Times New Roman" w:eastAsia="宋体" w:cs="Times New Roman"/>
                <w:color w:val="auto"/>
                <w:sz w:val="24"/>
                <w:highlight w:val="none"/>
                <w:lang w:val="en-US" w:eastAsia="zh-CN"/>
              </w:rPr>
              <w:t>m的</w:t>
            </w:r>
            <w:r>
              <w:rPr>
                <w:rFonts w:hint="eastAsia" w:cs="Times New Roman"/>
                <w:color w:val="auto"/>
                <w:sz w:val="24"/>
                <w:highlight w:val="none"/>
                <w:lang w:val="en-US" w:eastAsia="zh-CN"/>
              </w:rPr>
              <w:t>石溪村</w:t>
            </w:r>
            <w:r>
              <w:rPr>
                <w:rFonts w:hint="eastAsia" w:ascii="Times New Roman" w:hAnsi="Times New Roman" w:eastAsia="宋体" w:cs="Times New Roman"/>
                <w:color w:val="auto"/>
                <w:sz w:val="24"/>
                <w:highlight w:val="none"/>
                <w:lang w:val="zh-CN" w:eastAsia="zh-CN"/>
              </w:rPr>
              <w:t>，具体见表</w:t>
            </w:r>
            <w:r>
              <w:rPr>
                <w:rFonts w:hint="eastAsia" w:ascii="Times New Roman" w:hAnsi="Times New Roman" w:eastAsia="宋体" w:cs="Times New Roman"/>
                <w:color w:val="auto"/>
                <w:sz w:val="24"/>
                <w:highlight w:val="none"/>
                <w:lang w:val="en-US" w:eastAsia="zh-CN"/>
              </w:rPr>
              <w:t>3.6-1。</w:t>
            </w:r>
          </w:p>
          <w:p w14:paraId="689F6225">
            <w:pPr>
              <w:pStyle w:val="4"/>
              <w:bidi w:val="0"/>
              <w:rPr>
                <w:rFonts w:hint="default"/>
                <w:color w:val="auto"/>
                <w:highlight w:val="none"/>
                <w:lang w:val="en-US" w:eastAsia="zh-CN"/>
              </w:rPr>
            </w:pPr>
            <w:r>
              <w:rPr>
                <w:rFonts w:hint="eastAsia"/>
                <w:color w:val="auto"/>
                <w:highlight w:val="none"/>
              </w:rPr>
              <w:t>4.</w:t>
            </w:r>
            <w:r>
              <w:rPr>
                <w:rFonts w:hint="eastAsia"/>
                <w:color w:val="auto"/>
                <w:highlight w:val="none"/>
                <w:lang w:val="en-US" w:eastAsia="zh-CN"/>
              </w:rPr>
              <w:t>7.4</w:t>
            </w:r>
            <w:r>
              <w:rPr>
                <w:rFonts w:hint="eastAsia"/>
                <w:color w:val="auto"/>
                <w:highlight w:val="none"/>
              </w:rPr>
              <w:t xml:space="preserve"> </w:t>
            </w:r>
            <w:r>
              <w:rPr>
                <w:color w:val="auto"/>
                <w:highlight w:val="none"/>
              </w:rPr>
              <w:t>环境风险</w:t>
            </w:r>
            <w:r>
              <w:rPr>
                <w:rFonts w:hint="eastAsia"/>
                <w:color w:val="auto"/>
                <w:highlight w:val="none"/>
                <w:lang w:val="en-US" w:eastAsia="zh-CN"/>
              </w:rPr>
              <w:t>影响分析</w:t>
            </w:r>
          </w:p>
          <w:p w14:paraId="612D80A2">
            <w:pPr>
              <w:spacing w:line="360" w:lineRule="auto"/>
              <w:ind w:firstLine="482" w:firstLineChars="200"/>
              <w:jc w:val="left"/>
              <w:rPr>
                <w:rFonts w:ascii="Times New Roman" w:hAnsi="Times New Roman" w:eastAsia="宋体" w:cs="Times New Roman"/>
                <w:b/>
                <w:bCs/>
                <w:color w:val="auto"/>
                <w:sz w:val="24"/>
                <w:szCs w:val="24"/>
                <w:highlight w:val="none"/>
                <w:lang w:val="zh-CN"/>
              </w:rPr>
            </w:pPr>
            <w:r>
              <w:rPr>
                <w:rFonts w:hint="eastAsia" w:ascii="Times New Roman" w:hAnsi="Times New Roman" w:eastAsia="宋体" w:cs="Times New Roman"/>
                <w:b/>
                <w:bCs/>
                <w:color w:val="auto"/>
                <w:sz w:val="24"/>
                <w:szCs w:val="24"/>
                <w:highlight w:val="none"/>
                <w:lang w:val="zh-CN"/>
              </w:rPr>
              <w:t>（</w:t>
            </w:r>
            <w:r>
              <w:rPr>
                <w:rFonts w:hint="eastAsia" w:cs="Times New Roman"/>
                <w:b/>
                <w:bCs/>
                <w:color w:val="auto"/>
                <w:sz w:val="24"/>
                <w:szCs w:val="24"/>
                <w:highlight w:val="none"/>
                <w:lang w:val="en-US" w:eastAsia="zh-CN"/>
              </w:rPr>
              <w:t>1</w:t>
            </w:r>
            <w:r>
              <w:rPr>
                <w:rFonts w:hint="eastAsia" w:ascii="Times New Roman" w:hAnsi="Times New Roman" w:eastAsia="宋体" w:cs="Times New Roman"/>
                <w:b/>
                <w:bCs/>
                <w:color w:val="auto"/>
                <w:sz w:val="24"/>
                <w:szCs w:val="24"/>
                <w:highlight w:val="none"/>
                <w:lang w:val="zh-CN"/>
              </w:rPr>
              <w:t>）危险废物泄漏</w:t>
            </w:r>
            <w:r>
              <w:rPr>
                <w:rFonts w:ascii="Times New Roman" w:hAnsi="Times New Roman" w:eastAsia="宋体" w:cs="Times New Roman"/>
                <w:b/>
                <w:bCs/>
                <w:color w:val="auto"/>
                <w:sz w:val="24"/>
                <w:szCs w:val="24"/>
                <w:highlight w:val="none"/>
                <w:lang w:val="zh-CN"/>
              </w:rPr>
              <w:t>风险影响分析</w:t>
            </w:r>
          </w:p>
          <w:p w14:paraId="3A6BD99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s="Times New Roman"/>
                <w:color w:val="auto"/>
                <w:sz w:val="24"/>
                <w:szCs w:val="24"/>
                <w:highlight w:val="none"/>
                <w:lang w:val="zh-CN"/>
              </w:rPr>
            </w:pPr>
            <w:r>
              <w:rPr>
                <w:rFonts w:hint="eastAsia" w:ascii="Times New Roman" w:hAnsi="Times New Roman" w:eastAsia="宋体" w:cs="Times New Roman"/>
                <w:color w:val="auto"/>
                <w:sz w:val="24"/>
                <w:szCs w:val="24"/>
                <w:highlight w:val="none"/>
                <w:lang w:val="zh-CN" w:eastAsia="zh-CN"/>
              </w:rPr>
              <w:t>本项目危险废物，特别是液态危险废物（废机油），在贮运过程中，可能因为储存容器破损、人为操作不当等原因泄漏；在运输过程中因交通事故等原因造成泄漏。</w:t>
            </w:r>
          </w:p>
          <w:p w14:paraId="65D31790">
            <w:pPr>
              <w:spacing w:line="360" w:lineRule="auto"/>
              <w:ind w:firstLine="480" w:firstLineChars="200"/>
              <w:jc w:val="left"/>
              <w:rPr>
                <w:rFonts w:ascii="Times New Roman" w:hAnsi="Times New Roman" w:eastAsia="宋体" w:cs="Times New Roman"/>
                <w:color w:val="auto"/>
                <w:sz w:val="24"/>
                <w:szCs w:val="24"/>
                <w:highlight w:val="none"/>
                <w:lang w:val="zh-CN"/>
              </w:rPr>
            </w:pPr>
            <w:r>
              <w:rPr>
                <w:rFonts w:ascii="Times New Roman" w:hAnsi="Times New Roman" w:eastAsia="宋体" w:cs="Times New Roman"/>
                <w:color w:val="auto"/>
                <w:sz w:val="24"/>
                <w:szCs w:val="24"/>
                <w:highlight w:val="none"/>
                <w:lang w:val="zh-CN"/>
              </w:rPr>
              <w:t>本项目</w:t>
            </w:r>
            <w:r>
              <w:rPr>
                <w:rFonts w:hint="eastAsia" w:ascii="Times New Roman" w:hAnsi="Times New Roman" w:eastAsia="宋体" w:cs="Times New Roman"/>
                <w:color w:val="auto"/>
                <w:sz w:val="24"/>
                <w:szCs w:val="24"/>
                <w:highlight w:val="none"/>
                <w:lang w:val="zh-CN"/>
              </w:rPr>
              <w:t>危险废物贮存</w:t>
            </w:r>
            <w:r>
              <w:rPr>
                <w:rFonts w:hint="eastAsia" w:cs="Times New Roman"/>
                <w:color w:val="auto"/>
                <w:sz w:val="24"/>
                <w:szCs w:val="24"/>
                <w:highlight w:val="none"/>
                <w:lang w:val="zh-CN"/>
              </w:rPr>
              <w:t>库</w:t>
            </w:r>
            <w:r>
              <w:rPr>
                <w:rFonts w:hint="eastAsia" w:ascii="Times New Roman" w:hAnsi="Times New Roman" w:eastAsia="宋体" w:cs="Times New Roman"/>
                <w:color w:val="auto"/>
                <w:sz w:val="24"/>
                <w:szCs w:val="24"/>
                <w:highlight w:val="none"/>
                <w:lang w:val="zh-CN"/>
              </w:rPr>
              <w:t>严格按照《危险废物贮存污染控制标准》（GB18597-2023），对地面、裙角等进行防渗处理，危险废物采用密闭容器装存，并及时委托资质单位清运处置，故在</w:t>
            </w:r>
            <w:r>
              <w:rPr>
                <w:rFonts w:ascii="Times New Roman" w:hAnsi="Times New Roman" w:eastAsia="宋体" w:cs="Times New Roman"/>
                <w:color w:val="auto"/>
                <w:sz w:val="24"/>
                <w:szCs w:val="24"/>
                <w:highlight w:val="none"/>
                <w:lang w:val="zh-CN"/>
              </w:rPr>
              <w:t>加强</w:t>
            </w:r>
            <w:r>
              <w:rPr>
                <w:rFonts w:hint="eastAsia" w:ascii="Times New Roman" w:hAnsi="Times New Roman" w:eastAsia="宋体" w:cs="Times New Roman"/>
                <w:color w:val="auto"/>
                <w:sz w:val="24"/>
                <w:szCs w:val="24"/>
                <w:highlight w:val="none"/>
                <w:lang w:val="zh-CN"/>
              </w:rPr>
              <w:t>危险废物贮存</w:t>
            </w:r>
            <w:r>
              <w:rPr>
                <w:rFonts w:hint="eastAsia" w:cs="Times New Roman"/>
                <w:color w:val="auto"/>
                <w:sz w:val="24"/>
                <w:szCs w:val="24"/>
                <w:highlight w:val="none"/>
                <w:lang w:val="zh-CN"/>
              </w:rPr>
              <w:t>库</w:t>
            </w:r>
            <w:r>
              <w:rPr>
                <w:rFonts w:ascii="Times New Roman" w:hAnsi="Times New Roman" w:eastAsia="宋体" w:cs="Times New Roman"/>
                <w:color w:val="auto"/>
                <w:sz w:val="24"/>
                <w:szCs w:val="24"/>
                <w:highlight w:val="none"/>
                <w:lang w:val="zh-CN"/>
              </w:rPr>
              <w:t>管理和泄漏事故防范，可以</w:t>
            </w:r>
            <w:r>
              <w:rPr>
                <w:rFonts w:hint="eastAsia" w:ascii="Times New Roman" w:hAnsi="Times New Roman" w:eastAsia="宋体" w:cs="Times New Roman"/>
                <w:color w:val="auto"/>
                <w:sz w:val="24"/>
                <w:szCs w:val="24"/>
                <w:highlight w:val="none"/>
                <w:lang w:val="zh-CN"/>
              </w:rPr>
              <w:t>减少</w:t>
            </w:r>
            <w:r>
              <w:rPr>
                <w:rFonts w:ascii="Times New Roman" w:hAnsi="Times New Roman" w:eastAsia="宋体" w:cs="Times New Roman"/>
                <w:color w:val="auto"/>
                <w:sz w:val="24"/>
                <w:szCs w:val="24"/>
                <w:highlight w:val="none"/>
                <w:lang w:val="zh-CN"/>
              </w:rPr>
              <w:t>泄漏事故的发生</w:t>
            </w:r>
            <w:r>
              <w:rPr>
                <w:rFonts w:hint="eastAsia" w:ascii="Times New Roman" w:hAnsi="Times New Roman" w:eastAsia="宋体" w:cs="Times New Roman"/>
                <w:color w:val="auto"/>
                <w:sz w:val="24"/>
                <w:szCs w:val="24"/>
                <w:highlight w:val="none"/>
                <w:lang w:val="zh-CN"/>
              </w:rPr>
              <w:t>，即使发生泄漏事故，通过地面防渗层和液态容器底部防渗托盘拦截，泄漏危险废物不会外溢至室外，不会直接进入地表水水体或渗漏进入土壤和地下水环境，对周边环境影响小。</w:t>
            </w:r>
          </w:p>
          <w:p w14:paraId="51B41DA6">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outlineLvl w:val="2"/>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w:t>
            </w:r>
            <w:r>
              <w:rPr>
                <w:rFonts w:hint="eastAsia" w:cs="Times New Roman"/>
                <w:b/>
                <w:bCs/>
                <w:color w:val="auto"/>
                <w:sz w:val="24"/>
                <w:szCs w:val="24"/>
                <w:highlight w:val="none"/>
                <w:lang w:val="en-US" w:eastAsia="zh-CN"/>
              </w:rPr>
              <w:t>2</w:t>
            </w:r>
            <w:r>
              <w:rPr>
                <w:rFonts w:hint="eastAsia" w:ascii="Times New Roman" w:hAnsi="Times New Roman" w:eastAsia="宋体" w:cs="Times New Roman"/>
                <w:b/>
                <w:bCs/>
                <w:color w:val="auto"/>
                <w:sz w:val="24"/>
                <w:szCs w:val="24"/>
                <w:highlight w:val="none"/>
                <w:lang w:val="en-US" w:eastAsia="zh-CN"/>
              </w:rPr>
              <w:t>）</w:t>
            </w:r>
            <w:r>
              <w:rPr>
                <w:rFonts w:hint="eastAsia" w:ascii="Times New Roman" w:hAnsi="Times New Roman" w:eastAsia="宋体" w:cs="Times New Roman"/>
                <w:b/>
                <w:bCs/>
                <w:color w:val="auto"/>
                <w:sz w:val="24"/>
                <w:szCs w:val="24"/>
                <w:highlight w:val="none"/>
                <w:lang w:val="zh-CN"/>
              </w:rPr>
              <w:t>废气事故排放风险影响分析</w:t>
            </w:r>
          </w:p>
          <w:p w14:paraId="02F97C6E">
            <w:pPr>
              <w:spacing w:line="360" w:lineRule="auto"/>
              <w:ind w:firstLine="480" w:firstLineChars="200"/>
              <w:jc w:val="left"/>
              <w:rPr>
                <w:rFonts w:hint="eastAsia" w:ascii="Times New Roman" w:hAnsi="Times New Roman" w:eastAsia="宋体" w:cs="Times New Roman"/>
                <w:color w:val="auto"/>
                <w:sz w:val="24"/>
                <w:szCs w:val="24"/>
                <w:highlight w:val="none"/>
                <w:lang w:val="zh-CN"/>
              </w:rPr>
            </w:pPr>
            <w:r>
              <w:rPr>
                <w:rFonts w:hint="eastAsia" w:ascii="Times New Roman" w:hAnsi="Times New Roman" w:eastAsia="宋体" w:cs="Times New Roman"/>
                <w:color w:val="auto"/>
                <w:sz w:val="24"/>
                <w:szCs w:val="24"/>
                <w:highlight w:val="none"/>
                <w:lang w:val="en-US" w:eastAsia="zh-CN"/>
              </w:rPr>
              <w:t>项目生产废气配套治理措施处理后达标排放；在废气装置</w:t>
            </w:r>
            <w:r>
              <w:rPr>
                <w:rFonts w:hint="eastAsia" w:ascii="Times New Roman" w:hAnsi="Times New Roman" w:eastAsia="宋体" w:cs="Times New Roman"/>
                <w:color w:val="auto"/>
                <w:sz w:val="24"/>
                <w:szCs w:val="24"/>
                <w:highlight w:val="none"/>
                <w:lang w:val="zh-CN"/>
              </w:rPr>
              <w:t>故障</w:t>
            </w:r>
            <w:r>
              <w:rPr>
                <w:rFonts w:hint="eastAsia" w:ascii="Times New Roman" w:hAnsi="Times New Roman" w:eastAsia="宋体" w:cs="Times New Roman"/>
                <w:color w:val="auto"/>
                <w:sz w:val="24"/>
                <w:szCs w:val="24"/>
                <w:highlight w:val="none"/>
                <w:lang w:val="en-US" w:eastAsia="zh-CN"/>
              </w:rPr>
              <w:t>等事故情况下，废气中各污染物未经处理排放，排放源强将增大。</w:t>
            </w:r>
            <w:r>
              <w:rPr>
                <w:rFonts w:hint="eastAsia" w:ascii="Times New Roman" w:hAnsi="Times New Roman" w:eastAsia="宋体" w:cs="Times New Roman"/>
                <w:color w:val="auto"/>
                <w:sz w:val="24"/>
                <w:szCs w:val="24"/>
                <w:highlight w:val="none"/>
                <w:lang w:val="zh-CN"/>
              </w:rPr>
              <w:t>项目</w:t>
            </w:r>
            <w:r>
              <w:rPr>
                <w:rFonts w:ascii="Times New Roman" w:hAnsi="Times New Roman" w:eastAsia="宋体" w:cs="Times New Roman"/>
                <w:color w:val="auto"/>
                <w:sz w:val="24"/>
                <w:szCs w:val="24"/>
                <w:highlight w:val="none"/>
                <w:lang w:val="zh-CN"/>
              </w:rPr>
              <w:t>加强</w:t>
            </w:r>
            <w:r>
              <w:rPr>
                <w:rFonts w:hint="eastAsia" w:ascii="Times New Roman" w:hAnsi="Times New Roman" w:eastAsia="宋体" w:cs="Times New Roman"/>
                <w:color w:val="auto"/>
                <w:sz w:val="24"/>
                <w:szCs w:val="24"/>
                <w:highlight w:val="none"/>
                <w:lang w:val="zh-CN"/>
              </w:rPr>
              <w:t>废气收集治理措施的日常维护，定期更换</w:t>
            </w:r>
            <w:r>
              <w:rPr>
                <w:rFonts w:hint="eastAsia" w:cs="Times New Roman"/>
                <w:color w:val="auto"/>
                <w:sz w:val="24"/>
                <w:szCs w:val="24"/>
                <w:highlight w:val="none"/>
                <w:lang w:val="zh-CN"/>
              </w:rPr>
              <w:t>过滤材料</w:t>
            </w:r>
            <w:r>
              <w:rPr>
                <w:rFonts w:hint="eastAsia" w:ascii="Times New Roman" w:hAnsi="Times New Roman" w:eastAsia="宋体" w:cs="Times New Roman"/>
                <w:color w:val="auto"/>
                <w:sz w:val="24"/>
                <w:szCs w:val="24"/>
                <w:highlight w:val="none"/>
                <w:lang w:val="zh-CN"/>
              </w:rPr>
              <w:t>，在废气装置故障等</w:t>
            </w:r>
            <w:r>
              <w:rPr>
                <w:rFonts w:hint="eastAsia" w:cs="Times New Roman"/>
                <w:color w:val="auto"/>
                <w:sz w:val="24"/>
                <w:szCs w:val="24"/>
                <w:highlight w:val="none"/>
                <w:lang w:val="zh-CN"/>
              </w:rPr>
              <w:t>事故</w:t>
            </w:r>
            <w:r>
              <w:rPr>
                <w:rFonts w:hint="eastAsia" w:ascii="Times New Roman" w:hAnsi="Times New Roman" w:eastAsia="宋体" w:cs="Times New Roman"/>
                <w:color w:val="auto"/>
                <w:sz w:val="24"/>
                <w:szCs w:val="24"/>
                <w:highlight w:val="none"/>
                <w:lang w:val="zh-CN"/>
              </w:rPr>
              <w:t>情况下立即停止相关生产工段作业，待装置完成维修后</w:t>
            </w:r>
            <w:r>
              <w:rPr>
                <w:rFonts w:hint="eastAsia" w:cs="Times New Roman"/>
                <w:color w:val="auto"/>
                <w:sz w:val="24"/>
                <w:szCs w:val="24"/>
                <w:highlight w:val="none"/>
                <w:lang w:val="zh-CN"/>
              </w:rPr>
              <w:t>再</w:t>
            </w:r>
            <w:r>
              <w:rPr>
                <w:rFonts w:hint="eastAsia" w:ascii="Times New Roman" w:hAnsi="Times New Roman" w:eastAsia="宋体" w:cs="Times New Roman"/>
                <w:color w:val="auto"/>
                <w:sz w:val="24"/>
                <w:szCs w:val="24"/>
                <w:highlight w:val="none"/>
                <w:lang w:val="zh-CN"/>
              </w:rPr>
              <w:t>启动，可减少废气事故排放影响，对周边环境影响较小。</w:t>
            </w:r>
          </w:p>
          <w:p w14:paraId="2CC9D04F">
            <w:pPr>
              <w:spacing w:line="360" w:lineRule="auto"/>
              <w:ind w:firstLine="482" w:firstLineChars="200"/>
              <w:jc w:val="left"/>
              <w:rPr>
                <w:rFonts w:hint="eastAsia" w:ascii="Times New Roman" w:hAnsi="Times New Roman" w:eastAsia="宋体" w:cs="Times New Roman"/>
                <w:b/>
                <w:bCs/>
                <w:color w:val="auto"/>
                <w:sz w:val="24"/>
                <w:highlight w:val="none"/>
                <w:lang w:val="zh-CN"/>
              </w:rPr>
            </w:pPr>
            <w:r>
              <w:rPr>
                <w:rFonts w:hint="eastAsia" w:ascii="Times New Roman" w:hAnsi="Times New Roman" w:eastAsia="宋体" w:cs="Times New Roman"/>
                <w:b/>
                <w:bCs/>
                <w:color w:val="auto"/>
                <w:sz w:val="24"/>
                <w:highlight w:val="none"/>
                <w:lang w:val="zh-CN"/>
              </w:rPr>
              <w:t>（</w:t>
            </w:r>
            <w:r>
              <w:rPr>
                <w:rFonts w:hint="eastAsia" w:ascii="Times New Roman" w:hAnsi="Times New Roman" w:eastAsia="宋体" w:cs="Times New Roman"/>
                <w:b/>
                <w:bCs/>
                <w:color w:val="auto"/>
                <w:sz w:val="24"/>
                <w:highlight w:val="none"/>
                <w:lang w:val="en-US" w:eastAsia="zh-CN"/>
              </w:rPr>
              <w:t>3</w:t>
            </w:r>
            <w:r>
              <w:rPr>
                <w:rFonts w:hint="eastAsia" w:ascii="Times New Roman" w:hAnsi="Times New Roman" w:eastAsia="宋体" w:cs="Times New Roman"/>
                <w:b/>
                <w:bCs/>
                <w:color w:val="auto"/>
                <w:sz w:val="24"/>
                <w:highlight w:val="none"/>
                <w:lang w:val="zh-CN"/>
              </w:rPr>
              <w:t>）废水泄漏风险影响分析</w:t>
            </w:r>
          </w:p>
          <w:p w14:paraId="1F81B619">
            <w:pPr>
              <w:spacing w:line="360" w:lineRule="auto"/>
              <w:ind w:firstLine="480" w:firstLineChars="200"/>
              <w:jc w:val="left"/>
              <w:rPr>
                <w:rFonts w:ascii="Times New Roman" w:hAnsi="Times New Roman" w:eastAsia="宋体" w:cs="Times New Roman"/>
                <w:color w:val="auto"/>
                <w:sz w:val="24"/>
                <w:highlight w:val="none"/>
                <w:lang w:val="zh-CN"/>
              </w:rPr>
            </w:pPr>
            <w:r>
              <w:rPr>
                <w:rFonts w:hint="eastAsia" w:ascii="Times New Roman" w:hAnsi="Times New Roman" w:eastAsia="宋体" w:cs="Times New Roman"/>
                <w:color w:val="auto"/>
                <w:sz w:val="24"/>
                <w:highlight w:val="none"/>
                <w:lang w:val="zh-CN"/>
              </w:rPr>
              <w:t>项目产生的生产废水经生产废水处理系统处理后全部回用，在</w:t>
            </w:r>
            <w:r>
              <w:rPr>
                <w:rFonts w:hint="eastAsia" w:ascii="Times New Roman" w:hAnsi="Times New Roman" w:eastAsia="宋体" w:cs="Times New Roman"/>
                <w:color w:val="auto"/>
                <w:sz w:val="24"/>
                <w:highlight w:val="none"/>
                <w:lang w:val="zh-CN" w:eastAsia="zh-CN"/>
              </w:rPr>
              <w:t>处理</w:t>
            </w:r>
            <w:r>
              <w:rPr>
                <w:rFonts w:hint="eastAsia" w:ascii="Times New Roman" w:hAnsi="Times New Roman" w:eastAsia="宋体" w:cs="Times New Roman"/>
                <w:color w:val="auto"/>
                <w:sz w:val="24"/>
                <w:highlight w:val="none"/>
                <w:lang w:val="zh-CN"/>
              </w:rPr>
              <w:t>过程中，若废水处理设施、管道破裂、人为操作失误等可能发生泄漏。项目生产废水</w:t>
            </w:r>
            <w:r>
              <w:rPr>
                <w:rFonts w:hint="eastAsia" w:cs="Times New Roman"/>
                <w:color w:val="auto"/>
                <w:sz w:val="24"/>
                <w:highlight w:val="none"/>
                <w:lang w:val="zh-CN"/>
              </w:rPr>
              <w:t>不含有毒有害和腐蚀性成分</w:t>
            </w:r>
            <w:r>
              <w:rPr>
                <w:rFonts w:hint="eastAsia" w:ascii="Times New Roman" w:hAnsi="Times New Roman" w:eastAsia="宋体" w:cs="Times New Roman"/>
                <w:color w:val="auto"/>
                <w:sz w:val="24"/>
                <w:highlight w:val="none"/>
                <w:lang w:val="zh-CN"/>
              </w:rPr>
              <w:t>，废水处理设施均硬化防渗，即使发生泄漏，通过及时收集，并对破裂处进行检修，影响较小。日常通过加强废水处理设施、管道检查，减少泄漏事故的发生。</w:t>
            </w:r>
          </w:p>
          <w:p w14:paraId="22CF08B5">
            <w:pPr>
              <w:pStyle w:val="4"/>
              <w:bidi w:val="0"/>
              <w:rPr>
                <w:rFonts w:hint="default"/>
                <w:color w:val="auto"/>
                <w:lang w:val="en-US" w:eastAsia="zh-CN"/>
              </w:rPr>
            </w:pPr>
            <w:r>
              <w:rPr>
                <w:rFonts w:hint="eastAsia"/>
                <w:color w:val="auto"/>
                <w:lang w:val="en-US" w:eastAsia="zh-CN"/>
              </w:rPr>
              <w:t xml:space="preserve">4.7.5 </w:t>
            </w:r>
            <w:r>
              <w:rPr>
                <w:rFonts w:hint="default"/>
                <w:color w:val="auto"/>
                <w:lang w:val="en-US" w:eastAsia="zh-CN"/>
              </w:rPr>
              <w:t>环境风险防范措施</w:t>
            </w:r>
          </w:p>
          <w:p w14:paraId="271C6DEA">
            <w:pPr>
              <w:spacing w:line="360" w:lineRule="auto"/>
              <w:ind w:firstLine="480" w:firstLineChars="200"/>
              <w:jc w:val="left"/>
              <w:rPr>
                <w:rFonts w:ascii="Times New Roman" w:hAnsi="Times New Roman" w:eastAsia="宋体"/>
                <w:color w:val="auto"/>
                <w:sz w:val="24"/>
                <w:szCs w:val="24"/>
                <w:highlight w:val="none"/>
                <w:lang w:val="zh-CN"/>
              </w:rPr>
            </w:pPr>
            <w:r>
              <w:rPr>
                <w:rFonts w:ascii="Times New Roman" w:hAnsi="Times New Roman" w:eastAsia="宋体"/>
                <w:color w:val="auto"/>
                <w:sz w:val="24"/>
                <w:szCs w:val="24"/>
                <w:highlight w:val="none"/>
                <w:lang w:val="zh-CN"/>
              </w:rPr>
              <w:t>由于环境风险具有突发性和短暂性及危害较大等特点，必须采取相应有效预防措施加以防范，加强控制和管理，杜绝、减轻和避免环境风险。为了防止</w:t>
            </w:r>
            <w:r>
              <w:rPr>
                <w:rFonts w:hint="eastAsia" w:ascii="Times New Roman" w:hAnsi="Times New Roman" w:eastAsia="宋体"/>
                <w:color w:val="auto"/>
                <w:sz w:val="24"/>
                <w:szCs w:val="24"/>
                <w:highlight w:val="none"/>
              </w:rPr>
              <w:t>风险事故</w:t>
            </w:r>
            <w:r>
              <w:rPr>
                <w:rFonts w:ascii="Times New Roman" w:hAnsi="Times New Roman" w:eastAsia="宋体"/>
                <w:color w:val="auto"/>
                <w:sz w:val="24"/>
                <w:szCs w:val="24"/>
                <w:highlight w:val="none"/>
                <w:lang w:val="zh-CN"/>
              </w:rPr>
              <w:t>对周边环境造成影响，应严格按照相关要求进行设计与施工，同时项目还应加强安全管理。</w:t>
            </w:r>
          </w:p>
          <w:p w14:paraId="79A795AB">
            <w:pPr>
              <w:keepNext w:val="0"/>
              <w:keepLines w:val="0"/>
              <w:pageBreakBefore w:val="0"/>
              <w:kinsoku/>
              <w:wordWrap/>
              <w:overflowPunct/>
              <w:topLinePunct w:val="0"/>
              <w:autoSpaceDE w:val="0"/>
              <w:autoSpaceDN w:val="0"/>
              <w:bidi w:val="0"/>
              <w:adjustRightInd w:val="0"/>
              <w:snapToGrid w:val="0"/>
              <w:spacing w:line="360" w:lineRule="auto"/>
              <w:ind w:firstLine="482" w:firstLineChars="200"/>
              <w:jc w:val="both"/>
              <w:rPr>
                <w:rFonts w:hint="default" w:ascii="Times New Roman" w:hAnsi="Times New Roman" w:eastAsia="宋体" w:cs="Times New Roman"/>
                <w:b/>
                <w:bCs/>
                <w:color w:val="auto"/>
                <w:kern w:val="0"/>
                <w:sz w:val="24"/>
                <w:szCs w:val="24"/>
                <w:highlight w:val="none"/>
                <w:u w:val="none"/>
                <w:lang w:val="en-US" w:eastAsia="zh-CN"/>
              </w:rPr>
            </w:pPr>
            <w:r>
              <w:rPr>
                <w:rFonts w:hint="eastAsia" w:ascii="Times New Roman" w:hAnsi="Times New Roman" w:eastAsia="宋体" w:cs="Times New Roman"/>
                <w:b/>
                <w:bCs/>
                <w:color w:val="auto"/>
                <w:kern w:val="0"/>
                <w:sz w:val="24"/>
                <w:szCs w:val="24"/>
                <w:highlight w:val="none"/>
                <w:u w:val="none"/>
                <w:lang w:val="en-US" w:eastAsia="zh-CN"/>
              </w:rPr>
              <w:t>（1）废气事故排放</w:t>
            </w:r>
            <w:r>
              <w:rPr>
                <w:rFonts w:hint="default" w:ascii="Times New Roman" w:hAnsi="Times New Roman" w:eastAsia="宋体" w:cs="Times New Roman"/>
                <w:b/>
                <w:bCs/>
                <w:color w:val="auto"/>
                <w:kern w:val="0"/>
                <w:sz w:val="24"/>
                <w:szCs w:val="24"/>
                <w:highlight w:val="none"/>
                <w:u w:val="none"/>
                <w:lang w:val="en-US" w:eastAsia="zh-CN"/>
              </w:rPr>
              <w:t>风险防范措施</w:t>
            </w:r>
          </w:p>
          <w:p w14:paraId="3BF83971">
            <w:pPr>
              <w:keepNext w:val="0"/>
              <w:keepLines w:val="0"/>
              <w:pageBreakBefore w:val="0"/>
              <w:kinsoku/>
              <w:wordWrap/>
              <w:overflowPunct/>
              <w:topLinePunct w:val="0"/>
              <w:autoSpaceDE w:val="0"/>
              <w:autoSpaceDN w:val="0"/>
              <w:bidi w:val="0"/>
              <w:adjustRightInd w:val="0"/>
              <w:snapToGrid w:val="0"/>
              <w:spacing w:line="360" w:lineRule="auto"/>
              <w:ind w:firstLine="480" w:firstLineChars="200"/>
              <w:jc w:val="both"/>
              <w:rPr>
                <w:rFonts w:hint="eastAsia" w:ascii="Times New Roman" w:hAnsi="Times New Roman" w:eastAsia="宋体" w:cs="Times New Roman"/>
                <w:color w:val="auto"/>
                <w:kern w:val="0"/>
                <w:sz w:val="24"/>
                <w:szCs w:val="24"/>
                <w:highlight w:val="none"/>
                <w:u w:val="none"/>
                <w:lang w:val="en-US" w:eastAsia="zh-CN"/>
              </w:rPr>
            </w:pPr>
            <w:r>
              <w:rPr>
                <w:rFonts w:hint="default" w:ascii="Times New Roman" w:hAnsi="Times New Roman" w:eastAsia="宋体" w:cs="Times New Roman"/>
                <w:color w:val="auto"/>
                <w:kern w:val="0"/>
                <w:sz w:val="24"/>
                <w:szCs w:val="24"/>
                <w:highlight w:val="none"/>
                <w:u w:val="none"/>
                <w:lang w:val="en-US" w:eastAsia="zh-CN"/>
              </w:rPr>
              <w:t>①</w:t>
            </w:r>
            <w:r>
              <w:rPr>
                <w:rFonts w:hint="eastAsia" w:ascii="Times New Roman" w:hAnsi="Times New Roman" w:eastAsia="宋体" w:cs="Times New Roman"/>
                <w:color w:val="auto"/>
                <w:kern w:val="0"/>
                <w:sz w:val="24"/>
                <w:szCs w:val="24"/>
                <w:highlight w:val="none"/>
                <w:u w:val="none"/>
                <w:lang w:val="en-US" w:eastAsia="zh-CN"/>
              </w:rPr>
              <w:t>定期对废气处理设施从设备到运输管道进行检修，发现问题及时解决。</w:t>
            </w:r>
          </w:p>
          <w:p w14:paraId="15D8B314">
            <w:pPr>
              <w:keepNext w:val="0"/>
              <w:keepLines w:val="0"/>
              <w:pageBreakBefore w:val="0"/>
              <w:kinsoku/>
              <w:wordWrap/>
              <w:overflowPunct/>
              <w:topLinePunct w:val="0"/>
              <w:autoSpaceDE w:val="0"/>
              <w:autoSpaceDN w:val="0"/>
              <w:bidi w:val="0"/>
              <w:adjustRightInd w:val="0"/>
              <w:snapToGrid w:val="0"/>
              <w:spacing w:line="360" w:lineRule="auto"/>
              <w:ind w:firstLine="480" w:firstLineChars="200"/>
              <w:jc w:val="both"/>
              <w:rPr>
                <w:rFonts w:hint="default" w:ascii="Times New Roman" w:hAnsi="Times New Roman" w:eastAsia="宋体" w:cs="Times New Roman"/>
                <w:color w:val="auto"/>
                <w:kern w:val="0"/>
                <w:sz w:val="24"/>
                <w:szCs w:val="24"/>
                <w:highlight w:val="none"/>
                <w:u w:val="none"/>
                <w:lang w:val="en-US" w:eastAsia="zh-CN"/>
              </w:rPr>
            </w:pPr>
            <w:r>
              <w:rPr>
                <w:rFonts w:hint="default" w:ascii="Times New Roman" w:hAnsi="Times New Roman" w:eastAsia="宋体" w:cs="Times New Roman"/>
                <w:color w:val="auto"/>
                <w:kern w:val="0"/>
                <w:sz w:val="24"/>
                <w:szCs w:val="24"/>
                <w:highlight w:val="none"/>
                <w:u w:val="none"/>
                <w:lang w:val="en-US" w:eastAsia="zh-CN"/>
              </w:rPr>
              <w:t>②</w:t>
            </w:r>
            <w:r>
              <w:rPr>
                <w:rFonts w:hint="eastAsia" w:ascii="Times New Roman" w:hAnsi="Times New Roman" w:eastAsia="宋体" w:cs="Times New Roman"/>
                <w:color w:val="auto"/>
                <w:kern w:val="0"/>
                <w:sz w:val="24"/>
                <w:szCs w:val="24"/>
                <w:highlight w:val="none"/>
                <w:u w:val="none"/>
                <w:lang w:val="en-US" w:eastAsia="zh-CN"/>
              </w:rPr>
              <w:t>各生产岗位制定严格的操作规程和注意事项，车间工人需熟悉工作流程，严格按操作规程进行运行控制，防止操作失误导致废气事故排放。</w:t>
            </w:r>
          </w:p>
          <w:p w14:paraId="2B354C39">
            <w:pPr>
              <w:keepNext w:val="0"/>
              <w:keepLines w:val="0"/>
              <w:pageBreakBefore w:val="0"/>
              <w:kinsoku/>
              <w:wordWrap/>
              <w:overflowPunct/>
              <w:topLinePunct w:val="0"/>
              <w:autoSpaceDE w:val="0"/>
              <w:autoSpaceDN w:val="0"/>
              <w:bidi w:val="0"/>
              <w:adjustRightInd w:val="0"/>
              <w:snapToGrid w:val="0"/>
              <w:spacing w:line="360" w:lineRule="auto"/>
              <w:ind w:firstLine="480" w:firstLineChars="200"/>
              <w:jc w:val="both"/>
              <w:rPr>
                <w:rFonts w:hint="default" w:ascii="Times New Roman" w:hAnsi="Times New Roman" w:eastAsia="宋体" w:cs="Times New Roman"/>
                <w:color w:val="auto"/>
                <w:sz w:val="24"/>
                <w:szCs w:val="24"/>
                <w:highlight w:val="none"/>
                <w:u w:val="none"/>
                <w:vertAlign w:val="baseline"/>
                <w:lang w:val="en-US" w:eastAsia="zh-CN"/>
              </w:rPr>
            </w:pPr>
            <w:r>
              <w:rPr>
                <w:rFonts w:hint="default" w:ascii="Times New Roman" w:hAnsi="Times New Roman" w:eastAsia="宋体" w:cs="Times New Roman"/>
                <w:color w:val="auto"/>
                <w:kern w:val="0"/>
                <w:sz w:val="24"/>
                <w:szCs w:val="24"/>
                <w:highlight w:val="none"/>
                <w:u w:val="none"/>
                <w:lang w:val="en-US" w:eastAsia="zh-CN"/>
              </w:rPr>
              <w:t>③</w:t>
            </w:r>
            <w:r>
              <w:rPr>
                <w:rFonts w:hint="eastAsia" w:ascii="Times New Roman" w:hAnsi="Times New Roman" w:eastAsia="宋体" w:cs="Times New Roman"/>
                <w:color w:val="auto"/>
                <w:kern w:val="0"/>
                <w:sz w:val="24"/>
                <w:szCs w:val="24"/>
                <w:highlight w:val="none"/>
                <w:u w:val="none"/>
                <w:lang w:val="en-US" w:eastAsia="zh-CN"/>
              </w:rPr>
              <w:t>定期更换过滤</w:t>
            </w:r>
            <w:r>
              <w:rPr>
                <w:rFonts w:hint="eastAsia" w:cs="Times New Roman"/>
                <w:color w:val="auto"/>
                <w:kern w:val="0"/>
                <w:sz w:val="24"/>
                <w:szCs w:val="24"/>
                <w:highlight w:val="none"/>
                <w:u w:val="none"/>
                <w:lang w:val="en-US" w:eastAsia="zh-CN"/>
              </w:rPr>
              <w:t>材料</w:t>
            </w:r>
            <w:r>
              <w:rPr>
                <w:rFonts w:hint="eastAsia" w:ascii="Times New Roman" w:hAnsi="Times New Roman" w:eastAsia="宋体" w:cs="Times New Roman"/>
                <w:color w:val="auto"/>
                <w:kern w:val="0"/>
                <w:sz w:val="24"/>
                <w:szCs w:val="24"/>
                <w:highlight w:val="none"/>
                <w:u w:val="none"/>
                <w:lang w:val="en-US" w:eastAsia="zh-CN"/>
              </w:rPr>
              <w:t>，</w:t>
            </w:r>
            <w:r>
              <w:rPr>
                <w:rFonts w:hint="eastAsia" w:ascii="Times New Roman" w:hAnsi="Times New Roman" w:eastAsia="宋体" w:cs="Times New Roman"/>
                <w:color w:val="auto"/>
                <w:sz w:val="24"/>
                <w:szCs w:val="24"/>
                <w:highlight w:val="none"/>
                <w:u w:val="none"/>
                <w:vertAlign w:val="baseline"/>
                <w:lang w:val="en-US" w:eastAsia="zh-CN"/>
              </w:rPr>
              <w:t>按废气自行监测要求，定期委托有资质单位进行检测。</w:t>
            </w:r>
          </w:p>
          <w:p w14:paraId="21415CCE">
            <w:pPr>
              <w:autoSpaceDE w:val="0"/>
              <w:autoSpaceDN w:val="0"/>
              <w:adjustRightInd w:val="0"/>
              <w:spacing w:line="360" w:lineRule="auto"/>
              <w:ind w:firstLine="482" w:firstLineChars="200"/>
              <w:jc w:val="both"/>
              <w:rPr>
                <w:rFonts w:hint="default" w:ascii="Times New Roman" w:hAnsi="Times New Roman" w:eastAsia="宋体"/>
                <w:b/>
                <w:bCs/>
                <w:color w:val="auto"/>
                <w:sz w:val="24"/>
                <w:lang w:val="en-US" w:eastAsia="zh-CN"/>
              </w:rPr>
            </w:pPr>
            <w:r>
              <w:rPr>
                <w:rFonts w:hint="eastAsia" w:ascii="Times New Roman" w:hAnsi="Times New Roman" w:eastAsia="宋体"/>
                <w:b/>
                <w:bCs/>
                <w:color w:val="auto"/>
                <w:sz w:val="24"/>
                <w:lang w:eastAsia="zh-CN"/>
              </w:rPr>
              <w:t>（</w:t>
            </w:r>
            <w:r>
              <w:rPr>
                <w:rFonts w:hint="eastAsia" w:ascii="Times New Roman" w:hAnsi="Times New Roman" w:eastAsia="宋体"/>
                <w:b/>
                <w:bCs/>
                <w:color w:val="auto"/>
                <w:sz w:val="24"/>
                <w:lang w:val="en-US" w:eastAsia="zh-CN"/>
              </w:rPr>
              <w:t>2）废水事故排放风险防范措施</w:t>
            </w:r>
          </w:p>
          <w:p w14:paraId="0EEDD95A">
            <w:pPr>
              <w:autoSpaceDE w:val="0"/>
              <w:autoSpaceDN w:val="0"/>
              <w:adjustRightInd w:val="0"/>
              <w:spacing w:line="360" w:lineRule="auto"/>
              <w:ind w:firstLine="480" w:firstLineChars="200"/>
              <w:jc w:val="both"/>
              <w:rPr>
                <w:rFonts w:hint="eastAsia" w:ascii="Times New Roman" w:hAnsi="Times New Roman" w:eastAsia="宋体"/>
                <w:color w:val="auto"/>
                <w:sz w:val="24"/>
              </w:rPr>
            </w:pPr>
            <w:r>
              <w:rPr>
                <w:rFonts w:hint="eastAsia" w:ascii="Times New Roman" w:hAnsi="Times New Roman" w:eastAsia="宋体"/>
                <w:color w:val="auto"/>
                <w:sz w:val="24"/>
              </w:rPr>
              <w:t>①定期对</w:t>
            </w:r>
            <w:r>
              <w:rPr>
                <w:rFonts w:hint="eastAsia" w:ascii="Times New Roman" w:hAnsi="Times New Roman" w:eastAsia="宋体"/>
                <w:color w:val="auto"/>
                <w:sz w:val="24"/>
                <w:lang w:eastAsia="zh-CN"/>
              </w:rPr>
              <w:t>生产废水处理系统</w:t>
            </w:r>
            <w:r>
              <w:rPr>
                <w:rFonts w:hint="eastAsia" w:ascii="Times New Roman" w:hAnsi="Times New Roman" w:eastAsia="宋体"/>
                <w:color w:val="auto"/>
                <w:sz w:val="24"/>
              </w:rPr>
              <w:t>各构筑物</w:t>
            </w:r>
            <w:r>
              <w:rPr>
                <w:rFonts w:hint="eastAsia" w:ascii="Times New Roman" w:hAnsi="Times New Roman" w:eastAsia="宋体"/>
                <w:color w:val="auto"/>
                <w:sz w:val="24"/>
                <w:lang w:eastAsia="zh-CN"/>
              </w:rPr>
              <w:t>、</w:t>
            </w:r>
            <w:r>
              <w:rPr>
                <w:rFonts w:hint="eastAsia" w:ascii="Times New Roman" w:hAnsi="Times New Roman" w:eastAsia="宋体"/>
                <w:color w:val="auto"/>
                <w:sz w:val="24"/>
                <w:lang w:val="en-US" w:eastAsia="zh-CN"/>
              </w:rPr>
              <w:t>废水管道</w:t>
            </w:r>
            <w:r>
              <w:rPr>
                <w:rFonts w:hint="eastAsia" w:ascii="Times New Roman" w:hAnsi="Times New Roman" w:eastAsia="宋体"/>
                <w:color w:val="auto"/>
                <w:sz w:val="24"/>
              </w:rPr>
              <w:t>进行检查和维修。废水处理站各构筑物</w:t>
            </w:r>
            <w:r>
              <w:rPr>
                <w:rFonts w:hint="eastAsia" w:ascii="Times New Roman" w:hAnsi="Times New Roman" w:eastAsia="宋体"/>
                <w:color w:val="auto"/>
                <w:sz w:val="24"/>
                <w:lang w:eastAsia="zh-CN"/>
              </w:rPr>
              <w:t>、</w:t>
            </w:r>
            <w:r>
              <w:rPr>
                <w:rFonts w:hint="eastAsia" w:ascii="Times New Roman" w:hAnsi="Times New Roman" w:eastAsia="宋体"/>
                <w:color w:val="auto"/>
                <w:sz w:val="24"/>
                <w:lang w:val="en-US" w:eastAsia="zh-CN"/>
              </w:rPr>
              <w:t>废水管道按防渗要求建设。</w:t>
            </w:r>
          </w:p>
          <w:p w14:paraId="3EE67CB9">
            <w:pPr>
              <w:keepNext w:val="0"/>
              <w:keepLines w:val="0"/>
              <w:pageBreakBefore w:val="0"/>
              <w:kinsoku/>
              <w:wordWrap/>
              <w:overflowPunct/>
              <w:topLinePunct w:val="0"/>
              <w:autoSpaceDE w:val="0"/>
              <w:autoSpaceDN w:val="0"/>
              <w:bidi w:val="0"/>
              <w:adjustRightInd w:val="0"/>
              <w:snapToGrid w:val="0"/>
              <w:spacing w:line="360" w:lineRule="auto"/>
              <w:ind w:firstLine="480" w:firstLineChars="200"/>
              <w:jc w:val="both"/>
              <w:rPr>
                <w:rFonts w:hint="default" w:ascii="Times New Roman" w:hAnsi="Times New Roman" w:eastAsia="宋体" w:cs="Times New Roman"/>
                <w:color w:val="auto"/>
                <w:sz w:val="24"/>
                <w:highlight w:val="none"/>
                <w:u w:val="none"/>
                <w:vertAlign w:val="baseline"/>
                <w:lang w:val="en-US" w:eastAsia="zh-CN"/>
              </w:rPr>
            </w:pPr>
            <w:r>
              <w:rPr>
                <w:rFonts w:hint="eastAsia" w:ascii="Times New Roman" w:hAnsi="Times New Roman" w:eastAsia="宋体"/>
                <w:color w:val="auto"/>
                <w:sz w:val="24"/>
              </w:rPr>
              <w:t>②</w:t>
            </w:r>
            <w:r>
              <w:rPr>
                <w:rFonts w:hint="eastAsia" w:ascii="Times New Roman" w:hAnsi="Times New Roman" w:eastAsia="宋体"/>
                <w:color w:val="auto"/>
                <w:sz w:val="24"/>
                <w:lang w:val="en-US" w:eastAsia="zh-CN"/>
              </w:rPr>
              <w:t>生产废水</w:t>
            </w:r>
            <w:r>
              <w:rPr>
                <w:rFonts w:hint="eastAsia" w:ascii="Times New Roman" w:hAnsi="Times New Roman" w:eastAsia="宋体"/>
                <w:color w:val="auto"/>
                <w:sz w:val="24"/>
              </w:rPr>
              <w:t>严禁偷排、漏排现象，</w:t>
            </w:r>
            <w:r>
              <w:rPr>
                <w:rFonts w:hint="eastAsia" w:ascii="Times New Roman" w:hAnsi="Times New Roman" w:eastAsia="宋体"/>
                <w:color w:val="auto"/>
                <w:sz w:val="24"/>
                <w:lang w:val="en-US" w:eastAsia="zh-CN"/>
              </w:rPr>
              <w:t>应</w:t>
            </w:r>
            <w:r>
              <w:rPr>
                <w:rFonts w:hint="eastAsia" w:ascii="Times New Roman" w:hAnsi="Times New Roman" w:eastAsia="宋体"/>
                <w:color w:val="auto"/>
                <w:sz w:val="24"/>
              </w:rPr>
              <w:t>经处理后</w:t>
            </w:r>
            <w:r>
              <w:rPr>
                <w:rFonts w:hint="eastAsia" w:ascii="Times New Roman" w:hAnsi="Times New Roman" w:eastAsia="宋体"/>
                <w:color w:val="auto"/>
                <w:sz w:val="24"/>
                <w:lang w:eastAsia="zh-CN"/>
              </w:rPr>
              <w:t>全部回用</w:t>
            </w:r>
            <w:r>
              <w:rPr>
                <w:rFonts w:hint="eastAsia" w:ascii="Times New Roman" w:hAnsi="Times New Roman" w:eastAsia="宋体"/>
                <w:color w:val="auto"/>
                <w:sz w:val="24"/>
              </w:rPr>
              <w:t>。</w:t>
            </w:r>
            <w:r>
              <w:rPr>
                <w:rFonts w:hint="eastAsia" w:ascii="Times New Roman" w:hAnsi="Times New Roman" w:eastAsia="宋体"/>
                <w:color w:val="auto"/>
                <w:sz w:val="24"/>
                <w:lang w:eastAsia="zh-CN"/>
              </w:rPr>
              <w:t>生产废水处理系统</w:t>
            </w:r>
            <w:r>
              <w:rPr>
                <w:rFonts w:hint="eastAsia" w:ascii="Times New Roman" w:hAnsi="Times New Roman" w:eastAsia="宋体"/>
                <w:color w:val="auto"/>
                <w:sz w:val="24"/>
                <w:lang w:val="en-US" w:eastAsia="zh-CN"/>
              </w:rPr>
              <w:t>进出口设置阀门控制。</w:t>
            </w:r>
          </w:p>
          <w:p w14:paraId="712E20B4">
            <w:pPr>
              <w:autoSpaceDE w:val="0"/>
              <w:autoSpaceDN w:val="0"/>
              <w:adjustRightInd w:val="0"/>
              <w:spacing w:line="360" w:lineRule="auto"/>
              <w:ind w:firstLine="480" w:firstLineChars="200"/>
              <w:jc w:val="both"/>
              <w:rPr>
                <w:rFonts w:hint="default" w:ascii="Times New Roman" w:hAnsi="Times New Roman" w:eastAsia="宋体"/>
                <w:color w:val="auto"/>
                <w:sz w:val="24"/>
                <w:lang w:val="en-US" w:eastAsia="zh-CN"/>
              </w:rPr>
            </w:pPr>
            <w:r>
              <w:rPr>
                <w:rFonts w:hint="eastAsia" w:ascii="Times New Roman" w:hAnsi="Times New Roman" w:eastAsia="宋体"/>
                <w:color w:val="auto"/>
                <w:sz w:val="24"/>
              </w:rPr>
              <w:t>③项目应急物资仓库应储备堵漏工具及物资</w:t>
            </w:r>
            <w:r>
              <w:rPr>
                <w:rFonts w:hint="eastAsia" w:ascii="Times New Roman" w:hAnsi="Times New Roman" w:eastAsia="宋体"/>
                <w:color w:val="auto"/>
                <w:sz w:val="24"/>
                <w:lang w:eastAsia="zh-CN"/>
              </w:rPr>
              <w:t>（</w:t>
            </w:r>
            <w:r>
              <w:rPr>
                <w:rFonts w:hint="eastAsia" w:ascii="Times New Roman" w:hAnsi="Times New Roman" w:eastAsia="宋体"/>
                <w:color w:val="auto"/>
                <w:sz w:val="24"/>
              </w:rPr>
              <w:t>如抽水泵、沙袋等</w:t>
            </w:r>
            <w:r>
              <w:rPr>
                <w:rFonts w:hint="eastAsia" w:ascii="Times New Roman" w:hAnsi="Times New Roman" w:eastAsia="宋体"/>
                <w:color w:val="auto"/>
                <w:sz w:val="24"/>
                <w:lang w:eastAsia="zh-CN"/>
              </w:rPr>
              <w:t>）。</w:t>
            </w:r>
          </w:p>
          <w:p w14:paraId="54181A5F">
            <w:pPr>
              <w:autoSpaceDE w:val="0"/>
              <w:autoSpaceDN w:val="0"/>
              <w:adjustRightInd w:val="0"/>
              <w:spacing w:line="360" w:lineRule="auto"/>
              <w:ind w:firstLine="482" w:firstLineChars="200"/>
              <w:jc w:val="both"/>
              <w:rPr>
                <w:rFonts w:hint="default" w:ascii="Times New Roman" w:hAnsi="Times New Roman" w:eastAsia="宋体" w:cs="Times New Roman"/>
                <w:b/>
                <w:bCs/>
                <w:color w:val="auto"/>
                <w:kern w:val="0"/>
                <w:sz w:val="24"/>
                <w:szCs w:val="24"/>
                <w:highlight w:val="none"/>
                <w:u w:val="none"/>
                <w:lang w:val="en-US" w:eastAsia="zh-CN"/>
              </w:rPr>
            </w:pPr>
            <w:r>
              <w:rPr>
                <w:rFonts w:hint="eastAsia" w:ascii="Times New Roman" w:hAnsi="Times New Roman" w:eastAsia="宋体"/>
                <w:b/>
                <w:bCs/>
                <w:color w:val="auto"/>
                <w:sz w:val="24"/>
                <w:szCs w:val="24"/>
                <w:highlight w:val="none"/>
                <w:lang w:eastAsia="zh-CN"/>
              </w:rPr>
              <w:t>（</w:t>
            </w:r>
            <w:r>
              <w:rPr>
                <w:rFonts w:hint="eastAsia"/>
                <w:b/>
                <w:bCs/>
                <w:color w:val="auto"/>
                <w:sz w:val="24"/>
                <w:szCs w:val="24"/>
                <w:highlight w:val="none"/>
                <w:lang w:val="en-US" w:eastAsia="zh-CN"/>
              </w:rPr>
              <w:t>3</w:t>
            </w:r>
            <w:r>
              <w:rPr>
                <w:rFonts w:hint="eastAsia" w:ascii="Times New Roman" w:hAnsi="Times New Roman" w:eastAsia="宋体"/>
                <w:b/>
                <w:bCs/>
                <w:color w:val="auto"/>
                <w:sz w:val="24"/>
                <w:szCs w:val="24"/>
                <w:highlight w:val="none"/>
                <w:lang w:val="en-US" w:eastAsia="zh-CN"/>
              </w:rPr>
              <w:t>）</w:t>
            </w:r>
            <w:r>
              <w:rPr>
                <w:rFonts w:hint="eastAsia" w:ascii="Times New Roman" w:hAnsi="Times New Roman" w:eastAsia="宋体" w:cs="Times New Roman"/>
                <w:b/>
                <w:bCs/>
                <w:color w:val="auto"/>
                <w:kern w:val="0"/>
                <w:sz w:val="24"/>
                <w:szCs w:val="24"/>
                <w:highlight w:val="none"/>
                <w:u w:val="none"/>
                <w:lang w:val="en-US" w:eastAsia="zh-CN"/>
              </w:rPr>
              <w:t>危险废物泄漏</w:t>
            </w:r>
            <w:r>
              <w:rPr>
                <w:rFonts w:hint="default" w:ascii="Times New Roman" w:hAnsi="Times New Roman" w:eastAsia="宋体" w:cs="Times New Roman"/>
                <w:b/>
                <w:bCs/>
                <w:color w:val="auto"/>
                <w:kern w:val="0"/>
                <w:sz w:val="24"/>
                <w:szCs w:val="24"/>
                <w:highlight w:val="none"/>
                <w:u w:val="none"/>
                <w:lang w:val="en-US" w:eastAsia="zh-CN"/>
              </w:rPr>
              <w:t>风险防范措施</w:t>
            </w:r>
          </w:p>
          <w:p w14:paraId="69C72834">
            <w:pPr>
              <w:keepNext w:val="0"/>
              <w:keepLines w:val="0"/>
              <w:pageBreakBefore w:val="0"/>
              <w:kinsoku/>
              <w:wordWrap/>
              <w:overflowPunct/>
              <w:topLinePunct w:val="0"/>
              <w:autoSpaceDE w:val="0"/>
              <w:autoSpaceDN w:val="0"/>
              <w:bidi w:val="0"/>
              <w:adjustRightInd w:val="0"/>
              <w:snapToGrid w:val="0"/>
              <w:spacing w:line="360" w:lineRule="auto"/>
              <w:ind w:firstLine="480" w:firstLineChars="200"/>
              <w:jc w:val="both"/>
              <w:rPr>
                <w:rFonts w:hint="default" w:ascii="Times New Roman" w:hAnsi="Times New Roman" w:eastAsia="宋体" w:cs="Times New Roman"/>
                <w:color w:val="auto"/>
                <w:kern w:val="0"/>
                <w:sz w:val="24"/>
                <w:szCs w:val="24"/>
                <w:highlight w:val="none"/>
                <w:u w:val="none"/>
                <w:lang w:val="en-US" w:eastAsia="zh-CN"/>
              </w:rPr>
            </w:pPr>
            <w:r>
              <w:rPr>
                <w:rFonts w:hint="default" w:ascii="Times New Roman" w:hAnsi="Times New Roman" w:eastAsia="宋体" w:cs="Times New Roman"/>
                <w:color w:val="auto"/>
                <w:kern w:val="0"/>
                <w:sz w:val="24"/>
                <w:szCs w:val="24"/>
                <w:highlight w:val="none"/>
                <w:u w:val="none"/>
                <w:lang w:val="en-US" w:eastAsia="zh-CN"/>
              </w:rPr>
              <w:t>①</w:t>
            </w:r>
            <w:r>
              <w:rPr>
                <w:rFonts w:hint="eastAsia" w:ascii="Times New Roman" w:hAnsi="Times New Roman" w:eastAsia="宋体" w:cs="Times New Roman"/>
                <w:color w:val="auto"/>
                <w:kern w:val="0"/>
                <w:sz w:val="24"/>
                <w:szCs w:val="24"/>
                <w:highlight w:val="none"/>
                <w:u w:val="none"/>
                <w:lang w:val="en-US" w:eastAsia="zh-CN"/>
              </w:rPr>
              <w:t>危险废物</w:t>
            </w:r>
            <w:r>
              <w:rPr>
                <w:rFonts w:hint="eastAsia" w:cs="Times New Roman"/>
                <w:color w:val="auto"/>
                <w:kern w:val="0"/>
                <w:sz w:val="24"/>
                <w:szCs w:val="24"/>
                <w:highlight w:val="none"/>
                <w:u w:val="none"/>
                <w:lang w:val="en-US" w:eastAsia="zh-CN"/>
              </w:rPr>
              <w:t>贮存</w:t>
            </w:r>
            <w:r>
              <w:rPr>
                <w:rFonts w:hint="eastAsia" w:ascii="Times New Roman" w:hAnsi="Times New Roman" w:eastAsia="宋体" w:cs="Times New Roman"/>
                <w:color w:val="auto"/>
                <w:kern w:val="0"/>
                <w:sz w:val="24"/>
                <w:szCs w:val="24"/>
                <w:highlight w:val="none"/>
                <w:u w:val="none"/>
                <w:lang w:val="en-US" w:eastAsia="zh-CN"/>
              </w:rPr>
              <w:t>间应按照《危险废物贮存污染控制标准》（GB 18597-2023）要求建设，</w:t>
            </w:r>
            <w:r>
              <w:rPr>
                <w:rFonts w:hint="default" w:ascii="Times New Roman" w:hAnsi="Times New Roman" w:eastAsia="宋体" w:cs="Times New Roman"/>
                <w:color w:val="auto"/>
                <w:sz w:val="24"/>
                <w:szCs w:val="24"/>
                <w:highlight w:val="none"/>
                <w:lang w:val="en-US" w:eastAsia="zh-CN"/>
              </w:rPr>
              <w:t>具备防风、防雨、防晒、</w:t>
            </w:r>
            <w:r>
              <w:rPr>
                <w:rFonts w:hint="eastAsia" w:ascii="Times New Roman" w:hAnsi="Times New Roman" w:eastAsia="宋体" w:cs="Times New Roman"/>
                <w:color w:val="auto"/>
                <w:sz w:val="24"/>
                <w:szCs w:val="24"/>
                <w:highlight w:val="none"/>
                <w:lang w:val="en-US" w:eastAsia="zh-CN"/>
              </w:rPr>
              <w:t>防渗漏措施，</w:t>
            </w:r>
            <w:r>
              <w:rPr>
                <w:rFonts w:hint="eastAsia" w:ascii="Times New Roman" w:hAnsi="Times New Roman" w:eastAsia="宋体" w:cs="Times New Roman"/>
                <w:color w:val="auto"/>
                <w:kern w:val="0"/>
                <w:sz w:val="24"/>
                <w:szCs w:val="24"/>
                <w:highlight w:val="none"/>
                <w:u w:val="none"/>
                <w:lang w:val="en-US" w:eastAsia="zh-CN"/>
              </w:rPr>
              <w:t>液态容器底部设置防渗托盘防渗。</w:t>
            </w:r>
          </w:p>
          <w:p w14:paraId="4F0E417D">
            <w:pPr>
              <w:keepNext w:val="0"/>
              <w:keepLines w:val="0"/>
              <w:pageBreakBefore w:val="0"/>
              <w:kinsoku/>
              <w:wordWrap/>
              <w:overflowPunct/>
              <w:topLinePunct w:val="0"/>
              <w:autoSpaceDE w:val="0"/>
              <w:autoSpaceDN w:val="0"/>
              <w:bidi w:val="0"/>
              <w:adjustRightInd w:val="0"/>
              <w:snapToGrid w:val="0"/>
              <w:spacing w:line="360" w:lineRule="auto"/>
              <w:ind w:firstLine="480" w:firstLineChars="200"/>
              <w:jc w:val="both"/>
              <w:rPr>
                <w:rFonts w:hint="default" w:ascii="Times New Roman" w:hAnsi="Times New Roman" w:eastAsia="宋体" w:cs="Times New Roman"/>
                <w:color w:val="auto"/>
                <w:kern w:val="0"/>
                <w:sz w:val="24"/>
                <w:szCs w:val="24"/>
                <w:highlight w:val="none"/>
                <w:u w:val="none"/>
                <w:lang w:val="en-US" w:eastAsia="zh-CN"/>
              </w:rPr>
            </w:pPr>
            <w:r>
              <w:rPr>
                <w:rFonts w:hint="default" w:ascii="Times New Roman" w:hAnsi="Times New Roman" w:eastAsia="宋体" w:cs="Times New Roman"/>
                <w:color w:val="auto"/>
                <w:kern w:val="0"/>
                <w:sz w:val="24"/>
                <w:szCs w:val="24"/>
                <w:highlight w:val="none"/>
                <w:u w:val="none"/>
                <w:lang w:val="en-US" w:eastAsia="zh-CN"/>
              </w:rPr>
              <w:t>②设置警示标识等</w:t>
            </w:r>
            <w:r>
              <w:rPr>
                <w:rFonts w:hint="eastAsia" w:ascii="Times New Roman" w:hAnsi="Times New Roman" w:eastAsia="宋体" w:cs="Times New Roman"/>
                <w:color w:val="auto"/>
                <w:kern w:val="0"/>
                <w:sz w:val="24"/>
                <w:szCs w:val="24"/>
                <w:highlight w:val="none"/>
                <w:u w:val="none"/>
                <w:lang w:val="en-US" w:eastAsia="zh-CN"/>
              </w:rPr>
              <w:t>。设置专人管理；</w:t>
            </w:r>
          </w:p>
          <w:p w14:paraId="5A908CDB">
            <w:pPr>
              <w:keepNext w:val="0"/>
              <w:keepLines w:val="0"/>
              <w:pageBreakBefore w:val="0"/>
              <w:kinsoku/>
              <w:wordWrap/>
              <w:overflowPunct/>
              <w:topLinePunct w:val="0"/>
              <w:autoSpaceDE w:val="0"/>
              <w:autoSpaceDN w:val="0"/>
              <w:bidi w:val="0"/>
              <w:adjustRightInd w:val="0"/>
              <w:snapToGrid w:val="0"/>
              <w:spacing w:line="360" w:lineRule="auto"/>
              <w:ind w:firstLine="480" w:firstLineChars="200"/>
              <w:jc w:val="both"/>
              <w:rPr>
                <w:rFonts w:hint="default" w:ascii="Times New Roman" w:hAnsi="Times New Roman" w:eastAsia="宋体" w:cs="Times New Roman"/>
                <w:color w:val="auto"/>
                <w:kern w:val="0"/>
                <w:sz w:val="24"/>
                <w:szCs w:val="24"/>
                <w:highlight w:val="none"/>
                <w:u w:val="none"/>
                <w:lang w:val="en-US" w:eastAsia="zh-CN"/>
              </w:rPr>
            </w:pPr>
            <w:r>
              <w:rPr>
                <w:rFonts w:hint="eastAsia" w:ascii="Times New Roman" w:hAnsi="Times New Roman" w:eastAsia="宋体" w:cs="Times New Roman"/>
                <w:color w:val="auto"/>
                <w:kern w:val="0"/>
                <w:sz w:val="24"/>
                <w:szCs w:val="24"/>
                <w:highlight w:val="none"/>
                <w:u w:val="none"/>
                <w:lang w:val="en-US" w:eastAsia="zh-CN"/>
              </w:rPr>
              <w:t>③危险废物</w:t>
            </w:r>
            <w:r>
              <w:rPr>
                <w:rFonts w:hint="eastAsia" w:cs="Times New Roman"/>
                <w:color w:val="auto"/>
                <w:kern w:val="0"/>
                <w:sz w:val="24"/>
                <w:szCs w:val="24"/>
                <w:highlight w:val="none"/>
                <w:u w:val="none"/>
                <w:lang w:val="en-US" w:eastAsia="zh-CN"/>
              </w:rPr>
              <w:t>贮存库</w:t>
            </w:r>
            <w:r>
              <w:rPr>
                <w:rFonts w:hint="default" w:ascii="Times New Roman" w:hAnsi="Times New Roman" w:eastAsia="宋体" w:cs="Times New Roman"/>
                <w:color w:val="auto"/>
                <w:kern w:val="0"/>
                <w:sz w:val="24"/>
                <w:szCs w:val="24"/>
                <w:highlight w:val="none"/>
                <w:u w:val="none"/>
                <w:lang w:val="en-US" w:eastAsia="zh-CN"/>
              </w:rPr>
              <w:t>严禁明火，严格遵守操作规程，避免因操作失误发生事故</w:t>
            </w:r>
            <w:r>
              <w:rPr>
                <w:rFonts w:hint="eastAsia" w:ascii="Times New Roman" w:hAnsi="Times New Roman" w:eastAsia="宋体" w:cs="Times New Roman"/>
                <w:color w:val="auto"/>
                <w:kern w:val="0"/>
                <w:sz w:val="24"/>
                <w:szCs w:val="24"/>
                <w:highlight w:val="none"/>
                <w:u w:val="none"/>
                <w:lang w:val="en-US" w:eastAsia="zh-CN"/>
              </w:rPr>
              <w:t>；</w:t>
            </w:r>
          </w:p>
          <w:p w14:paraId="2B0BF533">
            <w:pPr>
              <w:keepNext w:val="0"/>
              <w:keepLines w:val="0"/>
              <w:pageBreakBefore w:val="0"/>
              <w:kinsoku/>
              <w:wordWrap/>
              <w:overflowPunct/>
              <w:topLinePunct w:val="0"/>
              <w:autoSpaceDE w:val="0"/>
              <w:autoSpaceDN w:val="0"/>
              <w:bidi w:val="0"/>
              <w:adjustRightInd w:val="0"/>
              <w:snapToGrid w:val="0"/>
              <w:spacing w:line="360" w:lineRule="auto"/>
              <w:ind w:firstLine="480" w:firstLineChars="200"/>
              <w:jc w:val="both"/>
              <w:rPr>
                <w:rFonts w:hint="default" w:ascii="Times New Roman" w:hAnsi="Times New Roman" w:eastAsia="宋体" w:cs="Times New Roman"/>
                <w:color w:val="auto"/>
                <w:sz w:val="24"/>
                <w:szCs w:val="24"/>
                <w:highlight w:val="none"/>
                <w:u w:val="none"/>
                <w:lang w:eastAsia="zh-CN"/>
              </w:rPr>
            </w:pPr>
            <w:r>
              <w:rPr>
                <w:rFonts w:hint="default" w:ascii="Times New Roman" w:hAnsi="Times New Roman" w:eastAsia="宋体" w:cs="Times New Roman"/>
                <w:color w:val="auto"/>
                <w:sz w:val="24"/>
                <w:szCs w:val="24"/>
                <w:highlight w:val="none"/>
                <w:u w:val="none"/>
                <w:lang w:eastAsia="zh-CN"/>
              </w:rPr>
              <w:t>④</w:t>
            </w:r>
            <w:r>
              <w:rPr>
                <w:rFonts w:hint="default" w:ascii="Times New Roman" w:hAnsi="Times New Roman" w:eastAsia="宋体" w:cs="Times New Roman"/>
                <w:color w:val="auto"/>
                <w:kern w:val="0"/>
                <w:sz w:val="24"/>
                <w:szCs w:val="24"/>
                <w:highlight w:val="none"/>
                <w:u w:val="none"/>
                <w:lang w:val="en-US" w:eastAsia="zh-CN"/>
              </w:rPr>
              <w:t>贮存所内配备通讯设备、照明设备、安全防护服装及工具，并有应急防护措施；配备相应的堵漏材料</w:t>
            </w:r>
            <w:r>
              <w:rPr>
                <w:rFonts w:hint="eastAsia" w:ascii="Times New Roman" w:hAnsi="Times New Roman" w:eastAsia="宋体" w:cs="Times New Roman"/>
                <w:color w:val="auto"/>
                <w:kern w:val="0"/>
                <w:sz w:val="24"/>
                <w:szCs w:val="24"/>
                <w:highlight w:val="none"/>
                <w:u w:val="none"/>
                <w:lang w:val="en-US" w:eastAsia="zh-CN"/>
              </w:rPr>
              <w:t>（</w:t>
            </w:r>
            <w:r>
              <w:rPr>
                <w:rFonts w:hint="default" w:ascii="Times New Roman" w:hAnsi="Times New Roman" w:eastAsia="宋体" w:cs="Times New Roman"/>
                <w:color w:val="auto"/>
                <w:kern w:val="0"/>
                <w:sz w:val="24"/>
                <w:szCs w:val="24"/>
                <w:highlight w:val="none"/>
                <w:u w:val="none"/>
                <w:lang w:val="en-US" w:eastAsia="zh-CN"/>
              </w:rPr>
              <w:t>沙袋、吸油毡等</w:t>
            </w:r>
            <w:r>
              <w:rPr>
                <w:rFonts w:hint="eastAsia" w:ascii="Times New Roman" w:hAnsi="Times New Roman" w:eastAsia="宋体" w:cs="Times New Roman"/>
                <w:color w:val="auto"/>
                <w:kern w:val="0"/>
                <w:sz w:val="24"/>
                <w:szCs w:val="24"/>
                <w:highlight w:val="none"/>
                <w:u w:val="none"/>
                <w:lang w:val="en-US" w:eastAsia="zh-CN"/>
              </w:rPr>
              <w:t>）；</w:t>
            </w:r>
          </w:p>
          <w:p w14:paraId="1D1511BF">
            <w:pPr>
              <w:keepNext w:val="0"/>
              <w:keepLines w:val="0"/>
              <w:pageBreakBefore w:val="0"/>
              <w:kinsoku/>
              <w:wordWrap/>
              <w:overflowPunct/>
              <w:topLinePunct w:val="0"/>
              <w:autoSpaceDE w:val="0"/>
              <w:autoSpaceDN w:val="0"/>
              <w:bidi w:val="0"/>
              <w:adjustRightInd w:val="0"/>
              <w:snapToGrid w:val="0"/>
              <w:spacing w:line="360" w:lineRule="auto"/>
              <w:ind w:firstLine="480" w:firstLineChars="200"/>
              <w:jc w:val="both"/>
              <w:rPr>
                <w:rFonts w:hint="default" w:ascii="Times New Roman" w:hAnsi="Times New Roman" w:eastAsia="宋体" w:cs="Times New Roman"/>
                <w:color w:val="auto"/>
                <w:kern w:val="0"/>
                <w:sz w:val="24"/>
                <w:szCs w:val="24"/>
                <w:highlight w:val="none"/>
                <w:u w:val="none"/>
                <w:lang w:val="en-US" w:eastAsia="zh-CN"/>
              </w:rPr>
            </w:pPr>
            <w:r>
              <w:rPr>
                <w:rFonts w:hint="default" w:ascii="Times New Roman" w:hAnsi="Times New Roman" w:eastAsia="宋体" w:cs="Times New Roman"/>
                <w:color w:val="auto"/>
                <w:kern w:val="0"/>
                <w:sz w:val="24"/>
                <w:szCs w:val="24"/>
                <w:highlight w:val="none"/>
                <w:u w:val="none"/>
                <w:lang w:val="en-US" w:eastAsia="zh-CN"/>
              </w:rPr>
              <w:t>④根据</w:t>
            </w:r>
            <w:r>
              <w:rPr>
                <w:rFonts w:hint="eastAsia" w:ascii="Times New Roman" w:hAnsi="Times New Roman" w:eastAsia="宋体" w:cs="Times New Roman"/>
                <w:color w:val="auto"/>
                <w:kern w:val="0"/>
                <w:sz w:val="24"/>
                <w:szCs w:val="24"/>
                <w:highlight w:val="none"/>
                <w:u w:val="none"/>
                <w:lang w:val="en-US" w:eastAsia="zh-CN"/>
              </w:rPr>
              <w:t>危险废物的</w:t>
            </w:r>
            <w:r>
              <w:rPr>
                <w:rFonts w:hint="default" w:ascii="Times New Roman" w:hAnsi="Times New Roman" w:eastAsia="宋体" w:cs="Times New Roman"/>
                <w:color w:val="auto"/>
                <w:kern w:val="0"/>
                <w:sz w:val="24"/>
                <w:szCs w:val="24"/>
                <w:highlight w:val="none"/>
                <w:u w:val="none"/>
                <w:lang w:val="en-US" w:eastAsia="zh-CN"/>
              </w:rPr>
              <w:t>特性</w:t>
            </w:r>
            <w:r>
              <w:rPr>
                <w:rFonts w:hint="eastAsia" w:ascii="Times New Roman" w:hAnsi="Times New Roman" w:eastAsia="宋体" w:cs="Times New Roman"/>
                <w:color w:val="auto"/>
                <w:kern w:val="0"/>
                <w:sz w:val="24"/>
                <w:szCs w:val="24"/>
                <w:highlight w:val="none"/>
                <w:u w:val="none"/>
                <w:lang w:val="en-US" w:eastAsia="zh-CN"/>
              </w:rPr>
              <w:t>进行</w:t>
            </w:r>
            <w:r>
              <w:rPr>
                <w:rFonts w:hint="default" w:ascii="Times New Roman" w:hAnsi="Times New Roman" w:eastAsia="宋体" w:cs="Times New Roman"/>
                <w:color w:val="auto"/>
                <w:kern w:val="0"/>
                <w:sz w:val="24"/>
                <w:szCs w:val="24"/>
                <w:highlight w:val="none"/>
                <w:u w:val="none"/>
                <w:lang w:val="en-US" w:eastAsia="zh-CN"/>
              </w:rPr>
              <w:t>分区、分类、分库贮存。各类</w:t>
            </w:r>
            <w:r>
              <w:rPr>
                <w:rFonts w:hint="eastAsia" w:ascii="Times New Roman" w:hAnsi="Times New Roman" w:eastAsia="宋体" w:cs="Times New Roman"/>
                <w:color w:val="auto"/>
                <w:kern w:val="0"/>
                <w:sz w:val="24"/>
                <w:szCs w:val="24"/>
                <w:highlight w:val="none"/>
                <w:u w:val="none"/>
                <w:lang w:val="en-US" w:eastAsia="zh-CN"/>
              </w:rPr>
              <w:t>危险废物等</w:t>
            </w:r>
            <w:r>
              <w:rPr>
                <w:rFonts w:hint="default" w:ascii="Times New Roman" w:hAnsi="Times New Roman" w:eastAsia="宋体" w:cs="Times New Roman"/>
                <w:color w:val="auto"/>
                <w:kern w:val="0"/>
                <w:sz w:val="24"/>
                <w:szCs w:val="24"/>
                <w:highlight w:val="none"/>
                <w:u w:val="none"/>
                <w:lang w:val="en-US" w:eastAsia="zh-CN"/>
              </w:rPr>
              <w:t>不得与禁忌化学品混合贮存</w:t>
            </w:r>
            <w:r>
              <w:rPr>
                <w:rFonts w:hint="eastAsia" w:ascii="Times New Roman" w:hAnsi="Times New Roman" w:eastAsia="宋体" w:cs="Times New Roman"/>
                <w:color w:val="auto"/>
                <w:kern w:val="0"/>
                <w:sz w:val="24"/>
                <w:szCs w:val="24"/>
                <w:highlight w:val="none"/>
                <w:u w:val="none"/>
                <w:lang w:val="en-US" w:eastAsia="zh-CN"/>
              </w:rPr>
              <w:t>；</w:t>
            </w:r>
          </w:p>
          <w:p w14:paraId="492D17DC">
            <w:pPr>
              <w:keepNext w:val="0"/>
              <w:keepLines w:val="0"/>
              <w:pageBreakBefore w:val="0"/>
              <w:kinsoku/>
              <w:wordWrap/>
              <w:overflowPunct/>
              <w:topLinePunct w:val="0"/>
              <w:autoSpaceDE w:val="0"/>
              <w:autoSpaceDN w:val="0"/>
              <w:bidi w:val="0"/>
              <w:adjustRightInd w:val="0"/>
              <w:snapToGrid w:val="0"/>
              <w:spacing w:line="360" w:lineRule="auto"/>
              <w:ind w:firstLine="480" w:firstLineChars="200"/>
              <w:jc w:val="both"/>
              <w:rPr>
                <w:rFonts w:hint="default" w:ascii="Times New Roman" w:hAnsi="Times New Roman" w:eastAsia="宋体" w:cs="Times New Roman"/>
                <w:color w:val="auto"/>
                <w:kern w:val="0"/>
                <w:sz w:val="24"/>
                <w:szCs w:val="24"/>
                <w:highlight w:val="none"/>
                <w:u w:val="none"/>
                <w:lang w:val="en-US" w:eastAsia="zh-CN"/>
              </w:rPr>
            </w:pPr>
            <w:r>
              <w:rPr>
                <w:rFonts w:hint="default" w:ascii="Times New Roman" w:hAnsi="Times New Roman" w:eastAsia="宋体" w:cs="Times New Roman"/>
                <w:color w:val="auto"/>
                <w:kern w:val="0"/>
                <w:sz w:val="24"/>
                <w:szCs w:val="24"/>
                <w:highlight w:val="none"/>
                <w:u w:val="none"/>
                <w:lang w:val="en-US" w:eastAsia="zh-CN"/>
              </w:rPr>
              <w:t>⑥</w:t>
            </w:r>
            <w:r>
              <w:rPr>
                <w:rFonts w:hint="eastAsia" w:ascii="Times New Roman" w:hAnsi="Times New Roman" w:eastAsia="宋体" w:cs="Times New Roman"/>
                <w:color w:val="auto"/>
                <w:kern w:val="0"/>
                <w:sz w:val="24"/>
                <w:szCs w:val="24"/>
                <w:highlight w:val="none"/>
                <w:u w:val="none"/>
                <w:lang w:val="en-US" w:eastAsia="zh-CN"/>
              </w:rPr>
              <w:t>制定危险废物管理计划及建立危废台账，加强危险废物管理；</w:t>
            </w:r>
          </w:p>
          <w:p w14:paraId="0B083C1E">
            <w:pPr>
              <w:keepNext w:val="0"/>
              <w:keepLines w:val="0"/>
              <w:pageBreakBefore w:val="0"/>
              <w:kinsoku/>
              <w:wordWrap/>
              <w:overflowPunct/>
              <w:topLinePunct w:val="0"/>
              <w:autoSpaceDE w:val="0"/>
              <w:autoSpaceDN w:val="0"/>
              <w:bidi w:val="0"/>
              <w:adjustRightInd w:val="0"/>
              <w:snapToGrid w:val="0"/>
              <w:spacing w:line="360" w:lineRule="auto"/>
              <w:ind w:firstLine="480" w:firstLineChars="200"/>
              <w:jc w:val="both"/>
              <w:rPr>
                <w:rFonts w:hint="eastAsia" w:ascii="Times New Roman" w:hAnsi="Times New Roman" w:eastAsia="宋体" w:cs="Times New Roman"/>
                <w:color w:val="auto"/>
                <w:kern w:val="0"/>
                <w:sz w:val="24"/>
                <w:szCs w:val="24"/>
                <w:highlight w:val="none"/>
                <w:u w:val="none"/>
                <w:lang w:val="en-US" w:eastAsia="zh-CN"/>
              </w:rPr>
            </w:pPr>
            <w:r>
              <w:rPr>
                <w:rFonts w:hint="eastAsia" w:ascii="Times New Roman" w:hAnsi="Times New Roman" w:eastAsia="宋体" w:cs="Times New Roman"/>
                <w:color w:val="auto"/>
                <w:kern w:val="0"/>
                <w:sz w:val="24"/>
                <w:szCs w:val="24"/>
                <w:highlight w:val="none"/>
                <w:u w:val="none"/>
                <w:lang w:val="en-US" w:eastAsia="zh-CN"/>
              </w:rPr>
              <w:t>⑦及时对危险废物委托资质单位清运处置，对储存容器定期检查，对破损容器及时更换，同时对危废间防渗层定期检查，对破损防渗层进行修补。</w:t>
            </w:r>
          </w:p>
          <w:p w14:paraId="58816433">
            <w:pPr>
              <w:keepNext w:val="0"/>
              <w:keepLines w:val="0"/>
              <w:pageBreakBefore w:val="0"/>
              <w:kinsoku/>
              <w:wordWrap/>
              <w:overflowPunct/>
              <w:topLinePunct w:val="0"/>
              <w:autoSpaceDE w:val="0"/>
              <w:autoSpaceDN w:val="0"/>
              <w:bidi w:val="0"/>
              <w:adjustRightInd w:val="0"/>
              <w:snapToGrid w:val="0"/>
              <w:spacing w:line="360" w:lineRule="auto"/>
              <w:ind w:firstLine="482" w:firstLineChars="200"/>
              <w:jc w:val="both"/>
              <w:rPr>
                <w:rFonts w:hint="default" w:ascii="Times New Roman" w:hAnsi="Times New Roman" w:eastAsia="宋体" w:cs="Times New Roman"/>
                <w:b/>
                <w:bCs/>
                <w:color w:val="auto"/>
                <w:kern w:val="0"/>
                <w:sz w:val="24"/>
                <w:szCs w:val="24"/>
                <w:highlight w:val="none"/>
                <w:u w:val="none"/>
                <w:lang w:val="en-US" w:eastAsia="zh-CN"/>
              </w:rPr>
            </w:pPr>
            <w:r>
              <w:rPr>
                <w:rFonts w:hint="eastAsia" w:ascii="Times New Roman" w:hAnsi="Times New Roman" w:eastAsia="宋体" w:cs="Times New Roman"/>
                <w:b/>
                <w:bCs/>
                <w:color w:val="auto"/>
                <w:kern w:val="0"/>
                <w:sz w:val="24"/>
                <w:szCs w:val="24"/>
                <w:highlight w:val="none"/>
                <w:u w:val="none"/>
                <w:lang w:val="en-US" w:eastAsia="zh-CN"/>
              </w:rPr>
              <w:t>（</w:t>
            </w:r>
            <w:r>
              <w:rPr>
                <w:rFonts w:hint="eastAsia" w:cs="Times New Roman"/>
                <w:b/>
                <w:bCs/>
                <w:color w:val="auto"/>
                <w:kern w:val="0"/>
                <w:sz w:val="24"/>
                <w:szCs w:val="24"/>
                <w:highlight w:val="none"/>
                <w:u w:val="none"/>
                <w:lang w:val="en-US" w:eastAsia="zh-CN"/>
              </w:rPr>
              <w:t>4</w:t>
            </w:r>
            <w:r>
              <w:rPr>
                <w:rFonts w:hint="eastAsia" w:ascii="Times New Roman" w:hAnsi="Times New Roman" w:eastAsia="宋体" w:cs="Times New Roman"/>
                <w:b/>
                <w:bCs/>
                <w:color w:val="auto"/>
                <w:kern w:val="0"/>
                <w:sz w:val="24"/>
                <w:szCs w:val="24"/>
                <w:highlight w:val="none"/>
                <w:u w:val="none"/>
                <w:lang w:val="en-US" w:eastAsia="zh-CN"/>
              </w:rPr>
              <w:t>）</w:t>
            </w:r>
            <w:r>
              <w:rPr>
                <w:rFonts w:hint="default" w:ascii="Times New Roman" w:hAnsi="Times New Roman" w:eastAsia="宋体" w:cs="Times New Roman"/>
                <w:b/>
                <w:bCs/>
                <w:color w:val="auto"/>
                <w:kern w:val="0"/>
                <w:sz w:val="24"/>
                <w:szCs w:val="24"/>
                <w:highlight w:val="none"/>
                <w:u w:val="none"/>
                <w:lang w:val="en-US" w:eastAsia="zh-CN"/>
              </w:rPr>
              <w:t>火灾事故风险防范措施</w:t>
            </w:r>
          </w:p>
          <w:p w14:paraId="50633B22">
            <w:pPr>
              <w:keepNext w:val="0"/>
              <w:keepLines w:val="0"/>
              <w:pageBreakBefore w:val="0"/>
              <w:kinsoku/>
              <w:wordWrap/>
              <w:overflowPunct/>
              <w:topLinePunct w:val="0"/>
              <w:bidi w:val="0"/>
              <w:adjustRightInd w:val="0"/>
              <w:snapToGrid w:val="0"/>
              <w:spacing w:line="360" w:lineRule="auto"/>
              <w:ind w:firstLine="480" w:firstLineChars="200"/>
              <w:jc w:val="both"/>
              <w:rPr>
                <w:rFonts w:hint="default" w:ascii="Times New Roman" w:hAnsi="Times New Roman" w:eastAsia="宋体" w:cs="Times New Roman"/>
                <w:bCs/>
                <w:color w:val="auto"/>
                <w:sz w:val="24"/>
                <w:szCs w:val="24"/>
                <w:highlight w:val="none"/>
                <w:u w:val="none"/>
              </w:rPr>
            </w:pPr>
            <w:r>
              <w:rPr>
                <w:rFonts w:hint="default" w:ascii="Times New Roman" w:hAnsi="Times New Roman" w:eastAsia="宋体" w:cs="Times New Roman"/>
                <w:bCs/>
                <w:color w:val="auto"/>
                <w:sz w:val="24"/>
                <w:szCs w:val="24"/>
                <w:highlight w:val="none"/>
                <w:u w:val="none"/>
              </w:rPr>
              <w:t>①加强消防设施和灭火器材的配备，严格落实有关消防技术规范的规定，加强人员疏散设施管理，保证疏散通道畅通。</w:t>
            </w:r>
          </w:p>
          <w:p w14:paraId="7A1B7D17">
            <w:pPr>
              <w:keepNext w:val="0"/>
              <w:keepLines w:val="0"/>
              <w:pageBreakBefore w:val="0"/>
              <w:kinsoku/>
              <w:wordWrap/>
              <w:overflowPunct/>
              <w:topLinePunct w:val="0"/>
              <w:bidi w:val="0"/>
              <w:adjustRightInd w:val="0"/>
              <w:snapToGrid w:val="0"/>
              <w:spacing w:line="360" w:lineRule="auto"/>
              <w:ind w:firstLine="480" w:firstLineChars="200"/>
              <w:jc w:val="both"/>
              <w:rPr>
                <w:rFonts w:hint="default" w:ascii="Times New Roman" w:hAnsi="Times New Roman" w:eastAsia="宋体" w:cs="Times New Roman"/>
                <w:bCs/>
                <w:color w:val="auto"/>
                <w:sz w:val="24"/>
                <w:szCs w:val="24"/>
                <w:highlight w:val="none"/>
                <w:u w:val="none"/>
              </w:rPr>
            </w:pPr>
            <w:r>
              <w:rPr>
                <w:rFonts w:hint="default" w:ascii="Times New Roman" w:hAnsi="Times New Roman" w:eastAsia="宋体" w:cs="Times New Roman"/>
                <w:bCs/>
                <w:color w:val="auto"/>
                <w:sz w:val="24"/>
                <w:szCs w:val="24"/>
                <w:highlight w:val="none"/>
                <w:u w:val="none"/>
              </w:rPr>
              <w:t>②定期进行防火安全检查，确保消防设施完整好用。</w:t>
            </w:r>
          </w:p>
          <w:p w14:paraId="66AF8281">
            <w:pPr>
              <w:keepNext w:val="0"/>
              <w:keepLines w:val="0"/>
              <w:pageBreakBefore w:val="0"/>
              <w:kinsoku/>
              <w:wordWrap/>
              <w:overflowPunct/>
              <w:topLinePunct w:val="0"/>
              <w:bidi w:val="0"/>
              <w:adjustRightInd w:val="0"/>
              <w:snapToGrid w:val="0"/>
              <w:spacing w:line="360" w:lineRule="auto"/>
              <w:ind w:firstLine="480" w:firstLineChars="200"/>
              <w:jc w:val="both"/>
              <w:rPr>
                <w:rFonts w:hint="default" w:ascii="Times New Roman" w:hAnsi="Times New Roman" w:eastAsia="宋体" w:cs="Times New Roman"/>
                <w:bCs/>
                <w:color w:val="auto"/>
                <w:sz w:val="24"/>
                <w:szCs w:val="24"/>
                <w:highlight w:val="none"/>
                <w:u w:val="none"/>
              </w:rPr>
            </w:pPr>
            <w:r>
              <w:rPr>
                <w:rFonts w:hint="default" w:ascii="Times New Roman" w:hAnsi="Times New Roman" w:eastAsia="宋体" w:cs="Times New Roman"/>
                <w:color w:val="auto"/>
                <w:sz w:val="24"/>
                <w:szCs w:val="24"/>
                <w:highlight w:val="none"/>
                <w:u w:val="none"/>
                <w:lang w:eastAsia="zh-CN"/>
              </w:rPr>
              <w:t>③</w:t>
            </w:r>
            <w:r>
              <w:rPr>
                <w:rFonts w:hint="default" w:ascii="Times New Roman" w:hAnsi="Times New Roman" w:eastAsia="宋体" w:cs="Times New Roman"/>
                <w:bCs/>
                <w:color w:val="auto"/>
                <w:sz w:val="24"/>
                <w:szCs w:val="24"/>
                <w:highlight w:val="none"/>
                <w:u w:val="none"/>
              </w:rPr>
              <w:t>公司要求职工应遵守各项规章制度，杜绝“三违”</w:t>
            </w:r>
            <w:r>
              <w:rPr>
                <w:rFonts w:hint="eastAsia" w:ascii="Times New Roman" w:hAnsi="Times New Roman" w:eastAsia="宋体" w:cs="Times New Roman"/>
                <w:bCs/>
                <w:color w:val="auto"/>
                <w:sz w:val="24"/>
                <w:szCs w:val="24"/>
                <w:highlight w:val="none"/>
                <w:u w:val="none"/>
                <w:lang w:eastAsia="zh-CN"/>
              </w:rPr>
              <w:t>（</w:t>
            </w:r>
            <w:r>
              <w:rPr>
                <w:rFonts w:hint="default" w:ascii="Times New Roman" w:hAnsi="Times New Roman" w:eastAsia="宋体" w:cs="Times New Roman"/>
                <w:bCs/>
                <w:color w:val="auto"/>
                <w:sz w:val="24"/>
                <w:szCs w:val="24"/>
                <w:highlight w:val="none"/>
                <w:u w:val="none"/>
              </w:rPr>
              <w:t>违章作业、违章指挥、违反劳动纪律</w:t>
            </w:r>
            <w:r>
              <w:rPr>
                <w:rFonts w:hint="eastAsia" w:ascii="Times New Roman" w:hAnsi="Times New Roman" w:eastAsia="宋体" w:cs="Times New Roman"/>
                <w:bCs/>
                <w:color w:val="auto"/>
                <w:sz w:val="24"/>
                <w:szCs w:val="24"/>
                <w:highlight w:val="none"/>
                <w:u w:val="none"/>
                <w:lang w:eastAsia="zh-CN"/>
              </w:rPr>
              <w:t>）</w:t>
            </w:r>
            <w:r>
              <w:rPr>
                <w:rFonts w:hint="default" w:ascii="Times New Roman" w:hAnsi="Times New Roman" w:eastAsia="宋体" w:cs="Times New Roman"/>
                <w:bCs/>
                <w:color w:val="auto"/>
                <w:sz w:val="24"/>
                <w:szCs w:val="24"/>
                <w:highlight w:val="none"/>
                <w:u w:val="none"/>
              </w:rPr>
              <w:t>，作业时要遵守各项规定</w:t>
            </w:r>
            <w:r>
              <w:rPr>
                <w:rFonts w:hint="eastAsia" w:ascii="Times New Roman" w:hAnsi="Times New Roman" w:eastAsia="宋体" w:cs="Times New Roman"/>
                <w:bCs/>
                <w:color w:val="auto"/>
                <w:sz w:val="24"/>
                <w:szCs w:val="24"/>
                <w:highlight w:val="none"/>
                <w:u w:val="none"/>
                <w:lang w:eastAsia="zh-CN"/>
              </w:rPr>
              <w:t>（</w:t>
            </w:r>
            <w:r>
              <w:rPr>
                <w:rFonts w:hint="default" w:ascii="Times New Roman" w:hAnsi="Times New Roman" w:eastAsia="宋体" w:cs="Times New Roman"/>
                <w:bCs/>
                <w:color w:val="auto"/>
                <w:sz w:val="24"/>
                <w:szCs w:val="24"/>
                <w:highlight w:val="none"/>
                <w:u w:val="none"/>
              </w:rPr>
              <w:t>如动火、高处作业、进入设备作业等规定</w:t>
            </w:r>
            <w:r>
              <w:rPr>
                <w:rFonts w:hint="eastAsia" w:ascii="Times New Roman" w:hAnsi="Times New Roman" w:eastAsia="宋体" w:cs="Times New Roman"/>
                <w:bCs/>
                <w:color w:val="auto"/>
                <w:sz w:val="24"/>
                <w:szCs w:val="24"/>
                <w:highlight w:val="none"/>
                <w:u w:val="none"/>
                <w:lang w:eastAsia="zh-CN"/>
              </w:rPr>
              <w:t>）</w:t>
            </w:r>
            <w:r>
              <w:rPr>
                <w:rFonts w:hint="default" w:ascii="Times New Roman" w:hAnsi="Times New Roman" w:eastAsia="宋体" w:cs="Times New Roman"/>
                <w:bCs/>
                <w:color w:val="auto"/>
                <w:sz w:val="24"/>
                <w:szCs w:val="24"/>
                <w:highlight w:val="none"/>
                <w:u w:val="none"/>
              </w:rPr>
              <w:t>、要求，确保安全生产。</w:t>
            </w:r>
          </w:p>
          <w:p w14:paraId="6787CEA2">
            <w:pPr>
              <w:keepNext w:val="0"/>
              <w:keepLines w:val="0"/>
              <w:pageBreakBefore w:val="0"/>
              <w:kinsoku/>
              <w:wordWrap/>
              <w:overflowPunct/>
              <w:topLinePunct w:val="0"/>
              <w:bidi w:val="0"/>
              <w:adjustRightInd w:val="0"/>
              <w:snapToGrid w:val="0"/>
              <w:spacing w:line="360" w:lineRule="auto"/>
              <w:ind w:firstLine="480" w:firstLineChars="200"/>
              <w:jc w:val="both"/>
              <w:rPr>
                <w:rFonts w:hint="eastAsia" w:ascii="Times New Roman" w:hAnsi="Times New Roman" w:eastAsia="宋体" w:cs="Times New Roman"/>
                <w:bCs/>
                <w:color w:val="auto"/>
                <w:sz w:val="24"/>
                <w:szCs w:val="24"/>
                <w:highlight w:val="none"/>
                <w:u w:val="none"/>
                <w:lang w:eastAsia="zh-CN"/>
              </w:rPr>
            </w:pPr>
            <w:r>
              <w:rPr>
                <w:rFonts w:hint="default" w:ascii="Times New Roman" w:hAnsi="Times New Roman" w:eastAsia="宋体" w:cs="Times New Roman"/>
                <w:bCs/>
                <w:color w:val="auto"/>
                <w:sz w:val="24"/>
                <w:szCs w:val="24"/>
                <w:highlight w:val="none"/>
                <w:u w:val="none"/>
              </w:rPr>
              <w:t>④公司强化安全、消防和环保管理，完善环保安全管理机构，完善各项管理制度，加强日常监督检查；</w:t>
            </w:r>
            <w:r>
              <w:rPr>
                <w:rFonts w:hint="eastAsia" w:ascii="Times New Roman" w:hAnsi="Times New Roman" w:eastAsia="宋体" w:cs="Times New Roman"/>
                <w:bCs/>
                <w:color w:val="auto"/>
                <w:sz w:val="24"/>
                <w:szCs w:val="24"/>
                <w:highlight w:val="none"/>
                <w:u w:val="none"/>
                <w:lang w:eastAsia="zh-CN"/>
              </w:rPr>
              <w:t>车间</w:t>
            </w:r>
            <w:r>
              <w:rPr>
                <w:rFonts w:hint="default" w:ascii="Times New Roman" w:hAnsi="Times New Roman" w:eastAsia="宋体" w:cs="Times New Roman"/>
                <w:bCs/>
                <w:color w:val="auto"/>
                <w:sz w:val="24"/>
                <w:szCs w:val="24"/>
                <w:highlight w:val="none"/>
                <w:u w:val="none"/>
              </w:rPr>
              <w:t>内</w:t>
            </w:r>
            <w:r>
              <w:rPr>
                <w:rFonts w:hint="eastAsia" w:cs="Times New Roman"/>
                <w:bCs/>
                <w:color w:val="auto"/>
                <w:sz w:val="24"/>
                <w:szCs w:val="24"/>
                <w:highlight w:val="none"/>
                <w:u w:val="none"/>
                <w:lang w:eastAsia="zh-CN"/>
              </w:rPr>
              <w:t>、</w:t>
            </w:r>
            <w:r>
              <w:rPr>
                <w:rFonts w:hint="eastAsia" w:ascii="Times New Roman" w:hAnsi="Times New Roman" w:eastAsia="宋体" w:cs="Times New Roman"/>
                <w:bCs/>
                <w:color w:val="auto"/>
                <w:sz w:val="24"/>
                <w:szCs w:val="24"/>
                <w:highlight w:val="none"/>
                <w:u w:val="none"/>
                <w:lang w:val="en-US" w:eastAsia="zh-CN"/>
              </w:rPr>
              <w:t>仓库内、固废</w:t>
            </w:r>
            <w:r>
              <w:rPr>
                <w:rFonts w:hint="eastAsia" w:cs="Times New Roman"/>
                <w:bCs/>
                <w:color w:val="auto"/>
                <w:sz w:val="24"/>
                <w:szCs w:val="24"/>
                <w:highlight w:val="none"/>
                <w:u w:val="none"/>
                <w:lang w:val="en-US" w:eastAsia="zh-CN"/>
              </w:rPr>
              <w:t>贮存库</w:t>
            </w:r>
            <w:r>
              <w:rPr>
                <w:rFonts w:hint="default" w:ascii="Times New Roman" w:hAnsi="Times New Roman" w:eastAsia="宋体" w:cs="Times New Roman"/>
                <w:bCs/>
                <w:color w:val="auto"/>
                <w:sz w:val="24"/>
                <w:szCs w:val="24"/>
                <w:highlight w:val="none"/>
                <w:u w:val="none"/>
              </w:rPr>
              <w:t>严禁烟火，按要求设置防火标志</w:t>
            </w:r>
            <w:r>
              <w:rPr>
                <w:rFonts w:hint="eastAsia" w:ascii="Times New Roman" w:hAnsi="Times New Roman" w:eastAsia="宋体" w:cs="Times New Roman"/>
                <w:bCs/>
                <w:color w:val="auto"/>
                <w:sz w:val="24"/>
                <w:szCs w:val="24"/>
                <w:highlight w:val="none"/>
                <w:u w:val="none"/>
                <w:lang w:eastAsia="zh-CN"/>
              </w:rPr>
              <w:t>，</w:t>
            </w:r>
            <w:r>
              <w:rPr>
                <w:rFonts w:hint="default" w:ascii="Times New Roman" w:hAnsi="Times New Roman" w:eastAsia="宋体" w:cs="Times New Roman"/>
                <w:bCs/>
                <w:color w:val="auto"/>
                <w:sz w:val="24"/>
                <w:szCs w:val="24"/>
                <w:highlight w:val="none"/>
                <w:u w:val="none"/>
              </w:rPr>
              <w:t>严格动火审批制度，进料车辆必须戴阻火器</w:t>
            </w:r>
            <w:r>
              <w:rPr>
                <w:rFonts w:hint="eastAsia" w:ascii="Times New Roman" w:hAnsi="Times New Roman" w:eastAsia="宋体" w:cs="Times New Roman"/>
                <w:bCs/>
                <w:color w:val="auto"/>
                <w:sz w:val="24"/>
                <w:szCs w:val="24"/>
                <w:highlight w:val="none"/>
                <w:u w:val="none"/>
                <w:lang w:eastAsia="zh-CN"/>
              </w:rPr>
              <w:t>。</w:t>
            </w:r>
          </w:p>
          <w:p w14:paraId="1925C4AF">
            <w:pPr>
              <w:keepNext w:val="0"/>
              <w:keepLines w:val="0"/>
              <w:pageBreakBefore w:val="0"/>
              <w:kinsoku/>
              <w:wordWrap/>
              <w:overflowPunct/>
              <w:topLinePunct w:val="0"/>
              <w:bidi w:val="0"/>
              <w:adjustRightInd w:val="0"/>
              <w:snapToGrid w:val="0"/>
              <w:spacing w:line="360" w:lineRule="auto"/>
              <w:ind w:firstLine="480" w:firstLineChars="200"/>
              <w:jc w:val="both"/>
              <w:rPr>
                <w:rFonts w:hint="eastAsia" w:ascii="Times New Roman" w:hAnsi="Times New Roman" w:eastAsia="宋体" w:cs="Times New Roman"/>
                <w:bCs/>
                <w:color w:val="auto"/>
                <w:sz w:val="24"/>
                <w:szCs w:val="24"/>
                <w:highlight w:val="none"/>
                <w:u w:val="none"/>
                <w:lang w:val="en-US" w:eastAsia="zh-CN"/>
              </w:rPr>
            </w:pPr>
            <w:r>
              <w:rPr>
                <w:rFonts w:hint="default" w:ascii="Times New Roman" w:hAnsi="Times New Roman" w:eastAsia="宋体" w:cs="Times New Roman"/>
                <w:bCs/>
                <w:color w:val="auto"/>
                <w:sz w:val="24"/>
                <w:szCs w:val="24"/>
                <w:highlight w:val="none"/>
                <w:u w:val="none"/>
              </w:rPr>
              <w:t>⑤</w:t>
            </w:r>
            <w:r>
              <w:rPr>
                <w:rFonts w:hint="eastAsia" w:ascii="Times New Roman" w:hAnsi="Times New Roman" w:eastAsia="宋体" w:cs="Times New Roman"/>
                <w:bCs/>
                <w:color w:val="auto"/>
                <w:sz w:val="24"/>
                <w:szCs w:val="24"/>
                <w:highlight w:val="none"/>
                <w:u w:val="none"/>
                <w:lang w:val="en-US" w:eastAsia="zh-CN"/>
              </w:rPr>
              <w:t>危险废物</w:t>
            </w:r>
            <w:r>
              <w:rPr>
                <w:rFonts w:hint="eastAsia" w:cs="Times New Roman"/>
                <w:bCs/>
                <w:color w:val="auto"/>
                <w:sz w:val="24"/>
                <w:szCs w:val="24"/>
                <w:highlight w:val="none"/>
                <w:u w:val="none"/>
                <w:lang w:val="en-US" w:eastAsia="zh-CN"/>
              </w:rPr>
              <w:t>贮存库按规定</w:t>
            </w:r>
            <w:r>
              <w:rPr>
                <w:rFonts w:hint="eastAsia" w:ascii="Times New Roman" w:hAnsi="Times New Roman" w:eastAsia="宋体" w:cs="Times New Roman"/>
                <w:bCs/>
                <w:color w:val="auto"/>
                <w:sz w:val="24"/>
                <w:szCs w:val="24"/>
                <w:highlight w:val="none"/>
                <w:u w:val="none"/>
                <w:lang w:val="en-US" w:eastAsia="zh-CN"/>
              </w:rPr>
              <w:t>设置防火装置、通讯设备、照明设施、安全防护装置等。</w:t>
            </w:r>
          </w:p>
          <w:p w14:paraId="715C3F79">
            <w:pPr>
              <w:pStyle w:val="4"/>
              <w:bidi w:val="0"/>
              <w:rPr>
                <w:rFonts w:hint="default"/>
                <w:color w:val="auto"/>
                <w:lang w:val="en-US" w:eastAsia="zh-CN"/>
              </w:rPr>
            </w:pPr>
            <w:r>
              <w:rPr>
                <w:rFonts w:hint="default"/>
                <w:color w:val="auto"/>
                <w:lang w:val="en-US" w:eastAsia="zh-CN"/>
              </w:rPr>
              <w:t>4.</w:t>
            </w:r>
            <w:r>
              <w:rPr>
                <w:rFonts w:hint="eastAsia"/>
                <w:color w:val="auto"/>
                <w:lang w:val="en-US" w:eastAsia="zh-CN"/>
              </w:rPr>
              <w:t>7.6 事故应急池设置</w:t>
            </w:r>
          </w:p>
          <w:p w14:paraId="244FBA02">
            <w:pPr>
              <w:bidi w:val="0"/>
              <w:rPr>
                <w:rFonts w:hint="default"/>
                <w:color w:val="auto"/>
                <w:lang w:val="en-US" w:eastAsia="zh-CN"/>
              </w:rPr>
            </w:pPr>
            <w:r>
              <w:rPr>
                <w:rFonts w:hint="default"/>
                <w:color w:val="auto"/>
                <w:lang w:val="en-US" w:eastAsia="zh-CN"/>
              </w:rPr>
              <w:t>项目生产废水处理系统采用</w:t>
            </w:r>
            <w:r>
              <w:rPr>
                <w:rFonts w:hint="eastAsia"/>
                <w:color w:val="auto"/>
                <w:lang w:val="en-US" w:eastAsia="zh-CN"/>
              </w:rPr>
              <w:t>斜坡</w:t>
            </w:r>
            <w:r>
              <w:rPr>
                <w:rFonts w:hint="default"/>
                <w:color w:val="auto"/>
                <w:lang w:val="en-US" w:eastAsia="zh-CN"/>
              </w:rPr>
              <w:t>沉淀</w:t>
            </w:r>
            <w:r>
              <w:rPr>
                <w:rFonts w:hint="eastAsia"/>
                <w:color w:val="auto"/>
                <w:lang w:val="en-US" w:eastAsia="zh-CN"/>
              </w:rPr>
              <w:t>池，共设3座</w:t>
            </w:r>
            <w:r>
              <w:rPr>
                <w:rFonts w:hint="default"/>
                <w:color w:val="auto"/>
                <w:lang w:val="en-US" w:eastAsia="zh-CN"/>
              </w:rPr>
              <w:t>，事故时一般为单池故障，</w:t>
            </w:r>
            <w:r>
              <w:rPr>
                <w:rFonts w:hint="eastAsia"/>
                <w:color w:val="auto"/>
                <w:lang w:val="en-US" w:eastAsia="zh-CN"/>
              </w:rPr>
              <w:t>故障时可通过阀门停止进水，故障池</w:t>
            </w:r>
            <w:r>
              <w:rPr>
                <w:rFonts w:hint="default"/>
                <w:color w:val="auto"/>
                <w:lang w:val="en-US" w:eastAsia="zh-CN"/>
              </w:rPr>
              <w:t>生产废水可在其他沉淀池中转移暂存，不需进入</w:t>
            </w:r>
            <w:r>
              <w:rPr>
                <w:rFonts w:hint="eastAsia"/>
                <w:color w:val="auto"/>
                <w:lang w:val="en-US" w:eastAsia="zh-CN"/>
              </w:rPr>
              <w:t>应急</w:t>
            </w:r>
            <w:r>
              <w:rPr>
                <w:rFonts w:hint="default"/>
                <w:color w:val="auto"/>
                <w:lang w:val="en-US" w:eastAsia="zh-CN"/>
              </w:rPr>
              <w:t>收集系统</w:t>
            </w:r>
            <w:r>
              <w:rPr>
                <w:rFonts w:hint="eastAsia"/>
                <w:color w:val="auto"/>
                <w:lang w:val="en-US" w:eastAsia="zh-CN"/>
              </w:rPr>
              <w:t>。</w:t>
            </w:r>
          </w:p>
          <w:p w14:paraId="7968A1B1">
            <w:pPr>
              <w:bidi w:val="0"/>
              <w:rPr>
                <w:rFonts w:hint="default"/>
                <w:color w:val="auto"/>
                <w:lang w:val="en-US" w:eastAsia="zh-CN"/>
              </w:rPr>
            </w:pPr>
            <w:r>
              <w:rPr>
                <w:rFonts w:hint="default"/>
                <w:color w:val="auto"/>
                <w:lang w:val="en-US" w:eastAsia="zh-CN"/>
              </w:rPr>
              <w:t>废矿物油燃烧产生二氧化碳、一氧化碳、烟尘等废气，对周边空气造成污染。根据油类物质的理化性质，其火灾事故主要采用二氧化碳灭火器、干粉灭火器进行灭火处理，不宜采用水灭火</w:t>
            </w:r>
            <w:r>
              <w:rPr>
                <w:rFonts w:hint="eastAsia"/>
                <w:color w:val="auto"/>
                <w:lang w:val="en-US" w:eastAsia="zh-CN"/>
              </w:rPr>
              <w:t>。</w:t>
            </w:r>
            <w:r>
              <w:rPr>
                <w:rFonts w:hint="default"/>
                <w:color w:val="auto"/>
                <w:lang w:val="en-US" w:eastAsia="zh-CN"/>
              </w:rPr>
              <w:t>因此</w:t>
            </w:r>
            <w:r>
              <w:rPr>
                <w:rFonts w:hint="eastAsia"/>
                <w:color w:val="auto"/>
                <w:lang w:val="en-US" w:eastAsia="zh-CN"/>
              </w:rPr>
              <w:t>项目</w:t>
            </w:r>
            <w:r>
              <w:rPr>
                <w:rFonts w:hint="default"/>
                <w:color w:val="auto"/>
                <w:lang w:val="en-US" w:eastAsia="zh-CN"/>
              </w:rPr>
              <w:t>无消防废水产生。</w:t>
            </w:r>
          </w:p>
          <w:p w14:paraId="5DE7980A">
            <w:pPr>
              <w:bidi w:val="0"/>
              <w:rPr>
                <w:rFonts w:hint="default"/>
                <w:color w:val="auto"/>
                <w:lang w:val="en-US" w:eastAsia="zh-CN"/>
              </w:rPr>
            </w:pPr>
            <w:r>
              <w:rPr>
                <w:rFonts w:hint="eastAsia"/>
                <w:color w:val="auto"/>
                <w:lang w:val="en-US" w:eastAsia="zh-CN"/>
              </w:rPr>
              <w:t>因此，项目不需设置事故应急池。</w:t>
            </w:r>
          </w:p>
          <w:p w14:paraId="24727ED6">
            <w:pPr>
              <w:pStyle w:val="4"/>
              <w:bidi w:val="0"/>
              <w:rPr>
                <w:rFonts w:hint="default"/>
                <w:color w:val="auto"/>
                <w:lang w:val="en-US" w:eastAsia="zh-CN"/>
              </w:rPr>
            </w:pPr>
            <w:r>
              <w:rPr>
                <w:rFonts w:hint="eastAsia"/>
                <w:color w:val="auto"/>
                <w:lang w:val="en-US" w:eastAsia="zh-CN"/>
              </w:rPr>
              <w:t>4.7.7 风险分析结论</w:t>
            </w:r>
          </w:p>
          <w:p w14:paraId="118A938B">
            <w:pPr>
              <w:bidi w:val="0"/>
              <w:rPr>
                <w:rFonts w:hint="default"/>
                <w:color w:val="auto"/>
                <w:lang w:val="en-US" w:eastAsia="zh-CN"/>
              </w:rPr>
            </w:pPr>
            <w:r>
              <w:rPr>
                <w:rFonts w:hint="default"/>
                <w:color w:val="auto"/>
                <w:lang w:val="en-US" w:eastAsia="zh-CN"/>
              </w:rPr>
              <w:t>本项目在配备相应的应急物资，加强厂区防火管理，加强环保设施运行维护，完善事故风险防范措施的前提下，事故发生概率低，本项目环境风险在可接受的范围内。</w:t>
            </w:r>
          </w:p>
          <w:p w14:paraId="57B53BA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b/>
                <w:bCs/>
                <w:color w:val="auto"/>
                <w:sz w:val="24"/>
                <w:lang w:val="en-US" w:eastAsia="zh-CN"/>
              </w:rPr>
            </w:pPr>
            <w:r>
              <w:rPr>
                <w:rFonts w:hint="eastAsia" w:ascii="Times New Roman" w:hAnsi="Times New Roman" w:eastAsia="宋体" w:cs="Times New Roman"/>
                <w:b/>
                <w:bCs/>
                <w:color w:val="auto"/>
                <w:sz w:val="24"/>
                <w:lang w:val="en-US" w:eastAsia="zh-CN"/>
              </w:rPr>
              <w:t>表4.</w:t>
            </w:r>
            <w:r>
              <w:rPr>
                <w:rFonts w:hint="eastAsia" w:cs="Times New Roman"/>
                <w:b/>
                <w:bCs/>
                <w:color w:val="auto"/>
                <w:sz w:val="24"/>
                <w:lang w:val="en-US" w:eastAsia="zh-CN"/>
              </w:rPr>
              <w:t>7</w:t>
            </w:r>
            <w:r>
              <w:rPr>
                <w:rFonts w:hint="eastAsia" w:ascii="Times New Roman" w:hAnsi="Times New Roman" w:eastAsia="宋体" w:cs="Times New Roman"/>
                <w:b/>
                <w:bCs/>
                <w:color w:val="auto"/>
                <w:sz w:val="24"/>
                <w:lang w:val="en-US" w:eastAsia="zh-CN"/>
              </w:rPr>
              <w:t>-3 项目环境风险简单分析内容表</w:t>
            </w:r>
          </w:p>
          <w:tbl>
            <w:tblPr>
              <w:tblStyle w:val="20"/>
              <w:tblW w:w="4998" w:type="pct"/>
              <w:tblInd w:w="15" w:type="dxa"/>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251"/>
              <w:gridCol w:w="2607"/>
              <w:gridCol w:w="4469"/>
            </w:tblGrid>
            <w:tr w14:paraId="28216101">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c>
                <w:tcPr>
                  <w:tcW w:w="750" w:type="pct"/>
                  <w:tcBorders>
                    <w:tl2br w:val="nil"/>
                    <w:tr2bl w:val="nil"/>
                  </w:tcBorders>
                  <w:noWrap w:val="0"/>
                  <w:vAlign w:val="center"/>
                </w:tcPr>
                <w:p w14:paraId="0E02F489">
                  <w:pPr>
                    <w:pStyle w:val="28"/>
                    <w:bidi w:val="0"/>
                    <w:rPr>
                      <w:color w:val="auto"/>
                    </w:rPr>
                  </w:pPr>
                  <w:r>
                    <w:rPr>
                      <w:color w:val="auto"/>
                    </w:rPr>
                    <w:t>建设项目名称</w:t>
                  </w:r>
                </w:p>
              </w:tc>
              <w:tc>
                <w:tcPr>
                  <w:tcW w:w="4249" w:type="pct"/>
                  <w:gridSpan w:val="2"/>
                  <w:tcBorders>
                    <w:tl2br w:val="nil"/>
                    <w:tr2bl w:val="nil"/>
                  </w:tcBorders>
                  <w:noWrap w:val="0"/>
                  <w:vAlign w:val="center"/>
                </w:tcPr>
                <w:p w14:paraId="30E3F78C">
                  <w:pPr>
                    <w:pStyle w:val="28"/>
                    <w:bidi w:val="0"/>
                    <w:rPr>
                      <w:color w:val="auto"/>
                    </w:rPr>
                  </w:pPr>
                  <w:r>
                    <w:rPr>
                      <w:rFonts w:hint="eastAsia"/>
                      <w:color w:val="auto"/>
                      <w:lang w:val="en-US" w:eastAsia="zh-CN"/>
                    </w:rPr>
                    <w:t>福建融瀚建材有限公司年加工预拌商品混凝土80万立方米、砼结构件20万立方米、年回收加工建筑垃圾60万立方米</w:t>
                  </w:r>
                </w:p>
              </w:tc>
            </w:tr>
            <w:tr w14:paraId="06B8F35A">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c>
                <w:tcPr>
                  <w:tcW w:w="750" w:type="pct"/>
                  <w:tcBorders>
                    <w:tl2br w:val="nil"/>
                    <w:tr2bl w:val="nil"/>
                  </w:tcBorders>
                  <w:noWrap w:val="0"/>
                  <w:vAlign w:val="center"/>
                </w:tcPr>
                <w:p w14:paraId="6D95C565">
                  <w:pPr>
                    <w:pStyle w:val="28"/>
                    <w:bidi w:val="0"/>
                    <w:rPr>
                      <w:color w:val="auto"/>
                    </w:rPr>
                  </w:pPr>
                  <w:r>
                    <w:rPr>
                      <w:color w:val="auto"/>
                    </w:rPr>
                    <w:t>建设地点</w:t>
                  </w:r>
                </w:p>
              </w:tc>
              <w:tc>
                <w:tcPr>
                  <w:tcW w:w="4249" w:type="pct"/>
                  <w:gridSpan w:val="2"/>
                  <w:tcBorders>
                    <w:tl2br w:val="nil"/>
                    <w:tr2bl w:val="nil"/>
                  </w:tcBorders>
                  <w:noWrap w:val="0"/>
                  <w:vAlign w:val="center"/>
                </w:tcPr>
                <w:p w14:paraId="66AFC309">
                  <w:pPr>
                    <w:pStyle w:val="28"/>
                    <w:bidi w:val="0"/>
                    <w:rPr>
                      <w:color w:val="auto"/>
                    </w:rPr>
                  </w:pPr>
                  <w:r>
                    <w:rPr>
                      <w:rFonts w:hint="eastAsia"/>
                      <w:color w:val="auto"/>
                      <w:lang w:eastAsia="zh-CN"/>
                    </w:rPr>
                    <w:t>福建省福州市</w:t>
                  </w:r>
                  <w:r>
                    <w:rPr>
                      <w:rFonts w:hint="eastAsia"/>
                      <w:color w:val="auto"/>
                      <w:lang w:val="en-US" w:eastAsia="zh-CN"/>
                    </w:rPr>
                    <w:t>福清市海口镇南厝村</w:t>
                  </w:r>
                </w:p>
              </w:tc>
            </w:tr>
            <w:tr w14:paraId="569172C6">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c>
                <w:tcPr>
                  <w:tcW w:w="750" w:type="pct"/>
                  <w:tcBorders>
                    <w:tl2br w:val="nil"/>
                    <w:tr2bl w:val="nil"/>
                  </w:tcBorders>
                  <w:noWrap w:val="0"/>
                  <w:vAlign w:val="center"/>
                </w:tcPr>
                <w:p w14:paraId="2400C1A2">
                  <w:pPr>
                    <w:pStyle w:val="28"/>
                    <w:bidi w:val="0"/>
                    <w:rPr>
                      <w:color w:val="auto"/>
                    </w:rPr>
                  </w:pPr>
                  <w:r>
                    <w:rPr>
                      <w:color w:val="auto"/>
                    </w:rPr>
                    <w:t>地理坐标</w:t>
                  </w:r>
                </w:p>
              </w:tc>
              <w:tc>
                <w:tcPr>
                  <w:tcW w:w="4249" w:type="pct"/>
                  <w:gridSpan w:val="2"/>
                  <w:tcBorders>
                    <w:tl2br w:val="nil"/>
                    <w:tr2bl w:val="nil"/>
                  </w:tcBorders>
                  <w:noWrap w:val="0"/>
                  <w:vAlign w:val="center"/>
                </w:tcPr>
                <w:p w14:paraId="238B6061">
                  <w:pPr>
                    <w:pStyle w:val="28"/>
                    <w:bidi w:val="0"/>
                    <w:rPr>
                      <w:color w:val="auto"/>
                    </w:rPr>
                  </w:pPr>
                  <w:r>
                    <w:rPr>
                      <w:rFonts w:hint="default" w:ascii="Times New Roman" w:hAnsi="Times New Roman" w:eastAsia="宋体" w:cs="Times New Roman"/>
                      <w:color w:val="auto"/>
                      <w:szCs w:val="21"/>
                      <w:lang w:eastAsia="zh-CN"/>
                    </w:rPr>
                    <w:t>经度：119°25'24.2</w:t>
                  </w:r>
                  <w:r>
                    <w:rPr>
                      <w:rFonts w:hint="eastAsia" w:cs="Times New Roman"/>
                      <w:color w:val="auto"/>
                      <w:szCs w:val="21"/>
                      <w:lang w:val="en-US" w:eastAsia="zh-CN"/>
                    </w:rPr>
                    <w:t>8</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Cs w:val="21"/>
                    </w:rPr>
                    <w:t>，</w:t>
                  </w:r>
                  <w:r>
                    <w:rPr>
                      <w:rFonts w:hint="default" w:ascii="Times New Roman" w:hAnsi="Times New Roman" w:eastAsia="宋体" w:cs="Times New Roman"/>
                      <w:color w:val="auto"/>
                      <w:szCs w:val="21"/>
                      <w:lang w:eastAsia="zh-CN"/>
                    </w:rPr>
                    <w:t>纬度：25°39'40.92</w:t>
                  </w:r>
                  <w:r>
                    <w:rPr>
                      <w:rFonts w:hint="default" w:ascii="Times New Roman" w:hAnsi="Times New Roman" w:eastAsia="宋体" w:cs="Times New Roman"/>
                      <w:color w:val="auto"/>
                      <w:sz w:val="21"/>
                      <w:szCs w:val="21"/>
                      <w:highlight w:val="none"/>
                      <w:lang w:val="en-US" w:eastAsia="zh-CN"/>
                    </w:rPr>
                    <w:t>"</w:t>
                  </w:r>
                </w:p>
              </w:tc>
            </w:tr>
            <w:tr w14:paraId="16E69D2A">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10" w:hRule="atLeast"/>
              </w:trPr>
              <w:tc>
                <w:tcPr>
                  <w:tcW w:w="750" w:type="pct"/>
                  <w:vMerge w:val="restart"/>
                  <w:tcBorders>
                    <w:tl2br w:val="nil"/>
                    <w:tr2bl w:val="nil"/>
                  </w:tcBorders>
                  <w:noWrap w:val="0"/>
                  <w:vAlign w:val="center"/>
                </w:tcPr>
                <w:p w14:paraId="0D2D33DB">
                  <w:pPr>
                    <w:pStyle w:val="28"/>
                    <w:bidi w:val="0"/>
                    <w:rPr>
                      <w:color w:val="auto"/>
                    </w:rPr>
                  </w:pPr>
                  <w:r>
                    <w:rPr>
                      <w:color w:val="auto"/>
                    </w:rPr>
                    <w:t>主要危险物质及分布</w:t>
                  </w:r>
                </w:p>
              </w:tc>
              <w:tc>
                <w:tcPr>
                  <w:tcW w:w="1565" w:type="pct"/>
                  <w:tcBorders>
                    <w:tl2br w:val="nil"/>
                    <w:tr2bl w:val="nil"/>
                  </w:tcBorders>
                  <w:noWrap w:val="0"/>
                  <w:vAlign w:val="center"/>
                </w:tcPr>
                <w:p w14:paraId="353B4D7C">
                  <w:pPr>
                    <w:pStyle w:val="28"/>
                    <w:bidi w:val="0"/>
                    <w:rPr>
                      <w:rFonts w:hint="eastAsia"/>
                      <w:color w:val="auto"/>
                      <w:lang w:eastAsia="zh-CN"/>
                    </w:rPr>
                  </w:pPr>
                  <w:r>
                    <w:rPr>
                      <w:rFonts w:hint="eastAsia"/>
                      <w:color w:val="auto"/>
                      <w:lang w:eastAsia="zh-CN"/>
                    </w:rPr>
                    <w:t>贮存位置</w:t>
                  </w:r>
                </w:p>
              </w:tc>
              <w:tc>
                <w:tcPr>
                  <w:tcW w:w="2683" w:type="pct"/>
                  <w:tcBorders>
                    <w:tl2br w:val="nil"/>
                    <w:tr2bl w:val="nil"/>
                  </w:tcBorders>
                  <w:noWrap w:val="0"/>
                  <w:vAlign w:val="center"/>
                </w:tcPr>
                <w:p w14:paraId="2B70B8DF">
                  <w:pPr>
                    <w:pStyle w:val="28"/>
                    <w:bidi w:val="0"/>
                    <w:rPr>
                      <w:color w:val="auto"/>
                    </w:rPr>
                  </w:pPr>
                  <w:r>
                    <w:rPr>
                      <w:rFonts w:hint="eastAsia"/>
                      <w:color w:val="auto"/>
                      <w:lang w:eastAsia="zh-CN"/>
                    </w:rPr>
                    <w:t>危险物质</w:t>
                  </w:r>
                </w:p>
              </w:tc>
            </w:tr>
            <w:tr w14:paraId="4937A34A">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01" w:hRule="atLeast"/>
              </w:trPr>
              <w:tc>
                <w:tcPr>
                  <w:tcW w:w="750" w:type="pct"/>
                  <w:vMerge w:val="continue"/>
                  <w:tcBorders>
                    <w:tl2br w:val="nil"/>
                    <w:tr2bl w:val="nil"/>
                  </w:tcBorders>
                  <w:noWrap w:val="0"/>
                  <w:vAlign w:val="center"/>
                </w:tcPr>
                <w:p w14:paraId="21DFE23A">
                  <w:pPr>
                    <w:pStyle w:val="28"/>
                    <w:bidi w:val="0"/>
                    <w:rPr>
                      <w:color w:val="auto"/>
                    </w:rPr>
                  </w:pPr>
                </w:p>
              </w:tc>
              <w:tc>
                <w:tcPr>
                  <w:tcW w:w="1565" w:type="pct"/>
                  <w:tcBorders>
                    <w:tl2br w:val="nil"/>
                    <w:tr2bl w:val="nil"/>
                  </w:tcBorders>
                  <w:noWrap w:val="0"/>
                  <w:vAlign w:val="center"/>
                </w:tcPr>
                <w:p w14:paraId="27B22F78">
                  <w:pPr>
                    <w:pStyle w:val="28"/>
                    <w:bidi w:val="0"/>
                    <w:rPr>
                      <w:rFonts w:hint="eastAsia"/>
                      <w:color w:val="auto"/>
                      <w:lang w:eastAsia="zh-CN"/>
                    </w:rPr>
                  </w:pPr>
                  <w:r>
                    <w:rPr>
                      <w:rFonts w:hint="eastAsia"/>
                      <w:color w:val="auto"/>
                      <w:lang w:eastAsia="zh-CN"/>
                    </w:rPr>
                    <w:t>危险废物贮存库</w:t>
                  </w:r>
                </w:p>
              </w:tc>
              <w:tc>
                <w:tcPr>
                  <w:tcW w:w="2683" w:type="pct"/>
                  <w:tcBorders>
                    <w:tl2br w:val="nil"/>
                    <w:tr2bl w:val="nil"/>
                  </w:tcBorders>
                  <w:noWrap w:val="0"/>
                  <w:vAlign w:val="center"/>
                </w:tcPr>
                <w:p w14:paraId="74BFCD82">
                  <w:pPr>
                    <w:pStyle w:val="28"/>
                    <w:bidi w:val="0"/>
                    <w:rPr>
                      <w:rFonts w:hint="default"/>
                      <w:color w:val="auto"/>
                      <w:lang w:val="en-US" w:eastAsia="zh-CN"/>
                    </w:rPr>
                  </w:pPr>
                  <w:r>
                    <w:rPr>
                      <w:rFonts w:hint="eastAsia"/>
                      <w:color w:val="auto"/>
                      <w:lang w:val="en-US" w:eastAsia="zh-CN"/>
                    </w:rPr>
                    <w:t>废机油、废吸油毡、废油桶</w:t>
                  </w:r>
                </w:p>
              </w:tc>
            </w:tr>
            <w:tr w14:paraId="4DC24C93">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c>
                <w:tcPr>
                  <w:tcW w:w="750" w:type="pct"/>
                  <w:tcBorders>
                    <w:tl2br w:val="nil"/>
                    <w:tr2bl w:val="nil"/>
                  </w:tcBorders>
                  <w:noWrap w:val="0"/>
                  <w:vAlign w:val="center"/>
                </w:tcPr>
                <w:p w14:paraId="57B8F2A6">
                  <w:pPr>
                    <w:pStyle w:val="28"/>
                    <w:bidi w:val="0"/>
                    <w:rPr>
                      <w:color w:val="auto"/>
                    </w:rPr>
                  </w:pPr>
                  <w:r>
                    <w:rPr>
                      <w:color w:val="auto"/>
                    </w:rPr>
                    <w:t>环境影响途径及危害后果</w:t>
                  </w:r>
                </w:p>
              </w:tc>
              <w:tc>
                <w:tcPr>
                  <w:tcW w:w="4249" w:type="pct"/>
                  <w:gridSpan w:val="2"/>
                  <w:tcBorders>
                    <w:tl2br w:val="nil"/>
                    <w:tr2bl w:val="nil"/>
                  </w:tcBorders>
                  <w:noWrap w:val="0"/>
                  <w:vAlign w:val="center"/>
                </w:tcPr>
                <w:p w14:paraId="404D0658">
                  <w:pPr>
                    <w:pStyle w:val="28"/>
                    <w:bidi w:val="0"/>
                    <w:rPr>
                      <w:rFonts w:hint="eastAsia"/>
                      <w:color w:val="auto"/>
                    </w:rPr>
                  </w:pPr>
                  <w:r>
                    <w:rPr>
                      <w:rFonts w:hint="eastAsia"/>
                      <w:color w:val="auto"/>
                    </w:rPr>
                    <w:t>本项目</w:t>
                  </w:r>
                  <w:r>
                    <w:rPr>
                      <w:rFonts w:hint="eastAsia"/>
                      <w:color w:val="auto"/>
                      <w:lang w:eastAsia="zh-CN"/>
                    </w:rPr>
                    <w:t>危险单元生产废水污水处理系统，可能因故障、管道破裂、人为操作失误等导致废水事故排放，影响周边地表水体。危险废物贮存库可能发生因容器破裂等原因导致的危险废物泄漏事故，对周边土壤、地下水、地表水造成影响；废气处理设施故障可能导致废气事故排放，对周边大气环境造成影响；厂内危险废物贮存库等可能发生</w:t>
                  </w:r>
                  <w:r>
                    <w:rPr>
                      <w:rFonts w:hint="eastAsia"/>
                      <w:color w:val="auto"/>
                    </w:rPr>
                    <w:t>电线短路、静电火花</w:t>
                  </w:r>
                  <w:r>
                    <w:rPr>
                      <w:rFonts w:hint="eastAsia"/>
                      <w:color w:val="auto"/>
                      <w:lang w:eastAsia="zh-CN"/>
                    </w:rPr>
                    <w:t>，</w:t>
                  </w:r>
                  <w:r>
                    <w:rPr>
                      <w:rFonts w:hint="eastAsia"/>
                      <w:color w:val="auto"/>
                    </w:rPr>
                    <w:t>遇明火或高热等发生火灾事故及其次生/伴生事故，对周边环境造成的影响。</w:t>
                  </w:r>
                </w:p>
              </w:tc>
            </w:tr>
            <w:tr w14:paraId="31E7404F">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c>
                <w:tcPr>
                  <w:tcW w:w="750" w:type="pct"/>
                  <w:tcBorders>
                    <w:tl2br w:val="nil"/>
                    <w:tr2bl w:val="nil"/>
                  </w:tcBorders>
                  <w:noWrap w:val="0"/>
                  <w:vAlign w:val="center"/>
                </w:tcPr>
                <w:p w14:paraId="2E5594B8">
                  <w:pPr>
                    <w:pStyle w:val="28"/>
                    <w:bidi w:val="0"/>
                    <w:rPr>
                      <w:color w:val="auto"/>
                    </w:rPr>
                  </w:pPr>
                  <w:r>
                    <w:rPr>
                      <w:color w:val="auto"/>
                    </w:rPr>
                    <w:t>风险防范措施要求</w:t>
                  </w:r>
                </w:p>
              </w:tc>
              <w:tc>
                <w:tcPr>
                  <w:tcW w:w="4249" w:type="pct"/>
                  <w:gridSpan w:val="2"/>
                  <w:tcBorders>
                    <w:tl2br w:val="nil"/>
                    <w:tr2bl w:val="nil"/>
                  </w:tcBorders>
                  <w:noWrap w:val="0"/>
                  <w:vAlign w:val="center"/>
                </w:tcPr>
                <w:p w14:paraId="5E44D124">
                  <w:pPr>
                    <w:pStyle w:val="28"/>
                    <w:bidi w:val="0"/>
                    <w:jc w:val="left"/>
                    <w:rPr>
                      <w:color w:val="auto"/>
                    </w:rPr>
                  </w:pPr>
                  <w:r>
                    <w:rPr>
                      <w:color w:val="auto"/>
                    </w:rPr>
                    <w:t>本项目拟采取以下风险防范措施：</w:t>
                  </w:r>
                </w:p>
                <w:p w14:paraId="67E445DA">
                  <w:pPr>
                    <w:pStyle w:val="28"/>
                    <w:bidi w:val="0"/>
                    <w:jc w:val="left"/>
                    <w:rPr>
                      <w:rFonts w:hint="eastAsia"/>
                      <w:color w:val="auto"/>
                      <w:lang w:eastAsia="zh-CN"/>
                    </w:rPr>
                  </w:pPr>
                  <w:r>
                    <w:rPr>
                      <w:rFonts w:hint="eastAsia"/>
                      <w:color w:val="auto"/>
                      <w:lang w:eastAsia="zh-CN"/>
                    </w:rPr>
                    <w:t>对厂区按要求进行分区防渗，危险废物贮存库按重点防渗要求</w:t>
                  </w:r>
                  <w:r>
                    <w:rPr>
                      <w:rFonts w:hint="eastAsia"/>
                      <w:color w:val="auto"/>
                      <w:lang w:val="en-US" w:eastAsia="zh-CN"/>
                    </w:rPr>
                    <w:t>建设</w:t>
                  </w:r>
                  <w:r>
                    <w:rPr>
                      <w:rFonts w:hint="eastAsia"/>
                      <w:color w:val="auto"/>
                      <w:lang w:eastAsia="zh-CN"/>
                    </w:rPr>
                    <w:t>；危险废物贮存库液态危险废物容器底部设置防渗漏托盘；</w:t>
                  </w:r>
                </w:p>
                <w:p w14:paraId="754124A1">
                  <w:pPr>
                    <w:pStyle w:val="28"/>
                    <w:bidi w:val="0"/>
                    <w:jc w:val="left"/>
                    <w:rPr>
                      <w:rFonts w:hint="eastAsia"/>
                      <w:color w:val="auto"/>
                      <w:lang w:eastAsia="zh-CN"/>
                    </w:rPr>
                  </w:pPr>
                  <w:r>
                    <w:rPr>
                      <w:rFonts w:hint="eastAsia"/>
                      <w:color w:val="auto"/>
                      <w:lang w:eastAsia="zh-CN"/>
                    </w:rPr>
                    <w:t>定期对设施、管道进行检修及维护保养；定期更换废气处理设施内过滤材料；</w:t>
                  </w:r>
                </w:p>
                <w:p w14:paraId="53014A6D">
                  <w:pPr>
                    <w:pStyle w:val="28"/>
                    <w:bidi w:val="0"/>
                    <w:jc w:val="left"/>
                    <w:rPr>
                      <w:rFonts w:hint="eastAsia"/>
                      <w:color w:val="auto"/>
                    </w:rPr>
                  </w:pPr>
                  <w:r>
                    <w:rPr>
                      <w:rFonts w:hint="eastAsia"/>
                      <w:color w:val="auto"/>
                      <w:lang w:eastAsia="zh-CN"/>
                    </w:rPr>
                    <w:t>各生产岗位制定严格的操作规程和注意事项；设置警示标识等，</w:t>
                  </w:r>
                  <w:r>
                    <w:rPr>
                      <w:rFonts w:hint="eastAsia"/>
                      <w:color w:val="auto"/>
                    </w:rPr>
                    <w:t>定期进行防火安全检查</w:t>
                  </w:r>
                  <w:r>
                    <w:rPr>
                      <w:rFonts w:hint="eastAsia"/>
                      <w:color w:val="auto"/>
                      <w:lang w:eastAsia="zh-CN"/>
                    </w:rPr>
                    <w:t>；</w:t>
                  </w:r>
                </w:p>
                <w:p w14:paraId="6F46745E">
                  <w:pPr>
                    <w:pStyle w:val="28"/>
                    <w:bidi w:val="0"/>
                    <w:jc w:val="left"/>
                    <w:rPr>
                      <w:rFonts w:hint="eastAsia"/>
                      <w:color w:val="auto"/>
                      <w:lang w:eastAsia="zh-CN"/>
                    </w:rPr>
                  </w:pPr>
                  <w:r>
                    <w:rPr>
                      <w:rFonts w:hint="eastAsia"/>
                      <w:color w:val="auto"/>
                    </w:rPr>
                    <w:t>配备相应的</w:t>
                  </w:r>
                  <w:r>
                    <w:rPr>
                      <w:rFonts w:hint="eastAsia"/>
                      <w:color w:val="auto"/>
                      <w:lang w:eastAsia="zh-CN"/>
                    </w:rPr>
                    <w:t>应急物资</w:t>
                  </w:r>
                  <w:r>
                    <w:rPr>
                      <w:rFonts w:hint="eastAsia"/>
                      <w:color w:val="auto"/>
                    </w:rPr>
                    <w:t>(</w:t>
                  </w:r>
                  <w:r>
                    <w:rPr>
                      <w:rFonts w:hint="eastAsia"/>
                      <w:color w:val="auto"/>
                      <w:lang w:eastAsia="zh-CN"/>
                    </w:rPr>
                    <w:t>沙袋</w:t>
                  </w:r>
                  <w:r>
                    <w:rPr>
                      <w:rFonts w:hint="eastAsia"/>
                      <w:color w:val="auto"/>
                    </w:rPr>
                    <w:t>、吸油毡</w:t>
                  </w:r>
                  <w:r>
                    <w:rPr>
                      <w:rFonts w:hint="eastAsia"/>
                      <w:color w:val="auto"/>
                      <w:lang w:eastAsia="zh-CN"/>
                    </w:rPr>
                    <w:t>、</w:t>
                  </w:r>
                  <w:r>
                    <w:rPr>
                      <w:rFonts w:hint="eastAsia"/>
                      <w:color w:val="auto"/>
                      <w:lang w:val="en-US" w:eastAsia="zh-CN"/>
                    </w:rPr>
                    <w:t>干粉或二氧化碳灭火器</w:t>
                  </w:r>
                  <w:r>
                    <w:rPr>
                      <w:rFonts w:hint="eastAsia"/>
                      <w:color w:val="auto"/>
                    </w:rPr>
                    <w:t>等)</w:t>
                  </w:r>
                  <w:r>
                    <w:rPr>
                      <w:rFonts w:hint="eastAsia"/>
                      <w:color w:val="auto"/>
                      <w:lang w:eastAsia="zh-CN"/>
                    </w:rPr>
                    <w:t>、生产废水处理系统进出水口设置阀门；</w:t>
                  </w:r>
                </w:p>
                <w:p w14:paraId="58BFC6EE">
                  <w:pPr>
                    <w:pStyle w:val="28"/>
                    <w:bidi w:val="0"/>
                    <w:jc w:val="left"/>
                    <w:rPr>
                      <w:rFonts w:hint="eastAsia"/>
                      <w:color w:val="auto"/>
                      <w:lang w:val="en-US" w:eastAsia="zh-CN"/>
                    </w:rPr>
                  </w:pPr>
                  <w:r>
                    <w:rPr>
                      <w:rFonts w:hint="eastAsia"/>
                      <w:color w:val="auto"/>
                      <w:lang w:val="en-US" w:eastAsia="zh-CN"/>
                    </w:rPr>
                    <w:t>制定相应的环境管理制度、隐患排查制度以及制定环境应急预案、配备相应的环境应急物资</w:t>
                  </w:r>
                  <w:r>
                    <w:rPr>
                      <w:rFonts w:hint="eastAsia"/>
                      <w:color w:val="auto"/>
                      <w:lang w:eastAsia="zh-CN"/>
                    </w:rPr>
                    <w:t>。</w:t>
                  </w:r>
                </w:p>
              </w:tc>
            </w:tr>
            <w:bookmarkEnd w:id="42"/>
          </w:tbl>
          <w:p w14:paraId="3112FA00">
            <w:pPr>
              <w:pStyle w:val="3"/>
              <w:bidi w:val="0"/>
              <w:rPr>
                <w:color w:val="auto"/>
              </w:rPr>
            </w:pPr>
            <w:r>
              <w:rPr>
                <w:rFonts w:hint="eastAsia"/>
                <w:color w:val="auto"/>
              </w:rPr>
              <w:t>4.</w:t>
            </w:r>
            <w:r>
              <w:rPr>
                <w:rFonts w:hint="eastAsia"/>
                <w:color w:val="auto"/>
                <w:lang w:val="en-US" w:eastAsia="zh-CN"/>
              </w:rPr>
              <w:t>8</w:t>
            </w:r>
            <w:r>
              <w:rPr>
                <w:rFonts w:hint="eastAsia"/>
                <w:color w:val="auto"/>
              </w:rPr>
              <w:t xml:space="preserve"> 环保投资估算</w:t>
            </w:r>
          </w:p>
          <w:p w14:paraId="2B2F2A8D">
            <w:pPr>
              <w:bidi w:val="0"/>
              <w:rPr>
                <w:color w:val="auto"/>
              </w:rPr>
            </w:pPr>
            <w:r>
              <w:rPr>
                <w:color w:val="auto"/>
              </w:rPr>
              <w:t>本项目环保投资估算具体明细见表</w:t>
            </w:r>
            <w:r>
              <w:rPr>
                <w:rFonts w:hint="eastAsia"/>
                <w:color w:val="auto"/>
              </w:rPr>
              <w:t>4.</w:t>
            </w:r>
            <w:r>
              <w:rPr>
                <w:rFonts w:hint="eastAsia"/>
                <w:color w:val="auto"/>
                <w:lang w:val="en-US" w:eastAsia="zh-CN"/>
              </w:rPr>
              <w:t>8</w:t>
            </w:r>
            <w:r>
              <w:rPr>
                <w:color w:val="auto"/>
              </w:rPr>
              <w:t>-1。</w:t>
            </w:r>
          </w:p>
          <w:p w14:paraId="14DB52BC">
            <w:pPr>
              <w:bidi w:val="0"/>
              <w:rPr>
                <w:color w:val="auto"/>
              </w:rPr>
            </w:pPr>
          </w:p>
          <w:p w14:paraId="18643447">
            <w:pPr>
              <w:bidi w:val="0"/>
              <w:rPr>
                <w:color w:val="auto"/>
              </w:rPr>
            </w:pPr>
          </w:p>
          <w:p w14:paraId="04FB3D70">
            <w:pPr>
              <w:bidi w:val="0"/>
              <w:rPr>
                <w:color w:val="auto"/>
              </w:rPr>
            </w:pPr>
          </w:p>
          <w:p w14:paraId="43D32B94">
            <w:pPr>
              <w:pStyle w:val="33"/>
              <w:bidi w:val="0"/>
              <w:rPr>
                <w:color w:val="auto"/>
              </w:rPr>
            </w:pPr>
            <w:r>
              <w:rPr>
                <w:rFonts w:hint="eastAsia"/>
                <w:color w:val="auto"/>
                <w:lang w:val="en-US" w:eastAsia="zh-CN"/>
              </w:rPr>
              <w:t>表</w:t>
            </w:r>
            <w:r>
              <w:rPr>
                <w:rFonts w:hint="eastAsia"/>
                <w:color w:val="auto"/>
              </w:rPr>
              <w:t>4.</w:t>
            </w:r>
            <w:r>
              <w:rPr>
                <w:rFonts w:hint="eastAsia"/>
                <w:color w:val="auto"/>
                <w:lang w:val="en-US" w:eastAsia="zh-CN"/>
              </w:rPr>
              <w:t>8</w:t>
            </w:r>
            <w:r>
              <w:rPr>
                <w:color w:val="auto"/>
              </w:rPr>
              <w:t>-1 环保措施投资明细表</w:t>
            </w:r>
          </w:p>
          <w:tbl>
            <w:tblPr>
              <w:tblStyle w:val="20"/>
              <w:tblW w:w="8076"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602"/>
              <w:gridCol w:w="875"/>
              <w:gridCol w:w="3951"/>
              <w:gridCol w:w="1624"/>
              <w:gridCol w:w="1024"/>
            </w:tblGrid>
            <w:tr w14:paraId="3B4E226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02" w:type="dxa"/>
                  <w:noWrap w:val="0"/>
                  <w:vAlign w:val="center"/>
                </w:tcPr>
                <w:p w14:paraId="4CCF254E">
                  <w:pPr>
                    <w:pStyle w:val="28"/>
                    <w:bidi w:val="0"/>
                    <w:rPr>
                      <w:color w:val="auto"/>
                    </w:rPr>
                  </w:pPr>
                  <w:r>
                    <w:rPr>
                      <w:color w:val="auto"/>
                    </w:rPr>
                    <w:t>序号</w:t>
                  </w:r>
                </w:p>
              </w:tc>
              <w:tc>
                <w:tcPr>
                  <w:tcW w:w="875" w:type="dxa"/>
                  <w:noWrap w:val="0"/>
                  <w:vAlign w:val="center"/>
                </w:tcPr>
                <w:p w14:paraId="0EBA9193">
                  <w:pPr>
                    <w:pStyle w:val="28"/>
                    <w:bidi w:val="0"/>
                    <w:rPr>
                      <w:color w:val="auto"/>
                    </w:rPr>
                  </w:pPr>
                  <w:r>
                    <w:rPr>
                      <w:color w:val="auto"/>
                    </w:rPr>
                    <w:t>污染源</w:t>
                  </w:r>
                </w:p>
              </w:tc>
              <w:tc>
                <w:tcPr>
                  <w:tcW w:w="3951" w:type="dxa"/>
                  <w:noWrap w:val="0"/>
                  <w:vAlign w:val="center"/>
                </w:tcPr>
                <w:p w14:paraId="6051BFCA">
                  <w:pPr>
                    <w:pStyle w:val="28"/>
                    <w:bidi w:val="0"/>
                    <w:rPr>
                      <w:color w:val="auto"/>
                    </w:rPr>
                  </w:pPr>
                  <w:r>
                    <w:rPr>
                      <w:color w:val="auto"/>
                    </w:rPr>
                    <w:t>治理措施</w:t>
                  </w:r>
                </w:p>
              </w:tc>
              <w:tc>
                <w:tcPr>
                  <w:tcW w:w="1624" w:type="dxa"/>
                  <w:noWrap w:val="0"/>
                  <w:vAlign w:val="center"/>
                </w:tcPr>
                <w:p w14:paraId="068438C3">
                  <w:pPr>
                    <w:pStyle w:val="28"/>
                    <w:bidi w:val="0"/>
                    <w:rPr>
                      <w:rFonts w:hint="eastAsia"/>
                      <w:color w:val="auto"/>
                      <w:lang w:val="en-US" w:eastAsia="zh-CN"/>
                    </w:rPr>
                  </w:pPr>
                  <w:r>
                    <w:rPr>
                      <w:rFonts w:hint="eastAsia"/>
                      <w:color w:val="auto"/>
                      <w:lang w:val="en-US" w:eastAsia="zh-CN"/>
                    </w:rPr>
                    <w:t>设施</w:t>
                  </w:r>
                </w:p>
              </w:tc>
              <w:tc>
                <w:tcPr>
                  <w:tcW w:w="1024" w:type="dxa"/>
                  <w:noWrap w:val="0"/>
                  <w:vAlign w:val="center"/>
                </w:tcPr>
                <w:p w14:paraId="1BA4338E">
                  <w:pPr>
                    <w:pStyle w:val="28"/>
                    <w:bidi w:val="0"/>
                    <w:rPr>
                      <w:color w:val="auto"/>
                    </w:rPr>
                  </w:pPr>
                  <w:r>
                    <w:rPr>
                      <w:color w:val="auto"/>
                    </w:rPr>
                    <w:t>投资金额(万元)</w:t>
                  </w:r>
                </w:p>
              </w:tc>
            </w:tr>
            <w:tr w14:paraId="47F8017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02" w:type="dxa"/>
                  <w:vMerge w:val="restart"/>
                  <w:noWrap w:val="0"/>
                  <w:vAlign w:val="center"/>
                </w:tcPr>
                <w:p w14:paraId="0E6792CE">
                  <w:pPr>
                    <w:pStyle w:val="28"/>
                    <w:bidi w:val="0"/>
                    <w:rPr>
                      <w:color w:val="auto"/>
                    </w:rPr>
                  </w:pPr>
                  <w:r>
                    <w:rPr>
                      <w:color w:val="auto"/>
                    </w:rPr>
                    <w:t>1</w:t>
                  </w:r>
                </w:p>
              </w:tc>
              <w:tc>
                <w:tcPr>
                  <w:tcW w:w="875" w:type="dxa"/>
                  <w:vMerge w:val="restart"/>
                  <w:noWrap w:val="0"/>
                  <w:vAlign w:val="center"/>
                </w:tcPr>
                <w:p w14:paraId="0686D436">
                  <w:pPr>
                    <w:pStyle w:val="28"/>
                    <w:bidi w:val="0"/>
                    <w:rPr>
                      <w:color w:val="auto"/>
                    </w:rPr>
                  </w:pPr>
                  <w:r>
                    <w:rPr>
                      <w:color w:val="auto"/>
                    </w:rPr>
                    <w:t>废水</w:t>
                  </w:r>
                </w:p>
              </w:tc>
              <w:tc>
                <w:tcPr>
                  <w:tcW w:w="3951" w:type="dxa"/>
                  <w:noWrap w:val="0"/>
                  <w:vAlign w:val="center"/>
                </w:tcPr>
                <w:p w14:paraId="533B67BA">
                  <w:pPr>
                    <w:pStyle w:val="28"/>
                    <w:bidi w:val="0"/>
                    <w:rPr>
                      <w:rFonts w:hint="default"/>
                      <w:color w:val="auto"/>
                      <w:lang w:val="en-US" w:eastAsia="zh-CN"/>
                    </w:rPr>
                  </w:pPr>
                  <w:r>
                    <w:rPr>
                      <w:rFonts w:hint="eastAsia"/>
                      <w:color w:val="auto"/>
                      <w:lang w:val="en-US" w:eastAsia="zh-CN"/>
                    </w:rPr>
                    <w:t>洗车废水经洗车台配套沉淀池</w:t>
                  </w:r>
                  <w:r>
                    <w:rPr>
                      <w:rFonts w:hint="eastAsia"/>
                      <w:color w:val="auto"/>
                      <w:highlight w:val="none"/>
                      <w:lang w:val="en-US" w:eastAsia="zh-CN"/>
                    </w:rPr>
                    <w:t>（12m</w:t>
                  </w:r>
                  <w:r>
                    <w:rPr>
                      <w:rFonts w:hint="eastAsia"/>
                      <w:color w:val="auto"/>
                      <w:highlight w:val="none"/>
                      <w:vertAlign w:val="superscript"/>
                      <w:lang w:val="en-US" w:eastAsia="zh-CN"/>
                    </w:rPr>
                    <w:t>3</w:t>
                  </w:r>
                  <w:r>
                    <w:rPr>
                      <w:rFonts w:hint="eastAsia"/>
                      <w:color w:val="auto"/>
                      <w:highlight w:val="none"/>
                      <w:lang w:val="en-US" w:eastAsia="zh-CN"/>
                    </w:rPr>
                    <w:t>）</w:t>
                  </w:r>
                  <w:r>
                    <w:rPr>
                      <w:rFonts w:hint="eastAsia"/>
                      <w:color w:val="auto"/>
                      <w:lang w:val="en-US" w:eastAsia="zh-CN"/>
                    </w:rPr>
                    <w:t>处理后回用于车辆冲洗，不外排</w:t>
                  </w:r>
                </w:p>
              </w:tc>
              <w:tc>
                <w:tcPr>
                  <w:tcW w:w="1624" w:type="dxa"/>
                  <w:noWrap w:val="0"/>
                  <w:vAlign w:val="center"/>
                </w:tcPr>
                <w:p w14:paraId="4A4692B6">
                  <w:pPr>
                    <w:pStyle w:val="28"/>
                    <w:bidi w:val="0"/>
                    <w:rPr>
                      <w:rFonts w:hint="default"/>
                      <w:color w:val="auto"/>
                      <w:lang w:val="en-US" w:eastAsia="zh-CN"/>
                    </w:rPr>
                  </w:pPr>
                  <w:r>
                    <w:rPr>
                      <w:rFonts w:hint="eastAsia"/>
                      <w:color w:val="auto"/>
                      <w:lang w:val="en-US" w:eastAsia="zh-CN"/>
                    </w:rPr>
                    <w:t>洗车废水沉淀池、相关管道</w:t>
                  </w:r>
                </w:p>
              </w:tc>
              <w:tc>
                <w:tcPr>
                  <w:tcW w:w="1024" w:type="dxa"/>
                  <w:noWrap w:val="0"/>
                  <w:vAlign w:val="center"/>
                </w:tcPr>
                <w:p w14:paraId="2FB50DCB">
                  <w:pPr>
                    <w:pStyle w:val="28"/>
                    <w:bidi w:val="0"/>
                    <w:rPr>
                      <w:rFonts w:hint="default"/>
                      <w:color w:val="auto"/>
                      <w:lang w:val="en-US" w:eastAsia="zh-CN"/>
                    </w:rPr>
                  </w:pPr>
                  <w:r>
                    <w:rPr>
                      <w:rFonts w:hint="eastAsia"/>
                      <w:color w:val="auto"/>
                      <w:lang w:val="en-US" w:eastAsia="zh-CN"/>
                    </w:rPr>
                    <w:t>2.0</w:t>
                  </w:r>
                </w:p>
              </w:tc>
            </w:tr>
            <w:tr w14:paraId="4FEBCC0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02" w:type="dxa"/>
                  <w:vMerge w:val="continue"/>
                  <w:noWrap w:val="0"/>
                  <w:vAlign w:val="center"/>
                </w:tcPr>
                <w:p w14:paraId="53BE9899">
                  <w:pPr>
                    <w:pStyle w:val="28"/>
                    <w:bidi w:val="0"/>
                    <w:rPr>
                      <w:rFonts w:hint="eastAsia"/>
                      <w:color w:val="auto"/>
                      <w:lang w:val="en-US" w:eastAsia="zh-CN"/>
                    </w:rPr>
                  </w:pPr>
                </w:p>
              </w:tc>
              <w:tc>
                <w:tcPr>
                  <w:tcW w:w="875" w:type="dxa"/>
                  <w:vMerge w:val="continue"/>
                  <w:noWrap w:val="0"/>
                  <w:vAlign w:val="center"/>
                </w:tcPr>
                <w:p w14:paraId="1248040B">
                  <w:pPr>
                    <w:pStyle w:val="28"/>
                    <w:bidi w:val="0"/>
                    <w:rPr>
                      <w:color w:val="auto"/>
                    </w:rPr>
                  </w:pPr>
                </w:p>
              </w:tc>
              <w:tc>
                <w:tcPr>
                  <w:tcW w:w="3951" w:type="dxa"/>
                  <w:noWrap w:val="0"/>
                  <w:vAlign w:val="center"/>
                </w:tcPr>
                <w:p w14:paraId="1E3742BC">
                  <w:pPr>
                    <w:pStyle w:val="28"/>
                    <w:bidi w:val="0"/>
                    <w:rPr>
                      <w:rFonts w:hint="eastAsia"/>
                      <w:color w:val="auto"/>
                      <w:lang w:val="en-US" w:eastAsia="zh-CN"/>
                    </w:rPr>
                  </w:pPr>
                  <w:r>
                    <w:rPr>
                      <w:rFonts w:hint="eastAsia"/>
                      <w:color w:val="auto"/>
                      <w:lang w:val="en-US" w:eastAsia="zh-CN"/>
                    </w:rPr>
                    <w:t>设备清洗废水、生产区地面冲洗废水、试验清洗废水、生产区初期雨水经生产废水处理系统（三个斜坡沉淀池，容积合计216m</w:t>
                  </w:r>
                  <w:r>
                    <w:rPr>
                      <w:rFonts w:hint="eastAsia"/>
                      <w:color w:val="auto"/>
                      <w:vertAlign w:val="superscript"/>
                      <w:lang w:val="en-US" w:eastAsia="zh-CN"/>
                    </w:rPr>
                    <w:t>3</w:t>
                  </w:r>
                  <w:r>
                    <w:rPr>
                      <w:rFonts w:hint="eastAsia"/>
                      <w:color w:val="auto"/>
                      <w:lang w:val="en-US" w:eastAsia="zh-CN"/>
                    </w:rPr>
                    <w:t>）处理后，上清液回用于搅拌，不外排。厂区南侧靠近南厝河一侧设置一处400m</w:t>
                  </w:r>
                  <w:r>
                    <w:rPr>
                      <w:rFonts w:hint="eastAsia"/>
                      <w:color w:val="auto"/>
                      <w:vertAlign w:val="superscript"/>
                      <w:lang w:val="en-US" w:eastAsia="zh-CN"/>
                    </w:rPr>
                    <w:t>3</w:t>
                  </w:r>
                  <w:r>
                    <w:rPr>
                      <w:rFonts w:hint="eastAsia"/>
                      <w:color w:val="auto"/>
                      <w:lang w:val="en-US" w:eastAsia="zh-CN"/>
                    </w:rPr>
                    <w:t>初期雨水收集池与初期雨水控制阀门，生产区四周设置导流沟渠</w:t>
                  </w:r>
                </w:p>
              </w:tc>
              <w:tc>
                <w:tcPr>
                  <w:tcW w:w="1624" w:type="dxa"/>
                  <w:noWrap w:val="0"/>
                  <w:vAlign w:val="center"/>
                </w:tcPr>
                <w:p w14:paraId="22315DCC">
                  <w:pPr>
                    <w:pStyle w:val="28"/>
                    <w:bidi w:val="0"/>
                    <w:rPr>
                      <w:rFonts w:hint="default"/>
                      <w:color w:val="auto"/>
                      <w:lang w:val="en-US" w:eastAsia="zh-CN"/>
                    </w:rPr>
                  </w:pPr>
                  <w:r>
                    <w:rPr>
                      <w:rFonts w:hint="eastAsia"/>
                      <w:color w:val="auto"/>
                      <w:lang w:val="en-US" w:eastAsia="zh-CN"/>
                    </w:rPr>
                    <w:t>生产废水处理系统、雨水收集池、相关污水管道、导流沟渠、阀门</w:t>
                  </w:r>
                </w:p>
              </w:tc>
              <w:tc>
                <w:tcPr>
                  <w:tcW w:w="1024" w:type="dxa"/>
                  <w:noWrap w:val="0"/>
                  <w:vAlign w:val="center"/>
                </w:tcPr>
                <w:p w14:paraId="33D735DD">
                  <w:pPr>
                    <w:pStyle w:val="28"/>
                    <w:bidi w:val="0"/>
                    <w:rPr>
                      <w:rFonts w:hint="default"/>
                      <w:color w:val="auto"/>
                      <w:lang w:val="en-US" w:eastAsia="zh-CN"/>
                    </w:rPr>
                  </w:pPr>
                  <w:r>
                    <w:rPr>
                      <w:rFonts w:hint="eastAsia"/>
                      <w:color w:val="auto"/>
                      <w:lang w:val="en-US" w:eastAsia="zh-CN"/>
                    </w:rPr>
                    <w:t>30.0</w:t>
                  </w:r>
                </w:p>
              </w:tc>
            </w:tr>
            <w:tr w14:paraId="2158EC5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02" w:type="dxa"/>
                  <w:vMerge w:val="continue"/>
                  <w:noWrap w:val="0"/>
                  <w:vAlign w:val="center"/>
                </w:tcPr>
                <w:p w14:paraId="490E0712">
                  <w:pPr>
                    <w:pStyle w:val="28"/>
                    <w:bidi w:val="0"/>
                    <w:rPr>
                      <w:rFonts w:hint="eastAsia"/>
                      <w:color w:val="auto"/>
                      <w:lang w:val="en-US" w:eastAsia="zh-CN"/>
                    </w:rPr>
                  </w:pPr>
                </w:p>
              </w:tc>
              <w:tc>
                <w:tcPr>
                  <w:tcW w:w="875" w:type="dxa"/>
                  <w:vMerge w:val="continue"/>
                  <w:noWrap w:val="0"/>
                  <w:vAlign w:val="center"/>
                </w:tcPr>
                <w:p w14:paraId="1DABF159">
                  <w:pPr>
                    <w:pStyle w:val="28"/>
                    <w:bidi w:val="0"/>
                    <w:rPr>
                      <w:color w:val="auto"/>
                    </w:rPr>
                  </w:pPr>
                </w:p>
              </w:tc>
              <w:tc>
                <w:tcPr>
                  <w:tcW w:w="3951" w:type="dxa"/>
                  <w:noWrap w:val="0"/>
                  <w:vAlign w:val="center"/>
                </w:tcPr>
                <w:p w14:paraId="7212D83B">
                  <w:pPr>
                    <w:pStyle w:val="28"/>
                    <w:bidi w:val="0"/>
                    <w:rPr>
                      <w:rFonts w:hint="default"/>
                      <w:color w:val="auto"/>
                      <w:lang w:val="en-US" w:eastAsia="zh-CN"/>
                    </w:rPr>
                  </w:pPr>
                  <w:r>
                    <w:rPr>
                      <w:rFonts w:hint="eastAsia"/>
                      <w:color w:val="auto"/>
                      <w:lang w:val="en-US" w:eastAsia="zh-CN"/>
                    </w:rPr>
                    <w:t>职工生活污水</w:t>
                  </w:r>
                  <w:r>
                    <w:rPr>
                      <w:rFonts w:hint="eastAsia"/>
                      <w:color w:val="auto"/>
                      <w:highlight w:val="none"/>
                      <w:lang w:val="en-US" w:eastAsia="zh-CN"/>
                    </w:rPr>
                    <w:t>进入1#宿舍楼南侧化粪池（100t）+一体化污水处理设施（7.5t/d）处理，出水近期回用于厂区绿化灌溉，</w:t>
                  </w:r>
                  <w:r>
                    <w:rPr>
                      <w:rFonts w:hint="eastAsia"/>
                      <w:color w:val="auto"/>
                      <w:sz w:val="21"/>
                      <w:szCs w:val="21"/>
                      <w:lang w:val="en-US" w:eastAsia="zh-CN"/>
                    </w:rPr>
                    <w:t>远期待项目周边市政污水管网及相关配套设施建成后，统一接入当地市政污水处理系统排放处理</w:t>
                  </w:r>
                  <w:r>
                    <w:rPr>
                      <w:rFonts w:hint="eastAsia"/>
                      <w:color w:val="auto"/>
                      <w:sz w:val="21"/>
                      <w:szCs w:val="21"/>
                      <w:lang w:eastAsia="zh-CN"/>
                    </w:rPr>
                    <w:t>。</w:t>
                  </w:r>
                </w:p>
              </w:tc>
              <w:tc>
                <w:tcPr>
                  <w:tcW w:w="1624" w:type="dxa"/>
                  <w:noWrap w:val="0"/>
                  <w:vAlign w:val="center"/>
                </w:tcPr>
                <w:p w14:paraId="01DDF37F">
                  <w:pPr>
                    <w:pStyle w:val="28"/>
                    <w:bidi w:val="0"/>
                    <w:rPr>
                      <w:rFonts w:hint="default"/>
                      <w:color w:val="auto"/>
                      <w:lang w:val="en-US" w:eastAsia="zh-CN"/>
                    </w:rPr>
                  </w:pPr>
                  <w:r>
                    <w:rPr>
                      <w:rFonts w:hint="eastAsia"/>
                      <w:color w:val="auto"/>
                      <w:lang w:val="en-US" w:eastAsia="zh-CN"/>
                    </w:rPr>
                    <w:t>化粪池、一体化污水处理设施相关污水管道</w:t>
                  </w:r>
                </w:p>
              </w:tc>
              <w:tc>
                <w:tcPr>
                  <w:tcW w:w="1024" w:type="dxa"/>
                  <w:noWrap w:val="0"/>
                  <w:vAlign w:val="center"/>
                </w:tcPr>
                <w:p w14:paraId="61DA413F">
                  <w:pPr>
                    <w:pStyle w:val="28"/>
                    <w:bidi w:val="0"/>
                    <w:rPr>
                      <w:rFonts w:hint="default"/>
                      <w:color w:val="auto"/>
                      <w:lang w:val="en-US" w:eastAsia="zh-CN"/>
                    </w:rPr>
                  </w:pPr>
                  <w:r>
                    <w:rPr>
                      <w:rFonts w:hint="eastAsia"/>
                      <w:color w:val="auto"/>
                      <w:lang w:val="en-US" w:eastAsia="zh-CN"/>
                    </w:rPr>
                    <w:t>5.0</w:t>
                  </w:r>
                </w:p>
              </w:tc>
            </w:tr>
            <w:tr w14:paraId="10A65EB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02" w:type="dxa"/>
                  <w:vMerge w:val="continue"/>
                  <w:noWrap w:val="0"/>
                  <w:vAlign w:val="center"/>
                </w:tcPr>
                <w:p w14:paraId="4B57E0BE">
                  <w:pPr>
                    <w:pStyle w:val="28"/>
                    <w:bidi w:val="0"/>
                    <w:rPr>
                      <w:rFonts w:hint="eastAsia"/>
                      <w:color w:val="auto"/>
                      <w:lang w:val="en-US" w:eastAsia="zh-CN"/>
                    </w:rPr>
                  </w:pPr>
                </w:p>
              </w:tc>
              <w:tc>
                <w:tcPr>
                  <w:tcW w:w="875" w:type="dxa"/>
                  <w:vMerge w:val="continue"/>
                  <w:noWrap w:val="0"/>
                  <w:vAlign w:val="center"/>
                </w:tcPr>
                <w:p w14:paraId="23C1AAA3">
                  <w:pPr>
                    <w:pStyle w:val="28"/>
                    <w:bidi w:val="0"/>
                    <w:rPr>
                      <w:color w:val="auto"/>
                    </w:rPr>
                  </w:pPr>
                </w:p>
              </w:tc>
              <w:tc>
                <w:tcPr>
                  <w:tcW w:w="3951" w:type="dxa"/>
                  <w:noWrap w:val="0"/>
                  <w:vAlign w:val="center"/>
                </w:tcPr>
                <w:p w14:paraId="72BE9C00">
                  <w:pPr>
                    <w:pStyle w:val="28"/>
                    <w:bidi w:val="0"/>
                    <w:rPr>
                      <w:rFonts w:hint="default"/>
                      <w:color w:val="auto"/>
                      <w:lang w:val="en-US" w:eastAsia="zh-CN"/>
                    </w:rPr>
                  </w:pPr>
                  <w:r>
                    <w:rPr>
                      <w:rFonts w:hint="eastAsia"/>
                      <w:color w:val="auto"/>
                      <w:lang w:val="en-US" w:eastAsia="zh-CN"/>
                    </w:rPr>
                    <w:t>洗砂废水经3#物料库内部的加药、沉淀及压滤设施处理后，出水回用于洗砂工序的生产，不外排</w:t>
                  </w:r>
                </w:p>
              </w:tc>
              <w:tc>
                <w:tcPr>
                  <w:tcW w:w="1624" w:type="dxa"/>
                  <w:noWrap w:val="0"/>
                  <w:vAlign w:val="center"/>
                </w:tcPr>
                <w:p w14:paraId="7DC9358B">
                  <w:pPr>
                    <w:pStyle w:val="28"/>
                    <w:bidi w:val="0"/>
                    <w:rPr>
                      <w:rFonts w:hint="default"/>
                      <w:color w:val="auto"/>
                      <w:lang w:val="en-US" w:eastAsia="zh-CN"/>
                    </w:rPr>
                  </w:pPr>
                  <w:r>
                    <w:rPr>
                      <w:rFonts w:hint="eastAsia"/>
                      <w:color w:val="auto"/>
                      <w:lang w:val="en-US" w:eastAsia="zh-CN"/>
                    </w:rPr>
                    <w:t>洗砂废水加药沉淀与压滤设施</w:t>
                  </w:r>
                </w:p>
              </w:tc>
              <w:tc>
                <w:tcPr>
                  <w:tcW w:w="1024" w:type="dxa"/>
                  <w:noWrap w:val="0"/>
                  <w:vAlign w:val="center"/>
                </w:tcPr>
                <w:p w14:paraId="31869BB4">
                  <w:pPr>
                    <w:pStyle w:val="28"/>
                    <w:bidi w:val="0"/>
                    <w:rPr>
                      <w:rFonts w:hint="eastAsia"/>
                      <w:color w:val="auto"/>
                      <w:lang w:val="en-US" w:eastAsia="zh-CN"/>
                    </w:rPr>
                  </w:pPr>
                  <w:r>
                    <w:rPr>
                      <w:rFonts w:hint="eastAsia"/>
                      <w:color w:val="auto"/>
                      <w:lang w:val="en-US" w:eastAsia="zh-CN"/>
                    </w:rPr>
                    <w:t>5.0</w:t>
                  </w:r>
                </w:p>
              </w:tc>
            </w:tr>
            <w:tr w14:paraId="4725D6A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02" w:type="dxa"/>
                  <w:vMerge w:val="restart"/>
                  <w:noWrap w:val="0"/>
                  <w:vAlign w:val="center"/>
                </w:tcPr>
                <w:p w14:paraId="32EC50FD">
                  <w:pPr>
                    <w:pStyle w:val="28"/>
                    <w:bidi w:val="0"/>
                    <w:rPr>
                      <w:rFonts w:hint="default"/>
                      <w:color w:val="auto"/>
                      <w:lang w:val="en-US" w:eastAsia="zh-CN"/>
                    </w:rPr>
                  </w:pPr>
                  <w:r>
                    <w:rPr>
                      <w:rFonts w:hint="eastAsia"/>
                      <w:color w:val="auto"/>
                      <w:lang w:val="en-US" w:eastAsia="zh-CN"/>
                    </w:rPr>
                    <w:t>2</w:t>
                  </w:r>
                </w:p>
              </w:tc>
              <w:tc>
                <w:tcPr>
                  <w:tcW w:w="875" w:type="dxa"/>
                  <w:vMerge w:val="restart"/>
                  <w:noWrap w:val="0"/>
                  <w:vAlign w:val="center"/>
                </w:tcPr>
                <w:p w14:paraId="0B21346C">
                  <w:pPr>
                    <w:pStyle w:val="28"/>
                    <w:bidi w:val="0"/>
                    <w:rPr>
                      <w:rFonts w:hint="eastAsia"/>
                      <w:color w:val="auto"/>
                      <w:lang w:val="en-US" w:eastAsia="zh-CN"/>
                    </w:rPr>
                  </w:pPr>
                  <w:r>
                    <w:rPr>
                      <w:rFonts w:hint="eastAsia"/>
                      <w:color w:val="auto"/>
                      <w:lang w:val="en-US" w:eastAsia="zh-CN"/>
                    </w:rPr>
                    <w:t>废气</w:t>
                  </w:r>
                </w:p>
              </w:tc>
              <w:tc>
                <w:tcPr>
                  <w:tcW w:w="3951" w:type="dxa"/>
                  <w:noWrap w:val="0"/>
                  <w:vAlign w:val="center"/>
                </w:tcPr>
                <w:p w14:paraId="5188E9D3">
                  <w:pPr>
                    <w:pStyle w:val="28"/>
                    <w:bidi w:val="0"/>
                    <w:rPr>
                      <w:rFonts w:hint="default"/>
                      <w:color w:val="auto"/>
                      <w:lang w:val="en-US" w:eastAsia="zh-CN"/>
                    </w:rPr>
                  </w:pPr>
                  <w:r>
                    <w:rPr>
                      <w:rFonts w:hint="eastAsia"/>
                      <w:color w:val="auto"/>
                      <w:lang w:val="en-US" w:eastAsia="zh-CN"/>
                    </w:rPr>
                    <w:t>骨料仓封闭设置（三面及顶部围蔽，仅保留进出料面敞开），</w:t>
                  </w:r>
                  <w:r>
                    <w:rPr>
                      <w:rFonts w:hint="default"/>
                      <w:color w:val="auto"/>
                      <w:lang w:val="en-US" w:eastAsia="zh-CN"/>
                    </w:rPr>
                    <w:t>配套喷淋装置喷淋抑尘。</w:t>
                  </w:r>
                </w:p>
              </w:tc>
              <w:tc>
                <w:tcPr>
                  <w:tcW w:w="1624" w:type="dxa"/>
                  <w:noWrap w:val="0"/>
                  <w:vAlign w:val="center"/>
                </w:tcPr>
                <w:p w14:paraId="21D84CAB">
                  <w:pPr>
                    <w:pStyle w:val="28"/>
                    <w:bidi w:val="0"/>
                    <w:rPr>
                      <w:rFonts w:hint="default"/>
                      <w:color w:val="auto"/>
                      <w:lang w:val="en-US" w:eastAsia="zh-CN"/>
                    </w:rPr>
                  </w:pPr>
                  <w:r>
                    <w:rPr>
                      <w:rFonts w:hint="eastAsia"/>
                      <w:color w:val="auto"/>
                      <w:lang w:val="en-US" w:eastAsia="zh-CN"/>
                    </w:rPr>
                    <w:t>封闭骨料仓(纳入主体投资）、喷淋装置</w:t>
                  </w:r>
                </w:p>
              </w:tc>
              <w:tc>
                <w:tcPr>
                  <w:tcW w:w="1024" w:type="dxa"/>
                  <w:noWrap w:val="0"/>
                  <w:vAlign w:val="center"/>
                </w:tcPr>
                <w:p w14:paraId="2C866E33">
                  <w:pPr>
                    <w:pStyle w:val="28"/>
                    <w:bidi w:val="0"/>
                    <w:rPr>
                      <w:rFonts w:hint="default"/>
                      <w:color w:val="auto"/>
                      <w:lang w:val="en-US" w:eastAsia="zh-CN"/>
                    </w:rPr>
                  </w:pPr>
                  <w:r>
                    <w:rPr>
                      <w:rFonts w:hint="eastAsia"/>
                      <w:color w:val="auto"/>
                      <w:lang w:val="en-US" w:eastAsia="zh-CN"/>
                    </w:rPr>
                    <w:t>5.0</w:t>
                  </w:r>
                </w:p>
              </w:tc>
            </w:tr>
            <w:tr w14:paraId="40C7286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602" w:type="dxa"/>
                  <w:vMerge w:val="continue"/>
                  <w:noWrap w:val="0"/>
                  <w:vAlign w:val="center"/>
                </w:tcPr>
                <w:p w14:paraId="5D90F9EB">
                  <w:pPr>
                    <w:pStyle w:val="28"/>
                    <w:bidi w:val="0"/>
                    <w:rPr>
                      <w:rFonts w:hint="eastAsia"/>
                      <w:color w:val="auto"/>
                      <w:lang w:val="en-US" w:eastAsia="zh-CN"/>
                    </w:rPr>
                  </w:pPr>
                </w:p>
              </w:tc>
              <w:tc>
                <w:tcPr>
                  <w:tcW w:w="875" w:type="dxa"/>
                  <w:vMerge w:val="continue"/>
                  <w:noWrap w:val="0"/>
                  <w:vAlign w:val="center"/>
                </w:tcPr>
                <w:p w14:paraId="5CBD56E2">
                  <w:pPr>
                    <w:pStyle w:val="28"/>
                    <w:bidi w:val="0"/>
                    <w:rPr>
                      <w:color w:val="auto"/>
                    </w:rPr>
                  </w:pPr>
                </w:p>
              </w:tc>
              <w:tc>
                <w:tcPr>
                  <w:tcW w:w="3951" w:type="dxa"/>
                  <w:noWrap w:val="0"/>
                  <w:vAlign w:val="center"/>
                </w:tcPr>
                <w:p w14:paraId="36C0C674">
                  <w:pPr>
                    <w:pStyle w:val="28"/>
                    <w:bidi w:val="0"/>
                    <w:rPr>
                      <w:rFonts w:hint="eastAsia"/>
                      <w:color w:val="auto"/>
                      <w:lang w:val="en-US" w:eastAsia="zh-CN"/>
                    </w:rPr>
                  </w:pPr>
                  <w:r>
                    <w:rPr>
                      <w:rFonts w:hint="eastAsia"/>
                      <w:color w:val="auto"/>
                      <w:lang w:val="en-US" w:eastAsia="zh-CN"/>
                    </w:rPr>
                    <w:t>道路定时人工洒水抑尘及清扫、出入口设置洗车台</w:t>
                  </w:r>
                </w:p>
              </w:tc>
              <w:tc>
                <w:tcPr>
                  <w:tcW w:w="1624" w:type="dxa"/>
                  <w:noWrap w:val="0"/>
                  <w:vAlign w:val="center"/>
                </w:tcPr>
                <w:p w14:paraId="58B07FE0">
                  <w:pPr>
                    <w:pStyle w:val="28"/>
                    <w:bidi w:val="0"/>
                    <w:rPr>
                      <w:rFonts w:hint="default"/>
                      <w:color w:val="auto"/>
                      <w:lang w:val="en-US" w:eastAsia="zh-CN"/>
                    </w:rPr>
                  </w:pPr>
                  <w:r>
                    <w:rPr>
                      <w:rFonts w:hint="eastAsia"/>
                      <w:color w:val="auto"/>
                      <w:lang w:val="en-US" w:eastAsia="zh-CN"/>
                    </w:rPr>
                    <w:t>定时洒水、洗车台</w:t>
                  </w:r>
                </w:p>
              </w:tc>
              <w:tc>
                <w:tcPr>
                  <w:tcW w:w="1024" w:type="dxa"/>
                  <w:noWrap w:val="0"/>
                  <w:vAlign w:val="center"/>
                </w:tcPr>
                <w:p w14:paraId="46002128">
                  <w:pPr>
                    <w:pStyle w:val="28"/>
                    <w:bidi w:val="0"/>
                    <w:rPr>
                      <w:rFonts w:hint="default"/>
                      <w:color w:val="auto"/>
                      <w:lang w:val="en-US" w:eastAsia="zh-CN"/>
                    </w:rPr>
                  </w:pPr>
                  <w:r>
                    <w:rPr>
                      <w:rFonts w:hint="eastAsia"/>
                      <w:color w:val="auto"/>
                      <w:lang w:val="en-US" w:eastAsia="zh-CN"/>
                    </w:rPr>
                    <w:t>3.0</w:t>
                  </w:r>
                </w:p>
              </w:tc>
            </w:tr>
            <w:tr w14:paraId="5ABA47F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770" w:hRule="atLeast"/>
                <w:jc w:val="center"/>
              </w:trPr>
              <w:tc>
                <w:tcPr>
                  <w:tcW w:w="602" w:type="dxa"/>
                  <w:vMerge w:val="continue"/>
                  <w:noWrap w:val="0"/>
                  <w:vAlign w:val="center"/>
                </w:tcPr>
                <w:p w14:paraId="35DDE525">
                  <w:pPr>
                    <w:pStyle w:val="28"/>
                    <w:bidi w:val="0"/>
                    <w:rPr>
                      <w:rFonts w:hint="eastAsia"/>
                      <w:color w:val="auto"/>
                      <w:lang w:val="en-US" w:eastAsia="zh-CN"/>
                    </w:rPr>
                  </w:pPr>
                </w:p>
              </w:tc>
              <w:tc>
                <w:tcPr>
                  <w:tcW w:w="875" w:type="dxa"/>
                  <w:vMerge w:val="continue"/>
                  <w:noWrap w:val="0"/>
                  <w:vAlign w:val="center"/>
                </w:tcPr>
                <w:p w14:paraId="38027455">
                  <w:pPr>
                    <w:pStyle w:val="28"/>
                    <w:bidi w:val="0"/>
                    <w:rPr>
                      <w:color w:val="auto"/>
                    </w:rPr>
                  </w:pPr>
                </w:p>
              </w:tc>
              <w:tc>
                <w:tcPr>
                  <w:tcW w:w="3951" w:type="dxa"/>
                  <w:noWrap w:val="0"/>
                  <w:vAlign w:val="center"/>
                </w:tcPr>
                <w:p w14:paraId="211D91C6">
                  <w:pPr>
                    <w:pStyle w:val="28"/>
                    <w:bidi w:val="0"/>
                    <w:rPr>
                      <w:color w:val="auto"/>
                    </w:rPr>
                  </w:pPr>
                  <w:r>
                    <w:rPr>
                      <w:rFonts w:hint="eastAsia"/>
                      <w:color w:val="auto"/>
                      <w:lang w:val="en-US" w:eastAsia="zh-CN"/>
                    </w:rPr>
                    <w:t>搅拌站整体封闭设置并配套喷淋装置抑尘，搅拌机密闭运行，加水湿式搅拌</w:t>
                  </w:r>
                </w:p>
              </w:tc>
              <w:tc>
                <w:tcPr>
                  <w:tcW w:w="1624" w:type="dxa"/>
                  <w:noWrap w:val="0"/>
                  <w:vAlign w:val="center"/>
                </w:tcPr>
                <w:p w14:paraId="7841D921">
                  <w:pPr>
                    <w:pStyle w:val="28"/>
                    <w:bidi w:val="0"/>
                    <w:rPr>
                      <w:rFonts w:hint="default"/>
                      <w:color w:val="auto"/>
                      <w:lang w:val="en-US" w:eastAsia="zh-CN"/>
                    </w:rPr>
                  </w:pPr>
                  <w:r>
                    <w:rPr>
                      <w:rFonts w:hint="eastAsia"/>
                      <w:color w:val="auto"/>
                      <w:lang w:val="en-US" w:eastAsia="zh-CN"/>
                    </w:rPr>
                    <w:t>封闭搅拌楼(纳入主体投资）、喷淋装置</w:t>
                  </w:r>
                </w:p>
              </w:tc>
              <w:tc>
                <w:tcPr>
                  <w:tcW w:w="1024" w:type="dxa"/>
                  <w:noWrap w:val="0"/>
                  <w:vAlign w:val="center"/>
                </w:tcPr>
                <w:p w14:paraId="4C4EB9F0">
                  <w:pPr>
                    <w:pStyle w:val="28"/>
                    <w:bidi w:val="0"/>
                    <w:rPr>
                      <w:rFonts w:hint="default"/>
                      <w:color w:val="auto"/>
                      <w:lang w:val="en-US" w:eastAsia="zh-CN"/>
                    </w:rPr>
                  </w:pPr>
                  <w:r>
                    <w:rPr>
                      <w:rFonts w:hint="eastAsia"/>
                      <w:color w:val="auto"/>
                      <w:lang w:val="en-US" w:eastAsia="zh-CN"/>
                    </w:rPr>
                    <w:t>5.0</w:t>
                  </w:r>
                </w:p>
              </w:tc>
            </w:tr>
            <w:tr w14:paraId="581B1D6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02" w:type="dxa"/>
                  <w:vMerge w:val="continue"/>
                  <w:noWrap w:val="0"/>
                  <w:vAlign w:val="center"/>
                </w:tcPr>
                <w:p w14:paraId="221EA1D1">
                  <w:pPr>
                    <w:pStyle w:val="28"/>
                    <w:bidi w:val="0"/>
                    <w:rPr>
                      <w:rFonts w:hint="eastAsia"/>
                      <w:color w:val="auto"/>
                      <w:lang w:val="en-US" w:eastAsia="zh-CN"/>
                    </w:rPr>
                  </w:pPr>
                </w:p>
              </w:tc>
              <w:tc>
                <w:tcPr>
                  <w:tcW w:w="875" w:type="dxa"/>
                  <w:vMerge w:val="continue"/>
                  <w:noWrap w:val="0"/>
                  <w:vAlign w:val="center"/>
                </w:tcPr>
                <w:p w14:paraId="048F43C8">
                  <w:pPr>
                    <w:pStyle w:val="28"/>
                    <w:bidi w:val="0"/>
                    <w:rPr>
                      <w:color w:val="auto"/>
                    </w:rPr>
                  </w:pPr>
                </w:p>
              </w:tc>
              <w:tc>
                <w:tcPr>
                  <w:tcW w:w="3951" w:type="dxa"/>
                  <w:noWrap w:val="0"/>
                  <w:vAlign w:val="center"/>
                </w:tcPr>
                <w:p w14:paraId="2956CE41">
                  <w:pPr>
                    <w:pStyle w:val="28"/>
                    <w:bidi w:val="0"/>
                    <w:rPr>
                      <w:rFonts w:hint="default"/>
                      <w:color w:val="auto"/>
                      <w:lang w:val="en-US" w:eastAsia="zh-CN"/>
                    </w:rPr>
                  </w:pPr>
                  <w:r>
                    <w:rPr>
                      <w:rFonts w:hint="eastAsia"/>
                      <w:color w:val="auto"/>
                      <w:lang w:val="en-US" w:eastAsia="zh-CN"/>
                    </w:rPr>
                    <w:t>粉料仓呼吸尘经各仓配套袋式除尘器除尘后无组织排放，在搅拌楼内部</w:t>
                  </w:r>
                  <w:r>
                    <w:rPr>
                      <w:rFonts w:hint="default"/>
                      <w:color w:val="auto"/>
                      <w:lang w:val="en-US" w:eastAsia="zh-CN"/>
                    </w:rPr>
                    <w:t>配套喷淋装置喷淋抑尘</w:t>
                  </w:r>
                  <w:r>
                    <w:rPr>
                      <w:rFonts w:hint="eastAsia"/>
                      <w:color w:val="auto"/>
                      <w:lang w:val="en-US" w:eastAsia="zh-CN"/>
                    </w:rPr>
                    <w:t>。</w:t>
                  </w:r>
                </w:p>
              </w:tc>
              <w:tc>
                <w:tcPr>
                  <w:tcW w:w="1624" w:type="dxa"/>
                  <w:noWrap w:val="0"/>
                  <w:vAlign w:val="center"/>
                </w:tcPr>
                <w:p w14:paraId="05D224EE">
                  <w:pPr>
                    <w:pStyle w:val="28"/>
                    <w:bidi w:val="0"/>
                    <w:rPr>
                      <w:rFonts w:hint="default"/>
                      <w:color w:val="auto"/>
                      <w:lang w:val="en-US" w:eastAsia="zh-CN"/>
                    </w:rPr>
                  </w:pPr>
                  <w:r>
                    <w:rPr>
                      <w:rFonts w:hint="eastAsia"/>
                      <w:color w:val="auto"/>
                      <w:lang w:val="en-US" w:eastAsia="zh-CN"/>
                    </w:rPr>
                    <w:t>袋式除尘器，喷淋装置</w:t>
                  </w:r>
                </w:p>
              </w:tc>
              <w:tc>
                <w:tcPr>
                  <w:tcW w:w="1024" w:type="dxa"/>
                  <w:noWrap w:val="0"/>
                  <w:vAlign w:val="center"/>
                </w:tcPr>
                <w:p w14:paraId="421BA5DA">
                  <w:pPr>
                    <w:pStyle w:val="28"/>
                    <w:bidi w:val="0"/>
                    <w:rPr>
                      <w:rFonts w:hint="default"/>
                      <w:color w:val="auto"/>
                      <w:lang w:val="en-US" w:eastAsia="zh-CN"/>
                    </w:rPr>
                  </w:pPr>
                  <w:r>
                    <w:rPr>
                      <w:rFonts w:hint="eastAsia"/>
                      <w:color w:val="auto"/>
                      <w:lang w:val="en-US" w:eastAsia="zh-CN"/>
                    </w:rPr>
                    <w:t>10.0</w:t>
                  </w:r>
                </w:p>
              </w:tc>
            </w:tr>
            <w:tr w14:paraId="17A6581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02" w:type="dxa"/>
                  <w:vMerge w:val="continue"/>
                  <w:noWrap w:val="0"/>
                  <w:vAlign w:val="center"/>
                </w:tcPr>
                <w:p w14:paraId="43107AFD">
                  <w:pPr>
                    <w:pStyle w:val="28"/>
                    <w:bidi w:val="0"/>
                    <w:rPr>
                      <w:rFonts w:hint="eastAsia"/>
                      <w:color w:val="auto"/>
                      <w:lang w:val="en-US" w:eastAsia="zh-CN"/>
                    </w:rPr>
                  </w:pPr>
                </w:p>
              </w:tc>
              <w:tc>
                <w:tcPr>
                  <w:tcW w:w="875" w:type="dxa"/>
                  <w:vMerge w:val="continue"/>
                  <w:noWrap w:val="0"/>
                  <w:vAlign w:val="center"/>
                </w:tcPr>
                <w:p w14:paraId="01384C9C">
                  <w:pPr>
                    <w:pStyle w:val="28"/>
                    <w:bidi w:val="0"/>
                    <w:rPr>
                      <w:color w:val="auto"/>
                    </w:rPr>
                  </w:pPr>
                </w:p>
              </w:tc>
              <w:tc>
                <w:tcPr>
                  <w:tcW w:w="3951" w:type="dxa"/>
                  <w:noWrap w:val="0"/>
                  <w:vAlign w:val="center"/>
                </w:tcPr>
                <w:p w14:paraId="310B90A1">
                  <w:pPr>
                    <w:pStyle w:val="28"/>
                    <w:bidi w:val="0"/>
                    <w:ind w:left="0" w:leftChars="0" w:firstLine="0" w:firstLineChars="0"/>
                    <w:rPr>
                      <w:rFonts w:hint="eastAsia"/>
                      <w:color w:val="auto"/>
                      <w:lang w:val="en-US" w:eastAsia="zh-CN"/>
                    </w:rPr>
                  </w:pPr>
                  <w:r>
                    <w:rPr>
                      <w:rFonts w:hint="eastAsia"/>
                      <w:lang w:val="en-US" w:eastAsia="zh-CN"/>
                    </w:rPr>
                    <w:t>破碎筛分等工序的粉尘颗粒物经设置于各设备进出料口上方的集气罩收集后，经袋式除尘器处理，而后通过15m高的DA001排气筒排放。</w:t>
                  </w:r>
                </w:p>
              </w:tc>
              <w:tc>
                <w:tcPr>
                  <w:tcW w:w="1624" w:type="dxa"/>
                  <w:noWrap w:val="0"/>
                  <w:vAlign w:val="center"/>
                </w:tcPr>
                <w:p w14:paraId="524B0F6A">
                  <w:pPr>
                    <w:pStyle w:val="28"/>
                    <w:bidi w:val="0"/>
                    <w:ind w:left="0" w:leftChars="0" w:firstLine="0" w:firstLineChars="0"/>
                    <w:rPr>
                      <w:rFonts w:hint="eastAsia"/>
                      <w:color w:val="auto"/>
                      <w:lang w:val="en-US" w:eastAsia="zh-CN"/>
                    </w:rPr>
                  </w:pPr>
                  <w:r>
                    <w:rPr>
                      <w:rFonts w:hint="eastAsia"/>
                      <w:lang w:val="en-US" w:eastAsia="zh-CN"/>
                    </w:rPr>
                    <w:t>袋式除尘器，排气筒DA001，车间内喷淋装置</w:t>
                  </w:r>
                </w:p>
              </w:tc>
              <w:tc>
                <w:tcPr>
                  <w:tcW w:w="1024" w:type="dxa"/>
                  <w:noWrap w:val="0"/>
                  <w:vAlign w:val="center"/>
                </w:tcPr>
                <w:p w14:paraId="01091990">
                  <w:pPr>
                    <w:pStyle w:val="28"/>
                    <w:bidi w:val="0"/>
                    <w:ind w:left="0" w:leftChars="0" w:firstLine="0" w:firstLineChars="0"/>
                    <w:rPr>
                      <w:rFonts w:hint="eastAsia"/>
                      <w:color w:val="auto"/>
                      <w:lang w:val="en-US" w:eastAsia="zh-CN"/>
                    </w:rPr>
                  </w:pPr>
                  <w:r>
                    <w:rPr>
                      <w:rFonts w:hint="eastAsia"/>
                      <w:lang w:val="en-US" w:eastAsia="zh-CN"/>
                    </w:rPr>
                    <w:t>12.0</w:t>
                  </w:r>
                </w:p>
              </w:tc>
            </w:tr>
            <w:tr w14:paraId="6D1A3CC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02" w:type="dxa"/>
                  <w:vMerge w:val="continue"/>
                  <w:noWrap w:val="0"/>
                  <w:vAlign w:val="center"/>
                </w:tcPr>
                <w:p w14:paraId="4044D882">
                  <w:pPr>
                    <w:pStyle w:val="28"/>
                    <w:bidi w:val="0"/>
                    <w:rPr>
                      <w:rFonts w:hint="eastAsia"/>
                      <w:color w:val="auto"/>
                      <w:lang w:val="en-US" w:eastAsia="zh-CN"/>
                    </w:rPr>
                  </w:pPr>
                </w:p>
              </w:tc>
              <w:tc>
                <w:tcPr>
                  <w:tcW w:w="875" w:type="dxa"/>
                  <w:vMerge w:val="continue"/>
                  <w:noWrap w:val="0"/>
                  <w:vAlign w:val="center"/>
                </w:tcPr>
                <w:p w14:paraId="10BAFB91">
                  <w:pPr>
                    <w:pStyle w:val="28"/>
                    <w:bidi w:val="0"/>
                    <w:rPr>
                      <w:color w:val="auto"/>
                    </w:rPr>
                  </w:pPr>
                </w:p>
              </w:tc>
              <w:tc>
                <w:tcPr>
                  <w:tcW w:w="3951" w:type="dxa"/>
                  <w:noWrap w:val="0"/>
                  <w:vAlign w:val="center"/>
                </w:tcPr>
                <w:p w14:paraId="071C3668">
                  <w:pPr>
                    <w:pStyle w:val="28"/>
                    <w:bidi w:val="0"/>
                    <w:rPr>
                      <w:rFonts w:hint="eastAsia"/>
                      <w:color w:val="auto"/>
                      <w:lang w:val="en-US" w:eastAsia="zh-CN"/>
                    </w:rPr>
                  </w:pPr>
                  <w:r>
                    <w:rPr>
                      <w:rFonts w:hint="eastAsia"/>
                      <w:color w:val="auto"/>
                      <w:lang w:val="en-US" w:eastAsia="zh-CN"/>
                    </w:rPr>
                    <w:t>输送带仅保留进卸料口，走廊采用彩钢全封闭，砂石进料区、输送带进出料口配套喷淋装置抑尘</w:t>
                  </w:r>
                </w:p>
              </w:tc>
              <w:tc>
                <w:tcPr>
                  <w:tcW w:w="1624" w:type="dxa"/>
                  <w:noWrap w:val="0"/>
                  <w:vAlign w:val="center"/>
                </w:tcPr>
                <w:p w14:paraId="2BBC0F5C">
                  <w:pPr>
                    <w:pStyle w:val="28"/>
                    <w:bidi w:val="0"/>
                    <w:rPr>
                      <w:rFonts w:hint="default"/>
                      <w:color w:val="auto"/>
                      <w:lang w:val="en-US" w:eastAsia="zh-CN"/>
                    </w:rPr>
                  </w:pPr>
                  <w:r>
                    <w:rPr>
                      <w:rFonts w:hint="eastAsia"/>
                      <w:color w:val="auto"/>
                      <w:lang w:val="en-US" w:eastAsia="zh-CN"/>
                    </w:rPr>
                    <w:t>封闭输送带、喷淋装置</w:t>
                  </w:r>
                </w:p>
              </w:tc>
              <w:tc>
                <w:tcPr>
                  <w:tcW w:w="1024" w:type="dxa"/>
                  <w:noWrap w:val="0"/>
                  <w:vAlign w:val="center"/>
                </w:tcPr>
                <w:p w14:paraId="302DDA7D">
                  <w:pPr>
                    <w:pStyle w:val="28"/>
                    <w:bidi w:val="0"/>
                    <w:rPr>
                      <w:rFonts w:hint="default"/>
                      <w:color w:val="auto"/>
                      <w:lang w:val="en-US" w:eastAsia="zh-CN"/>
                    </w:rPr>
                  </w:pPr>
                  <w:r>
                    <w:rPr>
                      <w:rFonts w:hint="eastAsia"/>
                      <w:color w:val="auto"/>
                      <w:lang w:val="en-US" w:eastAsia="zh-CN"/>
                    </w:rPr>
                    <w:t>3.0</w:t>
                  </w:r>
                </w:p>
              </w:tc>
            </w:tr>
            <w:tr w14:paraId="3946681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784" w:hRule="atLeast"/>
                <w:jc w:val="center"/>
              </w:trPr>
              <w:tc>
                <w:tcPr>
                  <w:tcW w:w="602" w:type="dxa"/>
                  <w:vMerge w:val="continue"/>
                  <w:noWrap w:val="0"/>
                  <w:vAlign w:val="center"/>
                </w:tcPr>
                <w:p w14:paraId="5B529676">
                  <w:pPr>
                    <w:pStyle w:val="28"/>
                    <w:bidi w:val="0"/>
                    <w:rPr>
                      <w:rFonts w:hint="eastAsia"/>
                      <w:color w:val="auto"/>
                      <w:lang w:val="en-US" w:eastAsia="zh-CN"/>
                    </w:rPr>
                  </w:pPr>
                </w:p>
              </w:tc>
              <w:tc>
                <w:tcPr>
                  <w:tcW w:w="875" w:type="dxa"/>
                  <w:vMerge w:val="continue"/>
                  <w:noWrap w:val="0"/>
                  <w:vAlign w:val="center"/>
                </w:tcPr>
                <w:p w14:paraId="1D0885AA">
                  <w:pPr>
                    <w:pStyle w:val="28"/>
                    <w:bidi w:val="0"/>
                    <w:rPr>
                      <w:color w:val="auto"/>
                    </w:rPr>
                  </w:pPr>
                </w:p>
              </w:tc>
              <w:tc>
                <w:tcPr>
                  <w:tcW w:w="3951" w:type="dxa"/>
                  <w:noWrap w:val="0"/>
                  <w:vAlign w:val="center"/>
                </w:tcPr>
                <w:p w14:paraId="775A943E">
                  <w:pPr>
                    <w:pStyle w:val="28"/>
                    <w:bidi w:val="0"/>
                    <w:rPr>
                      <w:rFonts w:hint="default"/>
                      <w:color w:val="auto"/>
                      <w:lang w:val="en-US" w:eastAsia="zh-CN"/>
                    </w:rPr>
                  </w:pPr>
                  <w:r>
                    <w:rPr>
                      <w:rFonts w:hint="eastAsia"/>
                      <w:color w:val="auto"/>
                      <w:lang w:val="en-US" w:eastAsia="zh-CN"/>
                    </w:rPr>
                    <w:t>焊接烟尘车间内无组织排放，日常生产开窗通风</w:t>
                  </w:r>
                </w:p>
              </w:tc>
              <w:tc>
                <w:tcPr>
                  <w:tcW w:w="1624" w:type="dxa"/>
                  <w:noWrap w:val="0"/>
                  <w:vAlign w:val="center"/>
                </w:tcPr>
                <w:p w14:paraId="6E8B7510">
                  <w:pPr>
                    <w:pStyle w:val="28"/>
                    <w:bidi w:val="0"/>
                    <w:rPr>
                      <w:rFonts w:hint="default"/>
                      <w:color w:val="auto"/>
                      <w:lang w:val="en-US" w:eastAsia="zh-CN"/>
                    </w:rPr>
                  </w:pPr>
                  <w:r>
                    <w:rPr>
                      <w:rFonts w:hint="eastAsia"/>
                      <w:color w:val="auto"/>
                      <w:lang w:val="en-US" w:eastAsia="zh-CN"/>
                    </w:rPr>
                    <w:t>无组织排放</w:t>
                  </w:r>
                </w:p>
              </w:tc>
              <w:tc>
                <w:tcPr>
                  <w:tcW w:w="1024" w:type="dxa"/>
                  <w:noWrap w:val="0"/>
                  <w:vAlign w:val="center"/>
                </w:tcPr>
                <w:p w14:paraId="43285DA2">
                  <w:pPr>
                    <w:pStyle w:val="28"/>
                    <w:bidi w:val="0"/>
                    <w:rPr>
                      <w:rFonts w:hint="default"/>
                      <w:color w:val="auto"/>
                      <w:lang w:val="en-US" w:eastAsia="zh-CN"/>
                    </w:rPr>
                  </w:pPr>
                  <w:r>
                    <w:rPr>
                      <w:rFonts w:hint="eastAsia"/>
                      <w:color w:val="auto"/>
                      <w:lang w:val="en-US" w:eastAsia="zh-CN"/>
                    </w:rPr>
                    <w:t>/</w:t>
                  </w:r>
                </w:p>
              </w:tc>
            </w:tr>
            <w:tr w14:paraId="62CA875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02" w:type="dxa"/>
                  <w:vMerge w:val="continue"/>
                  <w:noWrap w:val="0"/>
                  <w:vAlign w:val="center"/>
                </w:tcPr>
                <w:p w14:paraId="08A2397A">
                  <w:pPr>
                    <w:pStyle w:val="28"/>
                    <w:bidi w:val="0"/>
                    <w:rPr>
                      <w:rFonts w:hint="eastAsia"/>
                      <w:color w:val="auto"/>
                      <w:lang w:val="en-US" w:eastAsia="zh-CN"/>
                    </w:rPr>
                  </w:pPr>
                </w:p>
              </w:tc>
              <w:tc>
                <w:tcPr>
                  <w:tcW w:w="875" w:type="dxa"/>
                  <w:vMerge w:val="continue"/>
                  <w:noWrap w:val="0"/>
                  <w:vAlign w:val="center"/>
                </w:tcPr>
                <w:p w14:paraId="565853D1">
                  <w:pPr>
                    <w:pStyle w:val="28"/>
                    <w:bidi w:val="0"/>
                    <w:rPr>
                      <w:color w:val="auto"/>
                    </w:rPr>
                  </w:pPr>
                </w:p>
              </w:tc>
              <w:tc>
                <w:tcPr>
                  <w:tcW w:w="3951" w:type="dxa"/>
                  <w:noWrap w:val="0"/>
                  <w:vAlign w:val="center"/>
                </w:tcPr>
                <w:p w14:paraId="49920B85">
                  <w:pPr>
                    <w:pStyle w:val="28"/>
                    <w:bidi w:val="0"/>
                    <w:rPr>
                      <w:rFonts w:hint="eastAsia"/>
                      <w:color w:val="auto"/>
                      <w:lang w:val="en-US" w:eastAsia="zh-CN"/>
                    </w:rPr>
                  </w:pPr>
                  <w:r>
                    <w:rPr>
                      <w:rFonts w:hint="eastAsia"/>
                      <w:color w:val="auto"/>
                      <w:lang w:val="en-US" w:eastAsia="zh-CN"/>
                    </w:rPr>
                    <w:t>厂内配置1台雾炮机，在装卸作业时喷雾降尘。厂区靠近生产区的北侧、东北侧围墙设置喷淋装置，进一步降尘。</w:t>
                  </w:r>
                </w:p>
              </w:tc>
              <w:tc>
                <w:tcPr>
                  <w:tcW w:w="1624" w:type="dxa"/>
                  <w:noWrap w:val="0"/>
                  <w:vAlign w:val="center"/>
                </w:tcPr>
                <w:p w14:paraId="3679795F">
                  <w:pPr>
                    <w:pStyle w:val="28"/>
                    <w:bidi w:val="0"/>
                    <w:rPr>
                      <w:rFonts w:hint="default"/>
                      <w:color w:val="auto"/>
                      <w:lang w:val="en-US" w:eastAsia="zh-CN"/>
                    </w:rPr>
                  </w:pPr>
                  <w:r>
                    <w:rPr>
                      <w:rFonts w:hint="eastAsia"/>
                      <w:color w:val="auto"/>
                      <w:lang w:val="en-US" w:eastAsia="zh-CN"/>
                    </w:rPr>
                    <w:t>雾炮机、围墙喷淋装置</w:t>
                  </w:r>
                </w:p>
              </w:tc>
              <w:tc>
                <w:tcPr>
                  <w:tcW w:w="1024" w:type="dxa"/>
                  <w:noWrap w:val="0"/>
                  <w:vAlign w:val="center"/>
                </w:tcPr>
                <w:p w14:paraId="7FFC403B">
                  <w:pPr>
                    <w:pStyle w:val="28"/>
                    <w:bidi w:val="0"/>
                    <w:rPr>
                      <w:rFonts w:hint="default"/>
                      <w:color w:val="auto"/>
                      <w:lang w:val="en-US" w:eastAsia="zh-CN"/>
                    </w:rPr>
                  </w:pPr>
                  <w:r>
                    <w:rPr>
                      <w:rFonts w:hint="eastAsia"/>
                      <w:color w:val="auto"/>
                      <w:lang w:val="en-US" w:eastAsia="zh-CN"/>
                    </w:rPr>
                    <w:t>3.0</w:t>
                  </w:r>
                </w:p>
              </w:tc>
            </w:tr>
            <w:tr w14:paraId="5DF2336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02" w:type="dxa"/>
                  <w:noWrap w:val="0"/>
                  <w:vAlign w:val="center"/>
                </w:tcPr>
                <w:p w14:paraId="7821AC70">
                  <w:pPr>
                    <w:pStyle w:val="28"/>
                    <w:bidi w:val="0"/>
                    <w:rPr>
                      <w:color w:val="auto"/>
                    </w:rPr>
                  </w:pPr>
                  <w:r>
                    <w:rPr>
                      <w:color w:val="auto"/>
                    </w:rPr>
                    <w:t>3</w:t>
                  </w:r>
                </w:p>
              </w:tc>
              <w:tc>
                <w:tcPr>
                  <w:tcW w:w="875" w:type="dxa"/>
                  <w:noWrap w:val="0"/>
                  <w:vAlign w:val="center"/>
                </w:tcPr>
                <w:p w14:paraId="5EFA2E58">
                  <w:pPr>
                    <w:pStyle w:val="28"/>
                    <w:bidi w:val="0"/>
                    <w:rPr>
                      <w:color w:val="auto"/>
                    </w:rPr>
                  </w:pPr>
                  <w:r>
                    <w:rPr>
                      <w:color w:val="auto"/>
                    </w:rPr>
                    <w:t>噪声</w:t>
                  </w:r>
                </w:p>
              </w:tc>
              <w:tc>
                <w:tcPr>
                  <w:tcW w:w="5575" w:type="dxa"/>
                  <w:gridSpan w:val="2"/>
                  <w:noWrap w:val="0"/>
                  <w:vAlign w:val="center"/>
                </w:tcPr>
                <w:p w14:paraId="300CCC6C">
                  <w:pPr>
                    <w:pStyle w:val="28"/>
                    <w:bidi w:val="0"/>
                    <w:rPr>
                      <w:rFonts w:hint="eastAsia"/>
                      <w:color w:val="auto"/>
                    </w:rPr>
                  </w:pPr>
                  <w:r>
                    <w:rPr>
                      <w:rFonts w:hint="eastAsia"/>
                      <w:color w:val="auto"/>
                    </w:rPr>
                    <w:t>厂房隔声、设备基础设置</w:t>
                  </w:r>
                  <w:r>
                    <w:rPr>
                      <w:color w:val="auto"/>
                    </w:rPr>
                    <w:t>减振垫等综合降噪措施</w:t>
                  </w:r>
                </w:p>
              </w:tc>
              <w:tc>
                <w:tcPr>
                  <w:tcW w:w="1024" w:type="dxa"/>
                  <w:noWrap w:val="0"/>
                  <w:vAlign w:val="center"/>
                </w:tcPr>
                <w:p w14:paraId="154DB983">
                  <w:pPr>
                    <w:pStyle w:val="28"/>
                    <w:bidi w:val="0"/>
                    <w:rPr>
                      <w:rFonts w:hint="default"/>
                      <w:color w:val="auto"/>
                      <w:lang w:val="en-US" w:eastAsia="zh-CN"/>
                    </w:rPr>
                  </w:pPr>
                  <w:r>
                    <w:rPr>
                      <w:rFonts w:hint="eastAsia"/>
                      <w:color w:val="auto"/>
                      <w:lang w:val="en-US" w:eastAsia="zh-CN"/>
                    </w:rPr>
                    <w:t>2.0</w:t>
                  </w:r>
                </w:p>
              </w:tc>
            </w:tr>
            <w:tr w14:paraId="053A323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02" w:type="dxa"/>
                  <w:noWrap w:val="0"/>
                  <w:vAlign w:val="center"/>
                </w:tcPr>
                <w:p w14:paraId="561769C1">
                  <w:pPr>
                    <w:pStyle w:val="28"/>
                    <w:bidi w:val="0"/>
                    <w:rPr>
                      <w:color w:val="auto"/>
                    </w:rPr>
                  </w:pPr>
                  <w:r>
                    <w:rPr>
                      <w:color w:val="auto"/>
                    </w:rPr>
                    <w:t>4</w:t>
                  </w:r>
                </w:p>
              </w:tc>
              <w:tc>
                <w:tcPr>
                  <w:tcW w:w="875" w:type="dxa"/>
                  <w:noWrap w:val="0"/>
                  <w:vAlign w:val="center"/>
                </w:tcPr>
                <w:p w14:paraId="56372F82">
                  <w:pPr>
                    <w:pStyle w:val="28"/>
                    <w:bidi w:val="0"/>
                    <w:rPr>
                      <w:color w:val="auto"/>
                    </w:rPr>
                  </w:pPr>
                  <w:r>
                    <w:rPr>
                      <w:color w:val="auto"/>
                    </w:rPr>
                    <w:t>固体废物</w:t>
                  </w:r>
                </w:p>
              </w:tc>
              <w:tc>
                <w:tcPr>
                  <w:tcW w:w="5575" w:type="dxa"/>
                  <w:gridSpan w:val="2"/>
                  <w:noWrap w:val="0"/>
                  <w:vAlign w:val="center"/>
                </w:tcPr>
                <w:p w14:paraId="370916BA">
                  <w:pPr>
                    <w:pStyle w:val="28"/>
                    <w:bidi w:val="0"/>
                    <w:rPr>
                      <w:color w:val="auto"/>
                    </w:rPr>
                  </w:pPr>
                  <w:r>
                    <w:rPr>
                      <w:color w:val="auto"/>
                    </w:rPr>
                    <w:t>垃圾收集装置，</w:t>
                  </w:r>
                  <w:r>
                    <w:rPr>
                      <w:rFonts w:hint="eastAsia"/>
                      <w:color w:val="auto"/>
                    </w:rPr>
                    <w:t>一般工业固废暂存间、</w:t>
                  </w:r>
                  <w:r>
                    <w:rPr>
                      <w:color w:val="auto"/>
                    </w:rPr>
                    <w:t>危险废物</w:t>
                  </w:r>
                  <w:r>
                    <w:rPr>
                      <w:rFonts w:hint="eastAsia"/>
                      <w:color w:val="auto"/>
                      <w:lang w:eastAsia="zh-CN"/>
                    </w:rPr>
                    <w:t>贮存库</w:t>
                  </w:r>
                  <w:r>
                    <w:rPr>
                      <w:color w:val="auto"/>
                    </w:rPr>
                    <w:t>及委托处置</w:t>
                  </w:r>
                  <w:r>
                    <w:rPr>
                      <w:rFonts w:hint="eastAsia"/>
                      <w:color w:val="auto"/>
                    </w:rPr>
                    <w:t>等</w:t>
                  </w:r>
                </w:p>
              </w:tc>
              <w:tc>
                <w:tcPr>
                  <w:tcW w:w="1024" w:type="dxa"/>
                  <w:noWrap w:val="0"/>
                  <w:vAlign w:val="center"/>
                </w:tcPr>
                <w:p w14:paraId="5A3F3F7C">
                  <w:pPr>
                    <w:pStyle w:val="28"/>
                    <w:bidi w:val="0"/>
                    <w:rPr>
                      <w:rFonts w:hint="default"/>
                      <w:color w:val="auto"/>
                      <w:lang w:val="en-US"/>
                    </w:rPr>
                  </w:pPr>
                  <w:r>
                    <w:rPr>
                      <w:rFonts w:hint="eastAsia"/>
                      <w:color w:val="auto"/>
                      <w:lang w:val="en-US" w:eastAsia="zh-CN"/>
                    </w:rPr>
                    <w:t>5.0</w:t>
                  </w:r>
                </w:p>
              </w:tc>
            </w:tr>
            <w:tr w14:paraId="61DA07E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02" w:type="dxa"/>
                  <w:noWrap w:val="0"/>
                  <w:vAlign w:val="center"/>
                </w:tcPr>
                <w:p w14:paraId="60BEDF1E">
                  <w:pPr>
                    <w:pStyle w:val="28"/>
                    <w:bidi w:val="0"/>
                    <w:rPr>
                      <w:rFonts w:hint="eastAsia"/>
                      <w:color w:val="auto"/>
                      <w:lang w:val="en-US" w:eastAsia="zh-CN"/>
                    </w:rPr>
                  </w:pPr>
                  <w:r>
                    <w:rPr>
                      <w:rFonts w:hint="eastAsia"/>
                      <w:color w:val="auto"/>
                      <w:lang w:val="en-US" w:eastAsia="zh-CN"/>
                    </w:rPr>
                    <w:t>5</w:t>
                  </w:r>
                </w:p>
              </w:tc>
              <w:tc>
                <w:tcPr>
                  <w:tcW w:w="875" w:type="dxa"/>
                  <w:noWrap w:val="0"/>
                  <w:vAlign w:val="center"/>
                </w:tcPr>
                <w:p w14:paraId="7EBDB2EE">
                  <w:pPr>
                    <w:pStyle w:val="28"/>
                    <w:bidi w:val="0"/>
                    <w:rPr>
                      <w:rFonts w:hint="eastAsia"/>
                      <w:color w:val="auto"/>
                      <w:lang w:eastAsia="zh-CN"/>
                    </w:rPr>
                  </w:pPr>
                  <w:r>
                    <w:rPr>
                      <w:rFonts w:hint="eastAsia"/>
                      <w:color w:val="auto"/>
                      <w:lang w:eastAsia="zh-CN"/>
                    </w:rPr>
                    <w:t>地下水及土壤</w:t>
                  </w:r>
                </w:p>
              </w:tc>
              <w:tc>
                <w:tcPr>
                  <w:tcW w:w="5575" w:type="dxa"/>
                  <w:gridSpan w:val="2"/>
                  <w:noWrap w:val="0"/>
                  <w:vAlign w:val="center"/>
                </w:tcPr>
                <w:p w14:paraId="6AC95E66">
                  <w:pPr>
                    <w:pStyle w:val="28"/>
                    <w:bidi w:val="0"/>
                    <w:rPr>
                      <w:rFonts w:hint="default"/>
                      <w:color w:val="auto"/>
                      <w:lang w:val="en-US" w:eastAsia="zh-CN"/>
                    </w:rPr>
                  </w:pPr>
                  <w:r>
                    <w:rPr>
                      <w:rFonts w:hint="eastAsia"/>
                      <w:color w:val="auto"/>
                      <w:lang w:val="en-US" w:eastAsia="zh-CN"/>
                    </w:rPr>
                    <w:t>地面硬化（纳入主体投资）、分区防渗</w:t>
                  </w:r>
                </w:p>
              </w:tc>
              <w:tc>
                <w:tcPr>
                  <w:tcW w:w="1024" w:type="dxa"/>
                  <w:noWrap w:val="0"/>
                  <w:vAlign w:val="center"/>
                </w:tcPr>
                <w:p w14:paraId="50C29D6A">
                  <w:pPr>
                    <w:pStyle w:val="28"/>
                    <w:bidi w:val="0"/>
                    <w:rPr>
                      <w:rFonts w:hint="default"/>
                      <w:color w:val="auto"/>
                      <w:lang w:val="en-US" w:eastAsia="zh-CN"/>
                    </w:rPr>
                  </w:pPr>
                  <w:r>
                    <w:rPr>
                      <w:rFonts w:hint="eastAsia"/>
                      <w:color w:val="auto"/>
                      <w:lang w:val="en-US" w:eastAsia="zh-CN"/>
                    </w:rPr>
                    <w:t>10.0</w:t>
                  </w:r>
                </w:p>
              </w:tc>
            </w:tr>
            <w:tr w14:paraId="0AEE5BE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602" w:type="dxa"/>
                  <w:noWrap w:val="0"/>
                  <w:vAlign w:val="center"/>
                </w:tcPr>
                <w:p w14:paraId="67AB2B80">
                  <w:pPr>
                    <w:pStyle w:val="28"/>
                    <w:bidi w:val="0"/>
                    <w:rPr>
                      <w:rFonts w:hint="default"/>
                      <w:color w:val="auto"/>
                      <w:lang w:val="en-US" w:eastAsia="zh-CN"/>
                    </w:rPr>
                  </w:pPr>
                  <w:r>
                    <w:rPr>
                      <w:rFonts w:hint="eastAsia"/>
                      <w:color w:val="auto"/>
                      <w:lang w:val="en-US" w:eastAsia="zh-CN"/>
                    </w:rPr>
                    <w:t>6</w:t>
                  </w:r>
                </w:p>
              </w:tc>
              <w:tc>
                <w:tcPr>
                  <w:tcW w:w="875" w:type="dxa"/>
                  <w:noWrap w:val="0"/>
                  <w:vAlign w:val="center"/>
                </w:tcPr>
                <w:p w14:paraId="2D741C39">
                  <w:pPr>
                    <w:pStyle w:val="28"/>
                    <w:bidi w:val="0"/>
                    <w:rPr>
                      <w:rFonts w:hint="default"/>
                      <w:color w:val="auto"/>
                      <w:lang w:val="en-US" w:eastAsia="zh-CN"/>
                    </w:rPr>
                  </w:pPr>
                  <w:r>
                    <w:rPr>
                      <w:rFonts w:hint="eastAsia"/>
                      <w:color w:val="auto"/>
                      <w:lang w:val="en-US" w:eastAsia="zh-CN"/>
                    </w:rPr>
                    <w:t>环境风险</w:t>
                  </w:r>
                </w:p>
              </w:tc>
              <w:tc>
                <w:tcPr>
                  <w:tcW w:w="5575" w:type="dxa"/>
                  <w:gridSpan w:val="2"/>
                  <w:noWrap w:val="0"/>
                  <w:vAlign w:val="center"/>
                </w:tcPr>
                <w:p w14:paraId="7E47BBBE">
                  <w:pPr>
                    <w:pStyle w:val="28"/>
                    <w:bidi w:val="0"/>
                    <w:rPr>
                      <w:rFonts w:hint="default"/>
                      <w:color w:val="auto"/>
                      <w:lang w:val="en-GB" w:eastAsia="zh-CN"/>
                    </w:rPr>
                  </w:pPr>
                  <w:r>
                    <w:rPr>
                      <w:rFonts w:hint="eastAsia"/>
                      <w:color w:val="auto"/>
                      <w:lang w:val="en-US" w:eastAsia="zh-CN"/>
                    </w:rPr>
                    <w:t>配套应急物资，制定相应的环境管理制度、隐患排查制度以及应急制度，以及配备相应的环境应急物资</w:t>
                  </w:r>
                  <w:r>
                    <w:rPr>
                      <w:rFonts w:hint="eastAsia"/>
                      <w:color w:val="auto"/>
                      <w:lang w:eastAsia="zh-CN"/>
                    </w:rPr>
                    <w:t>。</w:t>
                  </w:r>
                </w:p>
              </w:tc>
              <w:tc>
                <w:tcPr>
                  <w:tcW w:w="1024" w:type="dxa"/>
                  <w:noWrap w:val="0"/>
                  <w:vAlign w:val="center"/>
                </w:tcPr>
                <w:p w14:paraId="13A206EA">
                  <w:pPr>
                    <w:pStyle w:val="28"/>
                    <w:bidi w:val="0"/>
                    <w:rPr>
                      <w:rFonts w:hint="default"/>
                      <w:color w:val="auto"/>
                      <w:lang w:val="en-US" w:eastAsia="zh-CN"/>
                    </w:rPr>
                  </w:pPr>
                  <w:r>
                    <w:rPr>
                      <w:rFonts w:hint="eastAsia"/>
                      <w:color w:val="auto"/>
                      <w:lang w:val="en-US" w:eastAsia="zh-CN"/>
                    </w:rPr>
                    <w:t>5.0</w:t>
                  </w:r>
                </w:p>
              </w:tc>
            </w:tr>
            <w:tr w14:paraId="2C2949E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7052" w:type="dxa"/>
                  <w:gridSpan w:val="4"/>
                  <w:noWrap w:val="0"/>
                  <w:vAlign w:val="center"/>
                </w:tcPr>
                <w:p w14:paraId="5CB4FDA7">
                  <w:pPr>
                    <w:pStyle w:val="28"/>
                    <w:bidi w:val="0"/>
                    <w:rPr>
                      <w:color w:val="auto"/>
                    </w:rPr>
                  </w:pPr>
                  <w:r>
                    <w:rPr>
                      <w:color w:val="auto"/>
                    </w:rPr>
                    <w:t>合  计</w:t>
                  </w:r>
                </w:p>
              </w:tc>
              <w:tc>
                <w:tcPr>
                  <w:tcW w:w="1024" w:type="dxa"/>
                  <w:noWrap w:val="0"/>
                  <w:vAlign w:val="center"/>
                </w:tcPr>
                <w:p w14:paraId="5F6318A7">
                  <w:pPr>
                    <w:pStyle w:val="28"/>
                    <w:bidi w:val="0"/>
                    <w:rPr>
                      <w:rFonts w:hint="default"/>
                      <w:color w:val="auto"/>
                      <w:lang w:val="en-US" w:eastAsia="zh-CN"/>
                    </w:rPr>
                  </w:pPr>
                  <w:r>
                    <w:rPr>
                      <w:rFonts w:hint="eastAsia"/>
                      <w:color w:val="auto"/>
                      <w:lang w:val="en-US" w:eastAsia="zh-CN"/>
                    </w:rPr>
                    <w:t>105</w:t>
                  </w:r>
                </w:p>
              </w:tc>
            </w:tr>
          </w:tbl>
          <w:p w14:paraId="5A49D316">
            <w:pPr>
              <w:bidi w:val="0"/>
              <w:rPr>
                <w:rFonts w:hint="default" w:ascii="Times New Roman" w:hAnsi="Times New Roman" w:eastAsia="宋体" w:cs="Times New Roman"/>
                <w:color w:val="auto"/>
                <w:lang w:val="en-US" w:eastAsia="zh-CN"/>
              </w:rPr>
            </w:pPr>
            <w:r>
              <w:rPr>
                <w:rFonts w:hint="eastAsia"/>
                <w:color w:val="auto"/>
                <w:lang w:val="en-US" w:eastAsia="zh-CN"/>
              </w:rPr>
              <w:t>注：3#物料库、搅拌楼、地面硬化纳入项目主体投资，因此不计入环保投资中。</w:t>
            </w:r>
          </w:p>
        </w:tc>
      </w:tr>
    </w:tbl>
    <w:p w14:paraId="09A5557C">
      <w:pPr>
        <w:pStyle w:val="17"/>
        <w:jc w:val="center"/>
        <w:outlineLvl w:val="0"/>
        <w:rPr>
          <w:rFonts w:hint="default" w:ascii="Times New Roman" w:hAnsi="Times New Roman" w:eastAsia="宋体" w:cs="Times New Roman"/>
          <w:b/>
          <w:bCs/>
          <w:snapToGrid w:val="0"/>
          <w:color w:val="auto"/>
          <w:sz w:val="30"/>
          <w:szCs w:val="30"/>
          <w:highlight w:val="none"/>
        </w:rPr>
        <w:sectPr>
          <w:pgSz w:w="11906" w:h="16838"/>
          <w:pgMar w:top="1417" w:right="1417" w:bottom="1417" w:left="1417" w:header="851" w:footer="851" w:gutter="0"/>
          <w:pgBorders>
            <w:top w:val="none" w:sz="0" w:space="0"/>
            <w:left w:val="none" w:sz="0" w:space="0"/>
            <w:bottom w:val="none" w:sz="0" w:space="0"/>
            <w:right w:val="none" w:sz="0" w:space="0"/>
          </w:pgBorders>
          <w:pgNumType w:fmt="numberInDash"/>
          <w:cols w:space="720" w:num="1"/>
          <w:docGrid w:linePitch="312" w:charSpace="0"/>
        </w:sectPr>
      </w:pPr>
    </w:p>
    <w:p w14:paraId="5661826D">
      <w:pPr>
        <w:pStyle w:val="17"/>
        <w:jc w:val="center"/>
        <w:outlineLvl w:val="0"/>
        <w:rPr>
          <w:rFonts w:hint="default" w:ascii="Times New Roman" w:hAnsi="Times New Roman" w:eastAsia="宋体" w:cs="Times New Roman"/>
          <w:b/>
          <w:bCs/>
          <w:snapToGrid w:val="0"/>
          <w:color w:val="auto"/>
          <w:sz w:val="30"/>
          <w:szCs w:val="30"/>
          <w:highlight w:val="none"/>
        </w:rPr>
      </w:pPr>
      <w:bookmarkStart w:id="43" w:name="_Toc16858"/>
      <w:r>
        <w:rPr>
          <w:rFonts w:hint="default" w:ascii="Times New Roman" w:hAnsi="Times New Roman" w:eastAsia="宋体" w:cs="Times New Roman"/>
          <w:b/>
          <w:bCs/>
          <w:snapToGrid w:val="0"/>
          <w:color w:val="auto"/>
          <w:sz w:val="30"/>
          <w:szCs w:val="30"/>
          <w:highlight w:val="none"/>
        </w:rPr>
        <w:t>五、</w:t>
      </w:r>
      <w:bookmarkStart w:id="44" w:name="_Hlk54167917"/>
      <w:r>
        <w:rPr>
          <w:rFonts w:hint="default" w:ascii="Times New Roman" w:hAnsi="Times New Roman" w:eastAsia="宋体" w:cs="Times New Roman"/>
          <w:b/>
          <w:bCs/>
          <w:snapToGrid w:val="0"/>
          <w:color w:val="auto"/>
          <w:sz w:val="30"/>
          <w:szCs w:val="30"/>
          <w:highlight w:val="none"/>
        </w:rPr>
        <w:t>环境保护措施监督检查清单</w:t>
      </w:r>
      <w:bookmarkEnd w:id="40"/>
      <w:bookmarkEnd w:id="43"/>
      <w:bookmarkEnd w:id="44"/>
    </w:p>
    <w:tbl>
      <w:tblPr>
        <w:tblStyle w:val="2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60"/>
        <w:gridCol w:w="1066"/>
        <w:gridCol w:w="1108"/>
        <w:gridCol w:w="3256"/>
        <w:gridCol w:w="2310"/>
      </w:tblGrid>
      <w:tr w14:paraId="58B546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07" w:hRule="atLeast"/>
          <w:jc w:val="center"/>
        </w:trPr>
        <w:tc>
          <w:tcPr>
            <w:tcW w:w="1060" w:type="dxa"/>
            <w:tcBorders>
              <w:tl2br w:val="single" w:color="auto" w:sz="4" w:space="0"/>
            </w:tcBorders>
            <w:noWrap w:val="0"/>
            <w:vAlign w:val="top"/>
          </w:tcPr>
          <w:p w14:paraId="6C6A50FB">
            <w:pPr>
              <w:pStyle w:val="28"/>
              <w:bidi w:val="0"/>
              <w:jc w:val="right"/>
              <w:rPr>
                <w:rFonts w:hint="default"/>
                <w:color w:val="auto"/>
              </w:rPr>
            </w:pPr>
            <w:r>
              <w:rPr>
                <w:rFonts w:hint="default"/>
                <w:color w:val="auto"/>
              </w:rPr>
              <w:t>内容</w:t>
            </w:r>
          </w:p>
          <w:p w14:paraId="1ABFFC1C">
            <w:pPr>
              <w:pStyle w:val="28"/>
              <w:bidi w:val="0"/>
              <w:jc w:val="left"/>
              <w:rPr>
                <w:rFonts w:hint="default"/>
                <w:color w:val="auto"/>
              </w:rPr>
            </w:pPr>
          </w:p>
          <w:p w14:paraId="2758615A">
            <w:pPr>
              <w:pStyle w:val="28"/>
              <w:bidi w:val="0"/>
              <w:jc w:val="left"/>
              <w:rPr>
                <w:rFonts w:hint="default"/>
                <w:color w:val="auto"/>
              </w:rPr>
            </w:pPr>
          </w:p>
          <w:p w14:paraId="4F49A8CB">
            <w:pPr>
              <w:pStyle w:val="28"/>
              <w:bidi w:val="0"/>
              <w:jc w:val="left"/>
              <w:rPr>
                <w:rFonts w:hint="default"/>
                <w:color w:val="auto"/>
              </w:rPr>
            </w:pPr>
            <w:r>
              <w:rPr>
                <w:rFonts w:hint="default"/>
                <w:color w:val="auto"/>
              </w:rPr>
              <w:t>要素</w:t>
            </w:r>
          </w:p>
        </w:tc>
        <w:tc>
          <w:tcPr>
            <w:tcW w:w="1066" w:type="dxa"/>
            <w:noWrap w:val="0"/>
            <w:vAlign w:val="center"/>
          </w:tcPr>
          <w:p w14:paraId="543939C1">
            <w:pPr>
              <w:pStyle w:val="28"/>
              <w:bidi w:val="0"/>
              <w:rPr>
                <w:rFonts w:hint="default"/>
                <w:color w:val="auto"/>
              </w:rPr>
            </w:pPr>
            <w:r>
              <w:rPr>
                <w:rFonts w:hint="default"/>
                <w:color w:val="auto"/>
              </w:rPr>
              <w:t>排放口(编号、名称)/污染源</w:t>
            </w:r>
          </w:p>
        </w:tc>
        <w:tc>
          <w:tcPr>
            <w:tcW w:w="1108" w:type="dxa"/>
            <w:noWrap w:val="0"/>
            <w:vAlign w:val="center"/>
          </w:tcPr>
          <w:p w14:paraId="08BA777A">
            <w:pPr>
              <w:pStyle w:val="28"/>
              <w:bidi w:val="0"/>
              <w:rPr>
                <w:rFonts w:hint="default"/>
                <w:color w:val="auto"/>
              </w:rPr>
            </w:pPr>
            <w:r>
              <w:rPr>
                <w:rFonts w:hint="default"/>
                <w:color w:val="auto"/>
              </w:rPr>
              <w:t>污染物</w:t>
            </w:r>
          </w:p>
          <w:p w14:paraId="5BC1E5AA">
            <w:pPr>
              <w:pStyle w:val="28"/>
              <w:bidi w:val="0"/>
              <w:rPr>
                <w:rFonts w:hint="default"/>
                <w:color w:val="auto"/>
              </w:rPr>
            </w:pPr>
            <w:r>
              <w:rPr>
                <w:rFonts w:hint="default"/>
                <w:color w:val="auto"/>
              </w:rPr>
              <w:t>项目</w:t>
            </w:r>
          </w:p>
        </w:tc>
        <w:tc>
          <w:tcPr>
            <w:tcW w:w="3256" w:type="dxa"/>
            <w:noWrap w:val="0"/>
            <w:vAlign w:val="center"/>
          </w:tcPr>
          <w:p w14:paraId="36101DAB">
            <w:pPr>
              <w:pStyle w:val="28"/>
              <w:bidi w:val="0"/>
              <w:rPr>
                <w:rFonts w:hint="default"/>
                <w:color w:val="auto"/>
              </w:rPr>
            </w:pPr>
            <w:r>
              <w:rPr>
                <w:rFonts w:hint="default"/>
                <w:color w:val="auto"/>
              </w:rPr>
              <w:t>环境保护措施</w:t>
            </w:r>
          </w:p>
        </w:tc>
        <w:tc>
          <w:tcPr>
            <w:tcW w:w="2310" w:type="dxa"/>
            <w:noWrap w:val="0"/>
            <w:vAlign w:val="center"/>
          </w:tcPr>
          <w:p w14:paraId="4CFBD1F8">
            <w:pPr>
              <w:pStyle w:val="28"/>
              <w:bidi w:val="0"/>
              <w:rPr>
                <w:rFonts w:hint="default"/>
                <w:color w:val="auto"/>
              </w:rPr>
            </w:pPr>
            <w:r>
              <w:rPr>
                <w:rFonts w:hint="default"/>
                <w:color w:val="auto"/>
              </w:rPr>
              <w:t>执行标准</w:t>
            </w:r>
          </w:p>
        </w:tc>
      </w:tr>
      <w:tr w14:paraId="151FB8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060" w:type="dxa"/>
            <w:vMerge w:val="restart"/>
            <w:noWrap w:val="0"/>
            <w:vAlign w:val="center"/>
          </w:tcPr>
          <w:p w14:paraId="33E23A02">
            <w:pPr>
              <w:pStyle w:val="28"/>
              <w:bidi w:val="0"/>
              <w:rPr>
                <w:rFonts w:hint="default"/>
                <w:color w:val="auto"/>
              </w:rPr>
            </w:pPr>
            <w:r>
              <w:rPr>
                <w:rFonts w:hint="default" w:ascii="Times New Roman" w:hAnsi="Times New Roman" w:eastAsia="宋体" w:cs="Times New Roman"/>
                <w:color w:val="auto"/>
                <w:sz w:val="21"/>
                <w:szCs w:val="21"/>
              </w:rPr>
              <w:t>大气环境</w:t>
            </w:r>
          </w:p>
        </w:tc>
        <w:tc>
          <w:tcPr>
            <w:tcW w:w="1066" w:type="dxa"/>
            <w:noWrap w:val="0"/>
            <w:vAlign w:val="center"/>
          </w:tcPr>
          <w:p w14:paraId="780767C0">
            <w:pPr>
              <w:pStyle w:val="28"/>
              <w:bidi w:val="0"/>
              <w:rPr>
                <w:rFonts w:hint="eastAsia"/>
                <w:color w:val="auto"/>
                <w:lang w:val="en-US" w:eastAsia="zh-CN"/>
              </w:rPr>
            </w:pPr>
            <w:r>
              <w:rPr>
                <w:rFonts w:hint="eastAsia"/>
                <w:color w:val="auto"/>
                <w:lang w:val="en-US" w:eastAsia="zh-CN"/>
              </w:rPr>
              <w:t>厂界</w:t>
            </w:r>
          </w:p>
          <w:p w14:paraId="4C2D2744">
            <w:pPr>
              <w:pStyle w:val="28"/>
              <w:bidi w:val="0"/>
              <w:rPr>
                <w:rFonts w:hint="default"/>
                <w:color w:val="auto"/>
                <w:lang w:val="en-US" w:eastAsia="zh-CN"/>
              </w:rPr>
            </w:pPr>
            <w:r>
              <w:rPr>
                <w:rFonts w:hint="eastAsia"/>
                <w:color w:val="auto"/>
                <w:lang w:val="en-US" w:eastAsia="zh-CN"/>
              </w:rPr>
              <w:t>无组织</w:t>
            </w:r>
          </w:p>
        </w:tc>
        <w:tc>
          <w:tcPr>
            <w:tcW w:w="1108" w:type="dxa"/>
            <w:noWrap w:val="0"/>
            <w:vAlign w:val="center"/>
          </w:tcPr>
          <w:p w14:paraId="4C291B37">
            <w:pPr>
              <w:pStyle w:val="28"/>
              <w:bidi w:val="0"/>
              <w:rPr>
                <w:rFonts w:hint="default"/>
                <w:color w:val="auto"/>
                <w:lang w:val="en-US" w:eastAsia="zh-CN"/>
              </w:rPr>
            </w:pPr>
            <w:r>
              <w:rPr>
                <w:rFonts w:hint="eastAsia"/>
                <w:color w:val="auto"/>
                <w:lang w:val="en-US" w:eastAsia="zh-CN"/>
              </w:rPr>
              <w:t>颗粒物</w:t>
            </w:r>
          </w:p>
        </w:tc>
        <w:tc>
          <w:tcPr>
            <w:tcW w:w="3256" w:type="dxa"/>
            <w:noWrap w:val="0"/>
            <w:vAlign w:val="center"/>
          </w:tcPr>
          <w:p w14:paraId="222F1E92">
            <w:pPr>
              <w:pStyle w:val="28"/>
              <w:bidi w:val="0"/>
              <w:jc w:val="left"/>
              <w:rPr>
                <w:rFonts w:hint="eastAsia"/>
                <w:color w:val="auto"/>
                <w:lang w:val="en-US" w:eastAsia="zh-CN"/>
              </w:rPr>
            </w:pPr>
            <w:r>
              <w:rPr>
                <w:rFonts w:hint="default"/>
                <w:color w:val="auto"/>
                <w:lang w:val="en-US" w:eastAsia="zh-CN"/>
              </w:rPr>
              <w:t>①</w:t>
            </w:r>
            <w:r>
              <w:rPr>
                <w:rFonts w:hint="eastAsia"/>
                <w:color w:val="auto"/>
                <w:lang w:val="en-US" w:eastAsia="zh-CN"/>
              </w:rPr>
              <w:t>砂石料堆场密闭设置（三面及顶部围蔽，仅保留进出料面敞开），配套喷淋装置抑尘；</w:t>
            </w:r>
          </w:p>
          <w:p w14:paraId="36268C16">
            <w:pPr>
              <w:pStyle w:val="28"/>
              <w:bidi w:val="0"/>
              <w:jc w:val="left"/>
              <w:rPr>
                <w:rFonts w:hint="default"/>
                <w:color w:val="auto"/>
                <w:lang w:val="en-US" w:eastAsia="zh-CN"/>
              </w:rPr>
            </w:pPr>
            <w:r>
              <w:rPr>
                <w:rFonts w:hint="default"/>
                <w:color w:val="auto"/>
                <w:lang w:val="en-US" w:eastAsia="zh-CN"/>
              </w:rPr>
              <w:t>②厂区道路硬化、定时人工洒水抑尘和清扫、出入口设置洗车台对进出车辆进行冲洗</w:t>
            </w:r>
            <w:r>
              <w:rPr>
                <w:rFonts w:hint="eastAsia"/>
                <w:color w:val="auto"/>
                <w:lang w:val="en-US" w:eastAsia="zh-CN"/>
              </w:rPr>
              <w:t>；</w:t>
            </w:r>
          </w:p>
          <w:p w14:paraId="222D5D9F">
            <w:pPr>
              <w:pStyle w:val="28"/>
              <w:bidi w:val="0"/>
              <w:jc w:val="left"/>
              <w:rPr>
                <w:rFonts w:hint="eastAsia"/>
                <w:color w:val="auto"/>
                <w:lang w:val="en-US" w:eastAsia="zh-CN"/>
              </w:rPr>
            </w:pPr>
            <w:r>
              <w:rPr>
                <w:rFonts w:hint="default"/>
                <w:color w:val="auto"/>
                <w:lang w:val="en-US" w:eastAsia="zh-CN"/>
              </w:rPr>
              <w:t>③</w:t>
            </w:r>
            <w:r>
              <w:rPr>
                <w:rFonts w:hint="eastAsia"/>
                <w:color w:val="auto"/>
                <w:lang w:val="en-US" w:eastAsia="zh-CN"/>
              </w:rPr>
              <w:t>搅拌站整体封</w:t>
            </w:r>
            <w:r>
              <w:rPr>
                <w:rFonts w:hint="eastAsia"/>
                <w:color w:val="auto"/>
                <w:sz w:val="21"/>
                <w:szCs w:val="21"/>
                <w:lang w:val="en-US" w:eastAsia="zh-CN"/>
              </w:rPr>
              <w:t>闭设置并配套喷淋装置抑尘，</w:t>
            </w:r>
            <w:r>
              <w:rPr>
                <w:rFonts w:hint="eastAsia" w:ascii="Times New Roman" w:hAnsi="Times New Roman" w:eastAsia="宋体" w:cs="Times New Roman"/>
                <w:color w:val="auto"/>
                <w:kern w:val="0"/>
                <w:sz w:val="21"/>
                <w:szCs w:val="21"/>
                <w:highlight w:val="none"/>
                <w:lang w:val="en-US" w:eastAsia="zh-CN" w:bidi="ar-SA"/>
              </w:rPr>
              <w:t>搅拌站进料口配套喷淋装置抑尘，</w:t>
            </w:r>
            <w:r>
              <w:rPr>
                <w:rFonts w:hint="eastAsia"/>
                <w:color w:val="auto"/>
                <w:sz w:val="21"/>
                <w:szCs w:val="21"/>
                <w:lang w:val="en-US" w:eastAsia="zh-CN"/>
              </w:rPr>
              <w:t>搅拌机密闭运行，加水湿式搅拌；</w:t>
            </w:r>
          </w:p>
          <w:p w14:paraId="6D1594E4">
            <w:pPr>
              <w:pStyle w:val="28"/>
              <w:bidi w:val="0"/>
              <w:jc w:val="left"/>
              <w:rPr>
                <w:rFonts w:hint="default"/>
                <w:color w:val="auto"/>
                <w:lang w:val="en-US" w:eastAsia="zh-CN"/>
              </w:rPr>
            </w:pPr>
            <w:r>
              <w:rPr>
                <w:rFonts w:hint="default"/>
                <w:color w:val="auto"/>
                <w:lang w:val="en-US" w:eastAsia="zh-CN"/>
              </w:rPr>
              <w:t>④</w:t>
            </w:r>
            <w:r>
              <w:rPr>
                <w:rFonts w:hint="eastAsia"/>
                <w:color w:val="auto"/>
                <w:lang w:val="en-US" w:eastAsia="zh-CN"/>
              </w:rPr>
              <w:t>粉料仓顶置脉冲布袋除尘器对呼吸尘进行收集后车间内无组织排放，同时粉料仓所在的2#搅拌楼内部设有喷淋除尘装置。</w:t>
            </w:r>
          </w:p>
          <w:p w14:paraId="3238208B">
            <w:pPr>
              <w:pStyle w:val="28"/>
              <w:bidi w:val="0"/>
              <w:jc w:val="left"/>
              <w:rPr>
                <w:rFonts w:hint="default"/>
                <w:color w:val="auto"/>
                <w:lang w:val="en-US" w:eastAsia="zh-CN"/>
              </w:rPr>
            </w:pPr>
            <w:r>
              <w:rPr>
                <w:rFonts w:hint="eastAsia"/>
                <w:color w:val="auto"/>
                <w:lang w:val="en-US" w:eastAsia="zh-CN"/>
              </w:rPr>
              <w:t>⑤输送带仅保留进卸料口，走廊封闭，进料区、输送带进出料口配套喷淋装置抑尘；</w:t>
            </w:r>
          </w:p>
          <w:p w14:paraId="2E0129E1">
            <w:pPr>
              <w:pStyle w:val="28"/>
              <w:bidi w:val="0"/>
              <w:jc w:val="left"/>
              <w:rPr>
                <w:rFonts w:hint="default"/>
                <w:color w:val="auto"/>
                <w:lang w:val="en-US" w:eastAsia="zh-CN"/>
              </w:rPr>
            </w:pPr>
            <w:r>
              <w:rPr>
                <w:rFonts w:hint="eastAsia"/>
                <w:color w:val="auto"/>
                <w:lang w:val="en-US" w:eastAsia="zh-CN"/>
              </w:rPr>
              <w:t>⑥焊接烟尘车间内无组织排放；加强日常作业管理，切割、焊接等工序在相应车间内进行，并及时清扫重力沉降在地面的积尘；</w:t>
            </w:r>
          </w:p>
          <w:p w14:paraId="71F71C52">
            <w:pPr>
              <w:pStyle w:val="28"/>
              <w:bidi w:val="0"/>
              <w:jc w:val="left"/>
              <w:rPr>
                <w:rFonts w:hint="default"/>
                <w:color w:val="auto"/>
                <w:lang w:val="en-US" w:eastAsia="zh-CN"/>
              </w:rPr>
            </w:pPr>
            <w:r>
              <w:rPr>
                <w:rFonts w:hint="eastAsia"/>
                <w:color w:val="auto"/>
                <w:lang w:val="en-US" w:eastAsia="zh-CN"/>
              </w:rPr>
              <w:t>⑦3#物料库，建筑垃圾回收利用生产线车间整体封闭，同时内部设置喷淋除尘装置。</w:t>
            </w:r>
          </w:p>
          <w:p w14:paraId="3DEB88A9">
            <w:pPr>
              <w:pStyle w:val="28"/>
              <w:bidi w:val="0"/>
              <w:jc w:val="left"/>
              <w:rPr>
                <w:rFonts w:hint="default"/>
                <w:color w:val="auto"/>
                <w:lang w:val="en-US" w:eastAsia="zh-CN"/>
              </w:rPr>
            </w:pPr>
            <w:r>
              <w:rPr>
                <w:rFonts w:hint="eastAsia"/>
                <w:color w:val="auto"/>
                <w:lang w:val="en-US" w:eastAsia="zh-CN"/>
              </w:rPr>
              <w:t>⑧厂区配套雾炮机，在装卸作业时喷雾降尘；靠生产区的西侧、西南侧与南侧围墙配套喷淋抑尘装置，进一步降尘；</w:t>
            </w:r>
          </w:p>
          <w:p w14:paraId="719131AB">
            <w:pPr>
              <w:pStyle w:val="28"/>
              <w:bidi w:val="0"/>
              <w:jc w:val="left"/>
              <w:rPr>
                <w:rFonts w:hint="default"/>
                <w:color w:val="auto"/>
                <w:lang w:val="en-US" w:eastAsia="zh-CN"/>
              </w:rPr>
            </w:pPr>
            <w:r>
              <w:rPr>
                <w:rFonts w:hint="eastAsia"/>
                <w:color w:val="auto"/>
                <w:lang w:val="en-US" w:eastAsia="zh-CN"/>
              </w:rPr>
              <w:t>⑨定期对废气设施进行</w:t>
            </w:r>
            <w:r>
              <w:rPr>
                <w:rFonts w:hint="default"/>
                <w:color w:val="auto"/>
                <w:lang w:val="en-US" w:eastAsia="zh-CN"/>
              </w:rPr>
              <w:t>维护保养</w:t>
            </w:r>
            <w:r>
              <w:rPr>
                <w:rFonts w:hint="eastAsia"/>
                <w:color w:val="auto"/>
                <w:lang w:val="en-US" w:eastAsia="zh-CN"/>
              </w:rPr>
              <w:t>。</w:t>
            </w:r>
          </w:p>
        </w:tc>
        <w:tc>
          <w:tcPr>
            <w:tcW w:w="2310" w:type="dxa"/>
            <w:noWrap w:val="0"/>
            <w:vAlign w:val="center"/>
          </w:tcPr>
          <w:p w14:paraId="2C2E2F97">
            <w:pPr>
              <w:pStyle w:val="28"/>
              <w:bidi w:val="0"/>
              <w:rPr>
                <w:rFonts w:hint="default"/>
                <w:color w:val="auto"/>
                <w:lang w:val="en-US" w:eastAsia="zh-CN"/>
              </w:rPr>
            </w:pPr>
            <w:r>
              <w:rPr>
                <w:rFonts w:hint="eastAsia"/>
                <w:color w:val="auto"/>
                <w:lang w:val="en-US" w:eastAsia="zh-CN"/>
              </w:rPr>
              <w:t>厂界无组织颗粒物从严执行《水泥工业大气污染物排放标准》（DB35/1311-2013）表3排放限值（即颗粒物</w:t>
            </w:r>
            <w:r>
              <w:rPr>
                <w:rFonts w:hint="default"/>
                <w:color w:val="auto"/>
                <w:lang w:val="en-US" w:eastAsia="zh-CN"/>
              </w:rPr>
              <w:t>≤</w:t>
            </w:r>
            <w:r>
              <w:rPr>
                <w:rFonts w:hint="eastAsia"/>
                <w:color w:val="auto"/>
                <w:lang w:val="en-US" w:eastAsia="zh-CN"/>
              </w:rPr>
              <w:t>0.5</w:t>
            </w:r>
            <w:r>
              <w:rPr>
                <w:rFonts w:hint="default"/>
                <w:color w:val="auto"/>
                <w:lang w:val="en-US" w:eastAsia="zh-CN"/>
              </w:rPr>
              <w:t>mg/m</w:t>
            </w:r>
            <w:r>
              <w:rPr>
                <w:rFonts w:hint="default"/>
                <w:color w:val="auto"/>
                <w:vertAlign w:val="superscript"/>
                <w:lang w:val="en-US" w:eastAsia="zh-CN"/>
              </w:rPr>
              <w:t>3</w:t>
            </w:r>
            <w:r>
              <w:rPr>
                <w:rFonts w:hint="eastAsia"/>
                <w:color w:val="auto"/>
                <w:lang w:val="en-US" w:eastAsia="zh-CN"/>
              </w:rPr>
              <w:t>）</w:t>
            </w:r>
          </w:p>
        </w:tc>
      </w:tr>
      <w:tr w14:paraId="1E2245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060" w:type="dxa"/>
            <w:vMerge w:val="continue"/>
            <w:noWrap w:val="0"/>
            <w:vAlign w:val="center"/>
          </w:tcPr>
          <w:p w14:paraId="6CBEAAF7">
            <w:pPr>
              <w:pStyle w:val="28"/>
              <w:bidi w:val="0"/>
              <w:rPr>
                <w:rFonts w:hint="default" w:ascii="Times New Roman" w:hAnsi="Times New Roman" w:eastAsia="宋体" w:cs="Times New Roman"/>
                <w:color w:val="auto"/>
                <w:sz w:val="21"/>
                <w:szCs w:val="21"/>
              </w:rPr>
            </w:pPr>
          </w:p>
        </w:tc>
        <w:tc>
          <w:tcPr>
            <w:tcW w:w="1066" w:type="dxa"/>
            <w:noWrap w:val="0"/>
            <w:vAlign w:val="center"/>
          </w:tcPr>
          <w:p w14:paraId="3E4136F7">
            <w:pPr>
              <w:pStyle w:val="28"/>
              <w:bidi w:val="0"/>
              <w:rPr>
                <w:rFonts w:hint="eastAsia"/>
                <w:lang w:val="en-US" w:eastAsia="zh-CN"/>
              </w:rPr>
            </w:pPr>
            <w:r>
              <w:rPr>
                <w:rFonts w:hint="default"/>
                <w:lang w:val="en-US" w:eastAsia="zh-CN"/>
              </w:rPr>
              <w:t>DA00</w:t>
            </w:r>
            <w:r>
              <w:rPr>
                <w:rFonts w:hint="eastAsia"/>
                <w:lang w:val="en-US" w:eastAsia="zh-CN"/>
              </w:rPr>
              <w:t>1</w:t>
            </w:r>
          </w:p>
          <w:p w14:paraId="3C88869C">
            <w:pPr>
              <w:pStyle w:val="28"/>
              <w:bidi w:val="0"/>
              <w:ind w:left="0" w:leftChars="0" w:firstLine="0" w:firstLineChars="0"/>
              <w:rPr>
                <w:rFonts w:hint="eastAsia"/>
                <w:color w:val="auto"/>
                <w:lang w:val="en-US" w:eastAsia="zh-CN"/>
              </w:rPr>
            </w:pPr>
            <w:r>
              <w:rPr>
                <w:rFonts w:hint="eastAsia"/>
                <w:lang w:val="en-US" w:eastAsia="zh-CN"/>
              </w:rPr>
              <w:t>/破碎、筛分粉尘</w:t>
            </w:r>
          </w:p>
        </w:tc>
        <w:tc>
          <w:tcPr>
            <w:tcW w:w="1108" w:type="dxa"/>
            <w:noWrap w:val="0"/>
            <w:vAlign w:val="center"/>
          </w:tcPr>
          <w:p w14:paraId="607ADE03">
            <w:pPr>
              <w:pStyle w:val="28"/>
              <w:bidi w:val="0"/>
              <w:ind w:left="0" w:leftChars="0" w:firstLine="0" w:firstLineChars="0"/>
              <w:rPr>
                <w:rFonts w:hint="eastAsia"/>
                <w:color w:val="auto"/>
                <w:lang w:val="en-US" w:eastAsia="zh-CN"/>
              </w:rPr>
            </w:pPr>
            <w:r>
              <w:rPr>
                <w:rFonts w:hint="eastAsia"/>
                <w:lang w:val="en-US" w:eastAsia="zh-CN"/>
              </w:rPr>
              <w:t>颗粒物</w:t>
            </w:r>
          </w:p>
        </w:tc>
        <w:tc>
          <w:tcPr>
            <w:tcW w:w="3256" w:type="dxa"/>
            <w:noWrap w:val="0"/>
            <w:vAlign w:val="center"/>
          </w:tcPr>
          <w:p w14:paraId="0CBBA744">
            <w:pPr>
              <w:pStyle w:val="28"/>
              <w:bidi w:val="0"/>
              <w:ind w:left="0" w:leftChars="0" w:firstLine="0" w:firstLineChars="0"/>
              <w:rPr>
                <w:rFonts w:hint="eastAsia"/>
                <w:color w:val="auto"/>
                <w:lang w:val="en-US" w:eastAsia="zh-CN"/>
              </w:rPr>
            </w:pPr>
            <w:r>
              <w:rPr>
                <w:rFonts w:hint="eastAsia"/>
                <w:lang w:val="en-US" w:eastAsia="zh-CN"/>
              </w:rPr>
              <w:t>生产线各设施大部分封闭，进出料口上方设置集气罩，粉尘经各集气罩收集后通过袋式除尘器除尘处理，最后由15m高排气筒DA001排放。</w:t>
            </w:r>
          </w:p>
        </w:tc>
        <w:tc>
          <w:tcPr>
            <w:tcW w:w="2310" w:type="dxa"/>
            <w:noWrap w:val="0"/>
            <w:vAlign w:val="center"/>
          </w:tcPr>
          <w:p w14:paraId="5ED98A3D">
            <w:pPr>
              <w:pStyle w:val="28"/>
              <w:bidi w:val="0"/>
              <w:ind w:left="0" w:leftChars="0" w:firstLine="0" w:firstLineChars="0"/>
              <w:rPr>
                <w:rFonts w:hint="eastAsia"/>
                <w:color w:val="auto"/>
                <w:lang w:val="en-US" w:eastAsia="zh-CN"/>
              </w:rPr>
            </w:pPr>
            <w:r>
              <w:rPr>
                <w:rFonts w:hint="eastAsia"/>
                <w:lang w:val="en-US" w:eastAsia="zh-CN"/>
              </w:rPr>
              <w:t>有组织颗粒物执行《大气污染物综合排放标准》（GB16297-1996）表2大气污染物排放限值（</w:t>
            </w:r>
            <w:r>
              <w:rPr>
                <w:rFonts w:hint="default"/>
                <w:lang w:val="en-US" w:eastAsia="zh-CN"/>
              </w:rPr>
              <w:t>即</w:t>
            </w:r>
            <w:r>
              <w:rPr>
                <w:rFonts w:hint="eastAsia"/>
                <w:lang w:val="en-US" w:eastAsia="zh-CN"/>
              </w:rPr>
              <w:t>颗粒物</w:t>
            </w:r>
            <w:r>
              <w:rPr>
                <w:rFonts w:hint="default"/>
                <w:lang w:val="en-US" w:eastAsia="zh-CN"/>
              </w:rPr>
              <w:t>≤</w:t>
            </w:r>
            <w:r>
              <w:rPr>
                <w:rFonts w:hint="eastAsia"/>
                <w:lang w:val="en-US" w:eastAsia="zh-CN"/>
              </w:rPr>
              <w:t>120</w:t>
            </w:r>
            <w:r>
              <w:rPr>
                <w:rFonts w:hint="default"/>
                <w:lang w:val="en-US" w:eastAsia="zh-CN"/>
              </w:rPr>
              <w:t>g/m</w:t>
            </w:r>
            <w:r>
              <w:rPr>
                <w:rFonts w:hint="default"/>
                <w:vertAlign w:val="superscript"/>
                <w:lang w:val="en-US" w:eastAsia="zh-CN"/>
              </w:rPr>
              <w:t>3</w:t>
            </w:r>
            <w:r>
              <w:rPr>
                <w:rFonts w:hint="eastAsia"/>
                <w:vertAlign w:val="baseline"/>
                <w:lang w:val="en-US" w:eastAsia="zh-CN"/>
              </w:rPr>
              <w:t>，最高允许排放速率3.5kg/h</w:t>
            </w:r>
            <w:r>
              <w:rPr>
                <w:rFonts w:hint="eastAsia"/>
                <w:lang w:val="en-US" w:eastAsia="zh-CN"/>
              </w:rPr>
              <w:t>）；</w:t>
            </w:r>
          </w:p>
        </w:tc>
      </w:tr>
      <w:tr w14:paraId="3EC8D9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0" w:type="dxa"/>
            <w:vMerge w:val="restart"/>
            <w:noWrap w:val="0"/>
            <w:vAlign w:val="center"/>
          </w:tcPr>
          <w:p w14:paraId="15BFFC4C">
            <w:pPr>
              <w:pStyle w:val="28"/>
              <w:bidi w:val="0"/>
              <w:rPr>
                <w:rFonts w:hint="default"/>
                <w:color w:val="auto"/>
              </w:rPr>
            </w:pPr>
            <w:r>
              <w:rPr>
                <w:rFonts w:hint="default"/>
                <w:color w:val="auto"/>
              </w:rPr>
              <w:t>地表水</w:t>
            </w:r>
          </w:p>
          <w:p w14:paraId="672C04B6">
            <w:pPr>
              <w:pStyle w:val="28"/>
              <w:bidi w:val="0"/>
              <w:rPr>
                <w:rFonts w:hint="default"/>
                <w:color w:val="auto"/>
              </w:rPr>
            </w:pPr>
            <w:r>
              <w:rPr>
                <w:rFonts w:hint="default"/>
                <w:color w:val="auto"/>
              </w:rPr>
              <w:t>环境</w:t>
            </w:r>
          </w:p>
        </w:tc>
        <w:tc>
          <w:tcPr>
            <w:tcW w:w="1066" w:type="dxa"/>
            <w:noWrap w:val="0"/>
            <w:vAlign w:val="center"/>
          </w:tcPr>
          <w:p w14:paraId="7F2FB3C3">
            <w:pPr>
              <w:pStyle w:val="28"/>
              <w:bidi w:val="0"/>
              <w:rPr>
                <w:rFonts w:hint="default"/>
                <w:color w:val="auto"/>
                <w:lang w:val="en-US" w:eastAsia="zh-CN"/>
              </w:rPr>
            </w:pPr>
            <w:r>
              <w:rPr>
                <w:rFonts w:hint="eastAsia"/>
                <w:color w:val="auto"/>
                <w:lang w:val="en-US" w:eastAsia="zh-CN"/>
              </w:rPr>
              <w:t>洗车废水</w:t>
            </w:r>
          </w:p>
        </w:tc>
        <w:tc>
          <w:tcPr>
            <w:tcW w:w="1108" w:type="dxa"/>
            <w:noWrap w:val="0"/>
            <w:vAlign w:val="center"/>
          </w:tcPr>
          <w:p w14:paraId="59D55F79">
            <w:pPr>
              <w:pStyle w:val="28"/>
              <w:bidi w:val="0"/>
              <w:rPr>
                <w:rFonts w:hint="default"/>
                <w:color w:val="auto"/>
                <w:lang w:val="en-US" w:eastAsia="zh-CN"/>
              </w:rPr>
            </w:pPr>
            <w:r>
              <w:rPr>
                <w:rFonts w:hint="default"/>
                <w:color w:val="auto"/>
              </w:rPr>
              <w:t>COD、</w:t>
            </w:r>
            <w:r>
              <w:rPr>
                <w:rFonts w:hint="eastAsia"/>
                <w:color w:val="auto"/>
                <w:lang w:val="en-US" w:eastAsia="zh-CN"/>
              </w:rPr>
              <w:t>SS</w:t>
            </w:r>
            <w:r>
              <w:rPr>
                <w:rFonts w:hint="default"/>
                <w:color w:val="auto"/>
              </w:rPr>
              <w:t>、</w:t>
            </w:r>
            <w:r>
              <w:rPr>
                <w:rFonts w:hint="eastAsia"/>
                <w:color w:val="auto"/>
                <w:lang w:val="en-US" w:eastAsia="zh-CN"/>
              </w:rPr>
              <w:t>石油类</w:t>
            </w:r>
          </w:p>
        </w:tc>
        <w:tc>
          <w:tcPr>
            <w:tcW w:w="3256" w:type="dxa"/>
            <w:noWrap w:val="0"/>
            <w:vAlign w:val="center"/>
          </w:tcPr>
          <w:p w14:paraId="3F21BA29">
            <w:pPr>
              <w:pStyle w:val="28"/>
              <w:bidi w:val="0"/>
              <w:rPr>
                <w:rFonts w:hint="default"/>
                <w:color w:val="auto"/>
                <w:lang w:val="en-US" w:eastAsia="zh-CN"/>
              </w:rPr>
            </w:pPr>
            <w:r>
              <w:rPr>
                <w:rFonts w:hint="eastAsia"/>
                <w:color w:val="auto"/>
                <w:lang w:val="en-US" w:eastAsia="zh-CN"/>
              </w:rPr>
              <w:t>洗车废水经洗车台配套沉淀池处理后回用于车辆冲洗，不外排，沉淀池表层浮油采用吸油毡定期清理，废吸油毡作为危险废物，暂存于危险废物贮存库内，委托资质单位定期清运处置</w:t>
            </w:r>
          </w:p>
        </w:tc>
        <w:tc>
          <w:tcPr>
            <w:tcW w:w="2310" w:type="dxa"/>
            <w:noWrap w:val="0"/>
            <w:vAlign w:val="center"/>
          </w:tcPr>
          <w:p w14:paraId="299A8CA3">
            <w:pPr>
              <w:pStyle w:val="28"/>
              <w:bidi w:val="0"/>
              <w:rPr>
                <w:rFonts w:hint="default"/>
                <w:color w:val="auto"/>
                <w:lang w:val="en-US" w:eastAsia="zh-CN"/>
              </w:rPr>
            </w:pPr>
            <w:r>
              <w:rPr>
                <w:rFonts w:hint="eastAsia"/>
                <w:color w:val="auto"/>
                <w:lang w:val="en-US" w:eastAsia="zh-CN"/>
              </w:rPr>
              <w:t>落实处理及回用情况</w:t>
            </w:r>
          </w:p>
        </w:tc>
      </w:tr>
      <w:tr w14:paraId="131AC5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56" w:hRule="atLeast"/>
          <w:jc w:val="center"/>
        </w:trPr>
        <w:tc>
          <w:tcPr>
            <w:tcW w:w="1060" w:type="dxa"/>
            <w:vMerge w:val="continue"/>
            <w:noWrap w:val="0"/>
            <w:vAlign w:val="center"/>
          </w:tcPr>
          <w:p w14:paraId="544E137B">
            <w:pPr>
              <w:pStyle w:val="28"/>
              <w:bidi w:val="0"/>
              <w:rPr>
                <w:rFonts w:hint="default"/>
                <w:color w:val="auto"/>
              </w:rPr>
            </w:pPr>
          </w:p>
        </w:tc>
        <w:tc>
          <w:tcPr>
            <w:tcW w:w="1066" w:type="dxa"/>
            <w:noWrap w:val="0"/>
            <w:vAlign w:val="center"/>
          </w:tcPr>
          <w:p w14:paraId="3794F9C5">
            <w:pPr>
              <w:pStyle w:val="28"/>
              <w:bidi w:val="0"/>
              <w:rPr>
                <w:rFonts w:hint="default"/>
                <w:color w:val="auto"/>
                <w:lang w:val="en-US" w:eastAsia="zh-CN"/>
              </w:rPr>
            </w:pPr>
            <w:r>
              <w:rPr>
                <w:rFonts w:hint="eastAsia"/>
                <w:color w:val="auto"/>
                <w:lang w:val="en-US" w:eastAsia="zh-CN"/>
              </w:rPr>
              <w:t>设备清洗废水</w:t>
            </w:r>
          </w:p>
        </w:tc>
        <w:tc>
          <w:tcPr>
            <w:tcW w:w="1108" w:type="dxa"/>
            <w:noWrap w:val="0"/>
            <w:vAlign w:val="center"/>
          </w:tcPr>
          <w:p w14:paraId="0163031A">
            <w:pPr>
              <w:pStyle w:val="28"/>
              <w:bidi w:val="0"/>
              <w:rPr>
                <w:rFonts w:hint="eastAsia"/>
                <w:color w:val="auto"/>
                <w:lang w:val="en-US" w:eastAsia="zh-CN"/>
              </w:rPr>
            </w:pPr>
            <w:r>
              <w:rPr>
                <w:rFonts w:hint="eastAsia"/>
                <w:color w:val="auto"/>
                <w:lang w:val="en-US" w:eastAsia="zh-CN"/>
              </w:rPr>
              <w:t>COD、SS</w:t>
            </w:r>
          </w:p>
        </w:tc>
        <w:tc>
          <w:tcPr>
            <w:tcW w:w="3256" w:type="dxa"/>
            <w:vMerge w:val="restart"/>
            <w:noWrap w:val="0"/>
            <w:vAlign w:val="center"/>
          </w:tcPr>
          <w:p w14:paraId="1B927BE7">
            <w:pPr>
              <w:pStyle w:val="28"/>
              <w:bidi w:val="0"/>
              <w:rPr>
                <w:rFonts w:hint="eastAsia"/>
                <w:color w:val="auto"/>
                <w:lang w:eastAsia="zh-CN"/>
              </w:rPr>
            </w:pPr>
            <w:r>
              <w:rPr>
                <w:rFonts w:hint="eastAsia"/>
                <w:color w:val="auto"/>
                <w:lang w:eastAsia="zh-CN"/>
              </w:rPr>
              <w:t>经</w:t>
            </w:r>
            <w:r>
              <w:rPr>
                <w:rFonts w:hint="eastAsia"/>
                <w:color w:val="auto"/>
                <w:lang w:val="en-US" w:eastAsia="zh-CN"/>
              </w:rPr>
              <w:t>生产废水处理系统（斜坡沉淀池）处理后，上清液回用于搅拌，不外排</w:t>
            </w:r>
          </w:p>
        </w:tc>
        <w:tc>
          <w:tcPr>
            <w:tcW w:w="2310" w:type="dxa"/>
            <w:vMerge w:val="restart"/>
            <w:noWrap w:val="0"/>
            <w:vAlign w:val="center"/>
          </w:tcPr>
          <w:p w14:paraId="66744288">
            <w:pPr>
              <w:pStyle w:val="28"/>
              <w:bidi w:val="0"/>
              <w:rPr>
                <w:rFonts w:hint="default"/>
                <w:color w:val="auto"/>
              </w:rPr>
            </w:pPr>
            <w:r>
              <w:rPr>
                <w:rFonts w:hint="eastAsia"/>
                <w:color w:val="auto"/>
                <w:lang w:val="en-US" w:eastAsia="zh-CN"/>
              </w:rPr>
              <w:t>落实处理及回用情况</w:t>
            </w:r>
          </w:p>
        </w:tc>
      </w:tr>
      <w:tr w14:paraId="6E9F0C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0" w:type="dxa"/>
            <w:vMerge w:val="continue"/>
            <w:noWrap w:val="0"/>
            <w:vAlign w:val="center"/>
          </w:tcPr>
          <w:p w14:paraId="4F3D6B55">
            <w:pPr>
              <w:pStyle w:val="28"/>
              <w:bidi w:val="0"/>
              <w:rPr>
                <w:rFonts w:hint="default"/>
                <w:color w:val="auto"/>
              </w:rPr>
            </w:pPr>
          </w:p>
        </w:tc>
        <w:tc>
          <w:tcPr>
            <w:tcW w:w="1066" w:type="dxa"/>
            <w:noWrap w:val="0"/>
            <w:vAlign w:val="center"/>
          </w:tcPr>
          <w:p w14:paraId="0A800FAD">
            <w:pPr>
              <w:pStyle w:val="28"/>
              <w:bidi w:val="0"/>
              <w:rPr>
                <w:rFonts w:hint="default"/>
                <w:color w:val="auto"/>
                <w:lang w:val="en-US" w:eastAsia="zh-CN"/>
              </w:rPr>
            </w:pPr>
            <w:r>
              <w:rPr>
                <w:rFonts w:hint="eastAsia"/>
                <w:color w:val="auto"/>
                <w:lang w:val="en-US" w:eastAsia="zh-CN"/>
              </w:rPr>
              <w:t>生产区地面冲洗废水</w:t>
            </w:r>
          </w:p>
        </w:tc>
        <w:tc>
          <w:tcPr>
            <w:tcW w:w="1108" w:type="dxa"/>
            <w:noWrap w:val="0"/>
            <w:vAlign w:val="center"/>
          </w:tcPr>
          <w:p w14:paraId="3C59C7A4">
            <w:pPr>
              <w:pStyle w:val="28"/>
              <w:bidi w:val="0"/>
              <w:rPr>
                <w:rFonts w:hint="eastAsia"/>
                <w:color w:val="auto"/>
                <w:lang w:val="en-US" w:eastAsia="zh-CN"/>
              </w:rPr>
            </w:pPr>
            <w:r>
              <w:rPr>
                <w:rFonts w:hint="eastAsia"/>
                <w:color w:val="auto"/>
                <w:lang w:val="en-US" w:eastAsia="zh-CN"/>
              </w:rPr>
              <w:t>COD、SS</w:t>
            </w:r>
          </w:p>
        </w:tc>
        <w:tc>
          <w:tcPr>
            <w:tcW w:w="3256" w:type="dxa"/>
            <w:vMerge w:val="continue"/>
            <w:noWrap w:val="0"/>
            <w:vAlign w:val="center"/>
          </w:tcPr>
          <w:p w14:paraId="125091C1">
            <w:pPr>
              <w:pStyle w:val="28"/>
              <w:bidi w:val="0"/>
              <w:rPr>
                <w:rFonts w:hint="eastAsia"/>
                <w:color w:val="auto"/>
                <w:lang w:eastAsia="zh-CN"/>
              </w:rPr>
            </w:pPr>
          </w:p>
        </w:tc>
        <w:tc>
          <w:tcPr>
            <w:tcW w:w="2310" w:type="dxa"/>
            <w:vMerge w:val="continue"/>
            <w:noWrap w:val="0"/>
            <w:vAlign w:val="center"/>
          </w:tcPr>
          <w:p w14:paraId="12719640">
            <w:pPr>
              <w:pStyle w:val="28"/>
              <w:bidi w:val="0"/>
              <w:rPr>
                <w:rFonts w:hint="default"/>
                <w:color w:val="auto"/>
              </w:rPr>
            </w:pPr>
          </w:p>
        </w:tc>
      </w:tr>
      <w:tr w14:paraId="707309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0" w:type="dxa"/>
            <w:vMerge w:val="continue"/>
            <w:noWrap w:val="0"/>
            <w:vAlign w:val="center"/>
          </w:tcPr>
          <w:p w14:paraId="3EC5AC9E">
            <w:pPr>
              <w:pStyle w:val="28"/>
              <w:bidi w:val="0"/>
              <w:rPr>
                <w:rFonts w:hint="default"/>
                <w:color w:val="auto"/>
              </w:rPr>
            </w:pPr>
          </w:p>
        </w:tc>
        <w:tc>
          <w:tcPr>
            <w:tcW w:w="1066" w:type="dxa"/>
            <w:noWrap w:val="0"/>
            <w:vAlign w:val="center"/>
          </w:tcPr>
          <w:p w14:paraId="6CFE8716">
            <w:pPr>
              <w:pStyle w:val="28"/>
              <w:bidi w:val="0"/>
              <w:rPr>
                <w:rFonts w:hint="eastAsia"/>
                <w:color w:val="auto"/>
                <w:lang w:val="en-US" w:eastAsia="zh-CN"/>
              </w:rPr>
            </w:pPr>
            <w:r>
              <w:rPr>
                <w:rFonts w:hint="eastAsia"/>
                <w:color w:val="auto"/>
                <w:lang w:val="en-US" w:eastAsia="zh-CN"/>
              </w:rPr>
              <w:t>试验清洗废水</w:t>
            </w:r>
          </w:p>
        </w:tc>
        <w:tc>
          <w:tcPr>
            <w:tcW w:w="1108" w:type="dxa"/>
            <w:noWrap w:val="0"/>
            <w:vAlign w:val="center"/>
          </w:tcPr>
          <w:p w14:paraId="67694C5A">
            <w:pPr>
              <w:pStyle w:val="28"/>
              <w:bidi w:val="0"/>
              <w:rPr>
                <w:rFonts w:hint="eastAsia"/>
                <w:color w:val="auto"/>
                <w:lang w:val="en-US" w:eastAsia="zh-CN"/>
              </w:rPr>
            </w:pPr>
            <w:r>
              <w:rPr>
                <w:rFonts w:hint="eastAsia"/>
                <w:color w:val="auto"/>
                <w:lang w:val="en-US" w:eastAsia="zh-CN"/>
              </w:rPr>
              <w:t>COD、SS</w:t>
            </w:r>
          </w:p>
        </w:tc>
        <w:tc>
          <w:tcPr>
            <w:tcW w:w="3256" w:type="dxa"/>
            <w:vMerge w:val="continue"/>
            <w:noWrap w:val="0"/>
            <w:vAlign w:val="center"/>
          </w:tcPr>
          <w:p w14:paraId="1A470069">
            <w:pPr>
              <w:pStyle w:val="28"/>
              <w:bidi w:val="0"/>
              <w:rPr>
                <w:rFonts w:hint="eastAsia"/>
                <w:color w:val="auto"/>
                <w:lang w:eastAsia="zh-CN"/>
              </w:rPr>
            </w:pPr>
          </w:p>
        </w:tc>
        <w:tc>
          <w:tcPr>
            <w:tcW w:w="2310" w:type="dxa"/>
            <w:vMerge w:val="continue"/>
            <w:noWrap w:val="0"/>
            <w:vAlign w:val="center"/>
          </w:tcPr>
          <w:p w14:paraId="191F4277">
            <w:pPr>
              <w:pStyle w:val="28"/>
              <w:bidi w:val="0"/>
              <w:rPr>
                <w:rFonts w:hint="default"/>
                <w:color w:val="auto"/>
              </w:rPr>
            </w:pPr>
          </w:p>
        </w:tc>
      </w:tr>
      <w:tr w14:paraId="2462CF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0" w:type="dxa"/>
            <w:vMerge w:val="continue"/>
            <w:noWrap w:val="0"/>
            <w:vAlign w:val="center"/>
          </w:tcPr>
          <w:p w14:paraId="689506AF">
            <w:pPr>
              <w:pStyle w:val="28"/>
              <w:bidi w:val="0"/>
              <w:rPr>
                <w:rFonts w:hint="default"/>
                <w:color w:val="auto"/>
              </w:rPr>
            </w:pPr>
          </w:p>
        </w:tc>
        <w:tc>
          <w:tcPr>
            <w:tcW w:w="1066" w:type="dxa"/>
            <w:noWrap w:val="0"/>
            <w:vAlign w:val="center"/>
          </w:tcPr>
          <w:p w14:paraId="6DE46F1E">
            <w:pPr>
              <w:pStyle w:val="28"/>
              <w:bidi w:val="0"/>
              <w:rPr>
                <w:rFonts w:hint="default"/>
                <w:color w:val="auto"/>
                <w:lang w:val="en-US" w:eastAsia="zh-CN"/>
              </w:rPr>
            </w:pPr>
            <w:r>
              <w:rPr>
                <w:rFonts w:hint="eastAsia"/>
                <w:color w:val="auto"/>
                <w:lang w:val="en-US" w:eastAsia="zh-CN"/>
              </w:rPr>
              <w:t>生产区初期雨水</w:t>
            </w:r>
          </w:p>
        </w:tc>
        <w:tc>
          <w:tcPr>
            <w:tcW w:w="1108" w:type="dxa"/>
            <w:noWrap w:val="0"/>
            <w:vAlign w:val="center"/>
          </w:tcPr>
          <w:p w14:paraId="68075DE5">
            <w:pPr>
              <w:pStyle w:val="28"/>
              <w:bidi w:val="0"/>
              <w:rPr>
                <w:rFonts w:hint="eastAsia"/>
                <w:color w:val="auto"/>
                <w:lang w:val="en-US" w:eastAsia="zh-CN"/>
              </w:rPr>
            </w:pPr>
            <w:r>
              <w:rPr>
                <w:rFonts w:hint="default"/>
                <w:color w:val="auto"/>
              </w:rPr>
              <w:t>COD、</w:t>
            </w:r>
            <w:r>
              <w:rPr>
                <w:rFonts w:hint="eastAsia"/>
                <w:color w:val="auto"/>
                <w:lang w:val="en-US" w:eastAsia="zh-CN"/>
              </w:rPr>
              <w:t>SS</w:t>
            </w:r>
          </w:p>
        </w:tc>
        <w:tc>
          <w:tcPr>
            <w:tcW w:w="3256" w:type="dxa"/>
            <w:noWrap w:val="0"/>
            <w:vAlign w:val="center"/>
          </w:tcPr>
          <w:p w14:paraId="019742E6">
            <w:pPr>
              <w:pStyle w:val="28"/>
              <w:bidi w:val="0"/>
              <w:rPr>
                <w:rFonts w:hint="default"/>
                <w:color w:val="auto"/>
                <w:lang w:val="en-US" w:eastAsia="zh-CN"/>
              </w:rPr>
            </w:pPr>
            <w:r>
              <w:rPr>
                <w:rFonts w:hint="eastAsia" w:ascii="Times New Roman" w:hAnsi="Times New Roman" w:eastAsia="宋体" w:cs="Times New Roman"/>
                <w:color w:val="auto"/>
                <w:sz w:val="21"/>
                <w:szCs w:val="21"/>
                <w:highlight w:val="none"/>
                <w:lang w:val="en-US" w:eastAsia="zh-CN"/>
              </w:rPr>
              <w:t>经生产区四周排水沟渠收集进入雨水收集池暂存，分批</w:t>
            </w:r>
            <w:r>
              <w:rPr>
                <w:rFonts w:hint="eastAsia" w:cs="Times New Roman"/>
                <w:color w:val="auto"/>
                <w:sz w:val="21"/>
                <w:szCs w:val="21"/>
                <w:highlight w:val="none"/>
                <w:lang w:val="en-US" w:eastAsia="zh-CN"/>
              </w:rPr>
              <w:t>引至</w:t>
            </w:r>
            <w:r>
              <w:rPr>
                <w:rFonts w:hint="eastAsia"/>
                <w:color w:val="auto"/>
                <w:lang w:val="en-US" w:eastAsia="zh-CN"/>
              </w:rPr>
              <w:t>斜坡沉淀池</w:t>
            </w:r>
            <w:r>
              <w:rPr>
                <w:rFonts w:hint="eastAsia" w:ascii="Times New Roman" w:hAnsi="Times New Roman" w:eastAsia="宋体" w:cs="Times New Roman"/>
                <w:color w:val="auto"/>
                <w:sz w:val="21"/>
                <w:szCs w:val="21"/>
                <w:highlight w:val="none"/>
                <w:lang w:val="en-US" w:eastAsia="zh-CN"/>
              </w:rPr>
              <w:t>处理后，全部回用，不外排</w:t>
            </w:r>
          </w:p>
        </w:tc>
        <w:tc>
          <w:tcPr>
            <w:tcW w:w="2310" w:type="dxa"/>
            <w:vMerge w:val="continue"/>
            <w:noWrap w:val="0"/>
            <w:vAlign w:val="center"/>
          </w:tcPr>
          <w:p w14:paraId="50840988">
            <w:pPr>
              <w:pStyle w:val="28"/>
              <w:bidi w:val="0"/>
              <w:rPr>
                <w:rFonts w:hint="default"/>
                <w:color w:val="auto"/>
              </w:rPr>
            </w:pPr>
          </w:p>
        </w:tc>
      </w:tr>
      <w:tr w14:paraId="229CDA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0" w:type="dxa"/>
            <w:vMerge w:val="continue"/>
            <w:noWrap w:val="0"/>
            <w:vAlign w:val="center"/>
          </w:tcPr>
          <w:p w14:paraId="73C616AA">
            <w:pPr>
              <w:pStyle w:val="28"/>
              <w:bidi w:val="0"/>
              <w:rPr>
                <w:rFonts w:hint="default"/>
                <w:color w:val="auto"/>
              </w:rPr>
            </w:pPr>
          </w:p>
        </w:tc>
        <w:tc>
          <w:tcPr>
            <w:tcW w:w="1066" w:type="dxa"/>
            <w:noWrap w:val="0"/>
            <w:vAlign w:val="center"/>
          </w:tcPr>
          <w:p w14:paraId="48477E79">
            <w:pPr>
              <w:pStyle w:val="28"/>
              <w:bidi w:val="0"/>
              <w:rPr>
                <w:rFonts w:hint="default"/>
                <w:color w:val="auto"/>
                <w:lang w:val="en-US" w:eastAsia="zh-CN"/>
              </w:rPr>
            </w:pPr>
            <w:r>
              <w:rPr>
                <w:rFonts w:hint="eastAsia"/>
                <w:color w:val="auto"/>
                <w:lang w:val="en-US" w:eastAsia="zh-CN"/>
              </w:rPr>
              <w:t>洗砂废水</w:t>
            </w:r>
          </w:p>
        </w:tc>
        <w:tc>
          <w:tcPr>
            <w:tcW w:w="1108" w:type="dxa"/>
            <w:noWrap w:val="0"/>
            <w:vAlign w:val="center"/>
          </w:tcPr>
          <w:p w14:paraId="62547B50">
            <w:pPr>
              <w:pStyle w:val="28"/>
              <w:bidi w:val="0"/>
              <w:rPr>
                <w:rFonts w:hint="default"/>
                <w:color w:val="auto"/>
              </w:rPr>
            </w:pPr>
            <w:r>
              <w:rPr>
                <w:rFonts w:hint="default"/>
                <w:color w:val="auto"/>
              </w:rPr>
              <w:t>COD、</w:t>
            </w:r>
            <w:r>
              <w:rPr>
                <w:rFonts w:hint="eastAsia"/>
                <w:color w:val="auto"/>
                <w:lang w:val="en-US" w:eastAsia="zh-CN"/>
              </w:rPr>
              <w:t>SS</w:t>
            </w:r>
          </w:p>
        </w:tc>
        <w:tc>
          <w:tcPr>
            <w:tcW w:w="3256" w:type="dxa"/>
            <w:noWrap w:val="0"/>
            <w:vAlign w:val="center"/>
          </w:tcPr>
          <w:p w14:paraId="0CE279C7">
            <w:pPr>
              <w:pStyle w:val="28"/>
              <w:bidi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经3#物料库设置的加药、沉淀及压滤系统处理后，出水全部回用于洗砂工序，不外排，定期补充新鲜水</w:t>
            </w:r>
          </w:p>
        </w:tc>
        <w:tc>
          <w:tcPr>
            <w:tcW w:w="2310" w:type="dxa"/>
            <w:vMerge w:val="continue"/>
            <w:noWrap w:val="0"/>
            <w:vAlign w:val="center"/>
          </w:tcPr>
          <w:p w14:paraId="63C33AA8">
            <w:pPr>
              <w:pStyle w:val="28"/>
              <w:bidi w:val="0"/>
              <w:rPr>
                <w:rFonts w:hint="default"/>
                <w:color w:val="auto"/>
              </w:rPr>
            </w:pPr>
          </w:p>
        </w:tc>
      </w:tr>
      <w:tr w14:paraId="64E183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0" w:type="dxa"/>
            <w:vMerge w:val="continue"/>
            <w:noWrap w:val="0"/>
            <w:vAlign w:val="center"/>
          </w:tcPr>
          <w:p w14:paraId="616CC803">
            <w:pPr>
              <w:pStyle w:val="28"/>
              <w:bidi w:val="0"/>
              <w:rPr>
                <w:rFonts w:hint="default"/>
                <w:color w:val="auto"/>
              </w:rPr>
            </w:pPr>
          </w:p>
        </w:tc>
        <w:tc>
          <w:tcPr>
            <w:tcW w:w="1066" w:type="dxa"/>
            <w:noWrap w:val="0"/>
            <w:vAlign w:val="center"/>
          </w:tcPr>
          <w:p w14:paraId="1C673924">
            <w:pPr>
              <w:pStyle w:val="28"/>
              <w:bidi w:val="0"/>
              <w:rPr>
                <w:rFonts w:hint="default"/>
                <w:color w:val="auto"/>
                <w:lang w:val="en-US" w:eastAsia="zh-CN"/>
              </w:rPr>
            </w:pPr>
            <w:r>
              <w:rPr>
                <w:rFonts w:hint="eastAsia"/>
                <w:color w:val="auto"/>
                <w:lang w:val="en-US" w:eastAsia="zh-CN"/>
              </w:rPr>
              <w:t>生活污水</w:t>
            </w:r>
          </w:p>
        </w:tc>
        <w:tc>
          <w:tcPr>
            <w:tcW w:w="1108" w:type="dxa"/>
            <w:noWrap w:val="0"/>
            <w:vAlign w:val="center"/>
          </w:tcPr>
          <w:p w14:paraId="03BDF801">
            <w:pPr>
              <w:pStyle w:val="28"/>
              <w:bidi w:val="0"/>
              <w:rPr>
                <w:rFonts w:hint="default"/>
                <w:color w:val="auto"/>
                <w:lang w:val="en-US"/>
              </w:rPr>
            </w:pPr>
            <w:r>
              <w:rPr>
                <w:rFonts w:hint="default"/>
                <w:color w:val="auto"/>
              </w:rPr>
              <w:t>COD、BOD</w:t>
            </w:r>
            <w:r>
              <w:rPr>
                <w:rFonts w:hint="default"/>
                <w:color w:val="auto"/>
                <w:vertAlign w:val="subscript"/>
              </w:rPr>
              <w:t>5</w:t>
            </w:r>
            <w:r>
              <w:rPr>
                <w:rFonts w:hint="eastAsia"/>
                <w:color w:val="auto"/>
                <w:lang w:eastAsia="zh-CN"/>
              </w:rPr>
              <w:t>、</w:t>
            </w:r>
            <w:r>
              <w:rPr>
                <w:rFonts w:hint="eastAsia"/>
                <w:color w:val="auto"/>
                <w:lang w:val="en-US" w:eastAsia="zh-CN"/>
              </w:rPr>
              <w:t>SS</w:t>
            </w:r>
            <w:r>
              <w:rPr>
                <w:rFonts w:hint="default"/>
                <w:color w:val="auto"/>
              </w:rPr>
              <w:t>、</w:t>
            </w:r>
            <w:r>
              <w:rPr>
                <w:rFonts w:hint="eastAsia"/>
                <w:color w:val="auto"/>
                <w:lang w:val="en-US" w:eastAsia="zh-CN"/>
              </w:rPr>
              <w:t>NH</w:t>
            </w:r>
            <w:r>
              <w:rPr>
                <w:rFonts w:hint="eastAsia"/>
                <w:color w:val="auto"/>
                <w:vertAlign w:val="subscript"/>
                <w:lang w:val="en-US" w:eastAsia="zh-CN"/>
              </w:rPr>
              <w:t>3</w:t>
            </w:r>
            <w:r>
              <w:rPr>
                <w:rFonts w:hint="eastAsia"/>
                <w:color w:val="auto"/>
                <w:lang w:val="en-US" w:eastAsia="zh-CN"/>
              </w:rPr>
              <w:t>-N、</w:t>
            </w:r>
          </w:p>
        </w:tc>
        <w:tc>
          <w:tcPr>
            <w:tcW w:w="3256" w:type="dxa"/>
            <w:noWrap w:val="0"/>
            <w:vAlign w:val="center"/>
          </w:tcPr>
          <w:p w14:paraId="03A69F86">
            <w:pPr>
              <w:pStyle w:val="28"/>
              <w:bidi w:val="0"/>
              <w:rPr>
                <w:rFonts w:hint="default"/>
                <w:color w:val="auto"/>
                <w:lang w:val="en-US" w:eastAsia="zh-CN"/>
              </w:rPr>
            </w:pPr>
            <w:r>
              <w:rPr>
                <w:rFonts w:hint="default"/>
                <w:color w:val="auto"/>
                <w:highlight w:val="none"/>
                <w:lang w:val="en-US" w:eastAsia="zh-CN"/>
              </w:rPr>
              <w:t>化粪池</w:t>
            </w:r>
            <w:r>
              <w:rPr>
                <w:rFonts w:hint="eastAsia"/>
                <w:color w:val="auto"/>
                <w:highlight w:val="none"/>
                <w:lang w:val="en-US" w:eastAsia="zh-CN"/>
              </w:rPr>
              <w:t>（100t）+一体化污水处理设施（生物滤池法，7.5t/d）</w:t>
            </w:r>
            <w:r>
              <w:rPr>
                <w:rFonts w:hint="default"/>
                <w:color w:val="auto"/>
                <w:highlight w:val="none"/>
                <w:lang w:val="en-US" w:eastAsia="zh-CN"/>
              </w:rPr>
              <w:t>处理，</w:t>
            </w:r>
            <w:r>
              <w:rPr>
                <w:rFonts w:hint="eastAsia"/>
                <w:color w:val="auto"/>
                <w:highlight w:val="none"/>
                <w:lang w:val="en-US" w:eastAsia="zh-CN"/>
              </w:rPr>
              <w:t>项目近期</w:t>
            </w:r>
            <w:r>
              <w:rPr>
                <w:rFonts w:hint="default"/>
                <w:color w:val="auto"/>
                <w:highlight w:val="none"/>
                <w:lang w:val="en-US" w:eastAsia="zh-CN"/>
              </w:rPr>
              <w:t>出</w:t>
            </w:r>
            <w:r>
              <w:rPr>
                <w:rFonts w:hint="default"/>
                <w:color w:val="auto"/>
                <w:lang w:val="en-US" w:eastAsia="zh-CN"/>
              </w:rPr>
              <w:t>水</w:t>
            </w:r>
            <w:r>
              <w:rPr>
                <w:rFonts w:hint="eastAsia"/>
                <w:color w:val="auto"/>
                <w:lang w:val="en-US" w:eastAsia="zh-CN"/>
              </w:rPr>
              <w:t>达到</w:t>
            </w:r>
            <w:r>
              <w:rPr>
                <w:rFonts w:hint="eastAsia"/>
                <w:color w:val="auto"/>
                <w:lang w:val="en-GB" w:eastAsia="zh-CN"/>
              </w:rPr>
              <w:t>《城市污水再生利用 绿地灌溉水质》（GB/T25499-2010）</w:t>
            </w:r>
            <w:r>
              <w:rPr>
                <w:rFonts w:hint="eastAsia"/>
                <w:color w:val="auto"/>
                <w:lang w:val="en-US" w:eastAsia="zh-CN"/>
              </w:rPr>
              <w:t>后回用于本项目厂区绿化灌溉，远期待项目周边市政污水管网及相关配套设施建成后，统一接入当地市政污水处理系统排放处理，远期生活污水出水达到《污水综合排放标准》（GB8978-1996）表4中相关指标二级标准。</w:t>
            </w:r>
          </w:p>
        </w:tc>
        <w:tc>
          <w:tcPr>
            <w:tcW w:w="2310" w:type="dxa"/>
            <w:noWrap w:val="0"/>
            <w:vAlign w:val="center"/>
          </w:tcPr>
          <w:p w14:paraId="62232220">
            <w:pPr>
              <w:pStyle w:val="28"/>
              <w:bidi w:val="0"/>
              <w:rPr>
                <w:rFonts w:hint="default"/>
                <w:color w:val="auto"/>
                <w:lang w:val="en-US" w:eastAsia="zh-CN"/>
              </w:rPr>
            </w:pPr>
            <w:r>
              <w:rPr>
                <w:rFonts w:hint="eastAsia"/>
                <w:color w:val="auto"/>
                <w:lang w:val="en-US" w:eastAsia="zh-CN"/>
              </w:rPr>
              <w:t>落实处理及回用情况，远期生活污水排放执行《污水综合排放标准》（GB8978-1996）表4中三级标准。</w:t>
            </w:r>
          </w:p>
        </w:tc>
      </w:tr>
      <w:tr w14:paraId="68DF2E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9" w:hRule="atLeast"/>
          <w:jc w:val="center"/>
        </w:trPr>
        <w:tc>
          <w:tcPr>
            <w:tcW w:w="1060" w:type="dxa"/>
            <w:noWrap w:val="0"/>
            <w:vAlign w:val="center"/>
          </w:tcPr>
          <w:p w14:paraId="3BEB1CB5">
            <w:pPr>
              <w:pStyle w:val="28"/>
              <w:bidi w:val="0"/>
              <w:rPr>
                <w:rFonts w:hint="default"/>
                <w:color w:val="auto"/>
              </w:rPr>
            </w:pPr>
            <w:r>
              <w:rPr>
                <w:rFonts w:hint="default"/>
                <w:color w:val="auto"/>
              </w:rPr>
              <w:t>声环境</w:t>
            </w:r>
          </w:p>
        </w:tc>
        <w:tc>
          <w:tcPr>
            <w:tcW w:w="1066" w:type="dxa"/>
            <w:noWrap w:val="0"/>
            <w:vAlign w:val="center"/>
          </w:tcPr>
          <w:p w14:paraId="7050D569">
            <w:pPr>
              <w:pStyle w:val="28"/>
              <w:bidi w:val="0"/>
              <w:rPr>
                <w:rFonts w:hint="default"/>
                <w:color w:val="auto"/>
                <w:lang w:val="en-US" w:eastAsia="zh-CN"/>
              </w:rPr>
            </w:pPr>
            <w:r>
              <w:rPr>
                <w:rFonts w:hint="default"/>
                <w:color w:val="auto"/>
              </w:rPr>
              <w:t>厂界四周</w:t>
            </w:r>
            <w:r>
              <w:rPr>
                <w:rFonts w:hint="eastAsia"/>
                <w:color w:val="auto"/>
                <w:lang w:eastAsia="zh-CN"/>
              </w:rPr>
              <w:t>外</w:t>
            </w:r>
            <w:r>
              <w:rPr>
                <w:rFonts w:hint="eastAsia"/>
                <w:color w:val="auto"/>
                <w:lang w:val="en-US" w:eastAsia="zh-CN"/>
              </w:rPr>
              <w:t>1m</w:t>
            </w:r>
          </w:p>
        </w:tc>
        <w:tc>
          <w:tcPr>
            <w:tcW w:w="1108" w:type="dxa"/>
            <w:noWrap w:val="0"/>
            <w:vAlign w:val="center"/>
          </w:tcPr>
          <w:p w14:paraId="0F27FA33">
            <w:pPr>
              <w:pStyle w:val="28"/>
              <w:bidi w:val="0"/>
              <w:rPr>
                <w:rFonts w:hint="default"/>
                <w:color w:val="auto"/>
              </w:rPr>
            </w:pPr>
            <w:r>
              <w:rPr>
                <w:rFonts w:hint="default"/>
                <w:color w:val="auto"/>
              </w:rPr>
              <w:t>等效A</w:t>
            </w:r>
          </w:p>
          <w:p w14:paraId="1692BC61">
            <w:pPr>
              <w:pStyle w:val="28"/>
              <w:bidi w:val="0"/>
              <w:rPr>
                <w:rFonts w:hint="default"/>
                <w:color w:val="auto"/>
              </w:rPr>
            </w:pPr>
            <w:r>
              <w:rPr>
                <w:rFonts w:hint="default"/>
                <w:color w:val="auto"/>
              </w:rPr>
              <w:t>声级</w:t>
            </w:r>
          </w:p>
        </w:tc>
        <w:tc>
          <w:tcPr>
            <w:tcW w:w="3256" w:type="dxa"/>
            <w:noWrap w:val="0"/>
            <w:vAlign w:val="center"/>
          </w:tcPr>
          <w:p w14:paraId="5A3FDEC2">
            <w:pPr>
              <w:pStyle w:val="28"/>
              <w:bidi w:val="0"/>
              <w:rPr>
                <w:rFonts w:hint="default"/>
                <w:color w:val="auto"/>
              </w:rPr>
            </w:pPr>
            <w:r>
              <w:rPr>
                <w:rFonts w:hint="default"/>
                <w:color w:val="auto"/>
                <w:lang w:val="en-GB" w:eastAsia="zh-CN"/>
              </w:rPr>
              <w:t>选用低噪声设备，加强设备维护，</w:t>
            </w:r>
            <w:r>
              <w:rPr>
                <w:rFonts w:hint="default"/>
                <w:color w:val="auto"/>
                <w:lang w:val="en-GB"/>
              </w:rPr>
              <w:t>高噪声设备设置基础减振、隔声等措施</w:t>
            </w:r>
          </w:p>
        </w:tc>
        <w:tc>
          <w:tcPr>
            <w:tcW w:w="2310" w:type="dxa"/>
            <w:noWrap w:val="0"/>
            <w:vAlign w:val="center"/>
          </w:tcPr>
          <w:p w14:paraId="1E95FD76">
            <w:pPr>
              <w:pStyle w:val="28"/>
              <w:bidi w:val="0"/>
              <w:rPr>
                <w:rFonts w:hint="default"/>
                <w:color w:val="auto"/>
                <w:lang w:val="en-US" w:eastAsia="zh-CN"/>
              </w:rPr>
            </w:pPr>
            <w:r>
              <w:rPr>
                <w:rFonts w:hint="eastAsia"/>
                <w:color w:val="auto"/>
                <w:lang w:eastAsia="zh-CN"/>
              </w:rPr>
              <w:t>厂</w:t>
            </w:r>
            <w:r>
              <w:rPr>
                <w:rFonts w:hint="eastAsia"/>
                <w:color w:val="auto"/>
                <w:highlight w:val="none"/>
                <w:lang w:eastAsia="zh-CN"/>
              </w:rPr>
              <w:t>界</w:t>
            </w:r>
            <w:r>
              <w:rPr>
                <w:rFonts w:hint="eastAsia"/>
                <w:color w:val="auto"/>
                <w:highlight w:val="none"/>
                <w:lang w:val="en-US" w:eastAsia="zh-CN"/>
              </w:rPr>
              <w:t>噪声执行</w:t>
            </w:r>
            <w:r>
              <w:rPr>
                <w:rFonts w:hint="default"/>
                <w:color w:val="auto"/>
                <w:highlight w:val="none"/>
              </w:rPr>
              <w:t>《工业企业厂界环境噪声排放标准》(GB12348-2008)中</w:t>
            </w:r>
            <w:r>
              <w:rPr>
                <w:rFonts w:hint="eastAsia"/>
                <w:color w:val="auto"/>
                <w:highlight w:val="none"/>
                <w:lang w:val="en-US" w:eastAsia="zh-CN"/>
              </w:rPr>
              <w:t>2</w:t>
            </w:r>
            <w:r>
              <w:rPr>
                <w:rFonts w:hint="default"/>
                <w:color w:val="auto"/>
                <w:highlight w:val="none"/>
                <w:lang w:val="en-US" w:eastAsia="zh-CN"/>
              </w:rPr>
              <w:t>类标准</w:t>
            </w:r>
            <w:r>
              <w:rPr>
                <w:rFonts w:hint="default"/>
                <w:color w:val="auto"/>
                <w:highlight w:val="none"/>
              </w:rPr>
              <w:t>(昼间≤</w:t>
            </w:r>
            <w:r>
              <w:rPr>
                <w:rFonts w:hint="eastAsia"/>
                <w:color w:val="auto"/>
                <w:highlight w:val="none"/>
                <w:lang w:val="en-US" w:eastAsia="zh-CN"/>
              </w:rPr>
              <w:t>60</w:t>
            </w:r>
            <w:r>
              <w:rPr>
                <w:rFonts w:hint="default"/>
                <w:color w:val="auto"/>
                <w:highlight w:val="none"/>
              </w:rPr>
              <w:t>dB(A)</w:t>
            </w:r>
            <w:r>
              <w:rPr>
                <w:rFonts w:hint="eastAsia"/>
                <w:color w:val="auto"/>
                <w:highlight w:val="none"/>
                <w:lang w:val="en-US" w:eastAsia="zh-CN"/>
              </w:rPr>
              <w:t>)，夜间不生产</w:t>
            </w:r>
          </w:p>
        </w:tc>
      </w:tr>
      <w:tr w14:paraId="03C498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0" w:type="dxa"/>
            <w:noWrap w:val="0"/>
            <w:vAlign w:val="center"/>
          </w:tcPr>
          <w:p w14:paraId="22E7017A">
            <w:pPr>
              <w:pStyle w:val="28"/>
              <w:bidi w:val="0"/>
              <w:rPr>
                <w:rFonts w:hint="default"/>
                <w:color w:val="auto"/>
              </w:rPr>
            </w:pPr>
            <w:r>
              <w:rPr>
                <w:rFonts w:hint="default"/>
                <w:color w:val="auto"/>
              </w:rPr>
              <w:t>电磁辐射</w:t>
            </w:r>
          </w:p>
        </w:tc>
        <w:tc>
          <w:tcPr>
            <w:tcW w:w="1066" w:type="dxa"/>
            <w:noWrap w:val="0"/>
            <w:vAlign w:val="center"/>
          </w:tcPr>
          <w:p w14:paraId="3AEB4B7D">
            <w:pPr>
              <w:pStyle w:val="28"/>
              <w:bidi w:val="0"/>
              <w:rPr>
                <w:rFonts w:hint="default"/>
                <w:color w:val="auto"/>
                <w:lang w:val="en-US" w:eastAsia="zh-CN"/>
              </w:rPr>
            </w:pPr>
            <w:r>
              <w:rPr>
                <w:rFonts w:hint="default"/>
                <w:color w:val="auto"/>
              </w:rPr>
              <w:t>/</w:t>
            </w:r>
          </w:p>
        </w:tc>
        <w:tc>
          <w:tcPr>
            <w:tcW w:w="1108" w:type="dxa"/>
            <w:noWrap w:val="0"/>
            <w:vAlign w:val="center"/>
          </w:tcPr>
          <w:p w14:paraId="45BCB125">
            <w:pPr>
              <w:pStyle w:val="28"/>
              <w:bidi w:val="0"/>
              <w:rPr>
                <w:rFonts w:hint="default"/>
                <w:color w:val="auto"/>
                <w:lang w:val="en-US" w:eastAsia="zh-CN"/>
              </w:rPr>
            </w:pPr>
            <w:r>
              <w:rPr>
                <w:rFonts w:hint="default"/>
                <w:color w:val="auto"/>
              </w:rPr>
              <w:t>/</w:t>
            </w:r>
          </w:p>
        </w:tc>
        <w:tc>
          <w:tcPr>
            <w:tcW w:w="3256" w:type="dxa"/>
            <w:noWrap w:val="0"/>
            <w:vAlign w:val="center"/>
          </w:tcPr>
          <w:p w14:paraId="777C1EC3">
            <w:pPr>
              <w:pStyle w:val="28"/>
              <w:bidi w:val="0"/>
              <w:rPr>
                <w:rFonts w:hint="default"/>
                <w:color w:val="auto"/>
                <w:lang w:val="en-US" w:eastAsia="zh-CN"/>
              </w:rPr>
            </w:pPr>
            <w:r>
              <w:rPr>
                <w:rFonts w:hint="default"/>
                <w:color w:val="auto"/>
              </w:rPr>
              <w:t>/</w:t>
            </w:r>
          </w:p>
        </w:tc>
        <w:tc>
          <w:tcPr>
            <w:tcW w:w="2310" w:type="dxa"/>
            <w:noWrap w:val="0"/>
            <w:vAlign w:val="center"/>
          </w:tcPr>
          <w:p w14:paraId="24B2B598">
            <w:pPr>
              <w:pStyle w:val="28"/>
              <w:bidi w:val="0"/>
              <w:rPr>
                <w:rFonts w:hint="default"/>
                <w:color w:val="auto"/>
                <w:lang w:val="en-US" w:eastAsia="zh-CN"/>
              </w:rPr>
            </w:pPr>
            <w:r>
              <w:rPr>
                <w:rFonts w:hint="default"/>
                <w:color w:val="auto"/>
              </w:rPr>
              <w:t>/</w:t>
            </w:r>
          </w:p>
        </w:tc>
      </w:tr>
      <w:tr w14:paraId="4CC012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0" w:type="dxa"/>
            <w:noWrap w:val="0"/>
            <w:vAlign w:val="center"/>
          </w:tcPr>
          <w:p w14:paraId="77AA1BC0">
            <w:pPr>
              <w:pStyle w:val="28"/>
              <w:bidi w:val="0"/>
              <w:rPr>
                <w:rFonts w:hint="default"/>
                <w:color w:val="auto"/>
              </w:rPr>
            </w:pPr>
            <w:r>
              <w:rPr>
                <w:rFonts w:hint="default"/>
                <w:color w:val="auto"/>
              </w:rPr>
              <w:t>固体废物</w:t>
            </w:r>
          </w:p>
        </w:tc>
        <w:tc>
          <w:tcPr>
            <w:tcW w:w="7740" w:type="dxa"/>
            <w:gridSpan w:val="4"/>
            <w:noWrap w:val="0"/>
            <w:vAlign w:val="center"/>
          </w:tcPr>
          <w:p w14:paraId="6A78DB6F">
            <w:pPr>
              <w:bidi w:val="0"/>
              <w:rPr>
                <w:rFonts w:hint="default"/>
                <w:color w:val="auto"/>
                <w:lang w:val="en-GB" w:eastAsia="zh-CN"/>
              </w:rPr>
            </w:pPr>
            <w:r>
              <w:rPr>
                <w:rFonts w:hint="default"/>
                <w:color w:val="auto"/>
                <w:lang w:val="en-GB" w:eastAsia="zh-CN"/>
              </w:rPr>
              <w:t>一般工业固废：</w:t>
            </w:r>
            <w:r>
              <w:rPr>
                <w:rFonts w:hint="eastAsia"/>
                <w:color w:val="auto"/>
                <w:lang w:val="en-US" w:eastAsia="zh-CN"/>
              </w:rPr>
              <w:t>废混凝土、工艺收集尘、废水处理沉渣及洗砂废水沉渣等经收集及时回用于生产；</w:t>
            </w:r>
            <w:r>
              <w:rPr>
                <w:rFonts w:hint="default"/>
                <w:color w:val="auto"/>
                <w:lang w:val="en-GB"/>
              </w:rPr>
              <w:t>设置一般工业固废暂存间，</w:t>
            </w:r>
            <w:r>
              <w:rPr>
                <w:rFonts w:hint="eastAsia"/>
                <w:color w:val="auto"/>
                <w:lang w:val="en-US" w:eastAsia="zh-CN"/>
              </w:rPr>
              <w:t>废钢材、不合格品</w:t>
            </w:r>
            <w:r>
              <w:rPr>
                <w:rFonts w:hint="eastAsia"/>
                <w:color w:val="auto"/>
                <w:lang w:val="en-GB" w:eastAsia="zh-CN"/>
              </w:rPr>
              <w:t>等一般工业固废</w:t>
            </w:r>
            <w:r>
              <w:rPr>
                <w:rFonts w:hint="eastAsia"/>
                <w:color w:val="auto"/>
                <w:lang w:val="en-US" w:eastAsia="zh-CN"/>
              </w:rPr>
              <w:t>经分类收集暂存后，交由合规单位回收综合利用</w:t>
            </w:r>
            <w:r>
              <w:rPr>
                <w:rFonts w:hint="default"/>
                <w:color w:val="auto"/>
                <w:lang w:val="en-GB" w:eastAsia="zh-CN"/>
              </w:rPr>
              <w:t>；一般工业固废</w:t>
            </w:r>
            <w:r>
              <w:rPr>
                <w:rFonts w:hint="eastAsia"/>
                <w:color w:val="auto"/>
                <w:lang w:val="en-US" w:eastAsia="zh-CN"/>
              </w:rPr>
              <w:t>应符合</w:t>
            </w:r>
            <w:r>
              <w:rPr>
                <w:rFonts w:hint="eastAsia"/>
                <w:color w:val="auto"/>
                <w:lang w:val="en-GB"/>
              </w:rPr>
              <w:t>《一般工业固体废物贮存和填埋污染控制标准》</w:t>
            </w:r>
            <w:r>
              <w:rPr>
                <w:rFonts w:hint="eastAsia"/>
                <w:color w:val="auto"/>
              </w:rPr>
              <w:t>(</w:t>
            </w:r>
            <w:r>
              <w:rPr>
                <w:rFonts w:hint="eastAsia"/>
                <w:color w:val="auto"/>
                <w:lang w:val="en-GB"/>
              </w:rPr>
              <w:t>GB 18599-2020</w:t>
            </w:r>
            <w:r>
              <w:rPr>
                <w:rFonts w:hint="eastAsia"/>
                <w:color w:val="auto"/>
              </w:rPr>
              <w:t>)</w:t>
            </w:r>
            <w:r>
              <w:rPr>
                <w:color w:val="auto"/>
                <w:lang w:val="en-GB"/>
              </w:rPr>
              <w:t>的相关要求</w:t>
            </w:r>
            <w:r>
              <w:rPr>
                <w:rFonts w:hint="default"/>
                <w:color w:val="auto"/>
                <w:lang w:val="en-GB" w:eastAsia="zh-CN"/>
              </w:rPr>
              <w:t>；</w:t>
            </w:r>
          </w:p>
          <w:p w14:paraId="0A0F4F65">
            <w:pPr>
              <w:bidi w:val="0"/>
              <w:rPr>
                <w:rFonts w:hint="default"/>
                <w:color w:val="auto"/>
                <w:lang w:val="en-US" w:eastAsia="zh-CN"/>
              </w:rPr>
            </w:pPr>
            <w:r>
              <w:rPr>
                <w:rFonts w:hint="default"/>
                <w:color w:val="auto"/>
                <w:lang w:eastAsia="zh-CN"/>
              </w:rPr>
              <w:t>危险废物：设置</w:t>
            </w:r>
            <w:r>
              <w:rPr>
                <w:rFonts w:hint="default"/>
                <w:color w:val="auto"/>
              </w:rPr>
              <w:t>危险废物</w:t>
            </w:r>
            <w:r>
              <w:rPr>
                <w:rFonts w:hint="eastAsia"/>
                <w:color w:val="auto"/>
                <w:lang w:eastAsia="zh-CN"/>
              </w:rPr>
              <w:t>贮存库</w:t>
            </w:r>
            <w:r>
              <w:rPr>
                <w:rFonts w:hint="default"/>
                <w:color w:val="auto"/>
              </w:rPr>
              <w:t>，</w:t>
            </w:r>
            <w:r>
              <w:rPr>
                <w:rFonts w:hint="eastAsia"/>
                <w:color w:val="auto"/>
                <w:lang w:eastAsia="zh-CN"/>
              </w:rPr>
              <w:t>废</w:t>
            </w:r>
            <w:r>
              <w:rPr>
                <w:rFonts w:hint="eastAsia"/>
                <w:color w:val="auto"/>
                <w:lang w:val="en-US" w:eastAsia="zh-CN"/>
              </w:rPr>
              <w:t>机油、废油桶、废吸油毡等危险废物经</w:t>
            </w:r>
            <w:r>
              <w:rPr>
                <w:rFonts w:hint="default"/>
                <w:color w:val="auto"/>
                <w:lang w:val="en-GB"/>
              </w:rPr>
              <w:t>妥善收集</w:t>
            </w:r>
            <w:r>
              <w:rPr>
                <w:rFonts w:hint="eastAsia"/>
                <w:color w:val="auto"/>
                <w:lang w:val="en-GB" w:eastAsia="zh-CN"/>
              </w:rPr>
              <w:t>，</w:t>
            </w:r>
            <w:r>
              <w:rPr>
                <w:rFonts w:hint="eastAsia"/>
                <w:color w:val="auto"/>
                <w:lang w:val="en-US" w:eastAsia="zh-CN"/>
              </w:rPr>
              <w:t>在危险废物贮存库内分类分区暂存，</w:t>
            </w:r>
            <w:r>
              <w:rPr>
                <w:rFonts w:hint="default"/>
                <w:color w:val="auto"/>
              </w:rPr>
              <w:t>定期委托有资质的单位进行处置</w:t>
            </w:r>
            <w:r>
              <w:rPr>
                <w:rFonts w:hint="eastAsia"/>
                <w:color w:val="auto"/>
                <w:lang w:eastAsia="zh-CN"/>
              </w:rPr>
              <w:t>，</w:t>
            </w:r>
            <w:r>
              <w:rPr>
                <w:rFonts w:hint="default"/>
                <w:color w:val="auto"/>
              </w:rPr>
              <w:t>危险废物</w:t>
            </w:r>
            <w:r>
              <w:rPr>
                <w:rFonts w:hint="eastAsia"/>
                <w:color w:val="auto"/>
                <w:lang w:eastAsia="zh-CN"/>
              </w:rPr>
              <w:t>贮存库</w:t>
            </w:r>
            <w:r>
              <w:rPr>
                <w:rFonts w:hint="eastAsia"/>
                <w:color w:val="auto"/>
                <w:lang w:val="en-US" w:eastAsia="zh-CN"/>
              </w:rPr>
              <w:t>应符合</w:t>
            </w:r>
            <w:r>
              <w:rPr>
                <w:rFonts w:hint="default"/>
                <w:color w:val="auto"/>
                <w:lang w:val="en-GB"/>
              </w:rPr>
              <w:t>《危险废物贮存污染控制标准》(GB 18597-20</w:t>
            </w:r>
            <w:r>
              <w:rPr>
                <w:rFonts w:hint="eastAsia"/>
                <w:color w:val="auto"/>
                <w:lang w:val="en-US" w:eastAsia="zh-CN"/>
              </w:rPr>
              <w:t>23</w:t>
            </w:r>
            <w:r>
              <w:rPr>
                <w:rFonts w:hint="default"/>
                <w:color w:val="auto"/>
                <w:lang w:val="en-GB"/>
              </w:rPr>
              <w:t>)要求</w:t>
            </w:r>
            <w:r>
              <w:rPr>
                <w:rFonts w:hint="default"/>
                <w:color w:val="auto"/>
                <w:lang w:val="en-GB" w:eastAsia="zh-CN"/>
              </w:rPr>
              <w:t>；</w:t>
            </w:r>
            <w:r>
              <w:rPr>
                <w:rFonts w:hint="eastAsia"/>
                <w:color w:val="auto"/>
                <w:lang w:val="en-US" w:eastAsia="zh-CN"/>
              </w:rPr>
              <w:t>含油废抹布及手套混入生活垃圾，由当地环卫部门统一清运处理。</w:t>
            </w:r>
          </w:p>
          <w:p w14:paraId="7130E642">
            <w:pPr>
              <w:bidi w:val="0"/>
              <w:rPr>
                <w:rFonts w:hint="eastAsia"/>
                <w:color w:val="auto"/>
                <w:lang w:eastAsia="zh-CN"/>
              </w:rPr>
            </w:pPr>
            <w:r>
              <w:rPr>
                <w:rFonts w:hint="default"/>
                <w:color w:val="auto"/>
                <w:lang w:eastAsia="zh-CN"/>
              </w:rPr>
              <w:t>生活垃圾：</w:t>
            </w:r>
            <w:r>
              <w:rPr>
                <w:rFonts w:hint="default"/>
                <w:color w:val="auto"/>
              </w:rPr>
              <w:t>由垃圾桶收集，由</w:t>
            </w:r>
            <w:r>
              <w:rPr>
                <w:rFonts w:hint="eastAsia"/>
                <w:color w:val="auto"/>
                <w:lang w:val="en-US" w:eastAsia="zh-CN"/>
              </w:rPr>
              <w:t>当地</w:t>
            </w:r>
            <w:r>
              <w:rPr>
                <w:rFonts w:hint="default"/>
                <w:color w:val="auto"/>
              </w:rPr>
              <w:t>环卫部门统一清运处理</w:t>
            </w:r>
            <w:r>
              <w:rPr>
                <w:rFonts w:hint="eastAsia"/>
                <w:color w:val="auto"/>
                <w:lang w:eastAsia="zh-CN"/>
              </w:rPr>
              <w:t>；</w:t>
            </w:r>
          </w:p>
        </w:tc>
      </w:tr>
      <w:tr w14:paraId="0CCD54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0" w:type="dxa"/>
            <w:noWrap w:val="0"/>
            <w:vAlign w:val="center"/>
          </w:tcPr>
          <w:p w14:paraId="2D940154">
            <w:pPr>
              <w:pStyle w:val="28"/>
              <w:bidi w:val="0"/>
              <w:rPr>
                <w:rFonts w:hint="default"/>
                <w:color w:val="auto"/>
              </w:rPr>
            </w:pPr>
            <w:r>
              <w:rPr>
                <w:rFonts w:hint="default"/>
                <w:color w:val="auto"/>
              </w:rPr>
              <w:t>土壤及地下水污染防治措施</w:t>
            </w:r>
          </w:p>
        </w:tc>
        <w:tc>
          <w:tcPr>
            <w:tcW w:w="7740" w:type="dxa"/>
            <w:gridSpan w:val="4"/>
            <w:noWrap w:val="0"/>
            <w:vAlign w:val="center"/>
          </w:tcPr>
          <w:p w14:paraId="05FAC3D8">
            <w:pPr>
              <w:bidi w:val="0"/>
              <w:rPr>
                <w:rFonts w:hint="eastAsia" w:eastAsia="宋体"/>
                <w:color w:val="auto"/>
                <w:lang w:eastAsia="zh-CN"/>
              </w:rPr>
            </w:pPr>
            <w:r>
              <w:rPr>
                <w:rFonts w:hint="default"/>
                <w:color w:val="auto"/>
              </w:rPr>
              <w:t>合理进行防渗区域划分</w:t>
            </w:r>
            <w:r>
              <w:rPr>
                <w:rFonts w:hint="default"/>
                <w:color w:val="auto"/>
                <w:lang w:eastAsia="zh-CN"/>
              </w:rPr>
              <w:t>，</w:t>
            </w:r>
            <w:r>
              <w:rPr>
                <w:rFonts w:hint="eastAsia"/>
                <w:color w:val="auto"/>
                <w:lang w:eastAsia="zh-CN"/>
              </w:rPr>
              <w:t>危险废物贮存库</w:t>
            </w:r>
            <w:r>
              <w:rPr>
                <w:rFonts w:hint="default"/>
                <w:color w:val="auto"/>
                <w:lang w:eastAsia="zh-CN"/>
              </w:rPr>
              <w:t>按</w:t>
            </w:r>
            <w:r>
              <w:rPr>
                <w:rFonts w:hint="default"/>
                <w:color w:val="auto"/>
              </w:rPr>
              <w:t>重点污染区防渗要求</w:t>
            </w:r>
            <w:r>
              <w:rPr>
                <w:rFonts w:hint="default"/>
                <w:color w:val="auto"/>
                <w:lang w:eastAsia="zh-CN"/>
              </w:rPr>
              <w:t>进行建设</w:t>
            </w:r>
            <w:r>
              <w:rPr>
                <w:rFonts w:hint="eastAsia"/>
                <w:color w:val="auto"/>
                <w:lang w:eastAsia="zh-CN"/>
              </w:rPr>
              <w:t>；</w:t>
            </w:r>
            <w:r>
              <w:rPr>
                <w:rFonts w:hint="default"/>
                <w:color w:val="auto"/>
                <w:lang w:eastAsia="zh-CN"/>
              </w:rPr>
              <w:t>一般工业固废间</w:t>
            </w:r>
            <w:r>
              <w:rPr>
                <w:rFonts w:hint="eastAsia"/>
                <w:color w:val="auto"/>
                <w:lang w:eastAsia="zh-CN"/>
              </w:rPr>
              <w:t>、</w:t>
            </w:r>
            <w:r>
              <w:rPr>
                <w:rFonts w:hint="eastAsia"/>
                <w:color w:val="auto"/>
                <w:lang w:val="en-US" w:eastAsia="zh-CN"/>
              </w:rPr>
              <w:t>搅拌楼、化粪池、一体化污水处理设施、生产废水处理系统、洗车废水沉淀池、雨水收集池</w:t>
            </w:r>
            <w:r>
              <w:rPr>
                <w:rFonts w:hint="default"/>
                <w:color w:val="auto"/>
                <w:lang w:eastAsia="zh-CN"/>
              </w:rPr>
              <w:t>等按</w:t>
            </w:r>
            <w:r>
              <w:rPr>
                <w:rFonts w:hint="default"/>
                <w:color w:val="auto"/>
              </w:rPr>
              <w:t>一般污染区防渗要求</w:t>
            </w:r>
            <w:r>
              <w:rPr>
                <w:rFonts w:hint="default"/>
                <w:color w:val="auto"/>
                <w:lang w:eastAsia="zh-CN"/>
              </w:rPr>
              <w:t>进行建设</w:t>
            </w:r>
            <w:r>
              <w:rPr>
                <w:rFonts w:hint="eastAsia"/>
                <w:color w:val="auto"/>
                <w:lang w:eastAsia="zh-CN"/>
              </w:rPr>
              <w:t>且</w:t>
            </w:r>
            <w:r>
              <w:rPr>
                <w:rFonts w:hint="default"/>
                <w:color w:val="auto"/>
              </w:rPr>
              <w:t>具有防雨、防渗、防风、防日晒</w:t>
            </w:r>
            <w:r>
              <w:rPr>
                <w:rFonts w:hint="default"/>
                <w:color w:val="auto"/>
                <w:lang w:eastAsia="zh-CN"/>
              </w:rPr>
              <w:t>等</w:t>
            </w:r>
            <w:r>
              <w:rPr>
                <w:rFonts w:hint="default"/>
                <w:color w:val="auto"/>
              </w:rPr>
              <w:t>功能</w:t>
            </w:r>
            <w:r>
              <w:rPr>
                <w:rFonts w:hint="eastAsia"/>
                <w:color w:val="auto"/>
                <w:lang w:eastAsia="zh-CN"/>
              </w:rPr>
              <w:t>。</w:t>
            </w:r>
          </w:p>
        </w:tc>
      </w:tr>
      <w:tr w14:paraId="46431B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0" w:type="dxa"/>
            <w:noWrap w:val="0"/>
            <w:vAlign w:val="center"/>
          </w:tcPr>
          <w:p w14:paraId="2721601C">
            <w:pPr>
              <w:pStyle w:val="28"/>
              <w:bidi w:val="0"/>
              <w:rPr>
                <w:rFonts w:hint="default"/>
                <w:color w:val="auto"/>
              </w:rPr>
            </w:pPr>
            <w:r>
              <w:rPr>
                <w:rFonts w:hint="default"/>
                <w:color w:val="auto"/>
              </w:rPr>
              <w:t>生态保护措施</w:t>
            </w:r>
          </w:p>
        </w:tc>
        <w:tc>
          <w:tcPr>
            <w:tcW w:w="7740" w:type="dxa"/>
            <w:gridSpan w:val="4"/>
            <w:noWrap w:val="0"/>
            <w:vAlign w:val="center"/>
          </w:tcPr>
          <w:p w14:paraId="73B1B93F">
            <w:pPr>
              <w:bidi w:val="0"/>
              <w:jc w:val="center"/>
              <w:rPr>
                <w:rFonts w:hint="default"/>
                <w:color w:val="auto"/>
                <w:lang w:val="en-US" w:eastAsia="zh-CN"/>
              </w:rPr>
            </w:pPr>
            <w:r>
              <w:rPr>
                <w:rFonts w:hint="default"/>
                <w:color w:val="auto"/>
                <w:lang w:val="en-US" w:eastAsia="zh-CN"/>
              </w:rPr>
              <w:t>无</w:t>
            </w:r>
          </w:p>
        </w:tc>
      </w:tr>
      <w:tr w14:paraId="086E03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82" w:hRule="atLeast"/>
          <w:jc w:val="center"/>
        </w:trPr>
        <w:tc>
          <w:tcPr>
            <w:tcW w:w="1060" w:type="dxa"/>
            <w:noWrap w:val="0"/>
            <w:vAlign w:val="center"/>
          </w:tcPr>
          <w:p w14:paraId="2A64A89A">
            <w:pPr>
              <w:pStyle w:val="28"/>
              <w:bidi w:val="0"/>
              <w:rPr>
                <w:rFonts w:hint="default"/>
                <w:color w:val="auto"/>
              </w:rPr>
            </w:pPr>
            <w:r>
              <w:rPr>
                <w:rFonts w:hint="default"/>
                <w:color w:val="auto"/>
              </w:rPr>
              <w:t>环境风险</w:t>
            </w:r>
          </w:p>
          <w:p w14:paraId="01B801F5">
            <w:pPr>
              <w:pStyle w:val="28"/>
              <w:bidi w:val="0"/>
              <w:rPr>
                <w:rFonts w:hint="default"/>
                <w:color w:val="auto"/>
              </w:rPr>
            </w:pPr>
            <w:r>
              <w:rPr>
                <w:rFonts w:hint="default"/>
                <w:color w:val="auto"/>
              </w:rPr>
              <w:t>防范措施</w:t>
            </w:r>
          </w:p>
        </w:tc>
        <w:tc>
          <w:tcPr>
            <w:tcW w:w="7740" w:type="dxa"/>
            <w:gridSpan w:val="4"/>
            <w:noWrap w:val="0"/>
            <w:vAlign w:val="center"/>
          </w:tcPr>
          <w:p w14:paraId="3C793868">
            <w:pPr>
              <w:bidi w:val="0"/>
              <w:rPr>
                <w:rFonts w:hint="eastAsia"/>
                <w:color w:val="auto"/>
                <w:lang w:val="en-US" w:eastAsia="zh-CN"/>
              </w:rPr>
            </w:pPr>
            <w:r>
              <w:rPr>
                <w:rFonts w:hint="eastAsia"/>
                <w:color w:val="auto"/>
                <w:lang w:val="en-US" w:eastAsia="zh-CN"/>
              </w:rPr>
              <w:t>厂区分区防渗，划分禁火区</w:t>
            </w:r>
            <w:r>
              <w:rPr>
                <w:rFonts w:hint="default"/>
                <w:color w:val="auto"/>
              </w:rPr>
              <w:t>严禁烟火</w:t>
            </w:r>
            <w:r>
              <w:rPr>
                <w:rFonts w:hint="eastAsia"/>
                <w:color w:val="auto"/>
                <w:lang w:eastAsia="zh-CN"/>
              </w:rPr>
              <w:t>，配套灭火器等应急物资，</w:t>
            </w:r>
            <w:r>
              <w:rPr>
                <w:rFonts w:hint="eastAsia"/>
                <w:color w:val="auto"/>
                <w:lang w:val="en-US" w:eastAsia="zh-CN"/>
              </w:rPr>
              <w:t>编制企业环境突发事件应急预案</w:t>
            </w:r>
            <w:r>
              <w:rPr>
                <w:rFonts w:hint="eastAsia"/>
                <w:color w:val="auto"/>
                <w:lang w:eastAsia="zh-CN"/>
              </w:rPr>
              <w:t>。</w:t>
            </w:r>
          </w:p>
        </w:tc>
      </w:tr>
      <w:tr w14:paraId="1D9308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60" w:type="dxa"/>
            <w:noWrap w:val="0"/>
            <w:vAlign w:val="center"/>
          </w:tcPr>
          <w:p w14:paraId="09A022DD">
            <w:pPr>
              <w:pStyle w:val="28"/>
              <w:bidi w:val="0"/>
              <w:rPr>
                <w:rFonts w:hint="default"/>
                <w:color w:val="auto"/>
              </w:rPr>
            </w:pPr>
            <w:r>
              <w:rPr>
                <w:rFonts w:hint="default"/>
                <w:color w:val="auto"/>
              </w:rPr>
              <w:t>其他环境</w:t>
            </w:r>
          </w:p>
          <w:p w14:paraId="2C6E0020">
            <w:pPr>
              <w:pStyle w:val="28"/>
              <w:bidi w:val="0"/>
              <w:rPr>
                <w:rFonts w:hint="default"/>
                <w:color w:val="auto"/>
              </w:rPr>
            </w:pPr>
            <w:r>
              <w:rPr>
                <w:rFonts w:hint="default"/>
                <w:color w:val="auto"/>
              </w:rPr>
              <w:t>管理要求</w:t>
            </w:r>
          </w:p>
        </w:tc>
        <w:tc>
          <w:tcPr>
            <w:tcW w:w="7740" w:type="dxa"/>
            <w:gridSpan w:val="4"/>
            <w:noWrap w:val="0"/>
            <w:vAlign w:val="center"/>
          </w:tcPr>
          <w:p w14:paraId="4F68AC83">
            <w:pPr>
              <w:bidi w:val="0"/>
              <w:rPr>
                <w:rFonts w:hint="default"/>
                <w:color w:val="auto"/>
                <w:lang w:val="en-US" w:eastAsia="zh-CN"/>
              </w:rPr>
            </w:pPr>
            <w:r>
              <w:rPr>
                <w:rFonts w:hint="default"/>
                <w:color w:val="auto"/>
                <w:lang w:val="en-US" w:eastAsia="zh-CN"/>
              </w:rPr>
              <w:t>1、</w:t>
            </w:r>
            <w:r>
              <w:rPr>
                <w:rFonts w:hint="default"/>
                <w:color w:val="auto"/>
              </w:rPr>
              <w:t>竣工环境保护验收</w:t>
            </w:r>
          </w:p>
          <w:p w14:paraId="26AE7B19">
            <w:pPr>
              <w:bidi w:val="0"/>
              <w:rPr>
                <w:rFonts w:hint="default"/>
                <w:color w:val="auto"/>
                <w:lang w:val="en-US" w:eastAsia="zh-CN"/>
              </w:rPr>
            </w:pPr>
            <w:r>
              <w:rPr>
                <w:rFonts w:hint="default"/>
                <w:color w:val="auto"/>
              </w:rPr>
              <w:t>根据《建设项目竣工环境保护验收暂行办法》的规定，建设项目竣工后，建设单位应当如实查验、监测、记载建设项目环境保护设施的建设和调试情况，编制验收监测报告</w:t>
            </w:r>
            <w:r>
              <w:rPr>
                <w:rFonts w:hint="default"/>
                <w:color w:val="auto"/>
                <w:lang w:eastAsia="zh-CN"/>
              </w:rPr>
              <w:t>表</w:t>
            </w:r>
            <w:r>
              <w:rPr>
                <w:rFonts w:hint="default"/>
                <w:color w:val="auto"/>
                <w:lang w:val="en-US" w:eastAsia="zh-CN"/>
              </w:rPr>
              <w:t>。</w:t>
            </w:r>
          </w:p>
          <w:p w14:paraId="1057DB6F">
            <w:pPr>
              <w:bidi w:val="0"/>
              <w:rPr>
                <w:rFonts w:hint="default"/>
                <w:color w:val="auto"/>
                <w:lang w:val="en-US" w:eastAsia="zh-CN"/>
              </w:rPr>
            </w:pPr>
            <w:r>
              <w:rPr>
                <w:rFonts w:hint="default"/>
                <w:color w:val="auto"/>
                <w:lang w:val="en-US" w:eastAsia="zh-CN"/>
              </w:rPr>
              <w:t>2、</w:t>
            </w:r>
            <w:r>
              <w:rPr>
                <w:rFonts w:hint="default"/>
                <w:color w:val="auto"/>
              </w:rPr>
              <w:t>排污许可</w:t>
            </w:r>
            <w:r>
              <w:rPr>
                <w:rFonts w:hint="default"/>
                <w:color w:val="auto"/>
                <w:lang w:eastAsia="zh-CN"/>
              </w:rPr>
              <w:t>管理要求</w:t>
            </w:r>
          </w:p>
          <w:p w14:paraId="3B6A4B44">
            <w:pPr>
              <w:bidi w:val="0"/>
              <w:rPr>
                <w:rFonts w:hint="default"/>
                <w:color w:val="auto"/>
              </w:rPr>
            </w:pPr>
            <w:r>
              <w:rPr>
                <w:rFonts w:hint="default"/>
                <w:color w:val="auto"/>
              </w:rPr>
              <w:t>根据《固定污染源排污许可分类管理名录(2019年版)》(生态环境部</w:t>
            </w:r>
            <w:r>
              <w:rPr>
                <w:rFonts w:hint="eastAsia"/>
                <w:color w:val="auto"/>
                <w:lang w:val="en-US" w:eastAsia="zh-CN"/>
              </w:rPr>
              <w:t xml:space="preserve"> </w:t>
            </w:r>
            <w:r>
              <w:rPr>
                <w:rFonts w:hint="default"/>
                <w:color w:val="auto"/>
              </w:rPr>
              <w:t>第11号)可知，本项目实行排污许可</w:t>
            </w:r>
            <w:r>
              <w:rPr>
                <w:rFonts w:hint="eastAsia"/>
                <w:color w:val="auto"/>
                <w:lang w:val="en-US" w:eastAsia="zh-CN"/>
              </w:rPr>
              <w:t>登记</w:t>
            </w:r>
            <w:r>
              <w:rPr>
                <w:rFonts w:hint="default"/>
                <w:color w:val="auto"/>
                <w:lang w:eastAsia="zh-CN"/>
              </w:rPr>
              <w:t>管理</w:t>
            </w:r>
            <w:r>
              <w:rPr>
                <w:rFonts w:hint="default"/>
                <w:color w:val="auto"/>
              </w:rPr>
              <w:t>；因此，建设单位应当在启动生产设施或者发生实际排污之前在全国排污许可证管理信息平台进行排污许可</w:t>
            </w:r>
            <w:r>
              <w:rPr>
                <w:rFonts w:hint="eastAsia"/>
                <w:color w:val="auto"/>
                <w:lang w:val="en-US" w:eastAsia="zh-CN"/>
              </w:rPr>
              <w:t>登记</w:t>
            </w:r>
            <w:r>
              <w:rPr>
                <w:rFonts w:hint="default"/>
                <w:color w:val="auto"/>
              </w:rPr>
              <w:t>。</w:t>
            </w:r>
          </w:p>
          <w:p w14:paraId="727FEC61">
            <w:pPr>
              <w:bidi w:val="0"/>
              <w:rPr>
                <w:rFonts w:hint="eastAsia"/>
                <w:color w:val="auto"/>
                <w:lang w:val="en-US" w:eastAsia="zh-CN"/>
              </w:rPr>
            </w:pPr>
            <w:r>
              <w:rPr>
                <w:rFonts w:hint="eastAsia"/>
                <w:color w:val="auto"/>
                <w:lang w:val="en-US" w:eastAsia="zh-CN"/>
              </w:rPr>
              <w:t>排污口规范化管理要求</w:t>
            </w:r>
          </w:p>
          <w:p w14:paraId="0A30EFA4">
            <w:pPr>
              <w:bidi w:val="0"/>
              <w:rPr>
                <w:rFonts w:hint="default"/>
                <w:color w:val="auto"/>
              </w:rPr>
            </w:pPr>
            <w:r>
              <w:rPr>
                <w:rFonts w:hint="eastAsia"/>
                <w:color w:val="auto"/>
                <w:lang w:eastAsia="zh-CN"/>
              </w:rPr>
              <w:t>项目</w:t>
            </w:r>
            <w:r>
              <w:rPr>
                <w:rFonts w:hint="eastAsia"/>
                <w:color w:val="auto"/>
                <w:lang w:val="en-US" w:eastAsia="zh-CN"/>
              </w:rPr>
              <w:t>排污口规范化</w:t>
            </w:r>
            <w:r>
              <w:rPr>
                <w:rFonts w:hint="default"/>
                <w:color w:val="auto"/>
              </w:rPr>
              <w:t>图标</w:t>
            </w:r>
            <w:r>
              <w:rPr>
                <w:rFonts w:hint="eastAsia"/>
                <w:color w:val="auto"/>
                <w:lang w:eastAsia="zh-CN"/>
              </w:rPr>
              <w:t>按照</w:t>
            </w:r>
            <w:r>
              <w:rPr>
                <w:rFonts w:hint="default"/>
                <w:color w:val="auto"/>
              </w:rPr>
              <w:t>《环境保护图形标志—排放口(源)》(GB15563.1-1995)</w:t>
            </w:r>
            <w:r>
              <w:rPr>
                <w:rFonts w:hint="eastAsia"/>
                <w:color w:val="auto"/>
                <w:lang w:val="en-US" w:eastAsia="zh-CN"/>
              </w:rPr>
              <w:t>及其修改单</w:t>
            </w:r>
            <w:r>
              <w:rPr>
                <w:rFonts w:hint="eastAsia"/>
                <w:color w:val="auto"/>
                <w:lang w:eastAsia="zh-CN"/>
              </w:rPr>
              <w:t>要求进行，具体详见表</w:t>
            </w:r>
            <w:r>
              <w:rPr>
                <w:rFonts w:hint="eastAsia"/>
                <w:color w:val="auto"/>
                <w:lang w:val="en-US" w:eastAsia="zh-CN"/>
              </w:rPr>
              <w:t>5-1。同时根据《排污单位污染物排放口二维码标识技术规范》(HJ 1297-2023)，设置规范的排放口二维码标识。</w:t>
            </w:r>
          </w:p>
          <w:p w14:paraId="4D67CB06">
            <w:pPr>
              <w:pStyle w:val="33"/>
              <w:bidi w:val="0"/>
              <w:rPr>
                <w:rFonts w:hint="default"/>
                <w:color w:val="auto"/>
                <w:sz w:val="24"/>
                <w:szCs w:val="24"/>
              </w:rPr>
            </w:pPr>
            <w:r>
              <w:rPr>
                <w:rFonts w:hint="default"/>
                <w:color w:val="auto"/>
                <w:sz w:val="24"/>
                <w:szCs w:val="24"/>
              </w:rPr>
              <w:t>表</w:t>
            </w:r>
            <w:r>
              <w:rPr>
                <w:rFonts w:hint="eastAsia"/>
                <w:color w:val="auto"/>
                <w:sz w:val="24"/>
                <w:szCs w:val="24"/>
                <w:lang w:val="en-US" w:eastAsia="zh-CN"/>
              </w:rPr>
              <w:t>5-1</w:t>
            </w:r>
            <w:r>
              <w:rPr>
                <w:rFonts w:hint="default"/>
                <w:color w:val="auto"/>
                <w:sz w:val="24"/>
                <w:szCs w:val="24"/>
              </w:rPr>
              <w:t xml:space="preserve"> 排污口图形符号(提示标志)一览表</w:t>
            </w:r>
          </w:p>
          <w:tbl>
            <w:tblPr>
              <w:tblStyle w:val="20"/>
              <w:tblW w:w="4998" w:type="pct"/>
              <w:jc w:val="center"/>
              <w:tblBorders>
                <w:top w:val="none" w:color="auto" w:sz="0" w:space="0"/>
                <w:left w:val="none" w:color="auto" w:sz="0" w:space="0"/>
                <w:bottom w:val="none" w:color="auto" w:sz="0"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360"/>
              <w:gridCol w:w="1232"/>
              <w:gridCol w:w="1232"/>
              <w:gridCol w:w="1232"/>
              <w:gridCol w:w="1280"/>
              <w:gridCol w:w="1185"/>
            </w:tblGrid>
            <w:tr w14:paraId="4788256B">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904" w:type="pct"/>
                  <w:tcBorders>
                    <w:top w:val="single" w:color="auto" w:sz="12" w:space="0"/>
                    <w:left w:val="nil"/>
                    <w:bottom w:val="single" w:color="auto" w:sz="6" w:space="0"/>
                    <w:right w:val="single" w:color="auto" w:sz="6" w:space="0"/>
                    <w:tl2br w:val="single" w:color="auto" w:sz="4" w:space="0"/>
                  </w:tcBorders>
                  <w:noWrap w:val="0"/>
                  <w:vAlign w:val="center"/>
                </w:tcPr>
                <w:p w14:paraId="492DBDBD">
                  <w:pPr>
                    <w:pStyle w:val="28"/>
                    <w:bidi w:val="0"/>
                    <w:rPr>
                      <w:color w:val="auto"/>
                      <w:lang w:val="en-GB"/>
                    </w:rPr>
                  </w:pPr>
                  <w:r>
                    <w:rPr>
                      <w:color w:val="auto"/>
                      <w:lang w:val="en-GB"/>
                    </w:rPr>
                    <w:t>排放部位</w:t>
                  </w:r>
                </w:p>
                <w:p w14:paraId="497E89BE">
                  <w:pPr>
                    <w:pStyle w:val="28"/>
                    <w:bidi w:val="0"/>
                    <w:rPr>
                      <w:color w:val="auto"/>
                      <w:lang w:val="en-GB"/>
                    </w:rPr>
                  </w:pPr>
                  <w:r>
                    <w:rPr>
                      <w:color w:val="auto"/>
                      <w:lang w:val="en-GB"/>
                    </w:rPr>
                    <w:t>项目</w:t>
                  </w:r>
                </w:p>
              </w:tc>
              <w:tc>
                <w:tcPr>
                  <w:tcW w:w="819" w:type="pct"/>
                  <w:tcBorders>
                    <w:top w:val="single" w:color="auto" w:sz="12" w:space="0"/>
                    <w:left w:val="single" w:color="auto" w:sz="6" w:space="0"/>
                    <w:bottom w:val="single" w:color="auto" w:sz="6" w:space="0"/>
                    <w:right w:val="single" w:color="auto" w:sz="6" w:space="0"/>
                  </w:tcBorders>
                  <w:noWrap w:val="0"/>
                  <w:vAlign w:val="center"/>
                </w:tcPr>
                <w:p w14:paraId="05D228F1">
                  <w:pPr>
                    <w:pStyle w:val="28"/>
                    <w:bidi w:val="0"/>
                    <w:rPr>
                      <w:color w:val="auto"/>
                      <w:lang w:val="en-GB"/>
                    </w:rPr>
                  </w:pPr>
                  <w:r>
                    <w:rPr>
                      <w:color w:val="auto"/>
                      <w:lang w:val="en-GB"/>
                    </w:rPr>
                    <w:t>污水排</w:t>
                  </w:r>
                </w:p>
                <w:p w14:paraId="13D06A23">
                  <w:pPr>
                    <w:pStyle w:val="28"/>
                    <w:bidi w:val="0"/>
                    <w:rPr>
                      <w:color w:val="auto"/>
                      <w:lang w:val="en-GB"/>
                    </w:rPr>
                  </w:pPr>
                  <w:r>
                    <w:rPr>
                      <w:color w:val="auto"/>
                      <w:lang w:val="en-GB"/>
                    </w:rPr>
                    <w:t>放口</w:t>
                  </w:r>
                </w:p>
              </w:tc>
              <w:tc>
                <w:tcPr>
                  <w:tcW w:w="819" w:type="pct"/>
                  <w:tcBorders>
                    <w:top w:val="single" w:color="auto" w:sz="12" w:space="0"/>
                    <w:left w:val="single" w:color="auto" w:sz="6" w:space="0"/>
                    <w:bottom w:val="single" w:color="auto" w:sz="6" w:space="0"/>
                    <w:right w:val="single" w:color="auto" w:sz="6" w:space="0"/>
                  </w:tcBorders>
                  <w:noWrap w:val="0"/>
                  <w:vAlign w:val="center"/>
                </w:tcPr>
                <w:p w14:paraId="46D37296">
                  <w:pPr>
                    <w:pStyle w:val="28"/>
                    <w:bidi w:val="0"/>
                    <w:rPr>
                      <w:color w:val="auto"/>
                      <w:lang w:val="en-GB"/>
                    </w:rPr>
                  </w:pPr>
                  <w:r>
                    <w:rPr>
                      <w:color w:val="auto"/>
                      <w:lang w:val="en-GB"/>
                    </w:rPr>
                    <w:t>废气排</w:t>
                  </w:r>
                </w:p>
                <w:p w14:paraId="71313995">
                  <w:pPr>
                    <w:pStyle w:val="28"/>
                    <w:bidi w:val="0"/>
                    <w:rPr>
                      <w:color w:val="auto"/>
                      <w:lang w:val="en-GB"/>
                    </w:rPr>
                  </w:pPr>
                  <w:r>
                    <w:rPr>
                      <w:color w:val="auto"/>
                      <w:lang w:val="en-GB"/>
                    </w:rPr>
                    <w:t>放口</w:t>
                  </w:r>
                </w:p>
              </w:tc>
              <w:tc>
                <w:tcPr>
                  <w:tcW w:w="819" w:type="pct"/>
                  <w:tcBorders>
                    <w:top w:val="single" w:color="auto" w:sz="12" w:space="0"/>
                    <w:left w:val="single" w:color="auto" w:sz="6" w:space="0"/>
                    <w:bottom w:val="single" w:color="auto" w:sz="6" w:space="0"/>
                    <w:right w:val="single" w:color="auto" w:sz="6" w:space="0"/>
                  </w:tcBorders>
                  <w:noWrap w:val="0"/>
                  <w:vAlign w:val="center"/>
                </w:tcPr>
                <w:p w14:paraId="37844190">
                  <w:pPr>
                    <w:pStyle w:val="28"/>
                    <w:bidi w:val="0"/>
                    <w:rPr>
                      <w:color w:val="auto"/>
                      <w:lang w:val="en-GB"/>
                    </w:rPr>
                  </w:pPr>
                  <w:r>
                    <w:rPr>
                      <w:color w:val="auto"/>
                      <w:lang w:val="en-GB"/>
                    </w:rPr>
                    <w:t>噪声排</w:t>
                  </w:r>
                </w:p>
                <w:p w14:paraId="0B93D1DF">
                  <w:pPr>
                    <w:pStyle w:val="28"/>
                    <w:bidi w:val="0"/>
                    <w:rPr>
                      <w:color w:val="auto"/>
                      <w:lang w:val="en-GB"/>
                    </w:rPr>
                  </w:pPr>
                  <w:r>
                    <w:rPr>
                      <w:color w:val="auto"/>
                      <w:lang w:val="en-GB"/>
                    </w:rPr>
                    <w:t>放源</w:t>
                  </w:r>
                </w:p>
              </w:tc>
              <w:tc>
                <w:tcPr>
                  <w:tcW w:w="850" w:type="pct"/>
                  <w:tcBorders>
                    <w:top w:val="single" w:color="auto" w:sz="12" w:space="0"/>
                    <w:left w:val="single" w:color="auto" w:sz="6" w:space="0"/>
                    <w:bottom w:val="single" w:color="auto" w:sz="6" w:space="0"/>
                    <w:right w:val="single" w:color="auto" w:sz="6" w:space="0"/>
                  </w:tcBorders>
                  <w:noWrap w:val="0"/>
                  <w:vAlign w:val="center"/>
                </w:tcPr>
                <w:p w14:paraId="00C79C22">
                  <w:pPr>
                    <w:pStyle w:val="28"/>
                    <w:bidi w:val="0"/>
                    <w:rPr>
                      <w:rFonts w:hint="eastAsia"/>
                      <w:color w:val="auto"/>
                      <w:lang w:val="en-US" w:eastAsia="zh-CN"/>
                    </w:rPr>
                  </w:pPr>
                  <w:r>
                    <w:rPr>
                      <w:color w:val="auto"/>
                      <w:lang w:val="en-GB"/>
                    </w:rPr>
                    <w:t>一般</w:t>
                  </w:r>
                  <w:r>
                    <w:rPr>
                      <w:rFonts w:hint="eastAsia"/>
                      <w:color w:val="auto"/>
                      <w:lang w:val="en-US" w:eastAsia="zh-CN"/>
                    </w:rPr>
                    <w:t>固体</w:t>
                  </w:r>
                </w:p>
                <w:p w14:paraId="257A054D">
                  <w:pPr>
                    <w:pStyle w:val="28"/>
                    <w:bidi w:val="0"/>
                    <w:rPr>
                      <w:color w:val="auto"/>
                      <w:lang w:val="en-GB"/>
                    </w:rPr>
                  </w:pPr>
                  <w:r>
                    <w:rPr>
                      <w:rFonts w:hint="eastAsia"/>
                      <w:color w:val="auto"/>
                      <w:lang w:val="en-US" w:eastAsia="zh-CN"/>
                    </w:rPr>
                    <w:t>废物</w:t>
                  </w:r>
                </w:p>
              </w:tc>
              <w:tc>
                <w:tcPr>
                  <w:tcW w:w="787" w:type="pct"/>
                  <w:tcBorders>
                    <w:top w:val="single" w:color="auto" w:sz="12" w:space="0"/>
                    <w:left w:val="single" w:color="auto" w:sz="6" w:space="0"/>
                    <w:bottom w:val="single" w:color="auto" w:sz="6" w:space="0"/>
                    <w:right w:val="nil"/>
                  </w:tcBorders>
                  <w:noWrap w:val="0"/>
                  <w:vAlign w:val="center"/>
                </w:tcPr>
                <w:p w14:paraId="607029BB">
                  <w:pPr>
                    <w:pStyle w:val="28"/>
                    <w:bidi w:val="0"/>
                    <w:rPr>
                      <w:color w:val="auto"/>
                      <w:lang w:val="en-GB"/>
                    </w:rPr>
                  </w:pPr>
                  <w:r>
                    <w:rPr>
                      <w:color w:val="auto"/>
                      <w:lang w:val="en-GB"/>
                    </w:rPr>
                    <w:t>危险废物</w:t>
                  </w:r>
                </w:p>
              </w:tc>
            </w:tr>
            <w:tr w14:paraId="52D9F141">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904" w:type="pct"/>
                  <w:tcBorders>
                    <w:top w:val="single" w:color="auto" w:sz="6" w:space="0"/>
                    <w:left w:val="nil"/>
                    <w:bottom w:val="single" w:color="auto" w:sz="6" w:space="0"/>
                    <w:right w:val="single" w:color="auto" w:sz="6" w:space="0"/>
                  </w:tcBorders>
                  <w:noWrap w:val="0"/>
                  <w:vAlign w:val="center"/>
                </w:tcPr>
                <w:p w14:paraId="5720020E">
                  <w:pPr>
                    <w:pStyle w:val="28"/>
                    <w:bidi w:val="0"/>
                    <w:rPr>
                      <w:color w:val="auto"/>
                      <w:lang w:val="en-GB"/>
                    </w:rPr>
                  </w:pPr>
                  <w:r>
                    <w:rPr>
                      <w:rFonts w:hint="eastAsia"/>
                      <w:color w:val="auto"/>
                      <w:lang w:val="en-US" w:eastAsia="zh-CN"/>
                    </w:rPr>
                    <w:t>提示</w:t>
                  </w:r>
                  <w:r>
                    <w:rPr>
                      <w:color w:val="auto"/>
                      <w:lang w:val="en-GB"/>
                    </w:rPr>
                    <w:t>图形</w:t>
                  </w:r>
                </w:p>
                <w:p w14:paraId="3131CCF2">
                  <w:pPr>
                    <w:pStyle w:val="28"/>
                    <w:bidi w:val="0"/>
                    <w:rPr>
                      <w:color w:val="auto"/>
                      <w:lang w:val="en-GB"/>
                    </w:rPr>
                  </w:pPr>
                  <w:r>
                    <w:rPr>
                      <w:color w:val="auto"/>
                      <w:lang w:val="en-GB"/>
                    </w:rPr>
                    <w:t>符号</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60332D4B">
                  <w:pPr>
                    <w:pStyle w:val="28"/>
                    <w:bidi w:val="0"/>
                    <w:rPr>
                      <w:color w:val="auto"/>
                      <w:lang w:val="en-GB"/>
                    </w:rPr>
                  </w:pPr>
                  <w:r>
                    <w:rPr>
                      <w:color w:val="auto"/>
                    </w:rPr>
                    <w:drawing>
                      <wp:inline distT="0" distB="0" distL="114300" distR="114300">
                        <wp:extent cx="539750" cy="539750"/>
                        <wp:effectExtent l="0" t="0" r="6350" b="6350"/>
                        <wp:docPr id="27" name="图片 7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54" descr="1"/>
                                <pic:cNvPicPr>
                                  <a:picLocks noChangeAspect="1"/>
                                </pic:cNvPicPr>
                              </pic:nvPicPr>
                              <pic:blipFill>
                                <a:blip r:embed="rId22"/>
                                <a:stretch>
                                  <a:fillRect/>
                                </a:stretch>
                              </pic:blipFill>
                              <pic:spPr>
                                <a:xfrm>
                                  <a:off x="0" y="0"/>
                                  <a:ext cx="539750" cy="539750"/>
                                </a:xfrm>
                                <a:prstGeom prst="rect">
                                  <a:avLst/>
                                </a:prstGeom>
                                <a:noFill/>
                                <a:ln>
                                  <a:noFill/>
                                </a:ln>
                              </pic:spPr>
                            </pic:pic>
                          </a:graphicData>
                        </a:graphic>
                      </wp:inline>
                    </w:drawing>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7E856938">
                  <w:pPr>
                    <w:pStyle w:val="28"/>
                    <w:bidi w:val="0"/>
                    <w:rPr>
                      <w:color w:val="auto"/>
                      <w:lang w:val="en-GB"/>
                    </w:rPr>
                  </w:pPr>
                  <w:r>
                    <w:rPr>
                      <w:color w:val="auto"/>
                    </w:rPr>
                    <w:drawing>
                      <wp:inline distT="0" distB="0" distL="114300" distR="114300">
                        <wp:extent cx="621030" cy="539750"/>
                        <wp:effectExtent l="0" t="0" r="1270" b="6350"/>
                        <wp:docPr id="28" name="图片 755" descr="点击看大图及详细资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55" descr="点击看大图及详细资料"/>
                                <pic:cNvPicPr>
                                  <a:picLocks noChangeAspect="1"/>
                                </pic:cNvPicPr>
                              </pic:nvPicPr>
                              <pic:blipFill>
                                <a:blip r:embed="rId23"/>
                                <a:stretch>
                                  <a:fillRect/>
                                </a:stretch>
                              </pic:blipFill>
                              <pic:spPr>
                                <a:xfrm>
                                  <a:off x="0" y="0"/>
                                  <a:ext cx="621030" cy="539750"/>
                                </a:xfrm>
                                <a:prstGeom prst="rect">
                                  <a:avLst/>
                                </a:prstGeom>
                                <a:noFill/>
                                <a:ln>
                                  <a:noFill/>
                                </a:ln>
                              </pic:spPr>
                            </pic:pic>
                          </a:graphicData>
                        </a:graphic>
                      </wp:inline>
                    </w:drawing>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10505350">
                  <w:pPr>
                    <w:pStyle w:val="28"/>
                    <w:bidi w:val="0"/>
                    <w:rPr>
                      <w:color w:val="auto"/>
                      <w:lang w:val="en-GB"/>
                    </w:rPr>
                  </w:pPr>
                  <w:r>
                    <w:rPr>
                      <w:color w:val="auto"/>
                    </w:rPr>
                    <w:drawing>
                      <wp:inline distT="0" distB="0" distL="114300" distR="114300">
                        <wp:extent cx="574675" cy="539750"/>
                        <wp:effectExtent l="0" t="0" r="9525" b="6350"/>
                        <wp:docPr id="21" name="图片 756" descr="点击看大图及详细资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756" descr="点击看大图及详细资料"/>
                                <pic:cNvPicPr>
                                  <a:picLocks noChangeAspect="1"/>
                                </pic:cNvPicPr>
                              </pic:nvPicPr>
                              <pic:blipFill>
                                <a:blip r:embed="rId24"/>
                                <a:stretch>
                                  <a:fillRect/>
                                </a:stretch>
                              </pic:blipFill>
                              <pic:spPr>
                                <a:xfrm>
                                  <a:off x="0" y="0"/>
                                  <a:ext cx="574675" cy="539750"/>
                                </a:xfrm>
                                <a:prstGeom prst="rect">
                                  <a:avLst/>
                                </a:prstGeom>
                                <a:noFill/>
                                <a:ln>
                                  <a:noFill/>
                                </a:ln>
                              </pic:spPr>
                            </pic:pic>
                          </a:graphicData>
                        </a:graphic>
                      </wp:inline>
                    </w:drawing>
                  </w:r>
                </w:p>
              </w:tc>
              <w:tc>
                <w:tcPr>
                  <w:tcW w:w="850" w:type="pct"/>
                  <w:tcBorders>
                    <w:top w:val="single" w:color="auto" w:sz="6" w:space="0"/>
                    <w:left w:val="single" w:color="auto" w:sz="6" w:space="0"/>
                    <w:bottom w:val="single" w:color="auto" w:sz="6" w:space="0"/>
                    <w:right w:val="single" w:color="auto" w:sz="6" w:space="0"/>
                  </w:tcBorders>
                  <w:noWrap w:val="0"/>
                  <w:vAlign w:val="center"/>
                </w:tcPr>
                <w:p w14:paraId="42ACE997">
                  <w:pPr>
                    <w:pStyle w:val="28"/>
                    <w:bidi w:val="0"/>
                    <w:rPr>
                      <w:color w:val="auto"/>
                      <w:lang w:val="en-GB"/>
                    </w:rPr>
                  </w:pPr>
                  <w:r>
                    <w:rPr>
                      <w:color w:val="auto"/>
                    </w:rPr>
                    <w:drawing>
                      <wp:inline distT="0" distB="0" distL="114300" distR="114300">
                        <wp:extent cx="633095" cy="539750"/>
                        <wp:effectExtent l="0" t="0" r="1905" b="6350"/>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pic:cNvPicPr>
                                  <a:picLocks noChangeAspect="1"/>
                                </pic:cNvPicPr>
                              </pic:nvPicPr>
                              <pic:blipFill>
                                <a:blip r:embed="rId25"/>
                                <a:srcRect t="1997"/>
                                <a:stretch>
                                  <a:fillRect/>
                                </a:stretch>
                              </pic:blipFill>
                              <pic:spPr>
                                <a:xfrm>
                                  <a:off x="0" y="0"/>
                                  <a:ext cx="633095" cy="539750"/>
                                </a:xfrm>
                                <a:prstGeom prst="rect">
                                  <a:avLst/>
                                </a:prstGeom>
                                <a:noFill/>
                                <a:ln>
                                  <a:noFill/>
                                </a:ln>
                              </pic:spPr>
                            </pic:pic>
                          </a:graphicData>
                        </a:graphic>
                      </wp:inline>
                    </w:drawing>
                  </w:r>
                </w:p>
              </w:tc>
              <w:tc>
                <w:tcPr>
                  <w:tcW w:w="787" w:type="pct"/>
                  <w:tcBorders>
                    <w:top w:val="single" w:color="auto" w:sz="6" w:space="0"/>
                    <w:left w:val="single" w:color="auto" w:sz="6" w:space="0"/>
                    <w:bottom w:val="single" w:color="auto" w:sz="6" w:space="0"/>
                    <w:right w:val="nil"/>
                  </w:tcBorders>
                  <w:noWrap w:val="0"/>
                  <w:vAlign w:val="center"/>
                </w:tcPr>
                <w:p w14:paraId="45793136">
                  <w:pPr>
                    <w:pStyle w:val="28"/>
                    <w:bidi w:val="0"/>
                    <w:rPr>
                      <w:color w:val="auto"/>
                      <w:lang w:val="en-GB"/>
                    </w:rPr>
                  </w:pPr>
                  <w:r>
                    <w:rPr>
                      <w:rFonts w:hint="eastAsia"/>
                      <w:color w:val="auto"/>
                      <w:lang w:val="en-US" w:eastAsia="zh-CN"/>
                    </w:rPr>
                    <w:t>/</w:t>
                  </w:r>
                </w:p>
              </w:tc>
            </w:tr>
            <w:tr w14:paraId="7C006CBC">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1072" w:hRule="atLeast"/>
                <w:jc w:val="center"/>
              </w:trPr>
              <w:tc>
                <w:tcPr>
                  <w:tcW w:w="904" w:type="pct"/>
                  <w:tcBorders>
                    <w:top w:val="single" w:color="auto" w:sz="6" w:space="0"/>
                    <w:left w:val="nil"/>
                    <w:bottom w:val="single" w:color="auto" w:sz="6" w:space="0"/>
                    <w:right w:val="single" w:color="auto" w:sz="6" w:space="0"/>
                  </w:tcBorders>
                  <w:noWrap w:val="0"/>
                  <w:vAlign w:val="center"/>
                </w:tcPr>
                <w:p w14:paraId="7C606EFB">
                  <w:pPr>
                    <w:pStyle w:val="28"/>
                    <w:bidi w:val="0"/>
                    <w:rPr>
                      <w:color w:val="auto"/>
                      <w:lang w:val="en-GB"/>
                    </w:rPr>
                  </w:pPr>
                  <w:r>
                    <w:rPr>
                      <w:rFonts w:hint="eastAsia"/>
                      <w:color w:val="auto"/>
                      <w:lang w:val="en-US" w:eastAsia="zh-CN"/>
                    </w:rPr>
                    <w:t>警告</w:t>
                  </w:r>
                  <w:r>
                    <w:rPr>
                      <w:color w:val="auto"/>
                      <w:lang w:val="en-GB"/>
                    </w:rPr>
                    <w:t>图形</w:t>
                  </w:r>
                </w:p>
                <w:p w14:paraId="37A39395">
                  <w:pPr>
                    <w:pStyle w:val="28"/>
                    <w:bidi w:val="0"/>
                    <w:rPr>
                      <w:rFonts w:hint="default"/>
                      <w:color w:val="auto"/>
                      <w:lang w:val="en-US" w:eastAsia="zh-CN"/>
                    </w:rPr>
                  </w:pPr>
                  <w:r>
                    <w:rPr>
                      <w:rFonts w:hint="eastAsia"/>
                      <w:color w:val="auto"/>
                      <w:lang w:val="en-US" w:eastAsia="zh-CN"/>
                    </w:rPr>
                    <w:t>符号</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6202AFE5">
                  <w:pPr>
                    <w:pStyle w:val="28"/>
                    <w:bidi w:val="0"/>
                    <w:rPr>
                      <w:color w:val="auto"/>
                      <w:lang w:val="en-GB"/>
                    </w:rPr>
                  </w:pPr>
                  <w:r>
                    <w:rPr>
                      <w:color w:val="auto"/>
                    </w:rPr>
                    <w:drawing>
                      <wp:inline distT="0" distB="0" distL="114300" distR="114300">
                        <wp:extent cx="643255" cy="572135"/>
                        <wp:effectExtent l="0" t="0" r="4445" b="12065"/>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6"/>
                                <a:stretch>
                                  <a:fillRect/>
                                </a:stretch>
                              </pic:blipFill>
                              <pic:spPr>
                                <a:xfrm>
                                  <a:off x="0" y="0"/>
                                  <a:ext cx="643255" cy="572135"/>
                                </a:xfrm>
                                <a:prstGeom prst="rect">
                                  <a:avLst/>
                                </a:prstGeom>
                                <a:noFill/>
                                <a:ln>
                                  <a:noFill/>
                                </a:ln>
                              </pic:spPr>
                            </pic:pic>
                          </a:graphicData>
                        </a:graphic>
                      </wp:inline>
                    </w:drawing>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49EA52CD">
                  <w:pPr>
                    <w:pStyle w:val="28"/>
                    <w:bidi w:val="0"/>
                    <w:rPr>
                      <w:color w:val="auto"/>
                      <w:lang w:val="en-GB"/>
                    </w:rPr>
                  </w:pPr>
                  <w:r>
                    <w:rPr>
                      <w:color w:val="auto"/>
                    </w:rPr>
                    <w:drawing>
                      <wp:inline distT="0" distB="0" distL="114300" distR="114300">
                        <wp:extent cx="645160" cy="572770"/>
                        <wp:effectExtent l="0" t="0" r="2540" b="11430"/>
                        <wp:docPr id="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
                                <pic:cNvPicPr>
                                  <a:picLocks noChangeAspect="1"/>
                                </pic:cNvPicPr>
                              </pic:nvPicPr>
                              <pic:blipFill>
                                <a:blip r:embed="rId27"/>
                                <a:stretch>
                                  <a:fillRect/>
                                </a:stretch>
                              </pic:blipFill>
                              <pic:spPr>
                                <a:xfrm>
                                  <a:off x="0" y="0"/>
                                  <a:ext cx="645160" cy="572770"/>
                                </a:xfrm>
                                <a:prstGeom prst="rect">
                                  <a:avLst/>
                                </a:prstGeom>
                                <a:noFill/>
                                <a:ln>
                                  <a:noFill/>
                                </a:ln>
                              </pic:spPr>
                            </pic:pic>
                          </a:graphicData>
                        </a:graphic>
                      </wp:inline>
                    </w:drawing>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347BC533">
                  <w:pPr>
                    <w:pStyle w:val="28"/>
                    <w:bidi w:val="0"/>
                    <w:rPr>
                      <w:color w:val="auto"/>
                      <w:lang w:val="en-GB"/>
                    </w:rPr>
                  </w:pPr>
                  <w:r>
                    <w:rPr>
                      <w:color w:val="auto"/>
                    </w:rPr>
                    <w:drawing>
                      <wp:inline distT="0" distB="0" distL="114300" distR="114300">
                        <wp:extent cx="642620" cy="601980"/>
                        <wp:effectExtent l="0" t="0" r="5080" b="7620"/>
                        <wp:docPr id="2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pic:cNvPicPr>
                                  <a:picLocks noChangeAspect="1"/>
                                </pic:cNvPicPr>
                              </pic:nvPicPr>
                              <pic:blipFill>
                                <a:blip r:embed="rId28"/>
                                <a:stretch>
                                  <a:fillRect/>
                                </a:stretch>
                              </pic:blipFill>
                              <pic:spPr>
                                <a:xfrm>
                                  <a:off x="0" y="0"/>
                                  <a:ext cx="642620" cy="601980"/>
                                </a:xfrm>
                                <a:prstGeom prst="rect">
                                  <a:avLst/>
                                </a:prstGeom>
                                <a:noFill/>
                                <a:ln>
                                  <a:noFill/>
                                </a:ln>
                              </pic:spPr>
                            </pic:pic>
                          </a:graphicData>
                        </a:graphic>
                      </wp:inline>
                    </w:drawing>
                  </w:r>
                </w:p>
              </w:tc>
              <w:tc>
                <w:tcPr>
                  <w:tcW w:w="850" w:type="pct"/>
                  <w:tcBorders>
                    <w:top w:val="single" w:color="auto" w:sz="6" w:space="0"/>
                    <w:left w:val="single" w:color="auto" w:sz="6" w:space="0"/>
                    <w:bottom w:val="single" w:color="auto" w:sz="6" w:space="0"/>
                    <w:right w:val="single" w:color="auto" w:sz="6" w:space="0"/>
                  </w:tcBorders>
                  <w:noWrap w:val="0"/>
                  <w:vAlign w:val="center"/>
                </w:tcPr>
                <w:p w14:paraId="5BEA9C5A">
                  <w:pPr>
                    <w:pStyle w:val="28"/>
                    <w:bidi w:val="0"/>
                    <w:rPr>
                      <w:color w:val="auto"/>
                    </w:rPr>
                  </w:pPr>
                  <w:r>
                    <w:rPr>
                      <w:color w:val="auto"/>
                    </w:rPr>
                    <w:drawing>
                      <wp:inline distT="0" distB="0" distL="114300" distR="114300">
                        <wp:extent cx="673735" cy="615950"/>
                        <wp:effectExtent l="0" t="0" r="12065" b="6350"/>
                        <wp:docPr id="2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9"/>
                                <pic:cNvPicPr>
                                  <a:picLocks noChangeAspect="1"/>
                                </pic:cNvPicPr>
                              </pic:nvPicPr>
                              <pic:blipFill>
                                <a:blip r:embed="rId29"/>
                                <a:stretch>
                                  <a:fillRect/>
                                </a:stretch>
                              </pic:blipFill>
                              <pic:spPr>
                                <a:xfrm>
                                  <a:off x="0" y="0"/>
                                  <a:ext cx="673735" cy="615950"/>
                                </a:xfrm>
                                <a:prstGeom prst="rect">
                                  <a:avLst/>
                                </a:prstGeom>
                                <a:noFill/>
                                <a:ln>
                                  <a:noFill/>
                                </a:ln>
                              </pic:spPr>
                            </pic:pic>
                          </a:graphicData>
                        </a:graphic>
                      </wp:inline>
                    </w:drawing>
                  </w:r>
                </w:p>
              </w:tc>
              <w:tc>
                <w:tcPr>
                  <w:tcW w:w="787" w:type="pct"/>
                  <w:tcBorders>
                    <w:top w:val="single" w:color="auto" w:sz="6" w:space="0"/>
                    <w:left w:val="single" w:color="auto" w:sz="6" w:space="0"/>
                    <w:bottom w:val="single" w:color="auto" w:sz="6" w:space="0"/>
                    <w:right w:val="nil"/>
                  </w:tcBorders>
                  <w:noWrap w:val="0"/>
                  <w:vAlign w:val="center"/>
                </w:tcPr>
                <w:p w14:paraId="0334DDE2">
                  <w:pPr>
                    <w:pStyle w:val="28"/>
                    <w:bidi w:val="0"/>
                    <w:rPr>
                      <w:color w:val="auto"/>
                      <w:lang w:val="en-GB"/>
                    </w:rPr>
                  </w:pPr>
                  <w:r>
                    <w:rPr>
                      <w:color w:val="auto"/>
                    </w:rPr>
                    <w:drawing>
                      <wp:inline distT="0" distB="0" distL="114300" distR="114300">
                        <wp:extent cx="664845" cy="616585"/>
                        <wp:effectExtent l="0" t="0" r="8255" b="5715"/>
                        <wp:docPr id="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0"/>
                                <pic:cNvPicPr>
                                  <a:picLocks noChangeAspect="1"/>
                                </pic:cNvPicPr>
                              </pic:nvPicPr>
                              <pic:blipFill>
                                <a:blip r:embed="rId30"/>
                                <a:stretch>
                                  <a:fillRect/>
                                </a:stretch>
                              </pic:blipFill>
                              <pic:spPr>
                                <a:xfrm>
                                  <a:off x="0" y="0"/>
                                  <a:ext cx="664845" cy="616585"/>
                                </a:xfrm>
                                <a:prstGeom prst="rect">
                                  <a:avLst/>
                                </a:prstGeom>
                                <a:noFill/>
                                <a:ln>
                                  <a:noFill/>
                                </a:ln>
                              </pic:spPr>
                            </pic:pic>
                          </a:graphicData>
                        </a:graphic>
                      </wp:inline>
                    </w:drawing>
                  </w:r>
                </w:p>
              </w:tc>
            </w:tr>
            <w:tr w14:paraId="4187178F">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904" w:type="pct"/>
                  <w:tcBorders>
                    <w:top w:val="single" w:color="auto" w:sz="6" w:space="0"/>
                    <w:left w:val="nil"/>
                    <w:bottom w:val="single" w:color="auto" w:sz="6" w:space="0"/>
                    <w:right w:val="single" w:color="auto" w:sz="6" w:space="0"/>
                  </w:tcBorders>
                  <w:noWrap w:val="0"/>
                  <w:vAlign w:val="center"/>
                </w:tcPr>
                <w:p w14:paraId="7C16B9FC">
                  <w:pPr>
                    <w:pStyle w:val="28"/>
                    <w:bidi w:val="0"/>
                    <w:rPr>
                      <w:rFonts w:hint="eastAsia"/>
                      <w:color w:val="auto"/>
                      <w:lang w:val="en-US" w:eastAsia="zh-CN"/>
                    </w:rPr>
                  </w:pPr>
                  <w:r>
                    <w:rPr>
                      <w:rFonts w:hint="eastAsia"/>
                      <w:color w:val="auto"/>
                      <w:lang w:val="en-US" w:eastAsia="zh-CN"/>
                    </w:rPr>
                    <w:t>功能</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01549A77">
                  <w:pPr>
                    <w:pStyle w:val="28"/>
                    <w:bidi w:val="0"/>
                    <w:rPr>
                      <w:rFonts w:hint="default"/>
                      <w:color w:val="auto"/>
                      <w:lang w:val="en-US" w:eastAsia="zh-CN"/>
                    </w:rPr>
                  </w:pPr>
                  <w:r>
                    <w:rPr>
                      <w:rFonts w:hint="eastAsia"/>
                      <w:color w:val="auto"/>
                      <w:lang w:val="en-US" w:eastAsia="zh-CN"/>
                    </w:rPr>
                    <w:t>表示污水向水体排放</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4A8A0260">
                  <w:pPr>
                    <w:pStyle w:val="28"/>
                    <w:bidi w:val="0"/>
                    <w:rPr>
                      <w:rFonts w:hint="eastAsia"/>
                      <w:color w:val="auto"/>
                      <w:lang w:val="en-GB" w:eastAsia="zh-CN"/>
                    </w:rPr>
                  </w:pPr>
                  <w:r>
                    <w:rPr>
                      <w:rFonts w:hint="eastAsia"/>
                      <w:color w:val="auto"/>
                      <w:lang w:val="en-US" w:eastAsia="zh-CN"/>
                    </w:rPr>
                    <w:t>表示废气向大气环境排放</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4E4A23D8">
                  <w:pPr>
                    <w:pStyle w:val="28"/>
                    <w:bidi w:val="0"/>
                    <w:rPr>
                      <w:rFonts w:hint="default"/>
                      <w:color w:val="auto"/>
                      <w:lang w:val="en-US" w:eastAsia="zh-CN"/>
                    </w:rPr>
                  </w:pPr>
                  <w:r>
                    <w:rPr>
                      <w:rFonts w:hint="eastAsia"/>
                      <w:color w:val="auto"/>
                      <w:lang w:val="en-US" w:eastAsia="zh-CN"/>
                    </w:rPr>
                    <w:t>表示噪声向外环境排放</w:t>
                  </w:r>
                </w:p>
              </w:tc>
              <w:tc>
                <w:tcPr>
                  <w:tcW w:w="850" w:type="pct"/>
                  <w:tcBorders>
                    <w:top w:val="single" w:color="auto" w:sz="6" w:space="0"/>
                    <w:left w:val="single" w:color="auto" w:sz="6" w:space="0"/>
                    <w:bottom w:val="single" w:color="auto" w:sz="6" w:space="0"/>
                    <w:right w:val="single" w:color="auto" w:sz="6" w:space="0"/>
                  </w:tcBorders>
                  <w:noWrap w:val="0"/>
                  <w:vAlign w:val="center"/>
                </w:tcPr>
                <w:p w14:paraId="6C91E938">
                  <w:pPr>
                    <w:pStyle w:val="28"/>
                    <w:bidi w:val="0"/>
                    <w:rPr>
                      <w:rFonts w:hint="default"/>
                      <w:color w:val="auto"/>
                      <w:lang w:val="en-US" w:eastAsia="zh-CN"/>
                    </w:rPr>
                  </w:pPr>
                  <w:r>
                    <w:rPr>
                      <w:rFonts w:hint="eastAsia"/>
                      <w:color w:val="auto"/>
                      <w:lang w:val="en-US" w:eastAsia="zh-CN"/>
                    </w:rPr>
                    <w:t>表示一般固体废物贮存、处置场</w:t>
                  </w:r>
                </w:p>
              </w:tc>
              <w:tc>
                <w:tcPr>
                  <w:tcW w:w="787" w:type="pct"/>
                  <w:tcBorders>
                    <w:top w:val="single" w:color="auto" w:sz="6" w:space="0"/>
                    <w:left w:val="single" w:color="auto" w:sz="6" w:space="0"/>
                    <w:bottom w:val="single" w:color="auto" w:sz="6" w:space="0"/>
                    <w:right w:val="nil"/>
                  </w:tcBorders>
                  <w:noWrap w:val="0"/>
                  <w:vAlign w:val="center"/>
                </w:tcPr>
                <w:p w14:paraId="464C21E3">
                  <w:pPr>
                    <w:pStyle w:val="28"/>
                    <w:bidi w:val="0"/>
                    <w:rPr>
                      <w:rFonts w:hint="default"/>
                      <w:color w:val="auto"/>
                      <w:lang w:val="en-US" w:eastAsia="zh-CN"/>
                    </w:rPr>
                  </w:pPr>
                  <w:r>
                    <w:rPr>
                      <w:rFonts w:hint="eastAsia"/>
                      <w:color w:val="auto"/>
                      <w:lang w:val="en-US" w:eastAsia="zh-CN"/>
                    </w:rPr>
                    <w:t>表示危险废物贮存、处置场</w:t>
                  </w:r>
                </w:p>
              </w:tc>
            </w:tr>
            <w:tr w14:paraId="1FA4EC88">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904" w:type="pct"/>
                  <w:tcBorders>
                    <w:top w:val="single" w:color="auto" w:sz="6" w:space="0"/>
                    <w:left w:val="nil"/>
                    <w:bottom w:val="single" w:color="auto" w:sz="6" w:space="0"/>
                    <w:right w:val="single" w:color="auto" w:sz="6" w:space="0"/>
                  </w:tcBorders>
                  <w:noWrap w:val="0"/>
                  <w:vAlign w:val="center"/>
                </w:tcPr>
                <w:p w14:paraId="59C14EC5">
                  <w:pPr>
                    <w:pStyle w:val="28"/>
                    <w:bidi w:val="0"/>
                    <w:rPr>
                      <w:rFonts w:hint="default"/>
                      <w:color w:val="auto"/>
                      <w:lang w:val="en-US" w:eastAsia="zh-CN"/>
                    </w:rPr>
                  </w:pPr>
                  <w:r>
                    <w:rPr>
                      <w:rFonts w:hint="eastAsia"/>
                      <w:color w:val="auto"/>
                      <w:lang w:val="en-US" w:eastAsia="zh-CN"/>
                    </w:rPr>
                    <w:t>提示标志</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1C7F4BFA">
                  <w:pPr>
                    <w:pStyle w:val="28"/>
                    <w:bidi w:val="0"/>
                    <w:rPr>
                      <w:color w:val="auto"/>
                      <w:lang w:val="en-GB"/>
                    </w:rPr>
                  </w:pPr>
                  <w:r>
                    <w:rPr>
                      <w:color w:val="auto"/>
                      <w:lang w:val="en-GB"/>
                    </w:rPr>
                    <w:t>正方形</w:t>
                  </w:r>
                </w:p>
                <w:p w14:paraId="5755F8CB">
                  <w:pPr>
                    <w:pStyle w:val="28"/>
                    <w:bidi w:val="0"/>
                    <w:rPr>
                      <w:color w:val="auto"/>
                      <w:lang w:val="en-GB"/>
                    </w:rPr>
                  </w:pPr>
                  <w:r>
                    <w:rPr>
                      <w:color w:val="auto"/>
                      <w:lang w:val="en-GB"/>
                    </w:rPr>
                    <w:t>边框</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7AC0DA8F">
                  <w:pPr>
                    <w:pStyle w:val="28"/>
                    <w:bidi w:val="0"/>
                    <w:rPr>
                      <w:color w:val="auto"/>
                      <w:lang w:val="en-GB"/>
                    </w:rPr>
                  </w:pPr>
                  <w:r>
                    <w:rPr>
                      <w:color w:val="auto"/>
                      <w:lang w:val="en-GB"/>
                    </w:rPr>
                    <w:t>正方形</w:t>
                  </w:r>
                </w:p>
                <w:p w14:paraId="131229F1">
                  <w:pPr>
                    <w:pStyle w:val="28"/>
                    <w:bidi w:val="0"/>
                    <w:rPr>
                      <w:color w:val="auto"/>
                      <w:lang w:val="en-GB"/>
                    </w:rPr>
                  </w:pPr>
                  <w:r>
                    <w:rPr>
                      <w:color w:val="auto"/>
                      <w:lang w:val="en-GB"/>
                    </w:rPr>
                    <w:t>边框</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4A69D734">
                  <w:pPr>
                    <w:pStyle w:val="28"/>
                    <w:bidi w:val="0"/>
                    <w:rPr>
                      <w:color w:val="auto"/>
                      <w:lang w:val="en-GB"/>
                    </w:rPr>
                  </w:pPr>
                  <w:r>
                    <w:rPr>
                      <w:color w:val="auto"/>
                      <w:lang w:val="en-GB"/>
                    </w:rPr>
                    <w:t>正方形</w:t>
                  </w:r>
                </w:p>
                <w:p w14:paraId="637AFEDD">
                  <w:pPr>
                    <w:pStyle w:val="28"/>
                    <w:bidi w:val="0"/>
                    <w:rPr>
                      <w:color w:val="auto"/>
                      <w:lang w:val="en-GB"/>
                    </w:rPr>
                  </w:pPr>
                  <w:r>
                    <w:rPr>
                      <w:color w:val="auto"/>
                      <w:lang w:val="en-GB"/>
                    </w:rPr>
                    <w:t>边框</w:t>
                  </w:r>
                </w:p>
              </w:tc>
              <w:tc>
                <w:tcPr>
                  <w:tcW w:w="850" w:type="pct"/>
                  <w:tcBorders>
                    <w:top w:val="single" w:color="auto" w:sz="6" w:space="0"/>
                    <w:left w:val="single" w:color="auto" w:sz="6" w:space="0"/>
                    <w:bottom w:val="single" w:color="auto" w:sz="6" w:space="0"/>
                    <w:right w:val="single" w:color="auto" w:sz="6" w:space="0"/>
                  </w:tcBorders>
                  <w:noWrap w:val="0"/>
                  <w:vAlign w:val="center"/>
                </w:tcPr>
                <w:p w14:paraId="786E1BA8">
                  <w:pPr>
                    <w:pStyle w:val="28"/>
                    <w:bidi w:val="0"/>
                    <w:rPr>
                      <w:color w:val="auto"/>
                      <w:lang w:val="en-GB"/>
                    </w:rPr>
                  </w:pPr>
                  <w:r>
                    <w:rPr>
                      <w:color w:val="auto"/>
                      <w:lang w:val="en-GB"/>
                    </w:rPr>
                    <w:t>正方形</w:t>
                  </w:r>
                </w:p>
                <w:p w14:paraId="57EBF63D">
                  <w:pPr>
                    <w:pStyle w:val="28"/>
                    <w:bidi w:val="0"/>
                    <w:rPr>
                      <w:color w:val="auto"/>
                      <w:lang w:val="en-GB"/>
                    </w:rPr>
                  </w:pPr>
                  <w:r>
                    <w:rPr>
                      <w:color w:val="auto"/>
                      <w:lang w:val="en-GB"/>
                    </w:rPr>
                    <w:t>边框</w:t>
                  </w:r>
                </w:p>
              </w:tc>
              <w:tc>
                <w:tcPr>
                  <w:tcW w:w="787" w:type="pct"/>
                  <w:tcBorders>
                    <w:top w:val="single" w:color="auto" w:sz="6" w:space="0"/>
                    <w:left w:val="single" w:color="auto" w:sz="6" w:space="0"/>
                    <w:bottom w:val="single" w:color="auto" w:sz="6" w:space="0"/>
                    <w:right w:val="nil"/>
                  </w:tcBorders>
                  <w:noWrap w:val="0"/>
                  <w:vAlign w:val="center"/>
                </w:tcPr>
                <w:p w14:paraId="54E0D923">
                  <w:pPr>
                    <w:pStyle w:val="28"/>
                    <w:bidi w:val="0"/>
                    <w:rPr>
                      <w:rFonts w:hint="default"/>
                      <w:color w:val="auto"/>
                      <w:lang w:val="en-US" w:eastAsia="zh-CN"/>
                    </w:rPr>
                  </w:pPr>
                  <w:r>
                    <w:rPr>
                      <w:rFonts w:hint="eastAsia"/>
                      <w:color w:val="auto"/>
                      <w:lang w:val="en-US" w:eastAsia="zh-CN"/>
                    </w:rPr>
                    <w:t>/</w:t>
                  </w:r>
                </w:p>
              </w:tc>
            </w:tr>
            <w:tr w14:paraId="1DE4F6D6">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904" w:type="pct"/>
                  <w:tcBorders>
                    <w:top w:val="single" w:color="auto" w:sz="6" w:space="0"/>
                    <w:left w:val="nil"/>
                    <w:bottom w:val="single" w:color="auto" w:sz="6" w:space="0"/>
                    <w:right w:val="single" w:color="auto" w:sz="6" w:space="0"/>
                  </w:tcBorders>
                  <w:noWrap w:val="0"/>
                  <w:vAlign w:val="center"/>
                </w:tcPr>
                <w:p w14:paraId="630CA830">
                  <w:pPr>
                    <w:pStyle w:val="28"/>
                    <w:bidi w:val="0"/>
                    <w:rPr>
                      <w:rFonts w:hint="eastAsia"/>
                      <w:color w:val="auto"/>
                      <w:lang w:val="en-US" w:eastAsia="zh-CN"/>
                    </w:rPr>
                  </w:pPr>
                  <w:r>
                    <w:rPr>
                      <w:color w:val="auto"/>
                      <w:lang w:val="en-GB"/>
                    </w:rPr>
                    <w:t>背景颜色</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0997882C">
                  <w:pPr>
                    <w:pStyle w:val="28"/>
                    <w:bidi w:val="0"/>
                    <w:rPr>
                      <w:color w:val="auto"/>
                      <w:lang w:val="en-GB" w:eastAsia="zh-CN"/>
                    </w:rPr>
                  </w:pPr>
                  <w:r>
                    <w:rPr>
                      <w:color w:val="auto"/>
                      <w:lang w:val="en-GB"/>
                    </w:rPr>
                    <w:t>绿色</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017D3401">
                  <w:pPr>
                    <w:pStyle w:val="28"/>
                    <w:bidi w:val="0"/>
                    <w:rPr>
                      <w:color w:val="auto"/>
                      <w:lang w:val="en-GB" w:eastAsia="zh-CN"/>
                    </w:rPr>
                  </w:pPr>
                  <w:r>
                    <w:rPr>
                      <w:color w:val="auto"/>
                      <w:lang w:val="en-GB"/>
                    </w:rPr>
                    <w:t>绿色</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5CE22C95">
                  <w:pPr>
                    <w:pStyle w:val="28"/>
                    <w:bidi w:val="0"/>
                    <w:rPr>
                      <w:color w:val="auto"/>
                      <w:lang w:val="en-GB" w:eastAsia="zh-CN"/>
                    </w:rPr>
                  </w:pPr>
                  <w:r>
                    <w:rPr>
                      <w:color w:val="auto"/>
                      <w:lang w:val="en-GB"/>
                    </w:rPr>
                    <w:t>绿色</w:t>
                  </w:r>
                </w:p>
              </w:tc>
              <w:tc>
                <w:tcPr>
                  <w:tcW w:w="850" w:type="pct"/>
                  <w:tcBorders>
                    <w:top w:val="single" w:color="auto" w:sz="6" w:space="0"/>
                    <w:left w:val="single" w:color="auto" w:sz="6" w:space="0"/>
                    <w:bottom w:val="single" w:color="auto" w:sz="6" w:space="0"/>
                    <w:right w:val="single" w:color="auto" w:sz="6" w:space="0"/>
                  </w:tcBorders>
                  <w:noWrap w:val="0"/>
                  <w:vAlign w:val="center"/>
                </w:tcPr>
                <w:p w14:paraId="0CD0BD32">
                  <w:pPr>
                    <w:pStyle w:val="28"/>
                    <w:bidi w:val="0"/>
                    <w:rPr>
                      <w:color w:val="auto"/>
                      <w:lang w:val="en-GB" w:eastAsia="zh-CN"/>
                    </w:rPr>
                  </w:pPr>
                  <w:r>
                    <w:rPr>
                      <w:color w:val="auto"/>
                      <w:lang w:val="en-GB"/>
                    </w:rPr>
                    <w:t>绿色</w:t>
                  </w:r>
                </w:p>
              </w:tc>
              <w:tc>
                <w:tcPr>
                  <w:tcW w:w="787" w:type="pct"/>
                  <w:tcBorders>
                    <w:top w:val="single" w:color="auto" w:sz="6" w:space="0"/>
                    <w:left w:val="single" w:color="auto" w:sz="6" w:space="0"/>
                    <w:bottom w:val="single" w:color="auto" w:sz="6" w:space="0"/>
                    <w:right w:val="nil"/>
                  </w:tcBorders>
                  <w:noWrap w:val="0"/>
                  <w:vAlign w:val="center"/>
                </w:tcPr>
                <w:p w14:paraId="5C062F4E">
                  <w:pPr>
                    <w:pStyle w:val="28"/>
                    <w:bidi w:val="0"/>
                    <w:rPr>
                      <w:rFonts w:hint="eastAsia"/>
                      <w:color w:val="auto"/>
                      <w:lang w:val="en-US" w:eastAsia="zh-CN"/>
                    </w:rPr>
                  </w:pPr>
                  <w:r>
                    <w:rPr>
                      <w:rFonts w:hint="eastAsia"/>
                      <w:color w:val="auto"/>
                      <w:lang w:val="en-US" w:eastAsia="zh-CN"/>
                    </w:rPr>
                    <w:t>/</w:t>
                  </w:r>
                </w:p>
              </w:tc>
            </w:tr>
            <w:tr w14:paraId="23C85264">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904" w:type="pct"/>
                  <w:tcBorders>
                    <w:top w:val="single" w:color="auto" w:sz="6" w:space="0"/>
                    <w:left w:val="nil"/>
                    <w:bottom w:val="single" w:color="auto" w:sz="6" w:space="0"/>
                    <w:right w:val="single" w:color="auto" w:sz="6" w:space="0"/>
                  </w:tcBorders>
                  <w:noWrap w:val="0"/>
                  <w:vAlign w:val="center"/>
                </w:tcPr>
                <w:p w14:paraId="27230484">
                  <w:pPr>
                    <w:pStyle w:val="28"/>
                    <w:bidi w:val="0"/>
                    <w:rPr>
                      <w:rFonts w:hint="eastAsia"/>
                      <w:color w:val="auto"/>
                      <w:lang w:val="en-US" w:eastAsia="zh-CN"/>
                    </w:rPr>
                  </w:pPr>
                  <w:r>
                    <w:rPr>
                      <w:color w:val="auto"/>
                      <w:lang w:val="en-GB"/>
                    </w:rPr>
                    <w:t>图形颜色</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506C71B4">
                  <w:pPr>
                    <w:pStyle w:val="28"/>
                    <w:bidi w:val="0"/>
                    <w:rPr>
                      <w:color w:val="auto"/>
                      <w:lang w:val="en-GB" w:eastAsia="zh-CN"/>
                    </w:rPr>
                  </w:pPr>
                  <w:r>
                    <w:rPr>
                      <w:color w:val="auto"/>
                      <w:lang w:val="en-GB"/>
                    </w:rPr>
                    <w:t>白色</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1B08332B">
                  <w:pPr>
                    <w:pStyle w:val="28"/>
                    <w:bidi w:val="0"/>
                    <w:rPr>
                      <w:color w:val="auto"/>
                      <w:lang w:val="en-GB" w:eastAsia="zh-CN"/>
                    </w:rPr>
                  </w:pPr>
                  <w:r>
                    <w:rPr>
                      <w:color w:val="auto"/>
                      <w:lang w:val="en-GB"/>
                    </w:rPr>
                    <w:t>白色</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6E8B8E6C">
                  <w:pPr>
                    <w:pStyle w:val="28"/>
                    <w:bidi w:val="0"/>
                    <w:rPr>
                      <w:color w:val="auto"/>
                      <w:lang w:val="en-GB" w:eastAsia="zh-CN"/>
                    </w:rPr>
                  </w:pPr>
                  <w:r>
                    <w:rPr>
                      <w:color w:val="auto"/>
                      <w:lang w:val="en-GB"/>
                    </w:rPr>
                    <w:t>白色</w:t>
                  </w:r>
                </w:p>
              </w:tc>
              <w:tc>
                <w:tcPr>
                  <w:tcW w:w="850" w:type="pct"/>
                  <w:tcBorders>
                    <w:top w:val="single" w:color="auto" w:sz="6" w:space="0"/>
                    <w:left w:val="single" w:color="auto" w:sz="6" w:space="0"/>
                    <w:bottom w:val="single" w:color="auto" w:sz="6" w:space="0"/>
                    <w:right w:val="single" w:color="auto" w:sz="6" w:space="0"/>
                  </w:tcBorders>
                  <w:noWrap w:val="0"/>
                  <w:vAlign w:val="center"/>
                </w:tcPr>
                <w:p w14:paraId="63F465FA">
                  <w:pPr>
                    <w:pStyle w:val="28"/>
                    <w:bidi w:val="0"/>
                    <w:rPr>
                      <w:color w:val="auto"/>
                      <w:lang w:val="en-GB" w:eastAsia="zh-CN"/>
                    </w:rPr>
                  </w:pPr>
                  <w:r>
                    <w:rPr>
                      <w:color w:val="auto"/>
                      <w:lang w:val="en-GB"/>
                    </w:rPr>
                    <w:t>白色</w:t>
                  </w:r>
                </w:p>
              </w:tc>
              <w:tc>
                <w:tcPr>
                  <w:tcW w:w="787" w:type="pct"/>
                  <w:tcBorders>
                    <w:top w:val="single" w:color="auto" w:sz="6" w:space="0"/>
                    <w:left w:val="single" w:color="auto" w:sz="6" w:space="0"/>
                    <w:bottom w:val="single" w:color="auto" w:sz="6" w:space="0"/>
                    <w:right w:val="nil"/>
                  </w:tcBorders>
                  <w:noWrap w:val="0"/>
                  <w:vAlign w:val="center"/>
                </w:tcPr>
                <w:p w14:paraId="4F4A50FD">
                  <w:pPr>
                    <w:pStyle w:val="28"/>
                    <w:bidi w:val="0"/>
                    <w:rPr>
                      <w:rFonts w:hint="eastAsia"/>
                      <w:color w:val="auto"/>
                      <w:lang w:val="en-US" w:eastAsia="zh-CN"/>
                    </w:rPr>
                  </w:pPr>
                  <w:r>
                    <w:rPr>
                      <w:rFonts w:hint="eastAsia"/>
                      <w:color w:val="auto"/>
                      <w:lang w:val="en-US" w:eastAsia="zh-CN"/>
                    </w:rPr>
                    <w:t>/</w:t>
                  </w:r>
                </w:p>
              </w:tc>
            </w:tr>
            <w:tr w14:paraId="56750E74">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904" w:type="pct"/>
                  <w:tcBorders>
                    <w:top w:val="single" w:color="auto" w:sz="6" w:space="0"/>
                    <w:left w:val="nil"/>
                    <w:bottom w:val="single" w:color="auto" w:sz="6" w:space="0"/>
                    <w:right w:val="single" w:color="auto" w:sz="6" w:space="0"/>
                  </w:tcBorders>
                  <w:noWrap w:val="0"/>
                  <w:vAlign w:val="center"/>
                </w:tcPr>
                <w:p w14:paraId="617D394B">
                  <w:pPr>
                    <w:pStyle w:val="28"/>
                    <w:bidi w:val="0"/>
                    <w:rPr>
                      <w:rFonts w:hint="eastAsia"/>
                      <w:color w:val="auto"/>
                      <w:lang w:val="en-US" w:eastAsia="zh-CN"/>
                    </w:rPr>
                  </w:pPr>
                  <w:r>
                    <w:rPr>
                      <w:rFonts w:hint="eastAsia"/>
                      <w:color w:val="auto"/>
                      <w:lang w:val="en-US" w:eastAsia="zh-CN"/>
                    </w:rPr>
                    <w:t>警告标志</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641411C7">
                  <w:pPr>
                    <w:pStyle w:val="28"/>
                    <w:bidi w:val="0"/>
                    <w:rPr>
                      <w:rFonts w:hint="eastAsia"/>
                      <w:color w:val="auto"/>
                      <w:lang w:val="en-US" w:eastAsia="zh-CN"/>
                    </w:rPr>
                  </w:pPr>
                  <w:r>
                    <w:rPr>
                      <w:rFonts w:hint="eastAsia"/>
                      <w:color w:val="auto"/>
                      <w:lang w:val="en-US" w:eastAsia="zh-CN"/>
                    </w:rPr>
                    <w:t>三角形</w:t>
                  </w:r>
                </w:p>
                <w:p w14:paraId="7FE517D3">
                  <w:pPr>
                    <w:pStyle w:val="28"/>
                    <w:bidi w:val="0"/>
                    <w:rPr>
                      <w:rFonts w:hint="default"/>
                      <w:color w:val="auto"/>
                      <w:lang w:val="en-US" w:eastAsia="zh-CN"/>
                    </w:rPr>
                  </w:pPr>
                  <w:r>
                    <w:rPr>
                      <w:rFonts w:hint="eastAsia"/>
                      <w:color w:val="auto"/>
                      <w:lang w:val="en-US" w:eastAsia="zh-CN"/>
                    </w:rPr>
                    <w:t>边框</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2D2E721D">
                  <w:pPr>
                    <w:pStyle w:val="28"/>
                    <w:bidi w:val="0"/>
                    <w:rPr>
                      <w:rFonts w:hint="eastAsia"/>
                      <w:color w:val="auto"/>
                      <w:lang w:val="en-US" w:eastAsia="zh-CN"/>
                    </w:rPr>
                  </w:pPr>
                  <w:r>
                    <w:rPr>
                      <w:rFonts w:hint="eastAsia"/>
                      <w:color w:val="auto"/>
                      <w:lang w:val="en-US" w:eastAsia="zh-CN"/>
                    </w:rPr>
                    <w:t>三角形</w:t>
                  </w:r>
                </w:p>
                <w:p w14:paraId="259159AD">
                  <w:pPr>
                    <w:pStyle w:val="28"/>
                    <w:bidi w:val="0"/>
                    <w:rPr>
                      <w:color w:val="auto"/>
                      <w:lang w:val="en-GB"/>
                    </w:rPr>
                  </w:pPr>
                  <w:r>
                    <w:rPr>
                      <w:rFonts w:hint="eastAsia"/>
                      <w:color w:val="auto"/>
                      <w:lang w:val="en-US" w:eastAsia="zh-CN"/>
                    </w:rPr>
                    <w:t>边框</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4B76E37B">
                  <w:pPr>
                    <w:pStyle w:val="28"/>
                    <w:bidi w:val="0"/>
                    <w:rPr>
                      <w:rFonts w:hint="eastAsia"/>
                      <w:color w:val="auto"/>
                      <w:lang w:val="en-US" w:eastAsia="zh-CN"/>
                    </w:rPr>
                  </w:pPr>
                  <w:r>
                    <w:rPr>
                      <w:rFonts w:hint="eastAsia"/>
                      <w:color w:val="auto"/>
                      <w:lang w:val="en-US" w:eastAsia="zh-CN"/>
                    </w:rPr>
                    <w:t>三角形</w:t>
                  </w:r>
                </w:p>
                <w:p w14:paraId="67D32F25">
                  <w:pPr>
                    <w:pStyle w:val="28"/>
                    <w:bidi w:val="0"/>
                    <w:rPr>
                      <w:color w:val="auto"/>
                      <w:lang w:val="en-GB"/>
                    </w:rPr>
                  </w:pPr>
                  <w:r>
                    <w:rPr>
                      <w:rFonts w:hint="eastAsia"/>
                      <w:color w:val="auto"/>
                      <w:lang w:val="en-US" w:eastAsia="zh-CN"/>
                    </w:rPr>
                    <w:t>边框</w:t>
                  </w:r>
                </w:p>
              </w:tc>
              <w:tc>
                <w:tcPr>
                  <w:tcW w:w="850" w:type="pct"/>
                  <w:tcBorders>
                    <w:top w:val="single" w:color="auto" w:sz="6" w:space="0"/>
                    <w:left w:val="single" w:color="auto" w:sz="6" w:space="0"/>
                    <w:bottom w:val="single" w:color="auto" w:sz="6" w:space="0"/>
                    <w:right w:val="single" w:color="auto" w:sz="6" w:space="0"/>
                  </w:tcBorders>
                  <w:noWrap w:val="0"/>
                  <w:vAlign w:val="center"/>
                </w:tcPr>
                <w:p w14:paraId="713ABD77">
                  <w:pPr>
                    <w:pStyle w:val="28"/>
                    <w:bidi w:val="0"/>
                    <w:rPr>
                      <w:rFonts w:hint="eastAsia"/>
                      <w:color w:val="auto"/>
                      <w:lang w:val="en-US" w:eastAsia="zh-CN"/>
                    </w:rPr>
                  </w:pPr>
                  <w:r>
                    <w:rPr>
                      <w:rFonts w:hint="eastAsia"/>
                      <w:color w:val="auto"/>
                      <w:lang w:val="en-US" w:eastAsia="zh-CN"/>
                    </w:rPr>
                    <w:t>三角形</w:t>
                  </w:r>
                </w:p>
                <w:p w14:paraId="57F189ED">
                  <w:pPr>
                    <w:pStyle w:val="28"/>
                    <w:bidi w:val="0"/>
                    <w:rPr>
                      <w:color w:val="auto"/>
                      <w:lang w:val="en-GB"/>
                    </w:rPr>
                  </w:pPr>
                  <w:r>
                    <w:rPr>
                      <w:rFonts w:hint="eastAsia"/>
                      <w:color w:val="auto"/>
                      <w:lang w:val="en-US" w:eastAsia="zh-CN"/>
                    </w:rPr>
                    <w:t>边框</w:t>
                  </w:r>
                </w:p>
              </w:tc>
              <w:tc>
                <w:tcPr>
                  <w:tcW w:w="787" w:type="pct"/>
                  <w:tcBorders>
                    <w:top w:val="single" w:color="auto" w:sz="6" w:space="0"/>
                    <w:left w:val="single" w:color="auto" w:sz="6" w:space="0"/>
                    <w:bottom w:val="single" w:color="auto" w:sz="6" w:space="0"/>
                    <w:right w:val="nil"/>
                  </w:tcBorders>
                  <w:noWrap w:val="0"/>
                  <w:vAlign w:val="center"/>
                </w:tcPr>
                <w:p w14:paraId="138BF202">
                  <w:pPr>
                    <w:pStyle w:val="28"/>
                    <w:bidi w:val="0"/>
                    <w:rPr>
                      <w:rFonts w:hint="eastAsia"/>
                      <w:color w:val="auto"/>
                      <w:lang w:val="en-US" w:eastAsia="zh-CN"/>
                    </w:rPr>
                  </w:pPr>
                  <w:r>
                    <w:rPr>
                      <w:rFonts w:hint="eastAsia"/>
                      <w:color w:val="auto"/>
                      <w:lang w:val="en-US" w:eastAsia="zh-CN"/>
                    </w:rPr>
                    <w:t>三角形</w:t>
                  </w:r>
                </w:p>
                <w:p w14:paraId="41557B4D">
                  <w:pPr>
                    <w:pStyle w:val="28"/>
                    <w:bidi w:val="0"/>
                    <w:rPr>
                      <w:rFonts w:hint="eastAsia"/>
                      <w:color w:val="auto"/>
                      <w:lang w:val="en-US" w:eastAsia="zh-CN"/>
                    </w:rPr>
                  </w:pPr>
                  <w:r>
                    <w:rPr>
                      <w:rFonts w:hint="eastAsia"/>
                      <w:color w:val="auto"/>
                      <w:lang w:val="en-US" w:eastAsia="zh-CN"/>
                    </w:rPr>
                    <w:t>边框</w:t>
                  </w:r>
                </w:p>
              </w:tc>
            </w:tr>
            <w:tr w14:paraId="5BA25B25">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904" w:type="pct"/>
                  <w:tcBorders>
                    <w:top w:val="single" w:color="auto" w:sz="6" w:space="0"/>
                    <w:left w:val="nil"/>
                    <w:bottom w:val="single" w:color="auto" w:sz="6" w:space="0"/>
                    <w:right w:val="single" w:color="auto" w:sz="6" w:space="0"/>
                  </w:tcBorders>
                  <w:noWrap w:val="0"/>
                  <w:vAlign w:val="center"/>
                </w:tcPr>
                <w:p w14:paraId="0B40AF13">
                  <w:pPr>
                    <w:pStyle w:val="28"/>
                    <w:bidi w:val="0"/>
                    <w:rPr>
                      <w:rFonts w:hint="eastAsia"/>
                      <w:color w:val="auto"/>
                      <w:lang w:val="en-GB" w:eastAsia="zh-CN"/>
                    </w:rPr>
                  </w:pPr>
                  <w:r>
                    <w:rPr>
                      <w:color w:val="auto"/>
                      <w:lang w:val="en-GB"/>
                    </w:rPr>
                    <w:t>背景颜色</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496298BB">
                  <w:pPr>
                    <w:pStyle w:val="28"/>
                    <w:bidi w:val="0"/>
                    <w:rPr>
                      <w:rFonts w:hint="eastAsia"/>
                      <w:color w:val="auto"/>
                      <w:lang w:val="en-GB" w:eastAsia="zh-CN"/>
                    </w:rPr>
                  </w:pPr>
                  <w:r>
                    <w:rPr>
                      <w:rFonts w:hint="eastAsia"/>
                      <w:color w:val="auto"/>
                      <w:lang w:val="en-US" w:eastAsia="zh-CN"/>
                    </w:rPr>
                    <w:t>黄色</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58FC36EA">
                  <w:pPr>
                    <w:pStyle w:val="28"/>
                    <w:bidi w:val="0"/>
                    <w:rPr>
                      <w:color w:val="auto"/>
                      <w:lang w:val="en-GB" w:eastAsia="zh-CN"/>
                    </w:rPr>
                  </w:pPr>
                  <w:r>
                    <w:rPr>
                      <w:rFonts w:hint="eastAsia"/>
                      <w:color w:val="auto"/>
                      <w:lang w:val="en-US" w:eastAsia="zh-CN"/>
                    </w:rPr>
                    <w:t>黄色</w:t>
                  </w:r>
                </w:p>
              </w:tc>
              <w:tc>
                <w:tcPr>
                  <w:tcW w:w="819" w:type="pct"/>
                  <w:tcBorders>
                    <w:top w:val="single" w:color="auto" w:sz="6" w:space="0"/>
                    <w:left w:val="single" w:color="auto" w:sz="6" w:space="0"/>
                    <w:bottom w:val="single" w:color="auto" w:sz="6" w:space="0"/>
                    <w:right w:val="single" w:color="auto" w:sz="6" w:space="0"/>
                  </w:tcBorders>
                  <w:noWrap w:val="0"/>
                  <w:vAlign w:val="center"/>
                </w:tcPr>
                <w:p w14:paraId="03449C0E">
                  <w:pPr>
                    <w:pStyle w:val="28"/>
                    <w:bidi w:val="0"/>
                    <w:rPr>
                      <w:color w:val="auto"/>
                      <w:lang w:val="en-GB" w:eastAsia="zh-CN"/>
                    </w:rPr>
                  </w:pPr>
                  <w:r>
                    <w:rPr>
                      <w:rFonts w:hint="eastAsia"/>
                      <w:color w:val="auto"/>
                      <w:lang w:val="en-US" w:eastAsia="zh-CN"/>
                    </w:rPr>
                    <w:t>黄色</w:t>
                  </w:r>
                </w:p>
              </w:tc>
              <w:tc>
                <w:tcPr>
                  <w:tcW w:w="850" w:type="pct"/>
                  <w:tcBorders>
                    <w:top w:val="single" w:color="auto" w:sz="6" w:space="0"/>
                    <w:left w:val="single" w:color="auto" w:sz="6" w:space="0"/>
                    <w:bottom w:val="single" w:color="auto" w:sz="6" w:space="0"/>
                    <w:right w:val="single" w:color="auto" w:sz="6" w:space="0"/>
                  </w:tcBorders>
                  <w:noWrap w:val="0"/>
                  <w:vAlign w:val="center"/>
                </w:tcPr>
                <w:p w14:paraId="443DA9EF">
                  <w:pPr>
                    <w:pStyle w:val="28"/>
                    <w:bidi w:val="0"/>
                    <w:rPr>
                      <w:color w:val="auto"/>
                      <w:lang w:val="en-GB" w:eastAsia="zh-CN"/>
                    </w:rPr>
                  </w:pPr>
                  <w:r>
                    <w:rPr>
                      <w:rFonts w:hint="eastAsia"/>
                      <w:color w:val="auto"/>
                      <w:lang w:val="en-US" w:eastAsia="zh-CN"/>
                    </w:rPr>
                    <w:t>黄色</w:t>
                  </w:r>
                </w:p>
              </w:tc>
              <w:tc>
                <w:tcPr>
                  <w:tcW w:w="787" w:type="pct"/>
                  <w:tcBorders>
                    <w:top w:val="single" w:color="auto" w:sz="6" w:space="0"/>
                    <w:left w:val="single" w:color="auto" w:sz="6" w:space="0"/>
                    <w:bottom w:val="single" w:color="auto" w:sz="6" w:space="0"/>
                    <w:right w:val="nil"/>
                  </w:tcBorders>
                  <w:noWrap w:val="0"/>
                  <w:vAlign w:val="center"/>
                </w:tcPr>
                <w:p w14:paraId="4E8A8F0F">
                  <w:pPr>
                    <w:pStyle w:val="28"/>
                    <w:bidi w:val="0"/>
                    <w:rPr>
                      <w:rFonts w:hint="eastAsia"/>
                      <w:color w:val="auto"/>
                      <w:lang w:val="en-GB" w:eastAsia="zh-CN"/>
                    </w:rPr>
                  </w:pPr>
                  <w:r>
                    <w:rPr>
                      <w:rFonts w:hint="eastAsia"/>
                      <w:color w:val="auto"/>
                      <w:lang w:val="en-US" w:eastAsia="zh-CN"/>
                    </w:rPr>
                    <w:t>黄色</w:t>
                  </w:r>
                </w:p>
              </w:tc>
            </w:tr>
            <w:tr w14:paraId="1D3F85A9">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904" w:type="pct"/>
                  <w:tcBorders>
                    <w:top w:val="single" w:color="auto" w:sz="6" w:space="0"/>
                    <w:left w:val="nil"/>
                    <w:bottom w:val="single" w:color="auto" w:sz="12" w:space="0"/>
                    <w:right w:val="single" w:color="auto" w:sz="6" w:space="0"/>
                  </w:tcBorders>
                  <w:noWrap w:val="0"/>
                  <w:vAlign w:val="center"/>
                </w:tcPr>
                <w:p w14:paraId="1E10768B">
                  <w:pPr>
                    <w:pStyle w:val="28"/>
                    <w:bidi w:val="0"/>
                    <w:rPr>
                      <w:rFonts w:hint="eastAsia"/>
                      <w:color w:val="auto"/>
                      <w:lang w:val="en-GB" w:eastAsia="zh-CN"/>
                    </w:rPr>
                  </w:pPr>
                  <w:r>
                    <w:rPr>
                      <w:color w:val="auto"/>
                      <w:lang w:val="en-GB"/>
                    </w:rPr>
                    <w:t>图形颜色</w:t>
                  </w:r>
                </w:p>
              </w:tc>
              <w:tc>
                <w:tcPr>
                  <w:tcW w:w="819" w:type="pct"/>
                  <w:tcBorders>
                    <w:top w:val="single" w:color="auto" w:sz="6" w:space="0"/>
                    <w:left w:val="single" w:color="auto" w:sz="6" w:space="0"/>
                    <w:bottom w:val="single" w:color="auto" w:sz="12" w:space="0"/>
                    <w:right w:val="single" w:color="auto" w:sz="6" w:space="0"/>
                  </w:tcBorders>
                  <w:noWrap w:val="0"/>
                  <w:vAlign w:val="center"/>
                </w:tcPr>
                <w:p w14:paraId="75BA1DB4">
                  <w:pPr>
                    <w:pStyle w:val="28"/>
                    <w:bidi w:val="0"/>
                    <w:rPr>
                      <w:color w:val="auto"/>
                      <w:lang w:val="en-GB" w:eastAsia="zh-CN"/>
                    </w:rPr>
                  </w:pPr>
                  <w:r>
                    <w:rPr>
                      <w:color w:val="auto"/>
                      <w:lang w:val="en-GB"/>
                    </w:rPr>
                    <w:t>黑色</w:t>
                  </w:r>
                </w:p>
              </w:tc>
              <w:tc>
                <w:tcPr>
                  <w:tcW w:w="819" w:type="pct"/>
                  <w:tcBorders>
                    <w:top w:val="single" w:color="auto" w:sz="6" w:space="0"/>
                    <w:left w:val="single" w:color="auto" w:sz="6" w:space="0"/>
                    <w:bottom w:val="single" w:color="auto" w:sz="12" w:space="0"/>
                    <w:right w:val="single" w:color="auto" w:sz="6" w:space="0"/>
                  </w:tcBorders>
                  <w:noWrap w:val="0"/>
                  <w:vAlign w:val="center"/>
                </w:tcPr>
                <w:p w14:paraId="2EDFFE09">
                  <w:pPr>
                    <w:pStyle w:val="28"/>
                    <w:bidi w:val="0"/>
                    <w:rPr>
                      <w:color w:val="auto"/>
                      <w:lang w:val="en-GB" w:eastAsia="zh-CN"/>
                    </w:rPr>
                  </w:pPr>
                  <w:r>
                    <w:rPr>
                      <w:color w:val="auto"/>
                      <w:lang w:val="en-GB"/>
                    </w:rPr>
                    <w:t>黑色</w:t>
                  </w:r>
                </w:p>
              </w:tc>
              <w:tc>
                <w:tcPr>
                  <w:tcW w:w="819" w:type="pct"/>
                  <w:tcBorders>
                    <w:top w:val="single" w:color="auto" w:sz="6" w:space="0"/>
                    <w:left w:val="single" w:color="auto" w:sz="6" w:space="0"/>
                    <w:bottom w:val="single" w:color="auto" w:sz="12" w:space="0"/>
                    <w:right w:val="single" w:color="auto" w:sz="6" w:space="0"/>
                  </w:tcBorders>
                  <w:noWrap w:val="0"/>
                  <w:vAlign w:val="center"/>
                </w:tcPr>
                <w:p w14:paraId="6301B677">
                  <w:pPr>
                    <w:pStyle w:val="28"/>
                    <w:bidi w:val="0"/>
                    <w:rPr>
                      <w:color w:val="auto"/>
                      <w:lang w:val="en-GB" w:eastAsia="zh-CN"/>
                    </w:rPr>
                  </w:pPr>
                  <w:r>
                    <w:rPr>
                      <w:color w:val="auto"/>
                      <w:lang w:val="en-GB"/>
                    </w:rPr>
                    <w:t>黑色</w:t>
                  </w:r>
                </w:p>
              </w:tc>
              <w:tc>
                <w:tcPr>
                  <w:tcW w:w="850" w:type="pct"/>
                  <w:tcBorders>
                    <w:top w:val="single" w:color="auto" w:sz="6" w:space="0"/>
                    <w:left w:val="single" w:color="auto" w:sz="6" w:space="0"/>
                    <w:bottom w:val="single" w:color="auto" w:sz="12" w:space="0"/>
                    <w:right w:val="single" w:color="auto" w:sz="6" w:space="0"/>
                  </w:tcBorders>
                  <w:noWrap w:val="0"/>
                  <w:vAlign w:val="center"/>
                </w:tcPr>
                <w:p w14:paraId="5C87CAD7">
                  <w:pPr>
                    <w:pStyle w:val="28"/>
                    <w:bidi w:val="0"/>
                    <w:rPr>
                      <w:color w:val="auto"/>
                      <w:lang w:val="en-GB" w:eastAsia="zh-CN"/>
                    </w:rPr>
                  </w:pPr>
                  <w:r>
                    <w:rPr>
                      <w:color w:val="auto"/>
                      <w:lang w:val="en-GB"/>
                    </w:rPr>
                    <w:t>黑色</w:t>
                  </w:r>
                </w:p>
              </w:tc>
              <w:tc>
                <w:tcPr>
                  <w:tcW w:w="787" w:type="pct"/>
                  <w:tcBorders>
                    <w:top w:val="single" w:color="auto" w:sz="6" w:space="0"/>
                    <w:left w:val="single" w:color="auto" w:sz="6" w:space="0"/>
                    <w:bottom w:val="single" w:color="auto" w:sz="12" w:space="0"/>
                    <w:right w:val="nil"/>
                  </w:tcBorders>
                  <w:noWrap w:val="0"/>
                  <w:vAlign w:val="center"/>
                </w:tcPr>
                <w:p w14:paraId="21FF8814">
                  <w:pPr>
                    <w:pStyle w:val="28"/>
                    <w:bidi w:val="0"/>
                    <w:rPr>
                      <w:rFonts w:hint="eastAsia"/>
                      <w:color w:val="auto"/>
                      <w:lang w:val="en-GB" w:eastAsia="zh-CN"/>
                    </w:rPr>
                  </w:pPr>
                  <w:r>
                    <w:rPr>
                      <w:color w:val="auto"/>
                      <w:lang w:val="en-GB"/>
                    </w:rPr>
                    <w:t>黑色</w:t>
                  </w:r>
                </w:p>
              </w:tc>
            </w:tr>
          </w:tbl>
          <w:p w14:paraId="4CBFF90D">
            <w:pPr>
              <w:bidi w:val="0"/>
              <w:rPr>
                <w:rFonts w:hint="default"/>
                <w:color w:val="auto"/>
                <w:lang w:val="en-US" w:eastAsia="zh-CN"/>
              </w:rPr>
            </w:pPr>
            <w:bookmarkStart w:id="45" w:name="_Toc490031280"/>
            <w:bookmarkStart w:id="46" w:name="_Toc492278677"/>
            <w:r>
              <w:rPr>
                <w:rFonts w:hint="default"/>
                <w:color w:val="auto"/>
                <w:lang w:val="en-US" w:eastAsia="zh-CN"/>
              </w:rPr>
              <w:t>环保信息公开要求</w:t>
            </w:r>
            <w:bookmarkEnd w:id="45"/>
            <w:bookmarkEnd w:id="46"/>
            <w:r>
              <w:rPr>
                <w:rFonts w:hint="eastAsia"/>
                <w:color w:val="auto"/>
                <w:lang w:val="en-US" w:eastAsia="zh-CN"/>
              </w:rPr>
              <w:t>：</w:t>
            </w:r>
          </w:p>
          <w:p w14:paraId="4FFD59B8">
            <w:pPr>
              <w:bidi w:val="0"/>
              <w:rPr>
                <w:rFonts w:hint="eastAsia"/>
                <w:color w:val="auto"/>
                <w:lang w:val="en-US" w:eastAsia="zh-CN"/>
              </w:rPr>
            </w:pPr>
            <w:r>
              <w:rPr>
                <w:rFonts w:hint="eastAsia"/>
                <w:color w:val="auto"/>
                <w:lang w:val="en-US" w:eastAsia="zh-CN"/>
              </w:rPr>
              <w:t>参照</w:t>
            </w:r>
            <w:r>
              <w:rPr>
                <w:rFonts w:hint="default"/>
                <w:color w:val="auto"/>
                <w:lang w:val="en-US" w:eastAsia="zh-CN"/>
              </w:rPr>
              <w:t>2021年11月26日生态环境部</w:t>
            </w:r>
            <w:r>
              <w:rPr>
                <w:rFonts w:hint="eastAsia"/>
                <w:color w:val="auto"/>
                <w:lang w:val="en-US" w:eastAsia="zh-CN"/>
              </w:rPr>
              <w:t>发布的</w:t>
            </w:r>
            <w:r>
              <w:rPr>
                <w:rFonts w:hint="default"/>
                <w:color w:val="auto"/>
                <w:lang w:val="en-US" w:eastAsia="zh-CN"/>
              </w:rPr>
              <w:t>《企业环境信息依法披露管理办法》</w:t>
            </w:r>
            <w:r>
              <w:rPr>
                <w:rFonts w:hint="eastAsia"/>
                <w:color w:val="auto"/>
                <w:lang w:val="en-US" w:eastAsia="zh-CN"/>
              </w:rPr>
              <w:t>(生态环境部令第24号)要求可知，企业应当建立健全环境信息依法披露管理制度，规范工作规程，明确工作职责，建立准确的环境信息管理台账，妥善保存相关原始记录，科学统计归集相关环境信息。</w:t>
            </w:r>
            <w:r>
              <w:rPr>
                <w:rFonts w:hint="default"/>
                <w:color w:val="auto"/>
                <w:lang w:val="en-US" w:eastAsia="zh-CN"/>
              </w:rPr>
              <w:t>企业年度环境信息依法披露报告应当包括以下内容</w:t>
            </w:r>
            <w:r>
              <w:rPr>
                <w:rFonts w:hint="eastAsia"/>
                <w:color w:val="auto"/>
                <w:lang w:val="en-US" w:eastAsia="zh-CN"/>
              </w:rPr>
              <w:t>：</w:t>
            </w:r>
          </w:p>
          <w:p w14:paraId="2DC03D0F">
            <w:pPr>
              <w:bidi w:val="0"/>
              <w:rPr>
                <w:rFonts w:hint="eastAsia"/>
                <w:color w:val="auto"/>
                <w:lang w:val="en-US" w:eastAsia="zh-CN"/>
              </w:rPr>
            </w:pPr>
            <w:r>
              <w:rPr>
                <w:rFonts w:hint="eastAsia"/>
                <w:color w:val="auto"/>
                <w:lang w:val="en-US" w:eastAsia="zh-CN"/>
              </w:rPr>
              <w:t>（1）企业基本信息，包括企业生产和生态环境保护等方面的基础信息；</w:t>
            </w:r>
          </w:p>
          <w:p w14:paraId="7997EBD8">
            <w:pPr>
              <w:bidi w:val="0"/>
              <w:rPr>
                <w:rFonts w:hint="eastAsia"/>
                <w:color w:val="auto"/>
                <w:lang w:val="en-US" w:eastAsia="zh-CN"/>
              </w:rPr>
            </w:pPr>
            <w:r>
              <w:rPr>
                <w:rFonts w:hint="eastAsia"/>
                <w:color w:val="auto"/>
                <w:lang w:val="en-US" w:eastAsia="zh-CN"/>
              </w:rPr>
              <w:t>（2）企业环境管理信息，包括生态环境行政许可、环境保护税、环境污染责任保险、环保信用评价等方面的信息；</w:t>
            </w:r>
          </w:p>
          <w:p w14:paraId="22DA52E5">
            <w:pPr>
              <w:bidi w:val="0"/>
              <w:rPr>
                <w:rFonts w:hint="eastAsia"/>
                <w:color w:val="auto"/>
                <w:lang w:val="en-US" w:eastAsia="zh-CN"/>
              </w:rPr>
            </w:pPr>
            <w:r>
              <w:rPr>
                <w:rFonts w:hint="eastAsia"/>
                <w:color w:val="auto"/>
                <w:lang w:val="en-US" w:eastAsia="zh-CN"/>
              </w:rPr>
              <w:t>（3）污染物产生、治理与排放信息，包括污染防治设施，污染物排放，有毒有害物质排放，工业固体废物和危险废物产生、贮存、流向、利用、处置，自行监测等方面的信息；</w:t>
            </w:r>
          </w:p>
          <w:p w14:paraId="5C67DBEC">
            <w:pPr>
              <w:bidi w:val="0"/>
              <w:rPr>
                <w:rFonts w:hint="eastAsia"/>
                <w:color w:val="auto"/>
                <w:lang w:val="en-US" w:eastAsia="zh-CN"/>
              </w:rPr>
            </w:pPr>
            <w:r>
              <w:rPr>
                <w:rFonts w:hint="eastAsia"/>
                <w:color w:val="auto"/>
                <w:lang w:val="en-US" w:eastAsia="zh-CN"/>
              </w:rPr>
              <w:t>（4）碳排放信息，包括排放量、排放设施等方面的信息；</w:t>
            </w:r>
          </w:p>
          <w:p w14:paraId="546D7F90">
            <w:pPr>
              <w:bidi w:val="0"/>
              <w:rPr>
                <w:rFonts w:hint="eastAsia"/>
                <w:color w:val="auto"/>
                <w:lang w:val="en-US" w:eastAsia="zh-CN"/>
              </w:rPr>
            </w:pPr>
            <w:r>
              <w:rPr>
                <w:rFonts w:hint="eastAsia"/>
                <w:color w:val="auto"/>
                <w:lang w:val="en-US" w:eastAsia="zh-CN"/>
              </w:rPr>
              <w:t>（5）生态环境应急信息，包括突发环境事件应急预案、重污染天气应急响应等方面的信息；</w:t>
            </w:r>
          </w:p>
          <w:p w14:paraId="24AC3B08">
            <w:pPr>
              <w:bidi w:val="0"/>
              <w:rPr>
                <w:rFonts w:hint="eastAsia"/>
                <w:color w:val="auto"/>
                <w:lang w:val="en-US" w:eastAsia="zh-CN"/>
              </w:rPr>
            </w:pPr>
            <w:r>
              <w:rPr>
                <w:rFonts w:hint="eastAsia"/>
                <w:color w:val="auto"/>
                <w:lang w:val="en-US" w:eastAsia="zh-CN"/>
              </w:rPr>
              <w:t>（6）生态环境违法信息；</w:t>
            </w:r>
          </w:p>
          <w:p w14:paraId="2D14BDC4">
            <w:pPr>
              <w:bidi w:val="0"/>
              <w:rPr>
                <w:rFonts w:hint="eastAsia"/>
                <w:color w:val="auto"/>
                <w:lang w:val="en-US" w:eastAsia="zh-CN"/>
              </w:rPr>
            </w:pPr>
            <w:r>
              <w:rPr>
                <w:rFonts w:hint="eastAsia"/>
                <w:color w:val="auto"/>
                <w:lang w:val="en-US" w:eastAsia="zh-CN"/>
              </w:rPr>
              <w:t>（7）本年度临时环境信息依法披露情况；</w:t>
            </w:r>
          </w:p>
          <w:p w14:paraId="7566ADA1">
            <w:pPr>
              <w:bidi w:val="0"/>
              <w:rPr>
                <w:rFonts w:hint="default"/>
                <w:color w:val="auto"/>
                <w:lang w:val="en-US" w:eastAsia="zh-CN"/>
              </w:rPr>
            </w:pPr>
            <w:r>
              <w:rPr>
                <w:rFonts w:hint="eastAsia"/>
                <w:color w:val="auto"/>
                <w:lang w:val="en-US" w:eastAsia="zh-CN"/>
              </w:rPr>
              <w:t>（8）法律法规规定的其他环境信息。</w:t>
            </w:r>
          </w:p>
          <w:p w14:paraId="205372A7">
            <w:pPr>
              <w:bidi w:val="0"/>
              <w:rPr>
                <w:rFonts w:hint="default"/>
                <w:color w:val="auto"/>
              </w:rPr>
            </w:pPr>
            <w:r>
              <w:rPr>
                <w:rFonts w:hint="eastAsia"/>
                <w:color w:val="auto"/>
                <w:lang w:val="en-US" w:eastAsia="zh-CN"/>
              </w:rPr>
              <w:t>企业可以根据实际情况对已披露的环境信息进行变更；进行变更的，应当以临时环境信息依法披露报告的形式变更，并说明变更事项和理由。企业应当于每年3月15日前披露上一年度1月1日至12月31日的环境信息。</w:t>
            </w:r>
          </w:p>
        </w:tc>
      </w:tr>
    </w:tbl>
    <w:p w14:paraId="38994367">
      <w:pPr>
        <w:pStyle w:val="17"/>
        <w:jc w:val="center"/>
        <w:outlineLvl w:val="0"/>
        <w:rPr>
          <w:rFonts w:hint="default" w:ascii="Times New Roman" w:hAnsi="Times New Roman" w:eastAsia="宋体" w:cs="Times New Roman"/>
          <w:b/>
          <w:bCs/>
          <w:snapToGrid w:val="0"/>
          <w:color w:val="auto"/>
          <w:sz w:val="30"/>
          <w:szCs w:val="30"/>
        </w:rPr>
        <w:sectPr>
          <w:pgSz w:w="11906" w:h="16838"/>
          <w:pgMar w:top="1417" w:right="1417" w:bottom="1417" w:left="1417" w:header="851" w:footer="851" w:gutter="0"/>
          <w:pgBorders>
            <w:top w:val="none" w:sz="0" w:space="0"/>
            <w:left w:val="none" w:sz="0" w:space="0"/>
            <w:bottom w:val="none" w:sz="0" w:space="0"/>
            <w:right w:val="none" w:sz="0" w:space="0"/>
          </w:pgBorders>
          <w:pgNumType w:fmt="numberInDash"/>
          <w:cols w:space="720" w:num="1"/>
          <w:docGrid w:linePitch="312" w:charSpace="0"/>
        </w:sectPr>
      </w:pPr>
    </w:p>
    <w:p w14:paraId="4355349B">
      <w:pPr>
        <w:pStyle w:val="17"/>
        <w:jc w:val="center"/>
        <w:outlineLvl w:val="0"/>
        <w:rPr>
          <w:rFonts w:hint="eastAsia" w:ascii="Times New Roman" w:hAnsi="Times New Roman" w:eastAsia="宋体" w:cs="Times New Roman"/>
          <w:b/>
          <w:bCs/>
          <w:snapToGrid w:val="0"/>
          <w:color w:val="auto"/>
          <w:sz w:val="30"/>
          <w:szCs w:val="30"/>
          <w:lang w:eastAsia="zh-CN"/>
        </w:rPr>
      </w:pPr>
      <w:bookmarkStart w:id="47" w:name="_Toc29317"/>
      <w:r>
        <w:rPr>
          <w:rFonts w:hint="eastAsia" w:ascii="Times New Roman" w:hAnsi="Times New Roman" w:eastAsia="宋体" w:cs="Times New Roman"/>
          <w:color w:val="auto"/>
          <w:lang w:eastAsia="zh-CN"/>
        </w:rPr>
        <w:drawing>
          <wp:anchor distT="0" distB="0" distL="114300" distR="114300" simplePos="0" relativeHeight="251662336" behindDoc="0" locked="0" layoutInCell="1" allowOverlap="1">
            <wp:simplePos x="0" y="0"/>
            <wp:positionH relativeFrom="column">
              <wp:posOffset>-898525</wp:posOffset>
            </wp:positionH>
            <wp:positionV relativeFrom="paragraph">
              <wp:posOffset>-882650</wp:posOffset>
            </wp:positionV>
            <wp:extent cx="7536815" cy="10661650"/>
            <wp:effectExtent l="0" t="0" r="6985" b="6350"/>
            <wp:wrapNone/>
            <wp:docPr id="111" name="图片 111" descr="扫描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扫描_11"/>
                    <pic:cNvPicPr>
                      <a:picLocks noChangeAspect="1"/>
                    </pic:cNvPicPr>
                  </pic:nvPicPr>
                  <pic:blipFill>
                    <a:blip r:embed="rId31"/>
                    <a:stretch>
                      <a:fillRect/>
                    </a:stretch>
                  </pic:blipFill>
                  <pic:spPr>
                    <a:xfrm>
                      <a:off x="0" y="0"/>
                      <a:ext cx="7536815" cy="10661650"/>
                    </a:xfrm>
                    <a:prstGeom prst="rect">
                      <a:avLst/>
                    </a:prstGeom>
                  </pic:spPr>
                </pic:pic>
              </a:graphicData>
            </a:graphic>
          </wp:anchor>
        </w:drawing>
      </w:r>
      <w:r>
        <w:rPr>
          <w:rFonts w:hint="default" w:ascii="Times New Roman" w:hAnsi="Times New Roman" w:eastAsia="宋体" w:cs="Times New Roman"/>
          <w:b/>
          <w:bCs/>
          <w:snapToGrid w:val="0"/>
          <w:color w:val="auto"/>
          <w:sz w:val="30"/>
          <w:szCs w:val="30"/>
        </w:rPr>
        <w:t>六、结论</w:t>
      </w:r>
      <w:bookmarkEnd w:id="41"/>
      <w:bookmarkEnd w:id="47"/>
    </w:p>
    <w:tbl>
      <w:tblPr>
        <w:tblStyle w:val="2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6552DA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top"/>
          </w:tcPr>
          <w:p w14:paraId="6D4A667F">
            <w:pPr>
              <w:pStyle w:val="3"/>
              <w:bidi w:val="0"/>
              <w:rPr>
                <w:rFonts w:hint="default"/>
                <w:color w:val="auto"/>
              </w:rPr>
            </w:pPr>
            <w:bookmarkStart w:id="48" w:name="_Toc8175"/>
            <w:r>
              <w:rPr>
                <w:rFonts w:hint="default"/>
                <w:color w:val="auto"/>
                <w:lang w:val="en-US" w:eastAsia="zh-CN"/>
              </w:rPr>
              <w:t>6.1</w:t>
            </w:r>
            <w:r>
              <w:rPr>
                <w:rFonts w:hint="default"/>
                <w:color w:val="auto"/>
              </w:rPr>
              <w:t xml:space="preserve"> 总结论</w:t>
            </w:r>
            <w:bookmarkEnd w:id="48"/>
          </w:p>
          <w:p w14:paraId="66421930">
            <w:pPr>
              <w:bidi w:val="0"/>
              <w:rPr>
                <w:rFonts w:hint="default"/>
                <w:color w:val="auto"/>
                <w:lang w:eastAsia="zh-CN"/>
              </w:rPr>
            </w:pPr>
            <w:r>
              <w:rPr>
                <w:rFonts w:hint="eastAsia"/>
                <w:color w:val="auto"/>
                <w:lang w:val="en-US" w:eastAsia="zh-CN"/>
              </w:rPr>
              <w:t>福建融瀚建材有限公司年加工预拌商品混凝土80万立方米、砼结构件20万立方米、年回收加工建筑垃圾60万立方米（变更）项目的建设内容符合</w:t>
            </w:r>
            <w:r>
              <w:rPr>
                <w:rFonts w:hint="default"/>
                <w:color w:val="auto"/>
                <w:lang w:val="en-US" w:eastAsia="zh-CN"/>
              </w:rPr>
              <w:t>国家产业政策，</w:t>
            </w:r>
            <w:r>
              <w:rPr>
                <w:rFonts w:hint="eastAsia"/>
                <w:color w:val="auto"/>
                <w:lang w:val="en-US" w:eastAsia="zh-CN"/>
              </w:rPr>
              <w:t>符合</w:t>
            </w:r>
            <w:r>
              <w:rPr>
                <w:rFonts w:hint="eastAsia" w:ascii="Times New Roman" w:hAnsi="Times New Roman" w:eastAsia="宋体" w:cs="Times New Roman"/>
                <w:color w:val="auto"/>
                <w:sz w:val="24"/>
                <w:szCs w:val="24"/>
                <w:lang w:val="en-US" w:eastAsia="zh-CN"/>
              </w:rPr>
              <w:t>福清市</w:t>
            </w:r>
            <w:r>
              <w:rPr>
                <w:rFonts w:hint="eastAsia"/>
                <w:color w:val="auto"/>
                <w:lang w:val="en-US" w:eastAsia="zh-CN"/>
              </w:rPr>
              <w:t>国土空间规划和</w:t>
            </w:r>
            <w:r>
              <w:rPr>
                <w:rFonts w:hint="default"/>
                <w:color w:val="auto"/>
                <w:lang w:val="en-US" w:eastAsia="zh-CN"/>
              </w:rPr>
              <w:t>生态环境分区管控要求</w:t>
            </w:r>
            <w:r>
              <w:rPr>
                <w:rFonts w:hint="eastAsia"/>
                <w:color w:val="auto"/>
                <w:lang w:val="en-US" w:eastAsia="zh-CN"/>
              </w:rPr>
              <w:t>，选址基本合理。</w:t>
            </w:r>
            <w:r>
              <w:rPr>
                <w:rFonts w:hint="default"/>
                <w:color w:val="auto"/>
                <w:lang w:eastAsia="zh-CN"/>
              </w:rPr>
              <w:t>通过对本项目的环境影响分析，项目运营过程中</w:t>
            </w:r>
            <w:r>
              <w:rPr>
                <w:rFonts w:hint="eastAsia"/>
                <w:color w:val="auto"/>
                <w:lang w:val="en-US" w:eastAsia="zh-CN"/>
              </w:rPr>
              <w:t>废水</w:t>
            </w:r>
            <w:r>
              <w:rPr>
                <w:rFonts w:hint="default"/>
                <w:color w:val="auto"/>
                <w:lang w:eastAsia="zh-CN"/>
              </w:rPr>
              <w:t>、废气、噪声、固废等污染物对周围环境空气质量、水环境、声环境</w:t>
            </w:r>
            <w:r>
              <w:rPr>
                <w:rFonts w:hint="eastAsia"/>
                <w:color w:val="auto"/>
                <w:lang w:eastAsia="zh-CN"/>
              </w:rPr>
              <w:t>、</w:t>
            </w:r>
            <w:r>
              <w:rPr>
                <w:rFonts w:hint="eastAsia"/>
                <w:color w:val="auto"/>
                <w:lang w:val="en-US" w:eastAsia="zh-CN"/>
              </w:rPr>
              <w:t>地下水和土壤环境</w:t>
            </w:r>
            <w:r>
              <w:rPr>
                <w:rFonts w:hint="default"/>
                <w:color w:val="auto"/>
                <w:lang w:eastAsia="zh-CN"/>
              </w:rPr>
              <w:t>等</w:t>
            </w:r>
            <w:r>
              <w:rPr>
                <w:rFonts w:hint="eastAsia"/>
                <w:color w:val="auto"/>
                <w:lang w:val="en-US" w:eastAsia="zh-CN"/>
              </w:rPr>
              <w:t>会</w:t>
            </w:r>
            <w:r>
              <w:rPr>
                <w:rFonts w:hint="default"/>
                <w:color w:val="auto"/>
                <w:lang w:eastAsia="zh-CN"/>
              </w:rPr>
              <w:t>造成一定不利影响，经采取综合性、积极有效的防治措施并确保污染物达标排放后，可避免或减少这些不利影响，影响均在环境可接受的范围内。</w:t>
            </w:r>
          </w:p>
          <w:p w14:paraId="2DCDBD28">
            <w:pPr>
              <w:bidi w:val="0"/>
              <w:rPr>
                <w:rFonts w:hint="default"/>
                <w:color w:val="auto"/>
                <w:lang w:val="en-US" w:eastAsia="zh-CN"/>
              </w:rPr>
            </w:pPr>
            <w:r>
              <w:rPr>
                <w:rFonts w:hint="default"/>
                <w:color w:val="auto"/>
                <w:lang w:val="en-US" w:eastAsia="zh-CN"/>
              </w:rPr>
              <w:t>综上所述，在严格执行环保“三同时”制度，全面落实环境影响报告表提出的各项污染防治措施、加强环境风险管理并确保各类污染物达标排放的前提下，从环境影响的角度分析，项目建设可行。</w:t>
            </w:r>
          </w:p>
          <w:p w14:paraId="4B25D8A4">
            <w:pPr>
              <w:spacing w:line="360" w:lineRule="auto"/>
              <w:ind w:firstLine="480" w:firstLineChars="200"/>
              <w:jc w:val="both"/>
              <w:rPr>
                <w:rFonts w:hint="eastAsia" w:ascii="Times New Roman" w:hAnsi="Times New Roman" w:eastAsia="宋体" w:cs="Times New Roman"/>
                <w:color w:val="auto"/>
                <w:sz w:val="24"/>
                <w:lang w:eastAsia="zh-CN"/>
              </w:rPr>
            </w:pPr>
          </w:p>
          <w:p w14:paraId="1FBBBD24">
            <w:pPr>
              <w:pStyle w:val="7"/>
              <w:rPr>
                <w:rFonts w:hint="eastAsia" w:ascii="Times New Roman" w:hAnsi="Times New Roman" w:eastAsia="宋体"/>
                <w:color w:val="auto"/>
                <w:sz w:val="24"/>
                <w:szCs w:val="32"/>
                <w:lang w:eastAsia="zh-CN"/>
              </w:rPr>
            </w:pPr>
          </w:p>
          <w:p w14:paraId="559065E5">
            <w:pPr>
              <w:keepNext w:val="0"/>
              <w:keepLines w:val="0"/>
              <w:pageBreakBefore w:val="0"/>
              <w:widowControl w:val="0"/>
              <w:kinsoku/>
              <w:wordWrap/>
              <w:overflowPunct/>
              <w:topLinePunct w:val="0"/>
              <w:autoSpaceDE w:val="0"/>
              <w:autoSpaceDN w:val="0"/>
              <w:bidi w:val="0"/>
              <w:adjustRightInd w:val="0"/>
              <w:snapToGrid w:val="0"/>
              <w:spacing w:line="360" w:lineRule="auto"/>
              <w:ind w:right="0"/>
              <w:jc w:val="right"/>
              <w:textAlignment w:val="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eastAsia="zh-CN"/>
              </w:rPr>
              <w:t>编制单位：</w:t>
            </w:r>
            <w:r>
              <w:rPr>
                <w:rFonts w:hint="eastAsia" w:ascii="Times New Roman" w:hAnsi="Times New Roman" w:eastAsia="宋体" w:cs="Times New Roman"/>
                <w:b/>
                <w:bCs/>
                <w:color w:val="auto"/>
                <w:sz w:val="24"/>
                <w:szCs w:val="24"/>
                <w:lang w:val="en-US" w:eastAsia="zh-CN"/>
              </w:rPr>
              <w:t>福建绿川环保科技有限公司</w:t>
            </w:r>
          </w:p>
          <w:p w14:paraId="01994265">
            <w:pPr>
              <w:keepNext w:val="0"/>
              <w:keepLines w:val="0"/>
              <w:pageBreakBefore w:val="0"/>
              <w:widowControl w:val="0"/>
              <w:kinsoku/>
              <w:wordWrap/>
              <w:overflowPunct/>
              <w:topLinePunct w:val="0"/>
              <w:autoSpaceDE w:val="0"/>
              <w:autoSpaceDN w:val="0"/>
              <w:bidi w:val="0"/>
              <w:adjustRightInd w:val="0"/>
              <w:snapToGrid w:val="0"/>
              <w:spacing w:line="360" w:lineRule="auto"/>
              <w:ind w:right="0" w:firstLine="482" w:firstLineChars="200"/>
              <w:jc w:val="center"/>
              <w:textAlignment w:val="auto"/>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b/>
                <w:bCs/>
                <w:color w:val="auto"/>
                <w:sz w:val="24"/>
                <w:szCs w:val="24"/>
                <w:lang w:val="en-US" w:eastAsia="zh-CN"/>
              </w:rPr>
              <w:t xml:space="preserve">                   </w:t>
            </w:r>
            <w:r>
              <w:rPr>
                <w:rFonts w:hint="eastAsia" w:ascii="Times New Roman" w:hAnsi="Times New Roman" w:eastAsia="宋体" w:cs="Times New Roman"/>
                <w:b/>
                <w:bCs/>
                <w:color w:val="auto"/>
                <w:sz w:val="24"/>
                <w:szCs w:val="24"/>
                <w:lang w:eastAsia="zh-CN"/>
              </w:rPr>
              <w:t>编制时间：</w:t>
            </w:r>
            <w:r>
              <w:rPr>
                <w:rFonts w:hint="eastAsia" w:ascii="Times New Roman" w:hAnsi="Times New Roman" w:eastAsia="宋体" w:cs="Times New Roman"/>
                <w:b/>
                <w:bCs/>
                <w:color w:val="auto"/>
                <w:sz w:val="24"/>
                <w:szCs w:val="24"/>
                <w:lang w:val="en-US" w:eastAsia="zh-CN"/>
              </w:rPr>
              <w:t>202</w:t>
            </w:r>
            <w:r>
              <w:rPr>
                <w:rFonts w:hint="eastAsia" w:cs="Times New Roman"/>
                <w:b/>
                <w:bCs/>
                <w:color w:val="auto"/>
                <w:sz w:val="24"/>
                <w:szCs w:val="24"/>
                <w:lang w:val="en-US" w:eastAsia="zh-CN"/>
              </w:rPr>
              <w:t>5</w:t>
            </w:r>
            <w:r>
              <w:rPr>
                <w:rFonts w:hint="eastAsia" w:ascii="Times New Roman" w:hAnsi="Times New Roman" w:eastAsia="宋体" w:cs="Times New Roman"/>
                <w:b/>
                <w:bCs/>
                <w:color w:val="auto"/>
                <w:sz w:val="24"/>
                <w:szCs w:val="24"/>
                <w:lang w:val="en-US" w:eastAsia="zh-CN"/>
              </w:rPr>
              <w:t>年</w:t>
            </w:r>
            <w:r>
              <w:rPr>
                <w:rFonts w:hint="eastAsia" w:cs="Times New Roman"/>
                <w:b/>
                <w:bCs/>
                <w:color w:val="auto"/>
                <w:sz w:val="24"/>
                <w:szCs w:val="24"/>
                <w:lang w:val="en-US" w:eastAsia="zh-CN"/>
              </w:rPr>
              <w:t>10</w:t>
            </w:r>
            <w:r>
              <w:rPr>
                <w:rFonts w:hint="eastAsia" w:ascii="Times New Roman" w:hAnsi="Times New Roman" w:eastAsia="宋体" w:cs="Times New Roman"/>
                <w:b/>
                <w:bCs/>
                <w:color w:val="auto"/>
                <w:sz w:val="24"/>
                <w:szCs w:val="24"/>
                <w:lang w:val="en-US" w:eastAsia="zh-CN"/>
              </w:rPr>
              <w:t>月</w:t>
            </w:r>
          </w:p>
        </w:tc>
      </w:tr>
    </w:tbl>
    <w:p w14:paraId="2984A1DE">
      <w:pPr>
        <w:ind w:left="0" w:leftChars="0" w:firstLine="0" w:firstLineChars="0"/>
        <w:rPr>
          <w:rFonts w:hint="eastAsia" w:ascii="Times New Roman" w:hAnsi="Times New Roman" w:eastAsia="宋体" w:cs="Times New Roman"/>
          <w:color w:val="auto"/>
          <w:lang w:eastAsia="zh-CN"/>
        </w:rPr>
        <w:sectPr>
          <w:pgSz w:w="11906" w:h="16838"/>
          <w:pgMar w:top="1417" w:right="1417" w:bottom="1417" w:left="1417" w:header="851" w:footer="851" w:gutter="0"/>
          <w:pgBorders>
            <w:top w:val="none" w:sz="0" w:space="0"/>
            <w:left w:val="none" w:sz="0" w:space="0"/>
            <w:bottom w:val="none" w:sz="0" w:space="0"/>
            <w:right w:val="none" w:sz="0" w:space="0"/>
          </w:pgBorders>
          <w:pgNumType w:fmt="numberInDash"/>
          <w:cols w:space="720" w:num="1"/>
          <w:docGrid w:linePitch="312" w:charSpace="0"/>
        </w:sectPr>
      </w:pPr>
    </w:p>
    <w:p w14:paraId="1587BA49">
      <w:pPr>
        <w:pStyle w:val="17"/>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firstLine="0" w:firstLineChars="0"/>
        <w:textAlignment w:val="auto"/>
        <w:outlineLvl w:val="0"/>
        <w:rPr>
          <w:rFonts w:hint="default" w:ascii="Times New Roman" w:hAnsi="Times New Roman" w:eastAsia="宋体" w:cs="Times New Roman"/>
          <w:b/>
          <w:bCs/>
          <w:snapToGrid w:val="0"/>
          <w:color w:val="auto"/>
          <w:sz w:val="28"/>
          <w:szCs w:val="28"/>
        </w:rPr>
      </w:pPr>
      <w:bookmarkStart w:id="49" w:name="_Toc20993"/>
      <w:bookmarkStart w:id="50" w:name="_Toc31987"/>
      <w:r>
        <w:rPr>
          <w:rFonts w:hint="default" w:ascii="Times New Roman" w:hAnsi="Times New Roman" w:eastAsia="宋体" w:cs="Times New Roman"/>
          <w:b/>
          <w:bCs/>
          <w:snapToGrid w:val="0"/>
          <w:color w:val="auto"/>
          <w:sz w:val="28"/>
          <w:szCs w:val="28"/>
        </w:rPr>
        <w:t>附表</w:t>
      </w:r>
      <w:bookmarkEnd w:id="49"/>
      <w:bookmarkEnd w:id="50"/>
    </w:p>
    <w:p w14:paraId="61341ECE">
      <w:pPr>
        <w:pStyle w:val="17"/>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outlineLvl w:val="9"/>
        <w:rPr>
          <w:rFonts w:hint="default" w:ascii="Times New Roman" w:hAnsi="Times New Roman" w:eastAsia="宋体" w:cs="Times New Roman"/>
          <w:b/>
          <w:bCs/>
          <w:snapToGrid w:val="0"/>
          <w:color w:val="auto"/>
          <w:sz w:val="38"/>
          <w:szCs w:val="38"/>
        </w:rPr>
      </w:pPr>
      <w:bookmarkStart w:id="51" w:name="_Toc13590"/>
      <w:bookmarkStart w:id="52" w:name="_Toc26637"/>
      <w:bookmarkStart w:id="53" w:name="_Toc17241"/>
      <w:r>
        <w:rPr>
          <w:rFonts w:hint="default" w:ascii="Times New Roman" w:hAnsi="Times New Roman" w:eastAsia="宋体" w:cs="Times New Roman"/>
          <w:b/>
          <w:bCs/>
          <w:snapToGrid w:val="0"/>
          <w:color w:val="auto"/>
          <w:sz w:val="38"/>
          <w:szCs w:val="38"/>
        </w:rPr>
        <w:t>建设项目污染物排放量汇总表</w:t>
      </w:r>
      <w:bookmarkEnd w:id="51"/>
      <w:bookmarkEnd w:id="52"/>
      <w:bookmarkEnd w:id="53"/>
    </w:p>
    <w:tbl>
      <w:tblPr>
        <w:tblStyle w:val="20"/>
        <w:tblW w:w="4997"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246"/>
        <w:gridCol w:w="1933"/>
        <w:gridCol w:w="1609"/>
        <w:gridCol w:w="1100"/>
        <w:gridCol w:w="1573"/>
        <w:gridCol w:w="1812"/>
        <w:gridCol w:w="1266"/>
        <w:gridCol w:w="1724"/>
        <w:gridCol w:w="1789"/>
      </w:tblGrid>
      <w:tr w14:paraId="371848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3" w:type="pct"/>
            <w:tcBorders>
              <w:tl2br w:val="single" w:color="auto" w:sz="4" w:space="0"/>
            </w:tcBorders>
            <w:noWrap w:val="0"/>
            <w:tcMar>
              <w:left w:w="28" w:type="dxa"/>
              <w:right w:w="28" w:type="dxa"/>
            </w:tcMar>
            <w:vAlign w:val="center"/>
          </w:tcPr>
          <w:p w14:paraId="16ECE2D4">
            <w:pPr>
              <w:pStyle w:val="28"/>
              <w:bidi w:val="0"/>
              <w:jc w:val="right"/>
              <w:rPr>
                <w:rFonts w:hint="default"/>
                <w:color w:val="auto"/>
              </w:rPr>
            </w:pPr>
            <w:r>
              <w:rPr>
                <w:rFonts w:hint="default"/>
                <w:color w:val="auto"/>
              </w:rPr>
              <w:t>项目</w:t>
            </w:r>
          </w:p>
          <w:p w14:paraId="07B5795E">
            <w:pPr>
              <w:pStyle w:val="28"/>
              <w:bidi w:val="0"/>
              <w:jc w:val="both"/>
              <w:rPr>
                <w:rFonts w:hint="default"/>
                <w:color w:val="auto"/>
              </w:rPr>
            </w:pPr>
            <w:r>
              <w:rPr>
                <w:rFonts w:hint="default"/>
                <w:color w:val="auto"/>
              </w:rPr>
              <w:t>分类</w:t>
            </w:r>
          </w:p>
        </w:tc>
        <w:tc>
          <w:tcPr>
            <w:tcW w:w="687" w:type="pct"/>
            <w:noWrap w:val="0"/>
            <w:tcMar>
              <w:left w:w="28" w:type="dxa"/>
              <w:right w:w="28" w:type="dxa"/>
            </w:tcMar>
            <w:vAlign w:val="center"/>
          </w:tcPr>
          <w:p w14:paraId="5C7DFD5B">
            <w:pPr>
              <w:pStyle w:val="28"/>
              <w:bidi w:val="0"/>
              <w:rPr>
                <w:rFonts w:hint="default"/>
                <w:color w:val="auto"/>
              </w:rPr>
            </w:pPr>
            <w:r>
              <w:rPr>
                <w:rFonts w:hint="default"/>
                <w:color w:val="auto"/>
              </w:rPr>
              <w:t>污染物名称</w:t>
            </w:r>
          </w:p>
        </w:tc>
        <w:tc>
          <w:tcPr>
            <w:tcW w:w="572" w:type="pct"/>
            <w:noWrap w:val="0"/>
            <w:tcMar>
              <w:left w:w="28" w:type="dxa"/>
              <w:right w:w="28" w:type="dxa"/>
            </w:tcMar>
            <w:vAlign w:val="center"/>
          </w:tcPr>
          <w:p w14:paraId="0AE0C7EF">
            <w:pPr>
              <w:pStyle w:val="28"/>
              <w:bidi w:val="0"/>
              <w:rPr>
                <w:rFonts w:hint="default"/>
                <w:color w:val="auto"/>
              </w:rPr>
            </w:pPr>
            <w:r>
              <w:rPr>
                <w:rFonts w:hint="default"/>
                <w:color w:val="auto"/>
              </w:rPr>
              <w:t>现有工程</w:t>
            </w:r>
          </w:p>
          <w:p w14:paraId="3AF6FF7D">
            <w:pPr>
              <w:pStyle w:val="28"/>
              <w:bidi w:val="0"/>
              <w:rPr>
                <w:rFonts w:hint="default"/>
                <w:color w:val="auto"/>
              </w:rPr>
            </w:pPr>
            <w:r>
              <w:rPr>
                <w:rFonts w:hint="default"/>
                <w:color w:val="auto"/>
              </w:rPr>
              <w:t>排放量</w:t>
            </w:r>
            <w:r>
              <w:rPr>
                <w:rFonts w:hint="eastAsia"/>
                <w:color w:val="auto"/>
                <w:lang w:val="en-US" w:eastAsia="zh-CN"/>
              </w:rPr>
              <w:t>(</w:t>
            </w:r>
            <w:r>
              <w:rPr>
                <w:rFonts w:hint="default"/>
                <w:color w:val="auto"/>
              </w:rPr>
              <w:t>固体废物产生量</w:t>
            </w:r>
            <w:r>
              <w:rPr>
                <w:rFonts w:hint="eastAsia"/>
                <w:color w:val="auto"/>
                <w:lang w:val="en-US" w:eastAsia="zh-CN"/>
              </w:rPr>
              <w:t>)</w:t>
            </w:r>
            <w:r>
              <w:rPr>
                <w:rFonts w:hint="default"/>
                <w:color w:val="auto"/>
              </w:rPr>
              <w:fldChar w:fldCharType="begin"/>
            </w:r>
            <w:r>
              <w:rPr>
                <w:rFonts w:hint="default"/>
                <w:color w:val="auto"/>
              </w:rPr>
              <w:instrText xml:space="preserve"> = 1 \* GB3 \* MERGEFORMAT </w:instrText>
            </w:r>
            <w:r>
              <w:rPr>
                <w:rFonts w:hint="default"/>
                <w:color w:val="auto"/>
              </w:rPr>
              <w:fldChar w:fldCharType="separate"/>
            </w:r>
            <w:r>
              <w:rPr>
                <w:rFonts w:hint="default"/>
                <w:color w:val="auto"/>
              </w:rPr>
              <w:t>①</w:t>
            </w:r>
            <w:r>
              <w:rPr>
                <w:rFonts w:hint="default"/>
                <w:color w:val="auto"/>
              </w:rPr>
              <w:fldChar w:fldCharType="end"/>
            </w:r>
          </w:p>
        </w:tc>
        <w:tc>
          <w:tcPr>
            <w:tcW w:w="391" w:type="pct"/>
            <w:noWrap w:val="0"/>
            <w:tcMar>
              <w:left w:w="28" w:type="dxa"/>
              <w:right w:w="28" w:type="dxa"/>
            </w:tcMar>
            <w:vAlign w:val="center"/>
          </w:tcPr>
          <w:p w14:paraId="02CAF07D">
            <w:pPr>
              <w:pStyle w:val="28"/>
              <w:bidi w:val="0"/>
              <w:rPr>
                <w:rFonts w:hint="default"/>
                <w:color w:val="auto"/>
              </w:rPr>
            </w:pPr>
            <w:r>
              <w:rPr>
                <w:rFonts w:hint="default"/>
                <w:color w:val="auto"/>
              </w:rPr>
              <w:t>现有工程</w:t>
            </w:r>
          </w:p>
          <w:p w14:paraId="73F7FAD4">
            <w:pPr>
              <w:pStyle w:val="28"/>
              <w:bidi w:val="0"/>
              <w:rPr>
                <w:rFonts w:hint="default"/>
                <w:color w:val="auto"/>
              </w:rPr>
            </w:pPr>
            <w:r>
              <w:rPr>
                <w:rFonts w:hint="default"/>
                <w:color w:val="auto"/>
              </w:rPr>
              <w:t>许可排放量</w:t>
            </w:r>
            <w:r>
              <w:rPr>
                <w:rFonts w:hint="default"/>
                <w:color w:val="auto"/>
              </w:rPr>
              <w:fldChar w:fldCharType="begin"/>
            </w:r>
            <w:r>
              <w:rPr>
                <w:rFonts w:hint="default"/>
                <w:color w:val="auto"/>
              </w:rPr>
              <w:instrText xml:space="preserve"> = 2 \* GB3 \* MERGEFORMAT </w:instrText>
            </w:r>
            <w:r>
              <w:rPr>
                <w:rFonts w:hint="default"/>
                <w:color w:val="auto"/>
              </w:rPr>
              <w:fldChar w:fldCharType="separate"/>
            </w:r>
            <w:r>
              <w:rPr>
                <w:rFonts w:hint="default"/>
                <w:color w:val="auto"/>
              </w:rPr>
              <w:t>②</w:t>
            </w:r>
            <w:r>
              <w:rPr>
                <w:rFonts w:hint="default"/>
                <w:color w:val="auto"/>
              </w:rPr>
              <w:fldChar w:fldCharType="end"/>
            </w:r>
          </w:p>
        </w:tc>
        <w:tc>
          <w:tcPr>
            <w:tcW w:w="559" w:type="pct"/>
            <w:noWrap w:val="0"/>
            <w:tcMar>
              <w:left w:w="28" w:type="dxa"/>
              <w:right w:w="28" w:type="dxa"/>
            </w:tcMar>
            <w:vAlign w:val="center"/>
          </w:tcPr>
          <w:p w14:paraId="76AEF97D">
            <w:pPr>
              <w:pStyle w:val="28"/>
              <w:bidi w:val="0"/>
              <w:rPr>
                <w:rFonts w:hint="default"/>
                <w:color w:val="auto"/>
              </w:rPr>
            </w:pPr>
            <w:r>
              <w:rPr>
                <w:rFonts w:hint="default"/>
                <w:color w:val="auto"/>
              </w:rPr>
              <w:t>在建工程</w:t>
            </w:r>
          </w:p>
          <w:p w14:paraId="2BCFBCE6">
            <w:pPr>
              <w:pStyle w:val="28"/>
              <w:bidi w:val="0"/>
              <w:rPr>
                <w:rFonts w:hint="default"/>
                <w:color w:val="auto"/>
              </w:rPr>
            </w:pPr>
            <w:r>
              <w:rPr>
                <w:rFonts w:hint="default"/>
                <w:color w:val="auto"/>
              </w:rPr>
              <w:t>排放量</w:t>
            </w:r>
            <w:r>
              <w:rPr>
                <w:rFonts w:hint="eastAsia"/>
                <w:color w:val="auto"/>
                <w:lang w:val="en-US" w:eastAsia="zh-CN"/>
              </w:rPr>
              <w:t>(</w:t>
            </w:r>
            <w:r>
              <w:rPr>
                <w:rFonts w:hint="default"/>
                <w:color w:val="auto"/>
              </w:rPr>
              <w:t>固体废物产生量</w:t>
            </w:r>
            <w:r>
              <w:rPr>
                <w:rFonts w:hint="eastAsia"/>
                <w:color w:val="auto"/>
                <w:lang w:val="en-US" w:eastAsia="zh-CN"/>
              </w:rPr>
              <w:t>)</w:t>
            </w:r>
            <w:r>
              <w:rPr>
                <w:rFonts w:hint="default"/>
                <w:color w:val="auto"/>
              </w:rPr>
              <w:fldChar w:fldCharType="begin"/>
            </w:r>
            <w:r>
              <w:rPr>
                <w:rFonts w:hint="default"/>
                <w:color w:val="auto"/>
              </w:rPr>
              <w:instrText xml:space="preserve"> = 3 \* GB3 \* MERGEFORMAT </w:instrText>
            </w:r>
            <w:r>
              <w:rPr>
                <w:rFonts w:hint="default"/>
                <w:color w:val="auto"/>
              </w:rPr>
              <w:fldChar w:fldCharType="separate"/>
            </w:r>
            <w:r>
              <w:rPr>
                <w:rFonts w:hint="default"/>
                <w:color w:val="auto"/>
              </w:rPr>
              <w:t>③</w:t>
            </w:r>
            <w:r>
              <w:rPr>
                <w:rFonts w:hint="default"/>
                <w:color w:val="auto"/>
              </w:rPr>
              <w:fldChar w:fldCharType="end"/>
            </w:r>
          </w:p>
        </w:tc>
        <w:tc>
          <w:tcPr>
            <w:tcW w:w="644" w:type="pct"/>
            <w:noWrap w:val="0"/>
            <w:tcMar>
              <w:left w:w="28" w:type="dxa"/>
              <w:right w:w="28" w:type="dxa"/>
            </w:tcMar>
            <w:vAlign w:val="center"/>
          </w:tcPr>
          <w:p w14:paraId="5B5450CD">
            <w:pPr>
              <w:pStyle w:val="28"/>
              <w:bidi w:val="0"/>
              <w:rPr>
                <w:rFonts w:hint="default"/>
                <w:color w:val="auto"/>
              </w:rPr>
            </w:pPr>
            <w:r>
              <w:rPr>
                <w:rFonts w:hint="default"/>
                <w:color w:val="auto"/>
              </w:rPr>
              <w:t>本项目</w:t>
            </w:r>
          </w:p>
          <w:p w14:paraId="5CECB780">
            <w:pPr>
              <w:pStyle w:val="28"/>
              <w:bidi w:val="0"/>
              <w:rPr>
                <w:rFonts w:hint="default"/>
                <w:color w:val="auto"/>
              </w:rPr>
            </w:pPr>
            <w:r>
              <w:rPr>
                <w:rFonts w:hint="default"/>
                <w:color w:val="auto"/>
              </w:rPr>
              <w:t>排放量</w:t>
            </w:r>
            <w:r>
              <w:rPr>
                <w:rFonts w:hint="eastAsia"/>
                <w:color w:val="auto"/>
                <w:lang w:val="en-US" w:eastAsia="zh-CN"/>
              </w:rPr>
              <w:t>(</w:t>
            </w:r>
            <w:r>
              <w:rPr>
                <w:rFonts w:hint="default"/>
                <w:color w:val="auto"/>
              </w:rPr>
              <w:t>固体废物产生量</w:t>
            </w:r>
            <w:r>
              <w:rPr>
                <w:rFonts w:hint="eastAsia"/>
                <w:color w:val="auto"/>
                <w:lang w:val="en-US" w:eastAsia="zh-CN"/>
              </w:rPr>
              <w:t>)</w:t>
            </w:r>
            <w:r>
              <w:rPr>
                <w:rFonts w:hint="default"/>
                <w:color w:val="auto"/>
              </w:rPr>
              <w:fldChar w:fldCharType="begin"/>
            </w:r>
            <w:r>
              <w:rPr>
                <w:rFonts w:hint="default"/>
                <w:color w:val="auto"/>
              </w:rPr>
              <w:instrText xml:space="preserve"> = 4 \* GB3 \* MERGEFORMAT </w:instrText>
            </w:r>
            <w:r>
              <w:rPr>
                <w:rFonts w:hint="default"/>
                <w:color w:val="auto"/>
              </w:rPr>
              <w:fldChar w:fldCharType="separate"/>
            </w:r>
            <w:r>
              <w:rPr>
                <w:rFonts w:hint="default"/>
                <w:color w:val="auto"/>
              </w:rPr>
              <w:t>④</w:t>
            </w:r>
            <w:r>
              <w:rPr>
                <w:rFonts w:hint="default"/>
                <w:color w:val="auto"/>
              </w:rPr>
              <w:fldChar w:fldCharType="end"/>
            </w:r>
          </w:p>
        </w:tc>
        <w:tc>
          <w:tcPr>
            <w:tcW w:w="450" w:type="pct"/>
            <w:noWrap w:val="0"/>
            <w:tcMar>
              <w:left w:w="28" w:type="dxa"/>
              <w:right w:w="28" w:type="dxa"/>
            </w:tcMar>
            <w:vAlign w:val="center"/>
          </w:tcPr>
          <w:p w14:paraId="1264FED7">
            <w:pPr>
              <w:pStyle w:val="28"/>
              <w:bidi w:val="0"/>
              <w:rPr>
                <w:rFonts w:hint="default"/>
                <w:color w:val="auto"/>
              </w:rPr>
            </w:pPr>
            <w:r>
              <w:rPr>
                <w:rFonts w:hint="default"/>
                <w:color w:val="auto"/>
              </w:rPr>
              <w:t>以新带老削减量</w:t>
            </w:r>
            <w:r>
              <w:rPr>
                <w:rFonts w:hint="eastAsia"/>
                <w:color w:val="auto"/>
                <w:lang w:val="en-US" w:eastAsia="zh-CN"/>
              </w:rPr>
              <w:t>(</w:t>
            </w:r>
            <w:r>
              <w:rPr>
                <w:rFonts w:hint="default"/>
                <w:color w:val="auto"/>
              </w:rPr>
              <w:t>新建项目不填</w:t>
            </w:r>
            <w:r>
              <w:rPr>
                <w:rFonts w:hint="eastAsia"/>
                <w:color w:val="auto"/>
                <w:lang w:val="en-US" w:eastAsia="zh-CN"/>
              </w:rPr>
              <w:t>)</w:t>
            </w:r>
            <w:r>
              <w:rPr>
                <w:rFonts w:hint="default"/>
                <w:color w:val="auto"/>
              </w:rPr>
              <w:fldChar w:fldCharType="begin"/>
            </w:r>
            <w:r>
              <w:rPr>
                <w:rFonts w:hint="default"/>
                <w:color w:val="auto"/>
              </w:rPr>
              <w:instrText xml:space="preserve"> = 5 \* GB3 \* MERGEFORMAT </w:instrText>
            </w:r>
            <w:r>
              <w:rPr>
                <w:rFonts w:hint="default"/>
                <w:color w:val="auto"/>
              </w:rPr>
              <w:fldChar w:fldCharType="separate"/>
            </w:r>
            <w:r>
              <w:rPr>
                <w:rFonts w:hint="default"/>
                <w:color w:val="auto"/>
              </w:rPr>
              <w:t>⑤</w:t>
            </w:r>
            <w:r>
              <w:rPr>
                <w:rFonts w:hint="default"/>
                <w:color w:val="auto"/>
              </w:rPr>
              <w:fldChar w:fldCharType="end"/>
            </w:r>
          </w:p>
        </w:tc>
        <w:tc>
          <w:tcPr>
            <w:tcW w:w="613" w:type="pct"/>
            <w:noWrap w:val="0"/>
            <w:tcMar>
              <w:left w:w="28" w:type="dxa"/>
              <w:right w:w="28" w:type="dxa"/>
            </w:tcMar>
            <w:vAlign w:val="center"/>
          </w:tcPr>
          <w:p w14:paraId="42312287">
            <w:pPr>
              <w:pStyle w:val="28"/>
              <w:bidi w:val="0"/>
              <w:rPr>
                <w:rFonts w:hint="default"/>
                <w:color w:val="auto"/>
              </w:rPr>
            </w:pPr>
            <w:r>
              <w:rPr>
                <w:rFonts w:hint="default"/>
                <w:color w:val="auto"/>
              </w:rPr>
              <w:t>本项目建成后</w:t>
            </w:r>
          </w:p>
          <w:p w14:paraId="7C28FB43">
            <w:pPr>
              <w:pStyle w:val="28"/>
              <w:bidi w:val="0"/>
              <w:rPr>
                <w:rFonts w:hint="default"/>
                <w:color w:val="auto"/>
              </w:rPr>
            </w:pPr>
            <w:r>
              <w:rPr>
                <w:rFonts w:hint="default"/>
                <w:color w:val="auto"/>
              </w:rPr>
              <w:t>全厂排放量</w:t>
            </w:r>
            <w:r>
              <w:rPr>
                <w:rFonts w:hint="eastAsia"/>
                <w:color w:val="auto"/>
                <w:lang w:val="en-US" w:eastAsia="zh-CN"/>
              </w:rPr>
              <w:t>(</w:t>
            </w:r>
            <w:r>
              <w:rPr>
                <w:rFonts w:hint="default"/>
                <w:color w:val="auto"/>
              </w:rPr>
              <w:t>固体废物产生量</w:t>
            </w:r>
            <w:r>
              <w:rPr>
                <w:rFonts w:hint="eastAsia"/>
                <w:color w:val="auto"/>
                <w:lang w:val="en-US" w:eastAsia="zh-CN"/>
              </w:rPr>
              <w:t>)</w:t>
            </w:r>
            <w:r>
              <w:rPr>
                <w:rFonts w:hint="default"/>
                <w:color w:val="auto"/>
              </w:rPr>
              <w:fldChar w:fldCharType="begin"/>
            </w:r>
            <w:r>
              <w:rPr>
                <w:rFonts w:hint="default"/>
                <w:color w:val="auto"/>
              </w:rPr>
              <w:instrText xml:space="preserve"> = 6 \* GB3 \* MERGEFORMAT </w:instrText>
            </w:r>
            <w:r>
              <w:rPr>
                <w:rFonts w:hint="default"/>
                <w:color w:val="auto"/>
              </w:rPr>
              <w:fldChar w:fldCharType="separate"/>
            </w:r>
            <w:r>
              <w:rPr>
                <w:rFonts w:hint="default"/>
                <w:color w:val="auto"/>
              </w:rPr>
              <w:t>⑥</w:t>
            </w:r>
            <w:r>
              <w:rPr>
                <w:rFonts w:hint="default"/>
                <w:color w:val="auto"/>
              </w:rPr>
              <w:fldChar w:fldCharType="end"/>
            </w:r>
          </w:p>
        </w:tc>
        <w:tc>
          <w:tcPr>
            <w:tcW w:w="636" w:type="pct"/>
            <w:noWrap w:val="0"/>
            <w:tcMar>
              <w:left w:w="28" w:type="dxa"/>
              <w:right w:w="28" w:type="dxa"/>
            </w:tcMar>
            <w:vAlign w:val="center"/>
          </w:tcPr>
          <w:p w14:paraId="1CBF5049">
            <w:pPr>
              <w:pStyle w:val="28"/>
              <w:bidi w:val="0"/>
              <w:rPr>
                <w:rFonts w:hint="default"/>
                <w:color w:val="auto"/>
              </w:rPr>
            </w:pPr>
            <w:r>
              <w:rPr>
                <w:rFonts w:hint="default"/>
                <w:color w:val="auto"/>
              </w:rPr>
              <w:t>变化量</w:t>
            </w:r>
          </w:p>
          <w:p w14:paraId="331A3E65">
            <w:pPr>
              <w:pStyle w:val="28"/>
              <w:bidi w:val="0"/>
              <w:rPr>
                <w:rFonts w:hint="default"/>
                <w:color w:val="auto"/>
              </w:rPr>
            </w:pPr>
            <w:r>
              <w:rPr>
                <w:rFonts w:hint="default"/>
                <w:color w:val="auto"/>
              </w:rPr>
              <w:fldChar w:fldCharType="begin"/>
            </w:r>
            <w:r>
              <w:rPr>
                <w:rFonts w:hint="default"/>
                <w:color w:val="auto"/>
              </w:rPr>
              <w:instrText xml:space="preserve"> = 7 \* GB3 \* MERGEFORMAT </w:instrText>
            </w:r>
            <w:r>
              <w:rPr>
                <w:rFonts w:hint="default"/>
                <w:color w:val="auto"/>
              </w:rPr>
              <w:fldChar w:fldCharType="separate"/>
            </w:r>
            <w:r>
              <w:rPr>
                <w:rFonts w:hint="default"/>
                <w:color w:val="auto"/>
              </w:rPr>
              <w:t>⑦</w:t>
            </w:r>
            <w:r>
              <w:rPr>
                <w:rFonts w:hint="default"/>
                <w:color w:val="auto"/>
              </w:rPr>
              <w:fldChar w:fldCharType="end"/>
            </w:r>
          </w:p>
        </w:tc>
      </w:tr>
      <w:tr w14:paraId="53A9CF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443" w:type="pct"/>
            <w:noWrap w:val="0"/>
            <w:vAlign w:val="center"/>
          </w:tcPr>
          <w:p w14:paraId="2C563CA2">
            <w:pPr>
              <w:pStyle w:val="28"/>
              <w:bidi w:val="0"/>
              <w:rPr>
                <w:rFonts w:hint="default"/>
                <w:color w:val="auto"/>
              </w:rPr>
            </w:pPr>
            <w:r>
              <w:rPr>
                <w:rFonts w:hint="default"/>
                <w:color w:val="auto"/>
              </w:rPr>
              <w:t>废气</w:t>
            </w:r>
          </w:p>
        </w:tc>
        <w:tc>
          <w:tcPr>
            <w:tcW w:w="687" w:type="pct"/>
            <w:noWrap w:val="0"/>
            <w:vAlign w:val="center"/>
          </w:tcPr>
          <w:p w14:paraId="1CD77240">
            <w:pPr>
              <w:pStyle w:val="28"/>
              <w:bidi w:val="0"/>
              <w:rPr>
                <w:rFonts w:hint="default"/>
                <w:color w:val="auto"/>
                <w:lang w:val="en-US" w:eastAsia="zh-CN"/>
              </w:rPr>
            </w:pPr>
            <w:r>
              <w:rPr>
                <w:rFonts w:hint="eastAsia"/>
                <w:color w:val="auto"/>
                <w:lang w:val="en-US" w:eastAsia="zh-CN"/>
              </w:rPr>
              <w:t>颗粒物（t/a）</w:t>
            </w:r>
          </w:p>
        </w:tc>
        <w:tc>
          <w:tcPr>
            <w:tcW w:w="572" w:type="pct"/>
            <w:noWrap w:val="0"/>
            <w:vAlign w:val="center"/>
          </w:tcPr>
          <w:p w14:paraId="53CF6F32">
            <w:pPr>
              <w:pStyle w:val="28"/>
              <w:bidi w:val="0"/>
              <w:jc w:val="center"/>
              <w:rPr>
                <w:rFonts w:hint="default"/>
                <w:color w:val="auto"/>
                <w:lang w:val="en-US" w:eastAsia="zh-CN"/>
              </w:rPr>
            </w:pPr>
            <w:r>
              <w:rPr>
                <w:rFonts w:hint="eastAsia"/>
                <w:color w:val="auto"/>
                <w:lang w:val="en-US" w:eastAsia="zh-CN"/>
              </w:rPr>
              <w:t>1.508</w:t>
            </w:r>
          </w:p>
        </w:tc>
        <w:tc>
          <w:tcPr>
            <w:tcW w:w="391" w:type="pct"/>
            <w:noWrap w:val="0"/>
            <w:vAlign w:val="center"/>
          </w:tcPr>
          <w:p w14:paraId="2AE70A91">
            <w:pPr>
              <w:pStyle w:val="28"/>
              <w:bidi w:val="0"/>
              <w:jc w:val="center"/>
              <w:rPr>
                <w:rFonts w:hint="default"/>
                <w:color w:val="auto"/>
                <w:lang w:val="en-US" w:eastAsia="zh-CN"/>
              </w:rPr>
            </w:pPr>
            <w:r>
              <w:rPr>
                <w:rFonts w:hint="eastAsia"/>
                <w:color w:val="auto"/>
                <w:lang w:val="en-US" w:eastAsia="zh-CN"/>
              </w:rPr>
              <w:t>/</w:t>
            </w:r>
          </w:p>
        </w:tc>
        <w:tc>
          <w:tcPr>
            <w:tcW w:w="559" w:type="pct"/>
            <w:noWrap w:val="0"/>
            <w:vAlign w:val="center"/>
          </w:tcPr>
          <w:p w14:paraId="42A06090">
            <w:pPr>
              <w:pStyle w:val="28"/>
              <w:bidi w:val="0"/>
              <w:jc w:val="center"/>
              <w:rPr>
                <w:rFonts w:hint="default"/>
                <w:color w:val="auto"/>
                <w:lang w:val="en-US" w:eastAsia="zh-CN"/>
              </w:rPr>
            </w:pPr>
            <w:r>
              <w:rPr>
                <w:rFonts w:hint="eastAsia"/>
                <w:color w:val="auto"/>
                <w:lang w:val="en-US" w:eastAsia="zh-CN"/>
              </w:rPr>
              <w:t>/</w:t>
            </w:r>
          </w:p>
        </w:tc>
        <w:tc>
          <w:tcPr>
            <w:tcW w:w="644" w:type="pct"/>
            <w:noWrap w:val="0"/>
            <w:vAlign w:val="center"/>
          </w:tcPr>
          <w:p w14:paraId="19F23E54">
            <w:pPr>
              <w:pStyle w:val="28"/>
              <w:bidi w:val="0"/>
              <w:rPr>
                <w:rFonts w:hint="default"/>
                <w:color w:val="auto"/>
                <w:lang w:val="en-US" w:eastAsia="zh-CN"/>
              </w:rPr>
            </w:pPr>
            <w:r>
              <w:rPr>
                <w:rFonts w:hint="eastAsia"/>
                <w:color w:val="auto"/>
                <w:sz w:val="21"/>
                <w:szCs w:val="21"/>
                <w:lang w:val="en-US" w:eastAsia="zh-CN"/>
              </w:rPr>
              <w:t>6.483</w:t>
            </w:r>
          </w:p>
        </w:tc>
        <w:tc>
          <w:tcPr>
            <w:tcW w:w="450" w:type="pct"/>
            <w:noWrap w:val="0"/>
            <w:vAlign w:val="center"/>
          </w:tcPr>
          <w:p w14:paraId="0536E066">
            <w:pPr>
              <w:pStyle w:val="28"/>
              <w:bidi w:val="0"/>
              <w:ind w:left="0" w:leftChars="0" w:firstLine="0" w:firstLineChars="0"/>
              <w:jc w:val="center"/>
              <w:rPr>
                <w:rFonts w:hint="default"/>
                <w:color w:val="auto"/>
                <w:lang w:val="en-US" w:eastAsia="zh-CN"/>
              </w:rPr>
            </w:pPr>
            <w:r>
              <w:rPr>
                <w:rFonts w:hint="eastAsia"/>
                <w:color w:val="auto"/>
                <w:lang w:val="en-US" w:eastAsia="zh-CN"/>
              </w:rPr>
              <w:t>1.508</w:t>
            </w:r>
          </w:p>
        </w:tc>
        <w:tc>
          <w:tcPr>
            <w:tcW w:w="613" w:type="pct"/>
            <w:noWrap w:val="0"/>
            <w:vAlign w:val="center"/>
          </w:tcPr>
          <w:p w14:paraId="097AE4F7">
            <w:pPr>
              <w:pStyle w:val="28"/>
              <w:bidi w:val="0"/>
              <w:rPr>
                <w:rFonts w:hint="default"/>
                <w:color w:val="auto"/>
                <w:lang w:val="en-US" w:eastAsia="zh-CN"/>
              </w:rPr>
            </w:pPr>
            <w:r>
              <w:rPr>
                <w:rFonts w:hint="eastAsia"/>
                <w:color w:val="auto"/>
                <w:sz w:val="21"/>
                <w:szCs w:val="21"/>
                <w:lang w:val="en-US" w:eastAsia="zh-CN"/>
              </w:rPr>
              <w:t>6.483</w:t>
            </w:r>
          </w:p>
        </w:tc>
        <w:tc>
          <w:tcPr>
            <w:tcW w:w="636" w:type="pct"/>
            <w:noWrap w:val="0"/>
            <w:vAlign w:val="center"/>
          </w:tcPr>
          <w:p w14:paraId="05BAFBE9">
            <w:pPr>
              <w:pStyle w:val="28"/>
              <w:bidi w:val="0"/>
              <w:rPr>
                <w:rFonts w:hint="default"/>
                <w:color w:val="auto"/>
                <w:lang w:val="en-US" w:eastAsia="zh-CN"/>
              </w:rPr>
            </w:pPr>
            <w:r>
              <w:rPr>
                <w:rFonts w:hint="eastAsia"/>
                <w:color w:val="auto"/>
                <w:lang w:val="en-US" w:eastAsia="zh-CN"/>
              </w:rPr>
              <w:t>+4.975</w:t>
            </w:r>
          </w:p>
        </w:tc>
      </w:tr>
      <w:tr w14:paraId="79AE42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443" w:type="pct"/>
            <w:noWrap w:val="0"/>
            <w:vAlign w:val="center"/>
          </w:tcPr>
          <w:p w14:paraId="4A35C87E">
            <w:pPr>
              <w:pStyle w:val="28"/>
              <w:bidi w:val="0"/>
              <w:rPr>
                <w:rFonts w:hint="default"/>
                <w:color w:val="auto"/>
                <w:lang w:val="en-US" w:eastAsia="zh-CN"/>
              </w:rPr>
            </w:pPr>
            <w:r>
              <w:rPr>
                <w:rFonts w:hint="eastAsia"/>
                <w:color w:val="auto"/>
                <w:lang w:val="en-US" w:eastAsia="zh-CN"/>
              </w:rPr>
              <w:t>生产废水</w:t>
            </w:r>
          </w:p>
        </w:tc>
        <w:tc>
          <w:tcPr>
            <w:tcW w:w="687" w:type="pct"/>
            <w:noWrap w:val="0"/>
            <w:vAlign w:val="center"/>
          </w:tcPr>
          <w:p w14:paraId="24653235">
            <w:pPr>
              <w:pStyle w:val="28"/>
              <w:bidi w:val="0"/>
              <w:rPr>
                <w:rFonts w:hint="default"/>
                <w:color w:val="auto"/>
                <w:lang w:val="en-US" w:eastAsia="zh-CN"/>
              </w:rPr>
            </w:pPr>
            <w:r>
              <w:rPr>
                <w:rFonts w:hint="eastAsia"/>
                <w:color w:val="auto"/>
                <w:lang w:val="en-US" w:eastAsia="zh-CN"/>
              </w:rPr>
              <w:t>废水量</w:t>
            </w:r>
            <w:r>
              <w:rPr>
                <w:rFonts w:hint="default"/>
                <w:color w:val="auto"/>
                <w:lang w:val="en-US" w:eastAsia="zh-CN"/>
              </w:rPr>
              <w:t>(t/a)</w:t>
            </w:r>
          </w:p>
        </w:tc>
        <w:tc>
          <w:tcPr>
            <w:tcW w:w="572" w:type="pct"/>
            <w:noWrap w:val="0"/>
            <w:vAlign w:val="center"/>
          </w:tcPr>
          <w:p w14:paraId="29F44DD5">
            <w:pPr>
              <w:pStyle w:val="28"/>
              <w:bidi w:val="0"/>
              <w:jc w:val="center"/>
              <w:rPr>
                <w:rFonts w:hint="default"/>
                <w:color w:val="auto"/>
              </w:rPr>
            </w:pPr>
            <w:r>
              <w:rPr>
                <w:rFonts w:hint="eastAsia"/>
                <w:color w:val="auto"/>
                <w:lang w:val="en-US" w:eastAsia="zh-CN"/>
              </w:rPr>
              <w:t>0</w:t>
            </w:r>
          </w:p>
        </w:tc>
        <w:tc>
          <w:tcPr>
            <w:tcW w:w="391" w:type="pct"/>
            <w:noWrap w:val="0"/>
            <w:vAlign w:val="center"/>
          </w:tcPr>
          <w:p w14:paraId="411C8C89">
            <w:pPr>
              <w:pStyle w:val="28"/>
              <w:bidi w:val="0"/>
              <w:jc w:val="center"/>
              <w:rPr>
                <w:rFonts w:hint="default"/>
                <w:color w:val="auto"/>
              </w:rPr>
            </w:pPr>
            <w:r>
              <w:rPr>
                <w:rFonts w:hint="eastAsia"/>
                <w:color w:val="auto"/>
                <w:lang w:val="en-US" w:eastAsia="zh-CN"/>
              </w:rPr>
              <w:t>/</w:t>
            </w:r>
          </w:p>
        </w:tc>
        <w:tc>
          <w:tcPr>
            <w:tcW w:w="559" w:type="pct"/>
            <w:noWrap w:val="0"/>
            <w:vAlign w:val="center"/>
          </w:tcPr>
          <w:p w14:paraId="1505D034">
            <w:pPr>
              <w:pStyle w:val="28"/>
              <w:bidi w:val="0"/>
              <w:jc w:val="center"/>
              <w:rPr>
                <w:rFonts w:hint="default"/>
                <w:color w:val="auto"/>
              </w:rPr>
            </w:pPr>
            <w:r>
              <w:rPr>
                <w:rFonts w:hint="eastAsia"/>
                <w:color w:val="auto"/>
                <w:lang w:val="en-US" w:eastAsia="zh-CN"/>
              </w:rPr>
              <w:t>/</w:t>
            </w:r>
          </w:p>
        </w:tc>
        <w:tc>
          <w:tcPr>
            <w:tcW w:w="644" w:type="pct"/>
            <w:noWrap w:val="0"/>
            <w:vAlign w:val="center"/>
          </w:tcPr>
          <w:p w14:paraId="6A7543C4">
            <w:pPr>
              <w:pStyle w:val="28"/>
              <w:bidi w:val="0"/>
              <w:rPr>
                <w:rFonts w:hint="default"/>
                <w:color w:val="auto"/>
                <w:lang w:val="en-US" w:eastAsia="zh-CN"/>
              </w:rPr>
            </w:pPr>
            <w:r>
              <w:rPr>
                <w:rFonts w:hint="eastAsia"/>
                <w:color w:val="auto"/>
                <w:lang w:val="en-US" w:eastAsia="zh-CN"/>
              </w:rPr>
              <w:t>0</w:t>
            </w:r>
          </w:p>
        </w:tc>
        <w:tc>
          <w:tcPr>
            <w:tcW w:w="450" w:type="pct"/>
            <w:noWrap w:val="0"/>
            <w:vAlign w:val="center"/>
          </w:tcPr>
          <w:p w14:paraId="3F8F894F">
            <w:pPr>
              <w:pStyle w:val="28"/>
              <w:bidi w:val="0"/>
              <w:ind w:left="0" w:leftChars="0" w:firstLine="0" w:firstLineChars="0"/>
              <w:jc w:val="center"/>
              <w:rPr>
                <w:rFonts w:hint="default"/>
                <w:color w:val="auto"/>
                <w:lang w:val="en-US" w:eastAsia="zh-CN"/>
              </w:rPr>
            </w:pPr>
            <w:r>
              <w:rPr>
                <w:rFonts w:hint="eastAsia"/>
                <w:color w:val="auto"/>
                <w:lang w:val="en-US" w:eastAsia="zh-CN"/>
              </w:rPr>
              <w:t>/</w:t>
            </w:r>
          </w:p>
        </w:tc>
        <w:tc>
          <w:tcPr>
            <w:tcW w:w="613" w:type="pct"/>
            <w:noWrap w:val="0"/>
            <w:vAlign w:val="center"/>
          </w:tcPr>
          <w:p w14:paraId="0796EB34">
            <w:pPr>
              <w:pStyle w:val="28"/>
              <w:bidi w:val="0"/>
              <w:rPr>
                <w:rFonts w:hint="default"/>
                <w:color w:val="auto"/>
                <w:lang w:val="en-US" w:eastAsia="zh-CN"/>
              </w:rPr>
            </w:pPr>
            <w:r>
              <w:rPr>
                <w:rFonts w:hint="eastAsia"/>
                <w:color w:val="auto"/>
                <w:lang w:val="en-US" w:eastAsia="zh-CN"/>
              </w:rPr>
              <w:t>0</w:t>
            </w:r>
          </w:p>
        </w:tc>
        <w:tc>
          <w:tcPr>
            <w:tcW w:w="636" w:type="pct"/>
            <w:noWrap w:val="0"/>
            <w:vAlign w:val="center"/>
          </w:tcPr>
          <w:p w14:paraId="0A60A06F">
            <w:pPr>
              <w:pStyle w:val="28"/>
              <w:bidi w:val="0"/>
              <w:rPr>
                <w:rFonts w:hint="default"/>
                <w:color w:val="auto"/>
                <w:lang w:val="en-US" w:eastAsia="zh-CN"/>
              </w:rPr>
            </w:pPr>
            <w:r>
              <w:rPr>
                <w:rFonts w:hint="eastAsia"/>
                <w:color w:val="auto"/>
                <w:lang w:val="en-US" w:eastAsia="zh-CN"/>
              </w:rPr>
              <w:t>+0</w:t>
            </w:r>
          </w:p>
        </w:tc>
      </w:tr>
      <w:tr w14:paraId="4908B7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443" w:type="pct"/>
            <w:vMerge w:val="restart"/>
            <w:noWrap w:val="0"/>
            <w:vAlign w:val="center"/>
          </w:tcPr>
          <w:p w14:paraId="6CE58E79">
            <w:pPr>
              <w:pStyle w:val="28"/>
              <w:bidi w:val="0"/>
              <w:rPr>
                <w:rFonts w:hint="eastAsia"/>
                <w:color w:val="auto"/>
                <w:lang w:eastAsia="zh-CN"/>
              </w:rPr>
            </w:pPr>
            <w:r>
              <w:rPr>
                <w:rFonts w:hint="eastAsia"/>
                <w:color w:val="auto"/>
                <w:lang w:eastAsia="zh-CN"/>
              </w:rPr>
              <w:t>生活污水</w:t>
            </w:r>
          </w:p>
        </w:tc>
        <w:tc>
          <w:tcPr>
            <w:tcW w:w="687" w:type="pct"/>
            <w:noWrap w:val="0"/>
            <w:vAlign w:val="center"/>
          </w:tcPr>
          <w:p w14:paraId="4691CB55">
            <w:pPr>
              <w:pStyle w:val="28"/>
              <w:bidi w:val="0"/>
              <w:rPr>
                <w:rFonts w:hint="eastAsia"/>
                <w:color w:val="auto"/>
                <w:lang w:val="en-US" w:eastAsia="zh-CN"/>
              </w:rPr>
            </w:pPr>
            <w:r>
              <w:rPr>
                <w:rFonts w:hint="eastAsia"/>
                <w:color w:val="auto"/>
                <w:lang w:val="en-US" w:eastAsia="zh-CN"/>
              </w:rPr>
              <w:t>废水量</w:t>
            </w:r>
            <w:r>
              <w:rPr>
                <w:rFonts w:hint="default"/>
                <w:color w:val="auto"/>
                <w:lang w:val="en-US" w:eastAsia="zh-CN"/>
              </w:rPr>
              <w:t>(t/a)</w:t>
            </w:r>
          </w:p>
        </w:tc>
        <w:tc>
          <w:tcPr>
            <w:tcW w:w="572" w:type="pct"/>
            <w:noWrap w:val="0"/>
            <w:vAlign w:val="center"/>
          </w:tcPr>
          <w:p w14:paraId="6EE15DBC">
            <w:pPr>
              <w:pStyle w:val="28"/>
              <w:bidi w:val="0"/>
              <w:jc w:val="center"/>
              <w:rPr>
                <w:rFonts w:hint="default"/>
                <w:color w:val="auto"/>
              </w:rPr>
            </w:pPr>
            <w:r>
              <w:rPr>
                <w:rFonts w:hint="eastAsia"/>
                <w:color w:val="auto"/>
                <w:lang w:val="en-US" w:eastAsia="zh-CN"/>
              </w:rPr>
              <w:t>0</w:t>
            </w:r>
          </w:p>
        </w:tc>
        <w:tc>
          <w:tcPr>
            <w:tcW w:w="391" w:type="pct"/>
            <w:noWrap w:val="0"/>
            <w:vAlign w:val="center"/>
          </w:tcPr>
          <w:p w14:paraId="5565AA53">
            <w:pPr>
              <w:pStyle w:val="28"/>
              <w:bidi w:val="0"/>
              <w:jc w:val="center"/>
              <w:rPr>
                <w:rFonts w:hint="default"/>
                <w:color w:val="auto"/>
              </w:rPr>
            </w:pPr>
            <w:r>
              <w:rPr>
                <w:rFonts w:hint="eastAsia"/>
                <w:color w:val="auto"/>
                <w:lang w:val="en-US" w:eastAsia="zh-CN"/>
              </w:rPr>
              <w:t>/</w:t>
            </w:r>
          </w:p>
        </w:tc>
        <w:tc>
          <w:tcPr>
            <w:tcW w:w="559" w:type="pct"/>
            <w:noWrap w:val="0"/>
            <w:vAlign w:val="center"/>
          </w:tcPr>
          <w:p w14:paraId="431B29D4">
            <w:pPr>
              <w:pStyle w:val="28"/>
              <w:bidi w:val="0"/>
              <w:jc w:val="center"/>
              <w:rPr>
                <w:rFonts w:hint="default"/>
                <w:color w:val="auto"/>
              </w:rPr>
            </w:pPr>
            <w:r>
              <w:rPr>
                <w:rFonts w:hint="eastAsia"/>
                <w:color w:val="auto"/>
                <w:lang w:val="en-US" w:eastAsia="zh-CN"/>
              </w:rPr>
              <w:t>/</w:t>
            </w:r>
          </w:p>
        </w:tc>
        <w:tc>
          <w:tcPr>
            <w:tcW w:w="644" w:type="pct"/>
            <w:noWrap w:val="0"/>
            <w:vAlign w:val="center"/>
          </w:tcPr>
          <w:p w14:paraId="0773072F">
            <w:pPr>
              <w:pStyle w:val="28"/>
              <w:bidi w:val="0"/>
              <w:rPr>
                <w:rFonts w:hint="default"/>
                <w:color w:val="auto"/>
                <w:lang w:val="en-US" w:eastAsia="zh-CN"/>
              </w:rPr>
            </w:pPr>
            <w:r>
              <w:rPr>
                <w:rFonts w:hint="eastAsia"/>
                <w:color w:val="auto"/>
                <w:lang w:val="en-US" w:eastAsia="zh-CN"/>
              </w:rPr>
              <w:t>0</w:t>
            </w:r>
          </w:p>
        </w:tc>
        <w:tc>
          <w:tcPr>
            <w:tcW w:w="450" w:type="pct"/>
            <w:noWrap w:val="0"/>
            <w:vAlign w:val="center"/>
          </w:tcPr>
          <w:p w14:paraId="707EC454">
            <w:pPr>
              <w:pStyle w:val="28"/>
              <w:bidi w:val="0"/>
              <w:ind w:left="0" w:leftChars="0" w:firstLine="0" w:firstLineChars="0"/>
              <w:jc w:val="center"/>
              <w:rPr>
                <w:rFonts w:hint="default"/>
                <w:color w:val="auto"/>
                <w:lang w:val="en-US" w:eastAsia="zh-CN"/>
              </w:rPr>
            </w:pPr>
            <w:r>
              <w:rPr>
                <w:rFonts w:hint="eastAsia"/>
                <w:color w:val="auto"/>
                <w:lang w:val="en-US" w:eastAsia="zh-CN"/>
              </w:rPr>
              <w:t>/</w:t>
            </w:r>
          </w:p>
        </w:tc>
        <w:tc>
          <w:tcPr>
            <w:tcW w:w="613" w:type="pct"/>
            <w:noWrap w:val="0"/>
            <w:vAlign w:val="center"/>
          </w:tcPr>
          <w:p w14:paraId="1F9D24D9">
            <w:pPr>
              <w:pStyle w:val="28"/>
              <w:bidi w:val="0"/>
              <w:rPr>
                <w:rFonts w:hint="eastAsia"/>
                <w:color w:val="auto"/>
                <w:lang w:val="en-US" w:eastAsia="zh-CN"/>
              </w:rPr>
            </w:pPr>
            <w:r>
              <w:rPr>
                <w:rFonts w:hint="eastAsia"/>
                <w:color w:val="auto"/>
                <w:lang w:val="en-US" w:eastAsia="zh-CN"/>
              </w:rPr>
              <w:t>0</w:t>
            </w:r>
          </w:p>
        </w:tc>
        <w:tc>
          <w:tcPr>
            <w:tcW w:w="636" w:type="pct"/>
            <w:noWrap w:val="0"/>
            <w:vAlign w:val="center"/>
          </w:tcPr>
          <w:p w14:paraId="452018AC">
            <w:pPr>
              <w:pStyle w:val="28"/>
              <w:bidi w:val="0"/>
              <w:rPr>
                <w:rFonts w:hint="eastAsia"/>
                <w:color w:val="auto"/>
                <w:lang w:val="en-US" w:eastAsia="zh-CN"/>
              </w:rPr>
            </w:pPr>
            <w:r>
              <w:rPr>
                <w:rFonts w:hint="eastAsia"/>
                <w:color w:val="auto"/>
                <w:lang w:val="en-US" w:eastAsia="zh-CN"/>
              </w:rPr>
              <w:t>+0</w:t>
            </w:r>
          </w:p>
        </w:tc>
      </w:tr>
      <w:tr w14:paraId="0B9FCD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443" w:type="pct"/>
            <w:vMerge w:val="continue"/>
            <w:noWrap w:val="0"/>
            <w:vAlign w:val="center"/>
          </w:tcPr>
          <w:p w14:paraId="0F555BCC">
            <w:pPr>
              <w:pStyle w:val="28"/>
              <w:bidi w:val="0"/>
              <w:rPr>
                <w:rFonts w:hint="default"/>
                <w:color w:val="auto"/>
              </w:rPr>
            </w:pPr>
          </w:p>
        </w:tc>
        <w:tc>
          <w:tcPr>
            <w:tcW w:w="687" w:type="pct"/>
            <w:noWrap w:val="0"/>
            <w:vAlign w:val="center"/>
          </w:tcPr>
          <w:p w14:paraId="7EDA2545">
            <w:pPr>
              <w:pStyle w:val="28"/>
              <w:bidi w:val="0"/>
              <w:rPr>
                <w:rFonts w:hint="eastAsia"/>
                <w:color w:val="auto"/>
                <w:lang w:val="en-US" w:eastAsia="zh-CN"/>
              </w:rPr>
            </w:pPr>
            <w:r>
              <w:rPr>
                <w:rFonts w:hint="default"/>
                <w:color w:val="auto"/>
                <w:lang w:val="en-US" w:eastAsia="zh-CN"/>
              </w:rPr>
              <w:t>COD(t/a)</w:t>
            </w:r>
          </w:p>
        </w:tc>
        <w:tc>
          <w:tcPr>
            <w:tcW w:w="572" w:type="pct"/>
            <w:noWrap w:val="0"/>
            <w:vAlign w:val="center"/>
          </w:tcPr>
          <w:p w14:paraId="108E359C">
            <w:pPr>
              <w:pStyle w:val="28"/>
              <w:bidi w:val="0"/>
              <w:jc w:val="center"/>
              <w:rPr>
                <w:rFonts w:hint="default"/>
                <w:color w:val="auto"/>
              </w:rPr>
            </w:pPr>
            <w:r>
              <w:rPr>
                <w:rFonts w:hint="eastAsia"/>
                <w:color w:val="auto"/>
                <w:lang w:val="en-US" w:eastAsia="zh-CN"/>
              </w:rPr>
              <w:t>0</w:t>
            </w:r>
          </w:p>
        </w:tc>
        <w:tc>
          <w:tcPr>
            <w:tcW w:w="391" w:type="pct"/>
            <w:noWrap w:val="0"/>
            <w:vAlign w:val="center"/>
          </w:tcPr>
          <w:p w14:paraId="5090EB0B">
            <w:pPr>
              <w:pStyle w:val="28"/>
              <w:bidi w:val="0"/>
              <w:jc w:val="center"/>
              <w:rPr>
                <w:rFonts w:hint="default"/>
                <w:color w:val="auto"/>
              </w:rPr>
            </w:pPr>
            <w:r>
              <w:rPr>
                <w:rFonts w:hint="eastAsia"/>
                <w:color w:val="auto"/>
                <w:lang w:val="en-US" w:eastAsia="zh-CN"/>
              </w:rPr>
              <w:t>/</w:t>
            </w:r>
          </w:p>
        </w:tc>
        <w:tc>
          <w:tcPr>
            <w:tcW w:w="559" w:type="pct"/>
            <w:noWrap w:val="0"/>
            <w:vAlign w:val="center"/>
          </w:tcPr>
          <w:p w14:paraId="10AEF299">
            <w:pPr>
              <w:pStyle w:val="28"/>
              <w:bidi w:val="0"/>
              <w:jc w:val="center"/>
              <w:rPr>
                <w:rFonts w:hint="default"/>
                <w:color w:val="auto"/>
              </w:rPr>
            </w:pPr>
            <w:r>
              <w:rPr>
                <w:rFonts w:hint="eastAsia"/>
                <w:color w:val="auto"/>
                <w:lang w:val="en-US" w:eastAsia="zh-CN"/>
              </w:rPr>
              <w:t>/</w:t>
            </w:r>
          </w:p>
        </w:tc>
        <w:tc>
          <w:tcPr>
            <w:tcW w:w="644" w:type="pct"/>
            <w:noWrap w:val="0"/>
            <w:vAlign w:val="center"/>
          </w:tcPr>
          <w:p w14:paraId="1AEEA6AE">
            <w:pPr>
              <w:pStyle w:val="28"/>
              <w:bidi w:val="0"/>
              <w:rPr>
                <w:rFonts w:hint="default"/>
                <w:color w:val="auto"/>
                <w:lang w:val="en-US" w:eastAsia="zh-CN"/>
              </w:rPr>
            </w:pPr>
            <w:r>
              <w:rPr>
                <w:rFonts w:hint="eastAsia"/>
                <w:color w:val="auto"/>
                <w:lang w:val="en-US" w:eastAsia="zh-CN"/>
              </w:rPr>
              <w:t>0</w:t>
            </w:r>
          </w:p>
        </w:tc>
        <w:tc>
          <w:tcPr>
            <w:tcW w:w="450" w:type="pct"/>
            <w:noWrap w:val="0"/>
            <w:vAlign w:val="center"/>
          </w:tcPr>
          <w:p w14:paraId="33186339">
            <w:pPr>
              <w:pStyle w:val="28"/>
              <w:bidi w:val="0"/>
              <w:ind w:left="0" w:leftChars="0" w:firstLine="0" w:firstLineChars="0"/>
              <w:jc w:val="center"/>
              <w:rPr>
                <w:rFonts w:hint="default"/>
                <w:color w:val="auto"/>
                <w:lang w:val="en-US" w:eastAsia="zh-CN"/>
              </w:rPr>
            </w:pPr>
            <w:r>
              <w:rPr>
                <w:rFonts w:hint="eastAsia"/>
                <w:color w:val="auto"/>
                <w:lang w:val="en-US" w:eastAsia="zh-CN"/>
              </w:rPr>
              <w:t>/</w:t>
            </w:r>
          </w:p>
        </w:tc>
        <w:tc>
          <w:tcPr>
            <w:tcW w:w="613" w:type="pct"/>
            <w:noWrap w:val="0"/>
            <w:vAlign w:val="center"/>
          </w:tcPr>
          <w:p w14:paraId="2838E462">
            <w:pPr>
              <w:pStyle w:val="28"/>
              <w:bidi w:val="0"/>
              <w:ind w:left="0" w:leftChars="0" w:firstLine="0" w:firstLineChars="0"/>
              <w:rPr>
                <w:rFonts w:hint="eastAsia"/>
                <w:color w:val="auto"/>
                <w:lang w:val="en-US" w:eastAsia="zh-CN"/>
              </w:rPr>
            </w:pPr>
            <w:r>
              <w:rPr>
                <w:rFonts w:hint="eastAsia"/>
                <w:color w:val="auto"/>
                <w:lang w:val="en-US" w:eastAsia="zh-CN"/>
              </w:rPr>
              <w:t>0</w:t>
            </w:r>
          </w:p>
        </w:tc>
        <w:tc>
          <w:tcPr>
            <w:tcW w:w="636" w:type="pct"/>
            <w:noWrap w:val="0"/>
            <w:vAlign w:val="center"/>
          </w:tcPr>
          <w:p w14:paraId="064F6338">
            <w:pPr>
              <w:pStyle w:val="28"/>
              <w:bidi w:val="0"/>
              <w:ind w:left="0" w:leftChars="0" w:firstLine="0" w:firstLineChars="0"/>
              <w:rPr>
                <w:rFonts w:hint="eastAsia"/>
                <w:color w:val="auto"/>
                <w:lang w:val="en-US" w:eastAsia="zh-CN"/>
              </w:rPr>
            </w:pPr>
            <w:r>
              <w:rPr>
                <w:rFonts w:hint="eastAsia"/>
                <w:color w:val="auto"/>
                <w:lang w:val="en-US" w:eastAsia="zh-CN"/>
              </w:rPr>
              <w:t>+0</w:t>
            </w:r>
          </w:p>
        </w:tc>
      </w:tr>
      <w:tr w14:paraId="0F5703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3" w:hRule="atLeast"/>
        </w:trPr>
        <w:tc>
          <w:tcPr>
            <w:tcW w:w="443" w:type="pct"/>
            <w:vMerge w:val="continue"/>
            <w:noWrap w:val="0"/>
            <w:vAlign w:val="center"/>
          </w:tcPr>
          <w:p w14:paraId="784C8A72">
            <w:pPr>
              <w:pStyle w:val="28"/>
              <w:bidi w:val="0"/>
              <w:rPr>
                <w:rFonts w:hint="default"/>
                <w:color w:val="auto"/>
              </w:rPr>
            </w:pPr>
          </w:p>
        </w:tc>
        <w:tc>
          <w:tcPr>
            <w:tcW w:w="687" w:type="pct"/>
            <w:noWrap w:val="0"/>
            <w:vAlign w:val="center"/>
          </w:tcPr>
          <w:p w14:paraId="4421518B">
            <w:pPr>
              <w:pStyle w:val="28"/>
              <w:bidi w:val="0"/>
              <w:rPr>
                <w:rFonts w:hint="eastAsia"/>
                <w:color w:val="auto"/>
                <w:lang w:val="en-US" w:eastAsia="zh-CN"/>
              </w:rPr>
            </w:pPr>
            <w:r>
              <w:rPr>
                <w:rFonts w:hint="default"/>
                <w:color w:val="auto"/>
                <w:lang w:val="en-US" w:eastAsia="zh-CN"/>
              </w:rPr>
              <w:t>BOD</w:t>
            </w:r>
            <w:r>
              <w:rPr>
                <w:rFonts w:hint="default"/>
                <w:color w:val="auto"/>
                <w:vertAlign w:val="subscript"/>
                <w:lang w:val="en-US" w:eastAsia="zh-CN"/>
              </w:rPr>
              <w:t>5</w:t>
            </w:r>
            <w:r>
              <w:rPr>
                <w:rFonts w:hint="default"/>
                <w:color w:val="auto"/>
                <w:lang w:val="en-US" w:eastAsia="zh-CN"/>
              </w:rPr>
              <w:t>(t/a)</w:t>
            </w:r>
          </w:p>
        </w:tc>
        <w:tc>
          <w:tcPr>
            <w:tcW w:w="572" w:type="pct"/>
            <w:noWrap w:val="0"/>
            <w:vAlign w:val="center"/>
          </w:tcPr>
          <w:p w14:paraId="41D825DC">
            <w:pPr>
              <w:pStyle w:val="28"/>
              <w:bidi w:val="0"/>
              <w:jc w:val="center"/>
              <w:rPr>
                <w:rFonts w:hint="default"/>
                <w:color w:val="auto"/>
              </w:rPr>
            </w:pPr>
            <w:r>
              <w:rPr>
                <w:rFonts w:hint="eastAsia"/>
                <w:color w:val="auto"/>
                <w:lang w:val="en-US" w:eastAsia="zh-CN"/>
              </w:rPr>
              <w:t>0</w:t>
            </w:r>
          </w:p>
        </w:tc>
        <w:tc>
          <w:tcPr>
            <w:tcW w:w="391" w:type="pct"/>
            <w:noWrap w:val="0"/>
            <w:vAlign w:val="center"/>
          </w:tcPr>
          <w:p w14:paraId="73185802">
            <w:pPr>
              <w:pStyle w:val="28"/>
              <w:bidi w:val="0"/>
              <w:jc w:val="center"/>
              <w:rPr>
                <w:rFonts w:hint="default"/>
                <w:color w:val="auto"/>
              </w:rPr>
            </w:pPr>
            <w:r>
              <w:rPr>
                <w:rFonts w:hint="eastAsia"/>
                <w:color w:val="auto"/>
                <w:lang w:val="en-US" w:eastAsia="zh-CN"/>
              </w:rPr>
              <w:t>/</w:t>
            </w:r>
          </w:p>
        </w:tc>
        <w:tc>
          <w:tcPr>
            <w:tcW w:w="559" w:type="pct"/>
            <w:noWrap w:val="0"/>
            <w:vAlign w:val="center"/>
          </w:tcPr>
          <w:p w14:paraId="106BFB61">
            <w:pPr>
              <w:pStyle w:val="28"/>
              <w:bidi w:val="0"/>
              <w:jc w:val="center"/>
              <w:rPr>
                <w:rFonts w:hint="default"/>
                <w:color w:val="auto"/>
              </w:rPr>
            </w:pPr>
            <w:r>
              <w:rPr>
                <w:rFonts w:hint="eastAsia"/>
                <w:color w:val="auto"/>
                <w:lang w:val="en-US" w:eastAsia="zh-CN"/>
              </w:rPr>
              <w:t>/</w:t>
            </w:r>
          </w:p>
        </w:tc>
        <w:tc>
          <w:tcPr>
            <w:tcW w:w="644" w:type="pct"/>
            <w:noWrap w:val="0"/>
            <w:vAlign w:val="center"/>
          </w:tcPr>
          <w:p w14:paraId="602895A2">
            <w:pPr>
              <w:pStyle w:val="28"/>
              <w:bidi w:val="0"/>
              <w:rPr>
                <w:rFonts w:hint="default"/>
                <w:color w:val="auto"/>
                <w:lang w:val="en-US" w:eastAsia="zh-CN"/>
              </w:rPr>
            </w:pPr>
            <w:r>
              <w:rPr>
                <w:rFonts w:hint="eastAsia"/>
                <w:color w:val="auto"/>
                <w:lang w:val="en-US" w:eastAsia="zh-CN"/>
              </w:rPr>
              <w:t>0</w:t>
            </w:r>
          </w:p>
        </w:tc>
        <w:tc>
          <w:tcPr>
            <w:tcW w:w="450" w:type="pct"/>
            <w:noWrap w:val="0"/>
            <w:vAlign w:val="center"/>
          </w:tcPr>
          <w:p w14:paraId="1C1B791B">
            <w:pPr>
              <w:pStyle w:val="28"/>
              <w:bidi w:val="0"/>
              <w:ind w:left="0" w:leftChars="0" w:firstLine="0" w:firstLineChars="0"/>
              <w:jc w:val="center"/>
              <w:rPr>
                <w:rFonts w:hint="default"/>
                <w:color w:val="auto"/>
                <w:lang w:val="en-US" w:eastAsia="zh-CN"/>
              </w:rPr>
            </w:pPr>
            <w:r>
              <w:rPr>
                <w:rFonts w:hint="eastAsia"/>
                <w:color w:val="auto"/>
                <w:lang w:val="en-US" w:eastAsia="zh-CN"/>
              </w:rPr>
              <w:t>/</w:t>
            </w:r>
          </w:p>
        </w:tc>
        <w:tc>
          <w:tcPr>
            <w:tcW w:w="613" w:type="pct"/>
            <w:noWrap w:val="0"/>
            <w:vAlign w:val="center"/>
          </w:tcPr>
          <w:p w14:paraId="40A517AB">
            <w:pPr>
              <w:pStyle w:val="28"/>
              <w:bidi w:val="0"/>
              <w:ind w:left="0" w:leftChars="0" w:firstLine="0" w:firstLineChars="0"/>
              <w:rPr>
                <w:rFonts w:hint="eastAsia"/>
                <w:color w:val="auto"/>
                <w:lang w:val="en-US" w:eastAsia="zh-CN"/>
              </w:rPr>
            </w:pPr>
            <w:r>
              <w:rPr>
                <w:rFonts w:hint="eastAsia"/>
                <w:color w:val="auto"/>
                <w:lang w:val="en-US" w:eastAsia="zh-CN"/>
              </w:rPr>
              <w:t>0</w:t>
            </w:r>
          </w:p>
        </w:tc>
        <w:tc>
          <w:tcPr>
            <w:tcW w:w="636" w:type="pct"/>
            <w:noWrap w:val="0"/>
            <w:vAlign w:val="center"/>
          </w:tcPr>
          <w:p w14:paraId="36EC8AC4">
            <w:pPr>
              <w:pStyle w:val="28"/>
              <w:bidi w:val="0"/>
              <w:ind w:left="0" w:leftChars="0" w:firstLine="0" w:firstLineChars="0"/>
              <w:rPr>
                <w:rFonts w:hint="eastAsia"/>
                <w:color w:val="auto"/>
                <w:lang w:val="en-US" w:eastAsia="zh-CN"/>
              </w:rPr>
            </w:pPr>
            <w:r>
              <w:rPr>
                <w:rFonts w:hint="eastAsia"/>
                <w:color w:val="auto"/>
                <w:lang w:val="en-US" w:eastAsia="zh-CN"/>
              </w:rPr>
              <w:t>+0</w:t>
            </w:r>
          </w:p>
        </w:tc>
      </w:tr>
      <w:tr w14:paraId="5B23F6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43" w:type="pct"/>
            <w:vMerge w:val="continue"/>
            <w:noWrap w:val="0"/>
            <w:vAlign w:val="center"/>
          </w:tcPr>
          <w:p w14:paraId="7AC135B9">
            <w:pPr>
              <w:pStyle w:val="28"/>
              <w:bidi w:val="0"/>
              <w:rPr>
                <w:rFonts w:hint="default"/>
                <w:color w:val="auto"/>
              </w:rPr>
            </w:pPr>
          </w:p>
        </w:tc>
        <w:tc>
          <w:tcPr>
            <w:tcW w:w="687" w:type="pct"/>
            <w:noWrap w:val="0"/>
            <w:vAlign w:val="center"/>
          </w:tcPr>
          <w:p w14:paraId="264B04B9">
            <w:pPr>
              <w:pStyle w:val="28"/>
              <w:bidi w:val="0"/>
              <w:rPr>
                <w:rFonts w:hint="eastAsia"/>
                <w:color w:val="auto"/>
                <w:lang w:val="en-US" w:eastAsia="zh-CN"/>
              </w:rPr>
            </w:pPr>
            <w:r>
              <w:rPr>
                <w:rFonts w:hint="default"/>
                <w:color w:val="auto"/>
                <w:lang w:val="en-US" w:eastAsia="zh-CN"/>
              </w:rPr>
              <w:t>SS(t/a)</w:t>
            </w:r>
          </w:p>
        </w:tc>
        <w:tc>
          <w:tcPr>
            <w:tcW w:w="572" w:type="pct"/>
            <w:noWrap w:val="0"/>
            <w:vAlign w:val="center"/>
          </w:tcPr>
          <w:p w14:paraId="14F6D2F7">
            <w:pPr>
              <w:pStyle w:val="28"/>
              <w:bidi w:val="0"/>
              <w:jc w:val="center"/>
              <w:rPr>
                <w:rFonts w:hint="default"/>
                <w:color w:val="auto"/>
              </w:rPr>
            </w:pPr>
            <w:r>
              <w:rPr>
                <w:rFonts w:hint="eastAsia"/>
                <w:color w:val="auto"/>
                <w:lang w:val="en-US" w:eastAsia="zh-CN"/>
              </w:rPr>
              <w:t>0</w:t>
            </w:r>
          </w:p>
        </w:tc>
        <w:tc>
          <w:tcPr>
            <w:tcW w:w="391" w:type="pct"/>
            <w:noWrap w:val="0"/>
            <w:vAlign w:val="center"/>
          </w:tcPr>
          <w:p w14:paraId="4C0C11BD">
            <w:pPr>
              <w:pStyle w:val="28"/>
              <w:bidi w:val="0"/>
              <w:jc w:val="center"/>
              <w:rPr>
                <w:rFonts w:hint="default"/>
                <w:color w:val="auto"/>
              </w:rPr>
            </w:pPr>
            <w:r>
              <w:rPr>
                <w:rFonts w:hint="eastAsia"/>
                <w:color w:val="auto"/>
                <w:lang w:val="en-US" w:eastAsia="zh-CN"/>
              </w:rPr>
              <w:t>/</w:t>
            </w:r>
          </w:p>
        </w:tc>
        <w:tc>
          <w:tcPr>
            <w:tcW w:w="559" w:type="pct"/>
            <w:noWrap w:val="0"/>
            <w:vAlign w:val="center"/>
          </w:tcPr>
          <w:p w14:paraId="228BD6FB">
            <w:pPr>
              <w:pStyle w:val="28"/>
              <w:bidi w:val="0"/>
              <w:jc w:val="center"/>
              <w:rPr>
                <w:rFonts w:hint="default"/>
                <w:color w:val="auto"/>
              </w:rPr>
            </w:pPr>
            <w:r>
              <w:rPr>
                <w:rFonts w:hint="eastAsia"/>
                <w:color w:val="auto"/>
                <w:lang w:val="en-US" w:eastAsia="zh-CN"/>
              </w:rPr>
              <w:t>/</w:t>
            </w:r>
          </w:p>
        </w:tc>
        <w:tc>
          <w:tcPr>
            <w:tcW w:w="644" w:type="pct"/>
            <w:noWrap w:val="0"/>
            <w:vAlign w:val="center"/>
          </w:tcPr>
          <w:p w14:paraId="1233F967">
            <w:pPr>
              <w:pStyle w:val="28"/>
              <w:bidi w:val="0"/>
              <w:rPr>
                <w:rFonts w:hint="default"/>
                <w:color w:val="auto"/>
                <w:lang w:val="en-US" w:eastAsia="zh-CN"/>
              </w:rPr>
            </w:pPr>
            <w:r>
              <w:rPr>
                <w:rFonts w:hint="eastAsia"/>
                <w:color w:val="auto"/>
                <w:lang w:val="en-US" w:eastAsia="zh-CN"/>
              </w:rPr>
              <w:t>0</w:t>
            </w:r>
          </w:p>
        </w:tc>
        <w:tc>
          <w:tcPr>
            <w:tcW w:w="450" w:type="pct"/>
            <w:noWrap w:val="0"/>
            <w:vAlign w:val="center"/>
          </w:tcPr>
          <w:p w14:paraId="66EB38F8">
            <w:pPr>
              <w:pStyle w:val="28"/>
              <w:bidi w:val="0"/>
              <w:ind w:left="0" w:leftChars="0" w:firstLine="0" w:firstLineChars="0"/>
              <w:jc w:val="center"/>
              <w:rPr>
                <w:rFonts w:hint="default"/>
                <w:color w:val="auto"/>
                <w:lang w:val="en-US" w:eastAsia="zh-CN"/>
              </w:rPr>
            </w:pPr>
            <w:r>
              <w:rPr>
                <w:rFonts w:hint="eastAsia"/>
                <w:color w:val="auto"/>
                <w:lang w:val="en-US" w:eastAsia="zh-CN"/>
              </w:rPr>
              <w:t>/</w:t>
            </w:r>
          </w:p>
        </w:tc>
        <w:tc>
          <w:tcPr>
            <w:tcW w:w="613" w:type="pct"/>
            <w:noWrap w:val="0"/>
            <w:vAlign w:val="center"/>
          </w:tcPr>
          <w:p w14:paraId="4017911A">
            <w:pPr>
              <w:pStyle w:val="28"/>
              <w:bidi w:val="0"/>
              <w:ind w:left="0" w:leftChars="0" w:firstLine="0" w:firstLineChars="0"/>
              <w:rPr>
                <w:rFonts w:hint="eastAsia"/>
                <w:color w:val="auto"/>
                <w:lang w:val="en-US" w:eastAsia="zh-CN"/>
              </w:rPr>
            </w:pPr>
            <w:r>
              <w:rPr>
                <w:rFonts w:hint="eastAsia"/>
                <w:color w:val="auto"/>
                <w:lang w:val="en-US" w:eastAsia="zh-CN"/>
              </w:rPr>
              <w:t>0</w:t>
            </w:r>
          </w:p>
        </w:tc>
        <w:tc>
          <w:tcPr>
            <w:tcW w:w="636" w:type="pct"/>
            <w:noWrap w:val="0"/>
            <w:vAlign w:val="center"/>
          </w:tcPr>
          <w:p w14:paraId="75199941">
            <w:pPr>
              <w:pStyle w:val="28"/>
              <w:bidi w:val="0"/>
              <w:ind w:left="0" w:leftChars="0" w:firstLine="0" w:firstLineChars="0"/>
              <w:rPr>
                <w:rFonts w:hint="eastAsia"/>
                <w:color w:val="auto"/>
                <w:lang w:val="en-US" w:eastAsia="zh-CN"/>
              </w:rPr>
            </w:pPr>
            <w:r>
              <w:rPr>
                <w:rFonts w:hint="eastAsia"/>
                <w:color w:val="auto"/>
                <w:lang w:val="en-US" w:eastAsia="zh-CN"/>
              </w:rPr>
              <w:t>+0</w:t>
            </w:r>
          </w:p>
        </w:tc>
      </w:tr>
      <w:tr w14:paraId="54ED1B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3" w:hRule="atLeast"/>
        </w:trPr>
        <w:tc>
          <w:tcPr>
            <w:tcW w:w="443" w:type="pct"/>
            <w:vMerge w:val="continue"/>
            <w:noWrap w:val="0"/>
            <w:vAlign w:val="center"/>
          </w:tcPr>
          <w:p w14:paraId="61F464D6">
            <w:pPr>
              <w:pStyle w:val="28"/>
              <w:bidi w:val="0"/>
              <w:rPr>
                <w:rFonts w:hint="default"/>
                <w:color w:val="auto"/>
              </w:rPr>
            </w:pPr>
          </w:p>
        </w:tc>
        <w:tc>
          <w:tcPr>
            <w:tcW w:w="687" w:type="pct"/>
            <w:noWrap w:val="0"/>
            <w:vAlign w:val="center"/>
          </w:tcPr>
          <w:p w14:paraId="13C1B851">
            <w:pPr>
              <w:pStyle w:val="28"/>
              <w:bidi w:val="0"/>
              <w:rPr>
                <w:rFonts w:hint="eastAsia"/>
                <w:color w:val="auto"/>
                <w:lang w:val="en-US" w:eastAsia="zh-CN"/>
              </w:rPr>
            </w:pPr>
            <w:r>
              <w:rPr>
                <w:rFonts w:hint="default"/>
                <w:color w:val="auto"/>
                <w:lang w:val="en-US" w:eastAsia="zh-CN"/>
              </w:rPr>
              <w:t>NH</w:t>
            </w:r>
            <w:r>
              <w:rPr>
                <w:rFonts w:hint="default"/>
                <w:color w:val="auto"/>
                <w:vertAlign w:val="subscript"/>
                <w:lang w:val="en-US" w:eastAsia="zh-CN"/>
              </w:rPr>
              <w:t>3</w:t>
            </w:r>
            <w:r>
              <w:rPr>
                <w:rFonts w:hint="default"/>
                <w:color w:val="auto"/>
                <w:lang w:val="en-US" w:eastAsia="zh-CN"/>
              </w:rPr>
              <w:t>-N(t/a)</w:t>
            </w:r>
          </w:p>
        </w:tc>
        <w:tc>
          <w:tcPr>
            <w:tcW w:w="572" w:type="pct"/>
            <w:noWrap w:val="0"/>
            <w:vAlign w:val="center"/>
          </w:tcPr>
          <w:p w14:paraId="2281A260">
            <w:pPr>
              <w:pStyle w:val="28"/>
              <w:bidi w:val="0"/>
              <w:jc w:val="center"/>
              <w:rPr>
                <w:rFonts w:hint="default"/>
                <w:color w:val="auto"/>
              </w:rPr>
            </w:pPr>
            <w:r>
              <w:rPr>
                <w:rFonts w:hint="eastAsia"/>
                <w:color w:val="auto"/>
                <w:lang w:val="en-US" w:eastAsia="zh-CN"/>
              </w:rPr>
              <w:t>0</w:t>
            </w:r>
          </w:p>
        </w:tc>
        <w:tc>
          <w:tcPr>
            <w:tcW w:w="391" w:type="pct"/>
            <w:noWrap w:val="0"/>
            <w:vAlign w:val="center"/>
          </w:tcPr>
          <w:p w14:paraId="369881BB">
            <w:pPr>
              <w:pStyle w:val="28"/>
              <w:bidi w:val="0"/>
              <w:jc w:val="center"/>
              <w:rPr>
                <w:rFonts w:hint="default"/>
                <w:color w:val="auto"/>
              </w:rPr>
            </w:pPr>
            <w:r>
              <w:rPr>
                <w:rFonts w:hint="eastAsia"/>
                <w:color w:val="auto"/>
                <w:lang w:val="en-US" w:eastAsia="zh-CN"/>
              </w:rPr>
              <w:t>/</w:t>
            </w:r>
          </w:p>
        </w:tc>
        <w:tc>
          <w:tcPr>
            <w:tcW w:w="559" w:type="pct"/>
            <w:noWrap w:val="0"/>
            <w:vAlign w:val="center"/>
          </w:tcPr>
          <w:p w14:paraId="58D6A8D0">
            <w:pPr>
              <w:pStyle w:val="28"/>
              <w:bidi w:val="0"/>
              <w:jc w:val="center"/>
              <w:rPr>
                <w:rFonts w:hint="default"/>
                <w:color w:val="auto"/>
              </w:rPr>
            </w:pPr>
            <w:r>
              <w:rPr>
                <w:rFonts w:hint="eastAsia"/>
                <w:color w:val="auto"/>
                <w:lang w:val="en-US" w:eastAsia="zh-CN"/>
              </w:rPr>
              <w:t>/</w:t>
            </w:r>
          </w:p>
        </w:tc>
        <w:tc>
          <w:tcPr>
            <w:tcW w:w="644" w:type="pct"/>
            <w:noWrap w:val="0"/>
            <w:vAlign w:val="center"/>
          </w:tcPr>
          <w:p w14:paraId="38390BCE">
            <w:pPr>
              <w:pStyle w:val="28"/>
              <w:bidi w:val="0"/>
              <w:rPr>
                <w:rFonts w:hint="default"/>
                <w:color w:val="auto"/>
                <w:lang w:val="en-US" w:eastAsia="zh-CN"/>
              </w:rPr>
            </w:pPr>
            <w:r>
              <w:rPr>
                <w:rFonts w:hint="eastAsia"/>
                <w:color w:val="auto"/>
                <w:lang w:val="en-US" w:eastAsia="zh-CN"/>
              </w:rPr>
              <w:t>0</w:t>
            </w:r>
          </w:p>
        </w:tc>
        <w:tc>
          <w:tcPr>
            <w:tcW w:w="450" w:type="pct"/>
            <w:noWrap w:val="0"/>
            <w:vAlign w:val="center"/>
          </w:tcPr>
          <w:p w14:paraId="7B6C2566">
            <w:pPr>
              <w:pStyle w:val="28"/>
              <w:bidi w:val="0"/>
              <w:ind w:left="0" w:leftChars="0" w:firstLine="0" w:firstLineChars="0"/>
              <w:jc w:val="center"/>
              <w:rPr>
                <w:rFonts w:hint="default"/>
                <w:color w:val="auto"/>
                <w:lang w:val="en-US" w:eastAsia="zh-CN"/>
              </w:rPr>
            </w:pPr>
            <w:r>
              <w:rPr>
                <w:rFonts w:hint="eastAsia"/>
                <w:color w:val="auto"/>
                <w:lang w:val="en-US" w:eastAsia="zh-CN"/>
              </w:rPr>
              <w:t>/</w:t>
            </w:r>
          </w:p>
        </w:tc>
        <w:tc>
          <w:tcPr>
            <w:tcW w:w="613" w:type="pct"/>
            <w:noWrap w:val="0"/>
            <w:vAlign w:val="center"/>
          </w:tcPr>
          <w:p w14:paraId="495EDAFB">
            <w:pPr>
              <w:pStyle w:val="28"/>
              <w:bidi w:val="0"/>
              <w:ind w:left="0" w:leftChars="0" w:firstLine="0" w:firstLineChars="0"/>
              <w:rPr>
                <w:rFonts w:hint="eastAsia"/>
                <w:color w:val="auto"/>
                <w:lang w:val="en-US" w:eastAsia="zh-CN"/>
              </w:rPr>
            </w:pPr>
            <w:r>
              <w:rPr>
                <w:rFonts w:hint="eastAsia"/>
                <w:color w:val="auto"/>
                <w:lang w:val="en-US" w:eastAsia="zh-CN"/>
              </w:rPr>
              <w:t>0</w:t>
            </w:r>
          </w:p>
        </w:tc>
        <w:tc>
          <w:tcPr>
            <w:tcW w:w="636" w:type="pct"/>
            <w:noWrap w:val="0"/>
            <w:vAlign w:val="center"/>
          </w:tcPr>
          <w:p w14:paraId="10733521">
            <w:pPr>
              <w:pStyle w:val="28"/>
              <w:bidi w:val="0"/>
              <w:ind w:left="0" w:leftChars="0" w:firstLine="0" w:firstLineChars="0"/>
              <w:rPr>
                <w:rFonts w:hint="eastAsia"/>
                <w:color w:val="auto"/>
                <w:lang w:val="en-US" w:eastAsia="zh-CN"/>
              </w:rPr>
            </w:pPr>
            <w:r>
              <w:rPr>
                <w:rFonts w:hint="eastAsia"/>
                <w:color w:val="auto"/>
                <w:lang w:val="en-US" w:eastAsia="zh-CN"/>
              </w:rPr>
              <w:t>+0</w:t>
            </w:r>
          </w:p>
        </w:tc>
      </w:tr>
      <w:tr w14:paraId="5A382D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443" w:type="pct"/>
            <w:vMerge w:val="restart"/>
            <w:noWrap w:val="0"/>
            <w:vAlign w:val="center"/>
          </w:tcPr>
          <w:p w14:paraId="268D9819">
            <w:pPr>
              <w:pStyle w:val="28"/>
              <w:bidi w:val="0"/>
              <w:rPr>
                <w:rFonts w:hint="default"/>
                <w:color w:val="auto"/>
              </w:rPr>
            </w:pPr>
            <w:r>
              <w:rPr>
                <w:rFonts w:hint="default"/>
                <w:color w:val="auto"/>
              </w:rPr>
              <w:t>一般工业固体废物</w:t>
            </w:r>
          </w:p>
        </w:tc>
        <w:tc>
          <w:tcPr>
            <w:tcW w:w="687" w:type="pct"/>
            <w:noWrap w:val="0"/>
            <w:vAlign w:val="center"/>
          </w:tcPr>
          <w:p w14:paraId="5345CDA6">
            <w:pPr>
              <w:pStyle w:val="28"/>
              <w:bidi w:val="0"/>
              <w:rPr>
                <w:rFonts w:hint="default"/>
                <w:color w:val="auto"/>
                <w:lang w:val="en-US" w:eastAsia="zh-CN"/>
              </w:rPr>
            </w:pPr>
            <w:r>
              <w:rPr>
                <w:rFonts w:hint="eastAsia"/>
                <w:color w:val="auto"/>
                <w:lang w:val="en-US" w:eastAsia="zh-CN"/>
              </w:rPr>
              <w:t>废混凝土</w:t>
            </w:r>
            <w:r>
              <w:rPr>
                <w:rFonts w:hint="default"/>
                <w:color w:val="auto"/>
                <w:lang w:val="en-US" w:eastAsia="zh-CN"/>
              </w:rPr>
              <w:t>(t/a)</w:t>
            </w:r>
          </w:p>
        </w:tc>
        <w:tc>
          <w:tcPr>
            <w:tcW w:w="572" w:type="pct"/>
            <w:noWrap w:val="0"/>
            <w:vAlign w:val="center"/>
          </w:tcPr>
          <w:p w14:paraId="4E151D41">
            <w:pPr>
              <w:pStyle w:val="28"/>
              <w:bidi w:val="0"/>
              <w:jc w:val="center"/>
              <w:rPr>
                <w:rFonts w:hint="default"/>
                <w:color w:val="auto"/>
                <w:lang w:val="en-US" w:eastAsia="zh-CN"/>
              </w:rPr>
            </w:pPr>
            <w:r>
              <w:rPr>
                <w:rFonts w:hint="eastAsia"/>
                <w:color w:val="auto"/>
                <w:vertAlign w:val="baseline"/>
                <w:lang w:val="en-US" w:eastAsia="zh-CN"/>
              </w:rPr>
              <w:t>4010</w:t>
            </w:r>
          </w:p>
        </w:tc>
        <w:tc>
          <w:tcPr>
            <w:tcW w:w="391" w:type="pct"/>
            <w:noWrap w:val="0"/>
            <w:vAlign w:val="center"/>
          </w:tcPr>
          <w:p w14:paraId="0FA3DB56">
            <w:pPr>
              <w:pStyle w:val="28"/>
              <w:bidi w:val="0"/>
              <w:jc w:val="center"/>
              <w:rPr>
                <w:rFonts w:hint="default"/>
                <w:color w:val="auto"/>
                <w:lang w:val="en-US" w:eastAsia="zh-CN"/>
              </w:rPr>
            </w:pPr>
            <w:r>
              <w:rPr>
                <w:rFonts w:hint="eastAsia"/>
                <w:color w:val="auto"/>
                <w:lang w:val="en-US" w:eastAsia="zh-CN"/>
              </w:rPr>
              <w:t>/</w:t>
            </w:r>
          </w:p>
        </w:tc>
        <w:tc>
          <w:tcPr>
            <w:tcW w:w="559" w:type="pct"/>
            <w:noWrap w:val="0"/>
            <w:vAlign w:val="center"/>
          </w:tcPr>
          <w:p w14:paraId="58F40B97">
            <w:pPr>
              <w:pStyle w:val="28"/>
              <w:bidi w:val="0"/>
              <w:jc w:val="center"/>
              <w:rPr>
                <w:rFonts w:hint="default"/>
                <w:color w:val="auto"/>
                <w:lang w:val="en-US" w:eastAsia="zh-CN"/>
              </w:rPr>
            </w:pPr>
            <w:r>
              <w:rPr>
                <w:rFonts w:hint="eastAsia"/>
                <w:color w:val="auto"/>
                <w:lang w:val="en-US" w:eastAsia="zh-CN"/>
              </w:rPr>
              <w:t>/</w:t>
            </w:r>
          </w:p>
        </w:tc>
        <w:tc>
          <w:tcPr>
            <w:tcW w:w="644" w:type="pct"/>
            <w:noWrap w:val="0"/>
            <w:vAlign w:val="center"/>
          </w:tcPr>
          <w:p w14:paraId="2DF416F4">
            <w:pPr>
              <w:pStyle w:val="28"/>
              <w:bidi w:val="0"/>
              <w:rPr>
                <w:rFonts w:hint="default"/>
                <w:color w:val="auto"/>
                <w:lang w:val="en-US" w:eastAsia="zh-CN"/>
              </w:rPr>
            </w:pPr>
            <w:r>
              <w:rPr>
                <w:rFonts w:hint="eastAsia"/>
                <w:color w:val="auto"/>
                <w:lang w:val="en-US" w:eastAsia="zh-CN"/>
              </w:rPr>
              <w:t>11500</w:t>
            </w:r>
          </w:p>
        </w:tc>
        <w:tc>
          <w:tcPr>
            <w:tcW w:w="450" w:type="pct"/>
            <w:noWrap w:val="0"/>
            <w:vAlign w:val="center"/>
          </w:tcPr>
          <w:p w14:paraId="4793BFD2">
            <w:pPr>
              <w:pStyle w:val="28"/>
              <w:bidi w:val="0"/>
              <w:ind w:left="0" w:leftChars="0" w:firstLine="0" w:firstLineChars="0"/>
              <w:jc w:val="center"/>
              <w:rPr>
                <w:rFonts w:hint="default"/>
                <w:color w:val="auto"/>
                <w:lang w:val="en-US" w:eastAsia="zh-CN"/>
              </w:rPr>
            </w:pPr>
            <w:r>
              <w:rPr>
                <w:rFonts w:hint="eastAsia"/>
                <w:color w:val="auto"/>
                <w:vertAlign w:val="baseline"/>
                <w:lang w:val="en-US" w:eastAsia="zh-CN"/>
              </w:rPr>
              <w:t>4010</w:t>
            </w:r>
          </w:p>
        </w:tc>
        <w:tc>
          <w:tcPr>
            <w:tcW w:w="613" w:type="pct"/>
            <w:noWrap w:val="0"/>
            <w:vAlign w:val="center"/>
          </w:tcPr>
          <w:p w14:paraId="7936BDED">
            <w:pPr>
              <w:pStyle w:val="28"/>
              <w:bidi w:val="0"/>
              <w:rPr>
                <w:rFonts w:hint="default"/>
                <w:color w:val="auto"/>
                <w:lang w:val="en-US" w:eastAsia="zh-CN"/>
              </w:rPr>
            </w:pPr>
            <w:r>
              <w:rPr>
                <w:rFonts w:hint="eastAsia"/>
                <w:color w:val="auto"/>
                <w:lang w:val="en-US" w:eastAsia="zh-CN"/>
              </w:rPr>
              <w:t>11500</w:t>
            </w:r>
          </w:p>
        </w:tc>
        <w:tc>
          <w:tcPr>
            <w:tcW w:w="636" w:type="pct"/>
            <w:noWrap w:val="0"/>
            <w:vAlign w:val="center"/>
          </w:tcPr>
          <w:p w14:paraId="4740FAB6">
            <w:pPr>
              <w:pStyle w:val="28"/>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r>
              <w:rPr>
                <w:rFonts w:hint="default" w:ascii="Times New Roman" w:hAnsi="Times New Roman" w:eastAsia="宋体" w:cs="Times New Roman"/>
                <w:color w:val="auto"/>
                <w:lang w:val="en-US" w:eastAsia="zh-CN"/>
              </w:rPr>
              <w:t>7490</w:t>
            </w:r>
          </w:p>
        </w:tc>
      </w:tr>
      <w:tr w14:paraId="4A992A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3" w:hRule="atLeast"/>
        </w:trPr>
        <w:tc>
          <w:tcPr>
            <w:tcW w:w="443" w:type="pct"/>
            <w:vMerge w:val="continue"/>
            <w:noWrap w:val="0"/>
            <w:vAlign w:val="center"/>
          </w:tcPr>
          <w:p w14:paraId="609E99B3">
            <w:pPr>
              <w:pStyle w:val="28"/>
              <w:bidi w:val="0"/>
              <w:rPr>
                <w:rFonts w:hint="default"/>
                <w:color w:val="auto"/>
              </w:rPr>
            </w:pPr>
          </w:p>
        </w:tc>
        <w:tc>
          <w:tcPr>
            <w:tcW w:w="687" w:type="pct"/>
            <w:noWrap w:val="0"/>
            <w:vAlign w:val="center"/>
          </w:tcPr>
          <w:p w14:paraId="08C7EACA">
            <w:pPr>
              <w:pStyle w:val="28"/>
              <w:bidi w:val="0"/>
              <w:rPr>
                <w:rFonts w:hint="default"/>
                <w:color w:val="auto"/>
                <w:lang w:val="en-US" w:eastAsia="zh-CN"/>
              </w:rPr>
            </w:pPr>
            <w:r>
              <w:rPr>
                <w:rFonts w:hint="eastAsia"/>
                <w:color w:val="auto"/>
                <w:lang w:val="en-US" w:eastAsia="zh-CN"/>
              </w:rPr>
              <w:t>废钢材</w:t>
            </w:r>
            <w:r>
              <w:rPr>
                <w:rFonts w:hint="default"/>
                <w:color w:val="auto"/>
                <w:lang w:val="en-US" w:eastAsia="zh-CN"/>
              </w:rPr>
              <w:t>(t/a)</w:t>
            </w:r>
          </w:p>
        </w:tc>
        <w:tc>
          <w:tcPr>
            <w:tcW w:w="572" w:type="pct"/>
            <w:noWrap w:val="0"/>
            <w:vAlign w:val="center"/>
          </w:tcPr>
          <w:p w14:paraId="7116F315">
            <w:pPr>
              <w:pStyle w:val="28"/>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391" w:type="pct"/>
            <w:noWrap w:val="0"/>
            <w:vAlign w:val="center"/>
          </w:tcPr>
          <w:p w14:paraId="2E7E75F2">
            <w:pPr>
              <w:pStyle w:val="28"/>
              <w:bidi w:val="0"/>
              <w:jc w:val="center"/>
              <w:rPr>
                <w:rFonts w:hint="default"/>
                <w:color w:val="auto"/>
                <w:lang w:val="en-US" w:eastAsia="zh-CN"/>
              </w:rPr>
            </w:pPr>
            <w:r>
              <w:rPr>
                <w:rFonts w:hint="eastAsia"/>
                <w:color w:val="auto"/>
                <w:lang w:val="en-US" w:eastAsia="zh-CN"/>
              </w:rPr>
              <w:t>/</w:t>
            </w:r>
          </w:p>
        </w:tc>
        <w:tc>
          <w:tcPr>
            <w:tcW w:w="559" w:type="pct"/>
            <w:noWrap w:val="0"/>
            <w:vAlign w:val="center"/>
          </w:tcPr>
          <w:p w14:paraId="2EEFE602">
            <w:pPr>
              <w:pStyle w:val="28"/>
              <w:bidi w:val="0"/>
              <w:jc w:val="center"/>
              <w:rPr>
                <w:rFonts w:hint="default"/>
                <w:color w:val="auto"/>
                <w:lang w:val="en-US" w:eastAsia="zh-CN"/>
              </w:rPr>
            </w:pPr>
            <w:r>
              <w:rPr>
                <w:rFonts w:hint="eastAsia"/>
                <w:color w:val="auto"/>
                <w:lang w:val="en-US" w:eastAsia="zh-CN"/>
              </w:rPr>
              <w:t>/</w:t>
            </w:r>
          </w:p>
        </w:tc>
        <w:tc>
          <w:tcPr>
            <w:tcW w:w="644" w:type="pct"/>
            <w:noWrap w:val="0"/>
            <w:vAlign w:val="center"/>
          </w:tcPr>
          <w:p w14:paraId="5CD1114C">
            <w:pPr>
              <w:pStyle w:val="28"/>
              <w:bidi w:val="0"/>
              <w:rPr>
                <w:rFonts w:hint="default"/>
                <w:color w:val="auto"/>
                <w:lang w:val="en-US" w:eastAsia="zh-CN"/>
              </w:rPr>
            </w:pPr>
            <w:r>
              <w:rPr>
                <w:rFonts w:hint="eastAsia"/>
                <w:color w:val="auto"/>
                <w:lang w:val="en-US" w:eastAsia="zh-CN"/>
              </w:rPr>
              <w:t>350</w:t>
            </w:r>
          </w:p>
        </w:tc>
        <w:tc>
          <w:tcPr>
            <w:tcW w:w="450" w:type="pct"/>
            <w:noWrap w:val="0"/>
            <w:vAlign w:val="center"/>
          </w:tcPr>
          <w:p w14:paraId="46EF85D8">
            <w:pPr>
              <w:pStyle w:val="28"/>
              <w:bidi w:val="0"/>
              <w:ind w:left="0" w:leftChars="0" w:firstLine="0" w:firstLineChars="0"/>
              <w:jc w:val="center"/>
              <w:rPr>
                <w:rFonts w:hint="default"/>
                <w:color w:val="auto"/>
                <w:lang w:val="en-US" w:eastAsia="zh-CN"/>
              </w:rPr>
            </w:pPr>
            <w:r>
              <w:rPr>
                <w:rFonts w:hint="eastAsia"/>
                <w:color w:val="auto"/>
                <w:lang w:val="en-US" w:eastAsia="zh-CN"/>
              </w:rPr>
              <w:t>/</w:t>
            </w:r>
          </w:p>
        </w:tc>
        <w:tc>
          <w:tcPr>
            <w:tcW w:w="613" w:type="pct"/>
            <w:noWrap w:val="0"/>
            <w:vAlign w:val="center"/>
          </w:tcPr>
          <w:p w14:paraId="6A1FE8F7">
            <w:pPr>
              <w:pStyle w:val="28"/>
              <w:bidi w:val="0"/>
              <w:rPr>
                <w:rFonts w:hint="default"/>
                <w:color w:val="auto"/>
                <w:lang w:val="en-US" w:eastAsia="zh-CN"/>
              </w:rPr>
            </w:pPr>
            <w:r>
              <w:rPr>
                <w:rFonts w:hint="eastAsia"/>
                <w:color w:val="auto"/>
                <w:lang w:val="en-US" w:eastAsia="zh-CN"/>
              </w:rPr>
              <w:t>350</w:t>
            </w:r>
          </w:p>
        </w:tc>
        <w:tc>
          <w:tcPr>
            <w:tcW w:w="636" w:type="pct"/>
            <w:noWrap w:val="0"/>
            <w:vAlign w:val="center"/>
          </w:tcPr>
          <w:p w14:paraId="079CD36C">
            <w:pPr>
              <w:pStyle w:val="28"/>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r>
              <w:rPr>
                <w:rFonts w:hint="default" w:ascii="Times New Roman" w:hAnsi="Times New Roman" w:eastAsia="宋体" w:cs="Times New Roman"/>
                <w:color w:val="auto"/>
                <w:lang w:val="en-US" w:eastAsia="zh-CN"/>
              </w:rPr>
              <w:t>350</w:t>
            </w:r>
          </w:p>
        </w:tc>
      </w:tr>
      <w:tr w14:paraId="1AB9FA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443" w:type="pct"/>
            <w:vMerge w:val="continue"/>
            <w:noWrap w:val="0"/>
            <w:vAlign w:val="center"/>
          </w:tcPr>
          <w:p w14:paraId="17ADD254">
            <w:pPr>
              <w:pStyle w:val="28"/>
              <w:bidi w:val="0"/>
              <w:rPr>
                <w:rFonts w:hint="default"/>
                <w:color w:val="auto"/>
              </w:rPr>
            </w:pPr>
          </w:p>
        </w:tc>
        <w:tc>
          <w:tcPr>
            <w:tcW w:w="687" w:type="pct"/>
            <w:noWrap w:val="0"/>
            <w:vAlign w:val="center"/>
          </w:tcPr>
          <w:p w14:paraId="2CAB4DF3">
            <w:pPr>
              <w:pStyle w:val="28"/>
              <w:bidi w:val="0"/>
              <w:rPr>
                <w:rFonts w:hint="default"/>
                <w:color w:val="auto"/>
                <w:lang w:val="en-US" w:eastAsia="zh-CN"/>
              </w:rPr>
            </w:pPr>
            <w:r>
              <w:rPr>
                <w:rFonts w:hint="eastAsia"/>
                <w:color w:val="auto"/>
                <w:lang w:val="en-US" w:eastAsia="zh-CN"/>
              </w:rPr>
              <w:t>焊渣</w:t>
            </w:r>
            <w:r>
              <w:rPr>
                <w:rFonts w:hint="default"/>
                <w:color w:val="auto"/>
                <w:lang w:val="en-US" w:eastAsia="zh-CN"/>
              </w:rPr>
              <w:t>(t/a)</w:t>
            </w:r>
          </w:p>
        </w:tc>
        <w:tc>
          <w:tcPr>
            <w:tcW w:w="572" w:type="pct"/>
            <w:noWrap w:val="0"/>
            <w:vAlign w:val="center"/>
          </w:tcPr>
          <w:p w14:paraId="57C6431F">
            <w:pPr>
              <w:pStyle w:val="28"/>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391" w:type="pct"/>
            <w:noWrap w:val="0"/>
            <w:vAlign w:val="center"/>
          </w:tcPr>
          <w:p w14:paraId="69B6831C">
            <w:pPr>
              <w:pStyle w:val="28"/>
              <w:bidi w:val="0"/>
              <w:jc w:val="center"/>
              <w:rPr>
                <w:rFonts w:hint="default"/>
                <w:color w:val="auto"/>
                <w:lang w:val="en-US" w:eastAsia="zh-CN"/>
              </w:rPr>
            </w:pPr>
            <w:r>
              <w:rPr>
                <w:rFonts w:hint="eastAsia"/>
                <w:color w:val="auto"/>
                <w:lang w:val="en-US" w:eastAsia="zh-CN"/>
              </w:rPr>
              <w:t>/</w:t>
            </w:r>
          </w:p>
        </w:tc>
        <w:tc>
          <w:tcPr>
            <w:tcW w:w="559" w:type="pct"/>
            <w:noWrap w:val="0"/>
            <w:vAlign w:val="center"/>
          </w:tcPr>
          <w:p w14:paraId="7931E273">
            <w:pPr>
              <w:pStyle w:val="28"/>
              <w:bidi w:val="0"/>
              <w:jc w:val="center"/>
              <w:rPr>
                <w:rFonts w:hint="default"/>
                <w:color w:val="auto"/>
                <w:lang w:val="en-US" w:eastAsia="zh-CN"/>
              </w:rPr>
            </w:pPr>
            <w:r>
              <w:rPr>
                <w:rFonts w:hint="eastAsia"/>
                <w:color w:val="auto"/>
                <w:lang w:val="en-US" w:eastAsia="zh-CN"/>
              </w:rPr>
              <w:t>/</w:t>
            </w:r>
          </w:p>
        </w:tc>
        <w:tc>
          <w:tcPr>
            <w:tcW w:w="644" w:type="pct"/>
            <w:noWrap w:val="0"/>
            <w:vAlign w:val="center"/>
          </w:tcPr>
          <w:p w14:paraId="0E491327">
            <w:pPr>
              <w:pStyle w:val="28"/>
              <w:bidi w:val="0"/>
              <w:rPr>
                <w:rFonts w:hint="default"/>
                <w:color w:val="auto"/>
                <w:lang w:val="en-US" w:eastAsia="zh-CN"/>
              </w:rPr>
            </w:pPr>
            <w:r>
              <w:rPr>
                <w:rFonts w:hint="eastAsia"/>
                <w:color w:val="auto"/>
                <w:lang w:val="en-US" w:eastAsia="zh-CN"/>
              </w:rPr>
              <w:t>0.0157</w:t>
            </w:r>
          </w:p>
        </w:tc>
        <w:tc>
          <w:tcPr>
            <w:tcW w:w="450" w:type="pct"/>
            <w:noWrap w:val="0"/>
            <w:vAlign w:val="center"/>
          </w:tcPr>
          <w:p w14:paraId="0D0AB374">
            <w:pPr>
              <w:pStyle w:val="28"/>
              <w:bidi w:val="0"/>
              <w:ind w:left="0" w:leftChars="0" w:firstLine="0" w:firstLineChars="0"/>
              <w:jc w:val="center"/>
              <w:rPr>
                <w:rFonts w:hint="default"/>
                <w:color w:val="auto"/>
                <w:lang w:val="en-US" w:eastAsia="zh-CN"/>
              </w:rPr>
            </w:pPr>
            <w:r>
              <w:rPr>
                <w:rFonts w:hint="eastAsia"/>
                <w:color w:val="auto"/>
                <w:lang w:val="en-US" w:eastAsia="zh-CN"/>
              </w:rPr>
              <w:t>/</w:t>
            </w:r>
          </w:p>
        </w:tc>
        <w:tc>
          <w:tcPr>
            <w:tcW w:w="613" w:type="pct"/>
            <w:noWrap w:val="0"/>
            <w:vAlign w:val="center"/>
          </w:tcPr>
          <w:p w14:paraId="2799AF10">
            <w:pPr>
              <w:pStyle w:val="28"/>
              <w:bidi w:val="0"/>
              <w:rPr>
                <w:rFonts w:hint="default"/>
                <w:color w:val="auto"/>
                <w:lang w:val="en-US" w:eastAsia="zh-CN"/>
              </w:rPr>
            </w:pPr>
            <w:r>
              <w:rPr>
                <w:rFonts w:hint="eastAsia"/>
                <w:color w:val="auto"/>
                <w:lang w:val="en-US" w:eastAsia="zh-CN"/>
              </w:rPr>
              <w:t>0.0157</w:t>
            </w:r>
          </w:p>
        </w:tc>
        <w:tc>
          <w:tcPr>
            <w:tcW w:w="636" w:type="pct"/>
            <w:noWrap w:val="0"/>
            <w:vAlign w:val="center"/>
          </w:tcPr>
          <w:p w14:paraId="236DCE50">
            <w:pPr>
              <w:pStyle w:val="28"/>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r>
              <w:rPr>
                <w:rFonts w:hint="default" w:ascii="Times New Roman" w:hAnsi="Times New Roman" w:eastAsia="宋体" w:cs="Times New Roman"/>
                <w:color w:val="auto"/>
                <w:lang w:val="en-US" w:eastAsia="zh-CN"/>
              </w:rPr>
              <w:t>0.0157</w:t>
            </w:r>
          </w:p>
        </w:tc>
      </w:tr>
      <w:tr w14:paraId="708CAB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43" w:type="pct"/>
            <w:vMerge w:val="continue"/>
            <w:noWrap w:val="0"/>
            <w:vAlign w:val="center"/>
          </w:tcPr>
          <w:p w14:paraId="15E1E4E6">
            <w:pPr>
              <w:pStyle w:val="28"/>
              <w:bidi w:val="0"/>
              <w:rPr>
                <w:rFonts w:hint="default"/>
                <w:color w:val="auto"/>
              </w:rPr>
            </w:pPr>
          </w:p>
        </w:tc>
        <w:tc>
          <w:tcPr>
            <w:tcW w:w="687" w:type="pct"/>
            <w:noWrap w:val="0"/>
            <w:vAlign w:val="center"/>
          </w:tcPr>
          <w:p w14:paraId="6069DD6E">
            <w:pPr>
              <w:pStyle w:val="28"/>
              <w:bidi w:val="0"/>
              <w:rPr>
                <w:rFonts w:hint="eastAsia"/>
                <w:color w:val="auto"/>
                <w:lang w:val="en-US" w:eastAsia="zh-CN"/>
              </w:rPr>
            </w:pPr>
            <w:r>
              <w:rPr>
                <w:rFonts w:hint="eastAsia"/>
                <w:color w:val="auto"/>
                <w:lang w:val="en-US" w:eastAsia="zh-CN"/>
              </w:rPr>
              <w:t>不合格品</w:t>
            </w:r>
            <w:r>
              <w:rPr>
                <w:rFonts w:hint="default"/>
                <w:color w:val="auto"/>
                <w:lang w:val="en-US" w:eastAsia="zh-CN"/>
              </w:rPr>
              <w:t>(t/a)</w:t>
            </w:r>
          </w:p>
        </w:tc>
        <w:tc>
          <w:tcPr>
            <w:tcW w:w="572" w:type="pct"/>
            <w:noWrap w:val="0"/>
            <w:vAlign w:val="center"/>
          </w:tcPr>
          <w:p w14:paraId="01D9B9EE">
            <w:pPr>
              <w:pStyle w:val="28"/>
              <w:bidi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p>
        </w:tc>
        <w:tc>
          <w:tcPr>
            <w:tcW w:w="391" w:type="pct"/>
            <w:noWrap w:val="0"/>
            <w:vAlign w:val="center"/>
          </w:tcPr>
          <w:p w14:paraId="6F04F4D4">
            <w:pPr>
              <w:pStyle w:val="28"/>
              <w:bidi w:val="0"/>
              <w:jc w:val="center"/>
              <w:rPr>
                <w:rFonts w:hint="default"/>
                <w:color w:val="auto"/>
                <w:lang w:val="en-US" w:eastAsia="zh-CN"/>
              </w:rPr>
            </w:pPr>
            <w:r>
              <w:rPr>
                <w:rFonts w:hint="eastAsia"/>
                <w:color w:val="auto"/>
                <w:lang w:val="en-US" w:eastAsia="zh-CN"/>
              </w:rPr>
              <w:t>/</w:t>
            </w:r>
          </w:p>
        </w:tc>
        <w:tc>
          <w:tcPr>
            <w:tcW w:w="559" w:type="pct"/>
            <w:noWrap w:val="0"/>
            <w:vAlign w:val="center"/>
          </w:tcPr>
          <w:p w14:paraId="228B4EEF">
            <w:pPr>
              <w:pStyle w:val="28"/>
              <w:bidi w:val="0"/>
              <w:jc w:val="center"/>
              <w:rPr>
                <w:rFonts w:hint="default"/>
                <w:color w:val="auto"/>
                <w:lang w:val="en-US" w:eastAsia="zh-CN"/>
              </w:rPr>
            </w:pPr>
            <w:r>
              <w:rPr>
                <w:rFonts w:hint="eastAsia"/>
                <w:color w:val="auto"/>
                <w:lang w:val="en-US" w:eastAsia="zh-CN"/>
              </w:rPr>
              <w:t>/</w:t>
            </w:r>
          </w:p>
        </w:tc>
        <w:tc>
          <w:tcPr>
            <w:tcW w:w="644" w:type="pct"/>
            <w:noWrap w:val="0"/>
            <w:vAlign w:val="center"/>
          </w:tcPr>
          <w:p w14:paraId="126475E0">
            <w:pPr>
              <w:pStyle w:val="28"/>
              <w:bidi w:val="0"/>
              <w:rPr>
                <w:rFonts w:hint="default"/>
                <w:color w:val="auto"/>
                <w:lang w:val="en-US" w:eastAsia="zh-CN"/>
              </w:rPr>
            </w:pPr>
            <w:r>
              <w:rPr>
                <w:rFonts w:hint="eastAsia"/>
                <w:color w:val="auto"/>
                <w:lang w:val="en-US" w:eastAsia="zh-CN"/>
              </w:rPr>
              <w:t>13090.805</w:t>
            </w:r>
          </w:p>
        </w:tc>
        <w:tc>
          <w:tcPr>
            <w:tcW w:w="450" w:type="pct"/>
            <w:noWrap w:val="0"/>
            <w:vAlign w:val="center"/>
          </w:tcPr>
          <w:p w14:paraId="75BC0FD7">
            <w:pPr>
              <w:pStyle w:val="28"/>
              <w:bidi w:val="0"/>
              <w:ind w:left="0" w:leftChars="0" w:firstLine="0" w:firstLineChars="0"/>
              <w:jc w:val="center"/>
              <w:rPr>
                <w:rFonts w:hint="default"/>
                <w:color w:val="auto"/>
                <w:lang w:val="en-US" w:eastAsia="zh-CN"/>
              </w:rPr>
            </w:pPr>
            <w:r>
              <w:rPr>
                <w:rFonts w:hint="eastAsia"/>
                <w:color w:val="auto"/>
                <w:lang w:val="en-US" w:eastAsia="zh-CN"/>
              </w:rPr>
              <w:t>/</w:t>
            </w:r>
          </w:p>
        </w:tc>
        <w:tc>
          <w:tcPr>
            <w:tcW w:w="613" w:type="pct"/>
            <w:noWrap w:val="0"/>
            <w:vAlign w:val="center"/>
          </w:tcPr>
          <w:p w14:paraId="7779A3C3">
            <w:pPr>
              <w:pStyle w:val="28"/>
              <w:bidi w:val="0"/>
              <w:rPr>
                <w:rFonts w:hint="default"/>
                <w:color w:val="auto"/>
                <w:lang w:val="en-US" w:eastAsia="zh-CN"/>
              </w:rPr>
            </w:pPr>
            <w:r>
              <w:rPr>
                <w:rFonts w:hint="eastAsia"/>
                <w:color w:val="auto"/>
                <w:lang w:val="en-US" w:eastAsia="zh-CN"/>
              </w:rPr>
              <w:t>13090.805</w:t>
            </w:r>
          </w:p>
        </w:tc>
        <w:tc>
          <w:tcPr>
            <w:tcW w:w="636" w:type="pct"/>
            <w:noWrap w:val="0"/>
            <w:vAlign w:val="center"/>
          </w:tcPr>
          <w:p w14:paraId="0246772A">
            <w:pPr>
              <w:pStyle w:val="28"/>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r>
              <w:rPr>
                <w:rFonts w:hint="eastAsia"/>
                <w:color w:val="auto"/>
                <w:lang w:val="en-US" w:eastAsia="zh-CN"/>
              </w:rPr>
              <w:t>13090.805</w:t>
            </w:r>
          </w:p>
        </w:tc>
      </w:tr>
      <w:tr w14:paraId="77308F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443" w:type="pct"/>
            <w:vMerge w:val="continue"/>
            <w:noWrap w:val="0"/>
            <w:vAlign w:val="center"/>
          </w:tcPr>
          <w:p w14:paraId="4049019C">
            <w:pPr>
              <w:pStyle w:val="28"/>
              <w:bidi w:val="0"/>
              <w:rPr>
                <w:rFonts w:hint="default"/>
                <w:color w:val="auto"/>
              </w:rPr>
            </w:pPr>
          </w:p>
        </w:tc>
        <w:tc>
          <w:tcPr>
            <w:tcW w:w="687" w:type="pct"/>
            <w:noWrap w:val="0"/>
            <w:vAlign w:val="center"/>
          </w:tcPr>
          <w:p w14:paraId="3BCE34AC">
            <w:pPr>
              <w:pStyle w:val="28"/>
              <w:bidi w:val="0"/>
              <w:rPr>
                <w:rFonts w:hint="eastAsia"/>
                <w:color w:val="auto"/>
                <w:lang w:val="en-US" w:eastAsia="zh-CN"/>
              </w:rPr>
            </w:pPr>
            <w:r>
              <w:rPr>
                <w:rFonts w:hint="eastAsia"/>
                <w:color w:val="auto"/>
                <w:lang w:val="en-US" w:eastAsia="zh-CN"/>
              </w:rPr>
              <w:t>废包装材料</w:t>
            </w:r>
            <w:r>
              <w:rPr>
                <w:rFonts w:hint="default"/>
                <w:color w:val="auto"/>
                <w:lang w:val="en-US" w:eastAsia="zh-CN"/>
              </w:rPr>
              <w:t>(t/a)</w:t>
            </w:r>
          </w:p>
        </w:tc>
        <w:tc>
          <w:tcPr>
            <w:tcW w:w="572" w:type="pct"/>
            <w:noWrap w:val="0"/>
            <w:vAlign w:val="center"/>
          </w:tcPr>
          <w:p w14:paraId="39CDD389">
            <w:pPr>
              <w:pStyle w:val="28"/>
              <w:bidi w:val="0"/>
              <w:jc w:val="center"/>
              <w:rPr>
                <w:rFonts w:hint="default"/>
                <w:color w:val="auto"/>
                <w:lang w:val="en-US" w:eastAsia="zh-CN"/>
              </w:rPr>
            </w:pPr>
            <w:r>
              <w:rPr>
                <w:rFonts w:hint="eastAsia"/>
                <w:color w:val="auto"/>
                <w:lang w:val="en-US" w:eastAsia="zh-CN"/>
              </w:rPr>
              <w:t>1</w:t>
            </w:r>
          </w:p>
        </w:tc>
        <w:tc>
          <w:tcPr>
            <w:tcW w:w="391" w:type="pct"/>
            <w:noWrap w:val="0"/>
            <w:vAlign w:val="center"/>
          </w:tcPr>
          <w:p w14:paraId="219433C9">
            <w:pPr>
              <w:pStyle w:val="28"/>
              <w:bidi w:val="0"/>
              <w:jc w:val="center"/>
              <w:rPr>
                <w:rFonts w:hint="default"/>
                <w:color w:val="auto"/>
                <w:lang w:val="en-US" w:eastAsia="zh-CN"/>
              </w:rPr>
            </w:pPr>
            <w:r>
              <w:rPr>
                <w:rFonts w:hint="eastAsia"/>
                <w:color w:val="auto"/>
                <w:lang w:val="en-US" w:eastAsia="zh-CN"/>
              </w:rPr>
              <w:t>/</w:t>
            </w:r>
          </w:p>
        </w:tc>
        <w:tc>
          <w:tcPr>
            <w:tcW w:w="559" w:type="pct"/>
            <w:noWrap w:val="0"/>
            <w:vAlign w:val="center"/>
          </w:tcPr>
          <w:p w14:paraId="0985E260">
            <w:pPr>
              <w:pStyle w:val="28"/>
              <w:bidi w:val="0"/>
              <w:jc w:val="center"/>
              <w:rPr>
                <w:rFonts w:hint="default"/>
                <w:color w:val="auto"/>
                <w:lang w:val="en-US" w:eastAsia="zh-CN"/>
              </w:rPr>
            </w:pPr>
            <w:r>
              <w:rPr>
                <w:rFonts w:hint="eastAsia"/>
                <w:color w:val="auto"/>
                <w:lang w:val="en-US" w:eastAsia="zh-CN"/>
              </w:rPr>
              <w:t>/</w:t>
            </w:r>
          </w:p>
        </w:tc>
        <w:tc>
          <w:tcPr>
            <w:tcW w:w="644" w:type="pct"/>
            <w:noWrap w:val="0"/>
            <w:vAlign w:val="center"/>
          </w:tcPr>
          <w:p w14:paraId="177D8E07">
            <w:pPr>
              <w:pStyle w:val="28"/>
              <w:bidi w:val="0"/>
              <w:rPr>
                <w:rFonts w:hint="default"/>
                <w:color w:val="auto"/>
                <w:lang w:val="en-US" w:eastAsia="zh-CN"/>
              </w:rPr>
            </w:pPr>
            <w:r>
              <w:rPr>
                <w:rFonts w:hint="eastAsia"/>
                <w:color w:val="auto"/>
                <w:lang w:val="en-US" w:eastAsia="zh-CN"/>
              </w:rPr>
              <w:t>3</w:t>
            </w:r>
          </w:p>
        </w:tc>
        <w:tc>
          <w:tcPr>
            <w:tcW w:w="450" w:type="pct"/>
            <w:noWrap w:val="0"/>
            <w:vAlign w:val="center"/>
          </w:tcPr>
          <w:p w14:paraId="0B7F21BF">
            <w:pPr>
              <w:pStyle w:val="28"/>
              <w:bidi w:val="0"/>
              <w:ind w:left="0" w:leftChars="0" w:firstLine="0" w:firstLineChars="0"/>
              <w:jc w:val="center"/>
              <w:rPr>
                <w:rFonts w:hint="default"/>
                <w:color w:val="auto"/>
                <w:lang w:val="en-US" w:eastAsia="zh-CN"/>
              </w:rPr>
            </w:pPr>
            <w:r>
              <w:rPr>
                <w:rFonts w:hint="eastAsia"/>
                <w:color w:val="auto"/>
                <w:lang w:val="en-US" w:eastAsia="zh-CN"/>
              </w:rPr>
              <w:t>1</w:t>
            </w:r>
          </w:p>
        </w:tc>
        <w:tc>
          <w:tcPr>
            <w:tcW w:w="613" w:type="pct"/>
            <w:noWrap w:val="0"/>
            <w:vAlign w:val="center"/>
          </w:tcPr>
          <w:p w14:paraId="1D555D67">
            <w:pPr>
              <w:pStyle w:val="28"/>
              <w:bidi w:val="0"/>
              <w:rPr>
                <w:rFonts w:hint="eastAsia"/>
                <w:color w:val="auto"/>
                <w:lang w:val="en-US" w:eastAsia="zh-CN"/>
              </w:rPr>
            </w:pPr>
            <w:r>
              <w:rPr>
                <w:rFonts w:hint="eastAsia"/>
                <w:color w:val="auto"/>
                <w:lang w:val="en-US" w:eastAsia="zh-CN"/>
              </w:rPr>
              <w:t>3</w:t>
            </w:r>
          </w:p>
        </w:tc>
        <w:tc>
          <w:tcPr>
            <w:tcW w:w="636" w:type="pct"/>
            <w:noWrap w:val="0"/>
            <w:vAlign w:val="center"/>
          </w:tcPr>
          <w:p w14:paraId="2235CD75">
            <w:pPr>
              <w:pStyle w:val="28"/>
              <w:bidi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r>
              <w:rPr>
                <w:rFonts w:hint="default" w:ascii="Times New Roman" w:hAnsi="Times New Roman" w:eastAsia="宋体" w:cs="Times New Roman"/>
                <w:color w:val="auto"/>
                <w:lang w:val="en-US" w:eastAsia="zh-CN"/>
              </w:rPr>
              <w:t>2</w:t>
            </w:r>
          </w:p>
        </w:tc>
      </w:tr>
      <w:tr w14:paraId="4F349B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43" w:type="pct"/>
            <w:vMerge w:val="continue"/>
            <w:noWrap w:val="0"/>
            <w:vAlign w:val="center"/>
          </w:tcPr>
          <w:p w14:paraId="286A24ED">
            <w:pPr>
              <w:pStyle w:val="28"/>
              <w:bidi w:val="0"/>
              <w:rPr>
                <w:rFonts w:hint="default"/>
                <w:color w:val="auto"/>
              </w:rPr>
            </w:pPr>
          </w:p>
        </w:tc>
        <w:tc>
          <w:tcPr>
            <w:tcW w:w="687" w:type="pct"/>
            <w:noWrap w:val="0"/>
            <w:vAlign w:val="center"/>
          </w:tcPr>
          <w:p w14:paraId="68F12A4B">
            <w:pPr>
              <w:pStyle w:val="28"/>
              <w:bidi w:val="0"/>
              <w:rPr>
                <w:rFonts w:hint="eastAsia"/>
                <w:color w:val="auto"/>
                <w:lang w:val="en-US" w:eastAsia="zh-CN"/>
              </w:rPr>
            </w:pPr>
            <w:r>
              <w:rPr>
                <w:rFonts w:hint="eastAsia"/>
                <w:color w:val="auto"/>
                <w:lang w:val="en-US" w:eastAsia="zh-CN"/>
              </w:rPr>
              <w:t>污水处理污泥</w:t>
            </w:r>
            <w:r>
              <w:rPr>
                <w:rFonts w:hint="default"/>
                <w:color w:val="auto"/>
                <w:lang w:val="en-US" w:eastAsia="zh-CN"/>
              </w:rPr>
              <w:t>(t/a)</w:t>
            </w:r>
          </w:p>
        </w:tc>
        <w:tc>
          <w:tcPr>
            <w:tcW w:w="572" w:type="pct"/>
            <w:noWrap w:val="0"/>
            <w:vAlign w:val="center"/>
          </w:tcPr>
          <w:p w14:paraId="3930E9AE">
            <w:pPr>
              <w:pStyle w:val="28"/>
              <w:bidi w:val="0"/>
              <w:jc w:val="center"/>
              <w:rPr>
                <w:rFonts w:hint="default"/>
                <w:color w:val="auto"/>
                <w:lang w:val="en-US" w:eastAsia="zh-CN"/>
              </w:rPr>
            </w:pPr>
            <w:r>
              <w:rPr>
                <w:rFonts w:hint="eastAsia"/>
                <w:color w:val="auto"/>
                <w:lang w:val="en-US" w:eastAsia="zh-CN"/>
              </w:rPr>
              <w:t>/</w:t>
            </w:r>
          </w:p>
        </w:tc>
        <w:tc>
          <w:tcPr>
            <w:tcW w:w="391" w:type="pct"/>
            <w:noWrap w:val="0"/>
            <w:vAlign w:val="center"/>
          </w:tcPr>
          <w:p w14:paraId="7D9A4246">
            <w:pPr>
              <w:pStyle w:val="28"/>
              <w:bidi w:val="0"/>
              <w:jc w:val="center"/>
              <w:rPr>
                <w:rFonts w:hint="default"/>
                <w:color w:val="auto"/>
                <w:lang w:val="en-US" w:eastAsia="zh-CN"/>
              </w:rPr>
            </w:pPr>
            <w:r>
              <w:rPr>
                <w:rFonts w:hint="eastAsia"/>
                <w:color w:val="auto"/>
                <w:lang w:val="en-US" w:eastAsia="zh-CN"/>
              </w:rPr>
              <w:t>/</w:t>
            </w:r>
          </w:p>
        </w:tc>
        <w:tc>
          <w:tcPr>
            <w:tcW w:w="559" w:type="pct"/>
            <w:noWrap w:val="0"/>
            <w:vAlign w:val="center"/>
          </w:tcPr>
          <w:p w14:paraId="1CD7217F">
            <w:pPr>
              <w:pStyle w:val="28"/>
              <w:bidi w:val="0"/>
              <w:jc w:val="center"/>
              <w:rPr>
                <w:rFonts w:hint="default"/>
                <w:color w:val="auto"/>
                <w:lang w:val="en-US" w:eastAsia="zh-CN"/>
              </w:rPr>
            </w:pPr>
            <w:r>
              <w:rPr>
                <w:rFonts w:hint="eastAsia"/>
                <w:color w:val="auto"/>
                <w:lang w:val="en-US" w:eastAsia="zh-CN"/>
              </w:rPr>
              <w:t>/</w:t>
            </w:r>
          </w:p>
        </w:tc>
        <w:tc>
          <w:tcPr>
            <w:tcW w:w="644" w:type="pct"/>
            <w:noWrap w:val="0"/>
            <w:vAlign w:val="center"/>
          </w:tcPr>
          <w:p w14:paraId="583B4172">
            <w:pPr>
              <w:pStyle w:val="28"/>
              <w:bidi w:val="0"/>
              <w:rPr>
                <w:rFonts w:hint="default"/>
                <w:color w:val="auto"/>
                <w:lang w:val="en-US" w:eastAsia="zh-CN"/>
              </w:rPr>
            </w:pPr>
            <w:r>
              <w:rPr>
                <w:rFonts w:hint="eastAsia"/>
                <w:color w:val="auto"/>
                <w:lang w:val="en-US" w:eastAsia="zh-CN"/>
              </w:rPr>
              <w:t>1.938</w:t>
            </w:r>
          </w:p>
        </w:tc>
        <w:tc>
          <w:tcPr>
            <w:tcW w:w="450" w:type="pct"/>
            <w:noWrap w:val="0"/>
            <w:vAlign w:val="center"/>
          </w:tcPr>
          <w:p w14:paraId="6A5E99B3">
            <w:pPr>
              <w:pStyle w:val="28"/>
              <w:bidi w:val="0"/>
              <w:ind w:left="0" w:leftChars="0" w:firstLine="0" w:firstLineChars="0"/>
              <w:jc w:val="center"/>
              <w:rPr>
                <w:rFonts w:hint="default"/>
                <w:color w:val="auto"/>
                <w:lang w:val="en-US" w:eastAsia="zh-CN"/>
              </w:rPr>
            </w:pPr>
            <w:r>
              <w:rPr>
                <w:rFonts w:hint="eastAsia"/>
                <w:color w:val="auto"/>
                <w:lang w:val="en-US" w:eastAsia="zh-CN"/>
              </w:rPr>
              <w:t>/</w:t>
            </w:r>
          </w:p>
        </w:tc>
        <w:tc>
          <w:tcPr>
            <w:tcW w:w="613" w:type="pct"/>
            <w:noWrap w:val="0"/>
            <w:vAlign w:val="center"/>
          </w:tcPr>
          <w:p w14:paraId="6F1620DB">
            <w:pPr>
              <w:pStyle w:val="28"/>
              <w:bidi w:val="0"/>
              <w:rPr>
                <w:rFonts w:hint="default"/>
                <w:color w:val="auto"/>
                <w:lang w:val="en-US" w:eastAsia="zh-CN"/>
              </w:rPr>
            </w:pPr>
            <w:r>
              <w:rPr>
                <w:rFonts w:hint="eastAsia"/>
                <w:color w:val="auto"/>
                <w:lang w:val="en-US" w:eastAsia="zh-CN"/>
              </w:rPr>
              <w:t>1.938</w:t>
            </w:r>
          </w:p>
        </w:tc>
        <w:tc>
          <w:tcPr>
            <w:tcW w:w="636" w:type="pct"/>
            <w:noWrap w:val="0"/>
            <w:vAlign w:val="center"/>
          </w:tcPr>
          <w:p w14:paraId="0E23F2E8">
            <w:pPr>
              <w:pStyle w:val="28"/>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w:t>
            </w:r>
            <w:r>
              <w:rPr>
                <w:rFonts w:hint="default" w:ascii="Times New Roman" w:hAnsi="Times New Roman" w:eastAsia="宋体" w:cs="Times New Roman"/>
                <w:color w:val="auto"/>
                <w:lang w:val="en-US" w:eastAsia="zh-CN"/>
              </w:rPr>
              <w:t>1.938</w:t>
            </w:r>
          </w:p>
        </w:tc>
      </w:tr>
      <w:tr w14:paraId="187259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43" w:type="pct"/>
            <w:vMerge w:val="continue"/>
            <w:noWrap w:val="0"/>
            <w:vAlign w:val="center"/>
          </w:tcPr>
          <w:p w14:paraId="2922E540">
            <w:pPr>
              <w:pStyle w:val="28"/>
              <w:bidi w:val="0"/>
              <w:rPr>
                <w:rFonts w:hint="default"/>
                <w:color w:val="auto"/>
              </w:rPr>
            </w:pPr>
          </w:p>
        </w:tc>
        <w:tc>
          <w:tcPr>
            <w:tcW w:w="687" w:type="pct"/>
            <w:noWrap w:val="0"/>
            <w:vAlign w:val="center"/>
          </w:tcPr>
          <w:p w14:paraId="32BB2565">
            <w:pPr>
              <w:pStyle w:val="28"/>
              <w:bidi w:val="0"/>
              <w:rPr>
                <w:rFonts w:hint="eastAsia"/>
                <w:color w:val="auto"/>
                <w:lang w:val="en-US" w:eastAsia="zh-CN"/>
              </w:rPr>
            </w:pPr>
            <w:r>
              <w:rPr>
                <w:rFonts w:hint="eastAsia"/>
                <w:color w:val="auto"/>
                <w:lang w:val="en-US" w:eastAsia="zh-CN"/>
              </w:rPr>
              <w:t>工艺收集尘（t/a）</w:t>
            </w:r>
          </w:p>
        </w:tc>
        <w:tc>
          <w:tcPr>
            <w:tcW w:w="572" w:type="pct"/>
            <w:noWrap w:val="0"/>
            <w:vAlign w:val="center"/>
          </w:tcPr>
          <w:p w14:paraId="10456A89">
            <w:pPr>
              <w:pStyle w:val="28"/>
              <w:bidi w:val="0"/>
              <w:jc w:val="center"/>
              <w:rPr>
                <w:rFonts w:hint="default"/>
                <w:color w:val="auto"/>
                <w:lang w:val="en-US" w:eastAsia="zh-CN"/>
              </w:rPr>
            </w:pPr>
            <w:r>
              <w:rPr>
                <w:rFonts w:hint="eastAsia"/>
                <w:color w:val="auto"/>
                <w:lang w:val="en-US" w:eastAsia="zh-CN"/>
              </w:rPr>
              <w:t>859</w:t>
            </w:r>
          </w:p>
        </w:tc>
        <w:tc>
          <w:tcPr>
            <w:tcW w:w="391" w:type="pct"/>
            <w:noWrap w:val="0"/>
            <w:vAlign w:val="center"/>
          </w:tcPr>
          <w:p w14:paraId="397D3364">
            <w:pPr>
              <w:pStyle w:val="28"/>
              <w:bidi w:val="0"/>
              <w:jc w:val="center"/>
              <w:rPr>
                <w:rFonts w:hint="default"/>
                <w:color w:val="auto"/>
                <w:lang w:val="en-US" w:eastAsia="zh-CN"/>
              </w:rPr>
            </w:pPr>
            <w:r>
              <w:rPr>
                <w:rFonts w:hint="eastAsia"/>
                <w:color w:val="auto"/>
                <w:lang w:val="en-US" w:eastAsia="zh-CN"/>
              </w:rPr>
              <w:t>/</w:t>
            </w:r>
          </w:p>
        </w:tc>
        <w:tc>
          <w:tcPr>
            <w:tcW w:w="559" w:type="pct"/>
            <w:noWrap w:val="0"/>
            <w:vAlign w:val="center"/>
          </w:tcPr>
          <w:p w14:paraId="24BFDA53">
            <w:pPr>
              <w:pStyle w:val="28"/>
              <w:bidi w:val="0"/>
              <w:jc w:val="center"/>
              <w:rPr>
                <w:rFonts w:hint="default"/>
                <w:color w:val="auto"/>
                <w:lang w:val="en-US" w:eastAsia="zh-CN"/>
              </w:rPr>
            </w:pPr>
            <w:r>
              <w:rPr>
                <w:rFonts w:hint="eastAsia"/>
                <w:color w:val="auto"/>
                <w:lang w:val="en-US" w:eastAsia="zh-CN"/>
              </w:rPr>
              <w:t>/</w:t>
            </w:r>
          </w:p>
        </w:tc>
        <w:tc>
          <w:tcPr>
            <w:tcW w:w="644" w:type="pct"/>
            <w:noWrap w:val="0"/>
            <w:vAlign w:val="center"/>
          </w:tcPr>
          <w:p w14:paraId="3B1F335B">
            <w:pPr>
              <w:pStyle w:val="28"/>
              <w:bidi w:val="0"/>
              <w:rPr>
                <w:rFonts w:hint="default"/>
                <w:color w:val="auto"/>
                <w:lang w:val="en-US" w:eastAsia="zh-CN"/>
              </w:rPr>
            </w:pPr>
            <w:r>
              <w:rPr>
                <w:rFonts w:hint="eastAsia"/>
                <w:color w:val="auto"/>
                <w:lang w:val="en-US" w:eastAsia="zh-CN"/>
              </w:rPr>
              <w:t>136.694</w:t>
            </w:r>
          </w:p>
        </w:tc>
        <w:tc>
          <w:tcPr>
            <w:tcW w:w="450" w:type="pct"/>
            <w:noWrap w:val="0"/>
            <w:vAlign w:val="center"/>
          </w:tcPr>
          <w:p w14:paraId="79FADF34">
            <w:pPr>
              <w:pStyle w:val="28"/>
              <w:bidi w:val="0"/>
              <w:ind w:left="0" w:leftChars="0" w:firstLine="0" w:firstLineChars="0"/>
              <w:jc w:val="center"/>
              <w:rPr>
                <w:rFonts w:hint="default"/>
                <w:color w:val="auto"/>
                <w:lang w:val="en-US" w:eastAsia="zh-CN"/>
              </w:rPr>
            </w:pPr>
            <w:r>
              <w:rPr>
                <w:rFonts w:hint="eastAsia"/>
                <w:color w:val="auto"/>
                <w:lang w:val="en-US" w:eastAsia="zh-CN"/>
              </w:rPr>
              <w:t>859</w:t>
            </w:r>
          </w:p>
        </w:tc>
        <w:tc>
          <w:tcPr>
            <w:tcW w:w="613" w:type="pct"/>
            <w:noWrap w:val="0"/>
            <w:vAlign w:val="center"/>
          </w:tcPr>
          <w:p w14:paraId="74056580">
            <w:pPr>
              <w:pStyle w:val="28"/>
              <w:bidi w:val="0"/>
              <w:rPr>
                <w:rFonts w:hint="default"/>
                <w:color w:val="auto"/>
                <w:lang w:val="en-US" w:eastAsia="zh-CN"/>
              </w:rPr>
            </w:pPr>
            <w:r>
              <w:rPr>
                <w:rFonts w:hint="eastAsia"/>
                <w:color w:val="auto"/>
                <w:lang w:val="en-US" w:eastAsia="zh-CN"/>
              </w:rPr>
              <w:t>136.694</w:t>
            </w:r>
          </w:p>
        </w:tc>
        <w:tc>
          <w:tcPr>
            <w:tcW w:w="636" w:type="pct"/>
            <w:noWrap w:val="0"/>
            <w:vAlign w:val="center"/>
          </w:tcPr>
          <w:p w14:paraId="3DE200ED">
            <w:pPr>
              <w:pStyle w:val="28"/>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w:t>
            </w:r>
            <w:r>
              <w:rPr>
                <w:rFonts w:hint="eastAsia" w:cs="Times New Roman"/>
                <w:color w:val="auto"/>
                <w:lang w:val="en-US" w:eastAsia="zh-CN"/>
              </w:rPr>
              <w:t>722.306</w:t>
            </w:r>
          </w:p>
        </w:tc>
      </w:tr>
      <w:tr w14:paraId="087938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 w:hRule="atLeast"/>
        </w:trPr>
        <w:tc>
          <w:tcPr>
            <w:tcW w:w="443" w:type="pct"/>
            <w:vMerge w:val="continue"/>
            <w:noWrap w:val="0"/>
            <w:vAlign w:val="center"/>
          </w:tcPr>
          <w:p w14:paraId="105251AC">
            <w:pPr>
              <w:pStyle w:val="28"/>
              <w:bidi w:val="0"/>
              <w:rPr>
                <w:rFonts w:hint="default"/>
                <w:color w:val="auto"/>
              </w:rPr>
            </w:pPr>
          </w:p>
        </w:tc>
        <w:tc>
          <w:tcPr>
            <w:tcW w:w="687" w:type="pct"/>
            <w:noWrap w:val="0"/>
            <w:vAlign w:val="center"/>
          </w:tcPr>
          <w:p w14:paraId="6E8A9782">
            <w:pPr>
              <w:pStyle w:val="28"/>
              <w:bidi w:val="0"/>
              <w:rPr>
                <w:rFonts w:hint="default"/>
                <w:color w:val="auto"/>
                <w:lang w:val="en-US" w:eastAsia="zh-CN"/>
              </w:rPr>
            </w:pPr>
            <w:r>
              <w:rPr>
                <w:rFonts w:hint="eastAsia"/>
                <w:color w:val="auto"/>
                <w:lang w:val="en-US" w:eastAsia="zh-CN"/>
              </w:rPr>
              <w:t>废水处理沉渣（t/a）</w:t>
            </w:r>
          </w:p>
        </w:tc>
        <w:tc>
          <w:tcPr>
            <w:tcW w:w="572" w:type="pct"/>
            <w:noWrap w:val="0"/>
            <w:vAlign w:val="center"/>
          </w:tcPr>
          <w:p w14:paraId="3D955D70">
            <w:pPr>
              <w:pStyle w:val="28"/>
              <w:bidi w:val="0"/>
              <w:jc w:val="center"/>
              <w:rPr>
                <w:rFonts w:hint="default"/>
                <w:color w:val="auto"/>
                <w:lang w:val="en-US" w:eastAsia="zh-CN"/>
              </w:rPr>
            </w:pPr>
            <w:r>
              <w:rPr>
                <w:rFonts w:hint="eastAsia"/>
                <w:color w:val="auto"/>
                <w:lang w:val="en-US" w:eastAsia="zh-CN"/>
              </w:rPr>
              <w:t>1000</w:t>
            </w:r>
          </w:p>
        </w:tc>
        <w:tc>
          <w:tcPr>
            <w:tcW w:w="391" w:type="pct"/>
            <w:noWrap w:val="0"/>
            <w:vAlign w:val="center"/>
          </w:tcPr>
          <w:p w14:paraId="5967A374">
            <w:pPr>
              <w:pStyle w:val="28"/>
              <w:bidi w:val="0"/>
              <w:jc w:val="center"/>
              <w:rPr>
                <w:rFonts w:hint="default"/>
                <w:color w:val="auto"/>
                <w:lang w:val="en-US" w:eastAsia="zh-CN"/>
              </w:rPr>
            </w:pPr>
            <w:r>
              <w:rPr>
                <w:rFonts w:hint="eastAsia"/>
                <w:color w:val="auto"/>
                <w:lang w:val="en-US" w:eastAsia="zh-CN"/>
              </w:rPr>
              <w:t>/</w:t>
            </w:r>
          </w:p>
        </w:tc>
        <w:tc>
          <w:tcPr>
            <w:tcW w:w="559" w:type="pct"/>
            <w:noWrap w:val="0"/>
            <w:vAlign w:val="center"/>
          </w:tcPr>
          <w:p w14:paraId="5777A7D0">
            <w:pPr>
              <w:pStyle w:val="28"/>
              <w:bidi w:val="0"/>
              <w:jc w:val="center"/>
              <w:rPr>
                <w:rFonts w:hint="default"/>
                <w:color w:val="auto"/>
                <w:lang w:val="en-US" w:eastAsia="zh-CN"/>
              </w:rPr>
            </w:pPr>
            <w:r>
              <w:rPr>
                <w:rFonts w:hint="eastAsia"/>
                <w:color w:val="auto"/>
                <w:lang w:val="en-US" w:eastAsia="zh-CN"/>
              </w:rPr>
              <w:t>/</w:t>
            </w:r>
          </w:p>
        </w:tc>
        <w:tc>
          <w:tcPr>
            <w:tcW w:w="644" w:type="pct"/>
            <w:noWrap w:val="0"/>
            <w:vAlign w:val="center"/>
          </w:tcPr>
          <w:p w14:paraId="5CFF04F0">
            <w:pPr>
              <w:pStyle w:val="28"/>
              <w:bidi w:val="0"/>
              <w:rPr>
                <w:rFonts w:hint="default"/>
                <w:color w:val="auto"/>
                <w:lang w:val="en-US" w:eastAsia="zh-CN"/>
              </w:rPr>
            </w:pPr>
            <w:r>
              <w:rPr>
                <w:rFonts w:hint="eastAsia"/>
                <w:color w:val="auto"/>
                <w:lang w:val="en-US" w:eastAsia="zh-CN"/>
              </w:rPr>
              <w:t>165.53</w:t>
            </w:r>
          </w:p>
        </w:tc>
        <w:tc>
          <w:tcPr>
            <w:tcW w:w="450" w:type="pct"/>
            <w:noWrap w:val="0"/>
            <w:vAlign w:val="center"/>
          </w:tcPr>
          <w:p w14:paraId="36AAE28B">
            <w:pPr>
              <w:pStyle w:val="28"/>
              <w:bidi w:val="0"/>
              <w:ind w:left="0" w:leftChars="0" w:firstLine="0" w:firstLineChars="0"/>
              <w:jc w:val="center"/>
              <w:rPr>
                <w:rFonts w:hint="default"/>
                <w:color w:val="auto"/>
                <w:lang w:val="en-US" w:eastAsia="zh-CN"/>
              </w:rPr>
            </w:pPr>
            <w:r>
              <w:rPr>
                <w:rFonts w:hint="eastAsia"/>
                <w:color w:val="auto"/>
                <w:lang w:val="en-US" w:eastAsia="zh-CN"/>
              </w:rPr>
              <w:t>1000</w:t>
            </w:r>
          </w:p>
        </w:tc>
        <w:tc>
          <w:tcPr>
            <w:tcW w:w="613" w:type="pct"/>
            <w:noWrap w:val="0"/>
            <w:vAlign w:val="center"/>
          </w:tcPr>
          <w:p w14:paraId="791C46AB">
            <w:pPr>
              <w:pStyle w:val="28"/>
              <w:bidi w:val="0"/>
              <w:rPr>
                <w:rFonts w:hint="default"/>
                <w:color w:val="auto"/>
                <w:lang w:val="en-US" w:eastAsia="zh-CN"/>
              </w:rPr>
            </w:pPr>
            <w:r>
              <w:rPr>
                <w:rFonts w:hint="eastAsia"/>
                <w:color w:val="auto"/>
                <w:lang w:val="en-US" w:eastAsia="zh-CN"/>
              </w:rPr>
              <w:t>165.53</w:t>
            </w:r>
          </w:p>
        </w:tc>
        <w:tc>
          <w:tcPr>
            <w:tcW w:w="636" w:type="pct"/>
            <w:noWrap w:val="0"/>
            <w:vAlign w:val="center"/>
          </w:tcPr>
          <w:p w14:paraId="037636DD">
            <w:pPr>
              <w:pStyle w:val="28"/>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-834.47</w:t>
            </w:r>
          </w:p>
        </w:tc>
      </w:tr>
      <w:tr w14:paraId="2D3192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3" w:hRule="atLeast"/>
        </w:trPr>
        <w:tc>
          <w:tcPr>
            <w:tcW w:w="443" w:type="pct"/>
            <w:vMerge w:val="continue"/>
            <w:noWrap w:val="0"/>
            <w:vAlign w:val="center"/>
          </w:tcPr>
          <w:p w14:paraId="2BCB57FD">
            <w:pPr>
              <w:pStyle w:val="28"/>
              <w:bidi w:val="0"/>
              <w:rPr>
                <w:rFonts w:hint="default"/>
                <w:color w:val="auto"/>
              </w:rPr>
            </w:pPr>
          </w:p>
        </w:tc>
        <w:tc>
          <w:tcPr>
            <w:tcW w:w="687" w:type="pct"/>
            <w:noWrap w:val="0"/>
            <w:vAlign w:val="center"/>
          </w:tcPr>
          <w:p w14:paraId="57ACDB20">
            <w:pPr>
              <w:pStyle w:val="28"/>
              <w:bidi w:val="0"/>
              <w:rPr>
                <w:rFonts w:hint="default"/>
                <w:color w:val="auto"/>
                <w:lang w:val="en-US" w:eastAsia="zh-CN"/>
              </w:rPr>
            </w:pPr>
            <w:r>
              <w:rPr>
                <w:rFonts w:hint="eastAsia"/>
                <w:color w:val="auto"/>
                <w:lang w:val="en-US" w:eastAsia="zh-CN"/>
              </w:rPr>
              <w:t>洗砂废水处理渣</w:t>
            </w:r>
          </w:p>
        </w:tc>
        <w:tc>
          <w:tcPr>
            <w:tcW w:w="572" w:type="pct"/>
            <w:noWrap w:val="0"/>
            <w:vAlign w:val="center"/>
          </w:tcPr>
          <w:p w14:paraId="582980E7">
            <w:pPr>
              <w:pStyle w:val="28"/>
              <w:bidi w:val="0"/>
              <w:jc w:val="center"/>
              <w:rPr>
                <w:rFonts w:hint="default"/>
                <w:color w:val="auto"/>
                <w:lang w:val="en-US" w:eastAsia="zh-CN"/>
              </w:rPr>
            </w:pPr>
            <w:r>
              <w:rPr>
                <w:rFonts w:hint="eastAsia"/>
                <w:color w:val="auto"/>
                <w:lang w:val="en-US" w:eastAsia="zh-CN"/>
              </w:rPr>
              <w:t>/</w:t>
            </w:r>
          </w:p>
        </w:tc>
        <w:tc>
          <w:tcPr>
            <w:tcW w:w="391" w:type="pct"/>
            <w:noWrap w:val="0"/>
            <w:vAlign w:val="center"/>
          </w:tcPr>
          <w:p w14:paraId="4C57C6DE">
            <w:pPr>
              <w:pStyle w:val="28"/>
              <w:bidi w:val="0"/>
              <w:jc w:val="center"/>
              <w:rPr>
                <w:rFonts w:hint="default"/>
                <w:color w:val="auto"/>
                <w:lang w:val="en-US" w:eastAsia="zh-CN"/>
              </w:rPr>
            </w:pPr>
            <w:r>
              <w:rPr>
                <w:rFonts w:hint="eastAsia"/>
                <w:color w:val="auto"/>
                <w:lang w:val="en-US" w:eastAsia="zh-CN"/>
              </w:rPr>
              <w:t>/</w:t>
            </w:r>
          </w:p>
        </w:tc>
        <w:tc>
          <w:tcPr>
            <w:tcW w:w="559" w:type="pct"/>
            <w:noWrap w:val="0"/>
            <w:vAlign w:val="center"/>
          </w:tcPr>
          <w:p w14:paraId="5D6951D3">
            <w:pPr>
              <w:pStyle w:val="28"/>
              <w:bidi w:val="0"/>
              <w:jc w:val="center"/>
              <w:rPr>
                <w:rFonts w:hint="default"/>
                <w:color w:val="auto"/>
                <w:lang w:val="en-US" w:eastAsia="zh-CN"/>
              </w:rPr>
            </w:pPr>
            <w:r>
              <w:rPr>
                <w:rFonts w:hint="eastAsia"/>
                <w:color w:val="auto"/>
                <w:lang w:val="en-US" w:eastAsia="zh-CN"/>
              </w:rPr>
              <w:t>/</w:t>
            </w:r>
          </w:p>
        </w:tc>
        <w:tc>
          <w:tcPr>
            <w:tcW w:w="644" w:type="pct"/>
            <w:noWrap w:val="0"/>
            <w:vAlign w:val="center"/>
          </w:tcPr>
          <w:p w14:paraId="579FB359">
            <w:pPr>
              <w:pStyle w:val="28"/>
              <w:bidi w:val="0"/>
              <w:rPr>
                <w:rFonts w:hint="default"/>
                <w:color w:val="auto"/>
                <w:lang w:val="en-US" w:eastAsia="zh-CN"/>
              </w:rPr>
            </w:pPr>
            <w:r>
              <w:rPr>
                <w:rFonts w:hint="eastAsia"/>
                <w:color w:val="auto"/>
                <w:lang w:val="en-US" w:eastAsia="zh-CN"/>
              </w:rPr>
              <w:t>1026</w:t>
            </w:r>
          </w:p>
        </w:tc>
        <w:tc>
          <w:tcPr>
            <w:tcW w:w="450" w:type="pct"/>
            <w:noWrap w:val="0"/>
            <w:vAlign w:val="center"/>
          </w:tcPr>
          <w:p w14:paraId="22EE0CE4">
            <w:pPr>
              <w:pStyle w:val="28"/>
              <w:bidi w:val="0"/>
              <w:ind w:left="0" w:leftChars="0" w:firstLine="0" w:firstLineChars="0"/>
              <w:jc w:val="center"/>
              <w:rPr>
                <w:rFonts w:hint="default"/>
                <w:color w:val="auto"/>
                <w:lang w:val="en-US" w:eastAsia="zh-CN"/>
              </w:rPr>
            </w:pPr>
            <w:r>
              <w:rPr>
                <w:rFonts w:hint="eastAsia"/>
                <w:color w:val="auto"/>
                <w:lang w:val="en-US" w:eastAsia="zh-CN"/>
              </w:rPr>
              <w:t>/</w:t>
            </w:r>
          </w:p>
        </w:tc>
        <w:tc>
          <w:tcPr>
            <w:tcW w:w="613" w:type="pct"/>
            <w:noWrap w:val="0"/>
            <w:vAlign w:val="center"/>
          </w:tcPr>
          <w:p w14:paraId="38748BE7">
            <w:pPr>
              <w:pStyle w:val="28"/>
              <w:bidi w:val="0"/>
              <w:rPr>
                <w:rFonts w:hint="default"/>
                <w:color w:val="auto"/>
                <w:lang w:val="en-US" w:eastAsia="zh-CN"/>
              </w:rPr>
            </w:pPr>
            <w:r>
              <w:rPr>
                <w:rFonts w:hint="eastAsia"/>
                <w:color w:val="auto"/>
                <w:lang w:val="en-US" w:eastAsia="zh-CN"/>
              </w:rPr>
              <w:t>1026</w:t>
            </w:r>
          </w:p>
        </w:tc>
        <w:tc>
          <w:tcPr>
            <w:tcW w:w="636" w:type="pct"/>
            <w:noWrap w:val="0"/>
            <w:vAlign w:val="center"/>
          </w:tcPr>
          <w:p w14:paraId="152EC7A6">
            <w:pPr>
              <w:pStyle w:val="28"/>
              <w:bidi w:val="0"/>
              <w:rPr>
                <w:rFonts w:hint="default" w:ascii="Times New Roman" w:hAnsi="Times New Roman" w:eastAsia="宋体" w:cs="Times New Roman"/>
                <w:color w:val="auto"/>
                <w:lang w:val="en-US" w:eastAsia="zh-CN"/>
              </w:rPr>
            </w:pPr>
            <w:r>
              <w:rPr>
                <w:rFonts w:hint="eastAsia" w:cs="Times New Roman"/>
                <w:color w:val="auto"/>
                <w:lang w:val="en-US" w:eastAsia="zh-CN"/>
              </w:rPr>
              <w:t>+1026</w:t>
            </w:r>
          </w:p>
        </w:tc>
      </w:tr>
      <w:tr w14:paraId="4E0047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43" w:type="pct"/>
            <w:vMerge w:val="restart"/>
            <w:noWrap w:val="0"/>
            <w:vAlign w:val="center"/>
          </w:tcPr>
          <w:p w14:paraId="79D596BB">
            <w:pPr>
              <w:pStyle w:val="28"/>
              <w:bidi w:val="0"/>
              <w:rPr>
                <w:rFonts w:hint="default"/>
                <w:color w:val="auto"/>
              </w:rPr>
            </w:pPr>
            <w:r>
              <w:rPr>
                <w:rFonts w:hint="default"/>
                <w:color w:val="auto"/>
              </w:rPr>
              <w:t>危险</w:t>
            </w:r>
          </w:p>
          <w:p w14:paraId="05C1C378">
            <w:pPr>
              <w:pStyle w:val="28"/>
              <w:bidi w:val="0"/>
              <w:rPr>
                <w:rFonts w:hint="default"/>
                <w:color w:val="auto"/>
              </w:rPr>
            </w:pPr>
            <w:r>
              <w:rPr>
                <w:rFonts w:hint="default"/>
                <w:color w:val="auto"/>
              </w:rPr>
              <w:t>废物</w:t>
            </w:r>
          </w:p>
        </w:tc>
        <w:tc>
          <w:tcPr>
            <w:tcW w:w="687" w:type="pct"/>
            <w:noWrap w:val="0"/>
            <w:vAlign w:val="center"/>
          </w:tcPr>
          <w:p w14:paraId="68AFCDA7">
            <w:pPr>
              <w:pStyle w:val="28"/>
              <w:bidi w:val="0"/>
              <w:rPr>
                <w:rFonts w:hint="default"/>
                <w:color w:val="auto"/>
                <w:lang w:val="en-US" w:eastAsia="zh-CN"/>
              </w:rPr>
            </w:pPr>
            <w:r>
              <w:rPr>
                <w:rFonts w:hint="eastAsia"/>
                <w:color w:val="auto"/>
                <w:lang w:val="en-US" w:eastAsia="zh-CN"/>
              </w:rPr>
              <w:t>废机油</w:t>
            </w:r>
            <w:r>
              <w:rPr>
                <w:rFonts w:hint="default"/>
                <w:color w:val="auto"/>
                <w:lang w:val="en-US" w:eastAsia="zh-CN"/>
              </w:rPr>
              <w:t>(t/a)</w:t>
            </w:r>
          </w:p>
        </w:tc>
        <w:tc>
          <w:tcPr>
            <w:tcW w:w="572" w:type="pct"/>
            <w:noWrap w:val="0"/>
            <w:vAlign w:val="center"/>
          </w:tcPr>
          <w:p w14:paraId="3E53A2CC">
            <w:pPr>
              <w:pStyle w:val="28"/>
              <w:bidi w:val="0"/>
              <w:jc w:val="center"/>
              <w:rPr>
                <w:rFonts w:hint="default"/>
                <w:color w:val="auto"/>
                <w:lang w:val="en-US" w:eastAsia="zh-CN"/>
              </w:rPr>
            </w:pPr>
            <w:r>
              <w:rPr>
                <w:rFonts w:hint="eastAsia"/>
                <w:color w:val="auto"/>
                <w:lang w:val="en-US" w:eastAsia="zh-CN"/>
              </w:rPr>
              <w:t>/</w:t>
            </w:r>
          </w:p>
        </w:tc>
        <w:tc>
          <w:tcPr>
            <w:tcW w:w="391" w:type="pct"/>
            <w:noWrap w:val="0"/>
            <w:vAlign w:val="center"/>
          </w:tcPr>
          <w:p w14:paraId="139B62AC">
            <w:pPr>
              <w:pStyle w:val="28"/>
              <w:bidi w:val="0"/>
              <w:jc w:val="center"/>
              <w:rPr>
                <w:rFonts w:hint="default"/>
                <w:color w:val="auto"/>
                <w:lang w:val="en-US" w:eastAsia="zh-CN"/>
              </w:rPr>
            </w:pPr>
            <w:r>
              <w:rPr>
                <w:rFonts w:hint="eastAsia"/>
                <w:color w:val="auto"/>
                <w:lang w:val="en-US" w:eastAsia="zh-CN"/>
              </w:rPr>
              <w:t>/</w:t>
            </w:r>
          </w:p>
        </w:tc>
        <w:tc>
          <w:tcPr>
            <w:tcW w:w="559" w:type="pct"/>
            <w:noWrap w:val="0"/>
            <w:vAlign w:val="center"/>
          </w:tcPr>
          <w:p w14:paraId="673DBA94">
            <w:pPr>
              <w:pStyle w:val="28"/>
              <w:bidi w:val="0"/>
              <w:jc w:val="center"/>
              <w:rPr>
                <w:rFonts w:hint="default"/>
                <w:color w:val="auto"/>
                <w:lang w:val="en-US" w:eastAsia="zh-CN"/>
              </w:rPr>
            </w:pPr>
            <w:r>
              <w:rPr>
                <w:rFonts w:hint="eastAsia"/>
                <w:color w:val="auto"/>
                <w:lang w:val="en-US" w:eastAsia="zh-CN"/>
              </w:rPr>
              <w:t>/</w:t>
            </w:r>
          </w:p>
        </w:tc>
        <w:tc>
          <w:tcPr>
            <w:tcW w:w="644" w:type="pct"/>
            <w:noWrap w:val="0"/>
            <w:vAlign w:val="center"/>
          </w:tcPr>
          <w:p w14:paraId="07BE8CC9">
            <w:pPr>
              <w:pStyle w:val="28"/>
              <w:bidi w:val="0"/>
              <w:ind w:left="0" w:leftChars="0" w:firstLine="0" w:firstLineChars="0"/>
              <w:rPr>
                <w:rFonts w:hint="default"/>
                <w:color w:val="auto"/>
                <w:lang w:val="en-US" w:eastAsia="zh-CN"/>
              </w:rPr>
            </w:pPr>
            <w:r>
              <w:rPr>
                <w:rFonts w:hint="eastAsia"/>
                <w:color w:val="auto"/>
                <w:lang w:val="en-US" w:eastAsia="zh-CN"/>
              </w:rPr>
              <w:t>0.2</w:t>
            </w:r>
          </w:p>
        </w:tc>
        <w:tc>
          <w:tcPr>
            <w:tcW w:w="450" w:type="pct"/>
            <w:noWrap w:val="0"/>
            <w:vAlign w:val="center"/>
          </w:tcPr>
          <w:p w14:paraId="624B8CB6">
            <w:pPr>
              <w:pStyle w:val="28"/>
              <w:bidi w:val="0"/>
              <w:ind w:left="0" w:leftChars="0" w:firstLine="0" w:firstLineChars="0"/>
              <w:jc w:val="center"/>
              <w:rPr>
                <w:rFonts w:hint="default"/>
                <w:color w:val="auto"/>
                <w:lang w:val="en-US" w:eastAsia="zh-CN"/>
              </w:rPr>
            </w:pPr>
            <w:r>
              <w:rPr>
                <w:rFonts w:hint="eastAsia"/>
                <w:color w:val="auto"/>
                <w:lang w:val="en-US" w:eastAsia="zh-CN"/>
              </w:rPr>
              <w:t>/</w:t>
            </w:r>
          </w:p>
        </w:tc>
        <w:tc>
          <w:tcPr>
            <w:tcW w:w="613" w:type="pct"/>
            <w:noWrap w:val="0"/>
            <w:vAlign w:val="center"/>
          </w:tcPr>
          <w:p w14:paraId="11CFDEA4">
            <w:pPr>
              <w:pStyle w:val="28"/>
              <w:bidi w:val="0"/>
              <w:rPr>
                <w:rFonts w:hint="default"/>
                <w:color w:val="auto"/>
                <w:lang w:val="en-US" w:eastAsia="zh-CN"/>
              </w:rPr>
            </w:pPr>
            <w:r>
              <w:rPr>
                <w:rFonts w:hint="eastAsia"/>
                <w:color w:val="auto"/>
                <w:lang w:val="en-US" w:eastAsia="zh-CN"/>
              </w:rPr>
              <w:t>0.2</w:t>
            </w:r>
          </w:p>
        </w:tc>
        <w:tc>
          <w:tcPr>
            <w:tcW w:w="636" w:type="pct"/>
            <w:noWrap w:val="0"/>
            <w:vAlign w:val="center"/>
          </w:tcPr>
          <w:p w14:paraId="70DA4936">
            <w:pPr>
              <w:pStyle w:val="28"/>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+0.2</w:t>
            </w:r>
          </w:p>
        </w:tc>
      </w:tr>
      <w:tr w14:paraId="2D9406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43" w:type="pct"/>
            <w:vMerge w:val="continue"/>
            <w:noWrap w:val="0"/>
            <w:vAlign w:val="center"/>
          </w:tcPr>
          <w:p w14:paraId="7C069E9F">
            <w:pPr>
              <w:pStyle w:val="28"/>
              <w:bidi w:val="0"/>
              <w:rPr>
                <w:rFonts w:hint="default"/>
                <w:color w:val="auto"/>
              </w:rPr>
            </w:pPr>
          </w:p>
        </w:tc>
        <w:tc>
          <w:tcPr>
            <w:tcW w:w="687" w:type="pct"/>
            <w:noWrap w:val="0"/>
            <w:vAlign w:val="center"/>
          </w:tcPr>
          <w:p w14:paraId="0C95406A">
            <w:pPr>
              <w:pStyle w:val="28"/>
              <w:bidi w:val="0"/>
              <w:rPr>
                <w:rFonts w:hint="default"/>
                <w:color w:val="auto"/>
                <w:lang w:val="en-US" w:eastAsia="zh-CN"/>
              </w:rPr>
            </w:pPr>
            <w:r>
              <w:rPr>
                <w:rFonts w:hint="eastAsia"/>
                <w:color w:val="auto"/>
                <w:lang w:val="en-US" w:eastAsia="zh-CN"/>
              </w:rPr>
              <w:t>废油桶</w:t>
            </w:r>
            <w:r>
              <w:rPr>
                <w:rFonts w:hint="default"/>
                <w:color w:val="auto"/>
                <w:lang w:val="en-US" w:eastAsia="zh-CN"/>
              </w:rPr>
              <w:t>(t/a)</w:t>
            </w:r>
          </w:p>
        </w:tc>
        <w:tc>
          <w:tcPr>
            <w:tcW w:w="572" w:type="pct"/>
            <w:noWrap w:val="0"/>
            <w:vAlign w:val="center"/>
          </w:tcPr>
          <w:p w14:paraId="07E85B2F">
            <w:pPr>
              <w:pStyle w:val="28"/>
              <w:bidi w:val="0"/>
              <w:jc w:val="center"/>
              <w:rPr>
                <w:rFonts w:hint="default"/>
                <w:color w:val="auto"/>
                <w:lang w:val="en-US" w:eastAsia="zh-CN"/>
              </w:rPr>
            </w:pPr>
            <w:r>
              <w:rPr>
                <w:rFonts w:hint="eastAsia"/>
                <w:color w:val="auto"/>
                <w:lang w:val="en-US" w:eastAsia="zh-CN"/>
              </w:rPr>
              <w:t>/</w:t>
            </w:r>
          </w:p>
        </w:tc>
        <w:tc>
          <w:tcPr>
            <w:tcW w:w="391" w:type="pct"/>
            <w:noWrap w:val="0"/>
            <w:vAlign w:val="center"/>
          </w:tcPr>
          <w:p w14:paraId="3BDFE301">
            <w:pPr>
              <w:pStyle w:val="28"/>
              <w:bidi w:val="0"/>
              <w:jc w:val="center"/>
              <w:rPr>
                <w:rFonts w:hint="default"/>
                <w:color w:val="auto"/>
                <w:lang w:val="en-US" w:eastAsia="zh-CN"/>
              </w:rPr>
            </w:pPr>
            <w:r>
              <w:rPr>
                <w:rFonts w:hint="eastAsia"/>
                <w:color w:val="auto"/>
                <w:lang w:val="en-US" w:eastAsia="zh-CN"/>
              </w:rPr>
              <w:t>/</w:t>
            </w:r>
          </w:p>
        </w:tc>
        <w:tc>
          <w:tcPr>
            <w:tcW w:w="559" w:type="pct"/>
            <w:noWrap w:val="0"/>
            <w:vAlign w:val="center"/>
          </w:tcPr>
          <w:p w14:paraId="407A8BA4">
            <w:pPr>
              <w:pStyle w:val="28"/>
              <w:bidi w:val="0"/>
              <w:jc w:val="center"/>
              <w:rPr>
                <w:rFonts w:hint="default"/>
                <w:color w:val="auto"/>
                <w:lang w:val="en-US" w:eastAsia="zh-CN"/>
              </w:rPr>
            </w:pPr>
            <w:r>
              <w:rPr>
                <w:rFonts w:hint="eastAsia"/>
                <w:color w:val="auto"/>
                <w:lang w:val="en-US" w:eastAsia="zh-CN"/>
              </w:rPr>
              <w:t>/</w:t>
            </w:r>
          </w:p>
        </w:tc>
        <w:tc>
          <w:tcPr>
            <w:tcW w:w="644" w:type="pct"/>
            <w:noWrap w:val="0"/>
            <w:vAlign w:val="center"/>
          </w:tcPr>
          <w:p w14:paraId="3677B835">
            <w:pPr>
              <w:pStyle w:val="28"/>
              <w:bidi w:val="0"/>
              <w:ind w:left="0" w:leftChars="0" w:firstLine="0" w:firstLineChars="0"/>
              <w:rPr>
                <w:rFonts w:hint="default"/>
                <w:color w:val="auto"/>
                <w:lang w:val="en-US" w:eastAsia="zh-CN"/>
              </w:rPr>
            </w:pPr>
            <w:r>
              <w:rPr>
                <w:rFonts w:hint="eastAsia"/>
                <w:color w:val="auto"/>
                <w:lang w:val="en-US" w:eastAsia="zh-CN"/>
              </w:rPr>
              <w:t>0.05</w:t>
            </w:r>
          </w:p>
        </w:tc>
        <w:tc>
          <w:tcPr>
            <w:tcW w:w="450" w:type="pct"/>
            <w:noWrap w:val="0"/>
            <w:vAlign w:val="center"/>
          </w:tcPr>
          <w:p w14:paraId="2914C144">
            <w:pPr>
              <w:pStyle w:val="28"/>
              <w:bidi w:val="0"/>
              <w:ind w:left="0" w:leftChars="0" w:firstLine="0" w:firstLineChars="0"/>
              <w:jc w:val="center"/>
              <w:rPr>
                <w:rFonts w:hint="default"/>
                <w:color w:val="auto"/>
                <w:lang w:val="en-US" w:eastAsia="zh-CN"/>
              </w:rPr>
            </w:pPr>
            <w:r>
              <w:rPr>
                <w:rFonts w:hint="eastAsia"/>
                <w:color w:val="auto"/>
                <w:lang w:val="en-US" w:eastAsia="zh-CN"/>
              </w:rPr>
              <w:t>/</w:t>
            </w:r>
          </w:p>
        </w:tc>
        <w:tc>
          <w:tcPr>
            <w:tcW w:w="613" w:type="pct"/>
            <w:noWrap w:val="0"/>
            <w:vAlign w:val="center"/>
          </w:tcPr>
          <w:p w14:paraId="7569BDAC">
            <w:pPr>
              <w:pStyle w:val="28"/>
              <w:bidi w:val="0"/>
              <w:rPr>
                <w:rFonts w:hint="default"/>
                <w:color w:val="auto"/>
                <w:lang w:val="en-US" w:eastAsia="zh-CN"/>
              </w:rPr>
            </w:pPr>
            <w:r>
              <w:rPr>
                <w:rFonts w:hint="eastAsia"/>
                <w:color w:val="auto"/>
                <w:lang w:val="en-US" w:eastAsia="zh-CN"/>
              </w:rPr>
              <w:t>0.05</w:t>
            </w:r>
          </w:p>
        </w:tc>
        <w:tc>
          <w:tcPr>
            <w:tcW w:w="636" w:type="pct"/>
            <w:noWrap w:val="0"/>
            <w:vAlign w:val="center"/>
          </w:tcPr>
          <w:p w14:paraId="7B02432D">
            <w:pPr>
              <w:pStyle w:val="28"/>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+0.05</w:t>
            </w:r>
          </w:p>
        </w:tc>
      </w:tr>
      <w:tr w14:paraId="5C7C0F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43" w:type="pct"/>
            <w:vMerge w:val="continue"/>
            <w:noWrap w:val="0"/>
            <w:vAlign w:val="center"/>
          </w:tcPr>
          <w:p w14:paraId="6E0D82EB">
            <w:pPr>
              <w:pStyle w:val="28"/>
              <w:bidi w:val="0"/>
              <w:rPr>
                <w:rFonts w:hint="default"/>
                <w:color w:val="auto"/>
              </w:rPr>
            </w:pPr>
          </w:p>
        </w:tc>
        <w:tc>
          <w:tcPr>
            <w:tcW w:w="687" w:type="pct"/>
            <w:noWrap w:val="0"/>
            <w:vAlign w:val="center"/>
          </w:tcPr>
          <w:p w14:paraId="4E6D3A06">
            <w:pPr>
              <w:pStyle w:val="28"/>
              <w:bidi w:val="0"/>
              <w:rPr>
                <w:rFonts w:hint="default"/>
                <w:color w:val="auto"/>
                <w:lang w:val="en-US" w:eastAsia="zh-CN"/>
              </w:rPr>
            </w:pPr>
            <w:r>
              <w:rPr>
                <w:rFonts w:hint="eastAsia"/>
                <w:color w:val="auto"/>
                <w:lang w:val="en-US" w:eastAsia="zh-CN"/>
              </w:rPr>
              <w:t>废吸油毡</w:t>
            </w:r>
            <w:r>
              <w:rPr>
                <w:rFonts w:hint="default"/>
                <w:color w:val="auto"/>
                <w:lang w:val="en-US" w:eastAsia="zh-CN"/>
              </w:rPr>
              <w:t>(t/a)</w:t>
            </w:r>
          </w:p>
        </w:tc>
        <w:tc>
          <w:tcPr>
            <w:tcW w:w="572" w:type="pct"/>
            <w:noWrap w:val="0"/>
            <w:vAlign w:val="top"/>
          </w:tcPr>
          <w:p w14:paraId="3BC2BB7F">
            <w:pPr>
              <w:pStyle w:val="28"/>
              <w:bidi w:val="0"/>
              <w:jc w:val="center"/>
              <w:rPr>
                <w:rFonts w:hint="default"/>
                <w:color w:val="auto"/>
                <w:lang w:val="en-US" w:eastAsia="zh-CN"/>
              </w:rPr>
            </w:pPr>
            <w:r>
              <w:rPr>
                <w:rFonts w:hint="eastAsia"/>
                <w:color w:val="auto"/>
                <w:lang w:val="en-US" w:eastAsia="zh-CN"/>
              </w:rPr>
              <w:t>/</w:t>
            </w:r>
          </w:p>
        </w:tc>
        <w:tc>
          <w:tcPr>
            <w:tcW w:w="391" w:type="pct"/>
            <w:noWrap w:val="0"/>
            <w:vAlign w:val="top"/>
          </w:tcPr>
          <w:p w14:paraId="19727FDF">
            <w:pPr>
              <w:pStyle w:val="28"/>
              <w:bidi w:val="0"/>
              <w:jc w:val="center"/>
              <w:rPr>
                <w:rFonts w:hint="default"/>
                <w:color w:val="auto"/>
                <w:lang w:val="en-US" w:eastAsia="zh-CN"/>
              </w:rPr>
            </w:pPr>
            <w:r>
              <w:rPr>
                <w:rFonts w:hint="eastAsia"/>
                <w:color w:val="auto"/>
                <w:lang w:val="en-US" w:eastAsia="zh-CN"/>
              </w:rPr>
              <w:t>/</w:t>
            </w:r>
          </w:p>
        </w:tc>
        <w:tc>
          <w:tcPr>
            <w:tcW w:w="559" w:type="pct"/>
            <w:noWrap w:val="0"/>
            <w:vAlign w:val="top"/>
          </w:tcPr>
          <w:p w14:paraId="29BF57D8">
            <w:pPr>
              <w:pStyle w:val="28"/>
              <w:bidi w:val="0"/>
              <w:jc w:val="center"/>
              <w:rPr>
                <w:rFonts w:hint="default"/>
                <w:color w:val="auto"/>
                <w:lang w:val="en-US" w:eastAsia="zh-CN"/>
              </w:rPr>
            </w:pPr>
            <w:r>
              <w:rPr>
                <w:rFonts w:hint="eastAsia"/>
                <w:color w:val="auto"/>
                <w:lang w:val="en-US" w:eastAsia="zh-CN"/>
              </w:rPr>
              <w:t>/</w:t>
            </w:r>
          </w:p>
        </w:tc>
        <w:tc>
          <w:tcPr>
            <w:tcW w:w="644" w:type="pct"/>
            <w:noWrap w:val="0"/>
            <w:vAlign w:val="center"/>
          </w:tcPr>
          <w:p w14:paraId="25E3C0B7">
            <w:pPr>
              <w:pStyle w:val="28"/>
              <w:bidi w:val="0"/>
              <w:ind w:left="0" w:leftChars="0" w:firstLine="0" w:firstLineChars="0"/>
              <w:rPr>
                <w:rFonts w:hint="default"/>
                <w:color w:val="auto"/>
                <w:lang w:val="en-US" w:eastAsia="zh-CN"/>
              </w:rPr>
            </w:pPr>
            <w:r>
              <w:rPr>
                <w:rFonts w:hint="eastAsia"/>
                <w:color w:val="auto"/>
                <w:lang w:val="en-US" w:eastAsia="zh-CN"/>
              </w:rPr>
              <w:t>0.3</w:t>
            </w:r>
          </w:p>
        </w:tc>
        <w:tc>
          <w:tcPr>
            <w:tcW w:w="450" w:type="pct"/>
            <w:noWrap w:val="0"/>
            <w:vAlign w:val="top"/>
          </w:tcPr>
          <w:p w14:paraId="391ADA96">
            <w:pPr>
              <w:pStyle w:val="28"/>
              <w:bidi w:val="0"/>
              <w:ind w:left="0" w:leftChars="0" w:firstLine="0" w:firstLineChars="0"/>
              <w:jc w:val="center"/>
              <w:rPr>
                <w:rFonts w:hint="default"/>
                <w:color w:val="auto"/>
                <w:lang w:val="en-US" w:eastAsia="zh-CN"/>
              </w:rPr>
            </w:pPr>
            <w:r>
              <w:rPr>
                <w:rFonts w:hint="eastAsia"/>
                <w:color w:val="auto"/>
                <w:lang w:val="en-US" w:eastAsia="zh-CN"/>
              </w:rPr>
              <w:t>/</w:t>
            </w:r>
          </w:p>
        </w:tc>
        <w:tc>
          <w:tcPr>
            <w:tcW w:w="613" w:type="pct"/>
            <w:noWrap w:val="0"/>
            <w:vAlign w:val="center"/>
          </w:tcPr>
          <w:p w14:paraId="5F506EAE">
            <w:pPr>
              <w:pStyle w:val="28"/>
              <w:bidi w:val="0"/>
              <w:rPr>
                <w:rFonts w:hint="default"/>
                <w:color w:val="auto"/>
                <w:lang w:val="en-US" w:eastAsia="zh-CN"/>
              </w:rPr>
            </w:pPr>
            <w:r>
              <w:rPr>
                <w:rFonts w:hint="eastAsia"/>
                <w:color w:val="auto"/>
                <w:lang w:val="en-US" w:eastAsia="zh-CN"/>
              </w:rPr>
              <w:t>0.3</w:t>
            </w:r>
          </w:p>
        </w:tc>
        <w:tc>
          <w:tcPr>
            <w:tcW w:w="636" w:type="pct"/>
            <w:noWrap w:val="0"/>
            <w:vAlign w:val="center"/>
          </w:tcPr>
          <w:p w14:paraId="5FE64EF7">
            <w:pPr>
              <w:pStyle w:val="28"/>
              <w:bidi w:val="0"/>
              <w:rPr>
                <w:rFonts w:hint="eastAsia"/>
                <w:color w:val="auto"/>
                <w:lang w:val="en-US" w:eastAsia="zh-CN"/>
              </w:rPr>
            </w:pPr>
            <w:r>
              <w:rPr>
                <w:rFonts w:hint="eastAsia"/>
                <w:color w:val="auto"/>
                <w:lang w:val="en-US" w:eastAsia="zh-CN"/>
              </w:rPr>
              <w:t>+0.3</w:t>
            </w:r>
          </w:p>
        </w:tc>
      </w:tr>
      <w:tr w14:paraId="5D24E7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3" w:hRule="atLeast"/>
        </w:trPr>
        <w:tc>
          <w:tcPr>
            <w:tcW w:w="443" w:type="pct"/>
            <w:vMerge w:val="continue"/>
            <w:noWrap w:val="0"/>
            <w:vAlign w:val="center"/>
          </w:tcPr>
          <w:p w14:paraId="00764AE3">
            <w:pPr>
              <w:pStyle w:val="28"/>
              <w:bidi w:val="0"/>
              <w:rPr>
                <w:rFonts w:hint="default"/>
                <w:color w:val="auto"/>
              </w:rPr>
            </w:pPr>
          </w:p>
        </w:tc>
        <w:tc>
          <w:tcPr>
            <w:tcW w:w="687" w:type="pct"/>
            <w:noWrap w:val="0"/>
            <w:vAlign w:val="center"/>
          </w:tcPr>
          <w:p w14:paraId="1A3DDC68">
            <w:pPr>
              <w:pStyle w:val="28"/>
              <w:bidi w:val="0"/>
              <w:rPr>
                <w:rFonts w:hint="default"/>
                <w:color w:val="auto"/>
                <w:lang w:val="en-US" w:eastAsia="zh-CN"/>
              </w:rPr>
            </w:pPr>
            <w:r>
              <w:rPr>
                <w:rFonts w:hint="eastAsia"/>
                <w:color w:val="auto"/>
                <w:lang w:val="en-US" w:eastAsia="zh-CN"/>
              </w:rPr>
              <w:t>含油废抹布及手套</w:t>
            </w:r>
            <w:r>
              <w:rPr>
                <w:rFonts w:hint="default"/>
                <w:color w:val="auto"/>
                <w:lang w:val="en-US" w:eastAsia="zh-CN"/>
              </w:rPr>
              <w:t>(t/a)</w:t>
            </w:r>
          </w:p>
        </w:tc>
        <w:tc>
          <w:tcPr>
            <w:tcW w:w="572" w:type="pct"/>
            <w:noWrap w:val="0"/>
            <w:vAlign w:val="top"/>
          </w:tcPr>
          <w:p w14:paraId="3893AEDD">
            <w:pPr>
              <w:pStyle w:val="28"/>
              <w:bidi w:val="0"/>
              <w:jc w:val="center"/>
              <w:rPr>
                <w:rFonts w:hint="default"/>
                <w:color w:val="auto"/>
                <w:lang w:val="en-US" w:eastAsia="zh-CN"/>
              </w:rPr>
            </w:pPr>
            <w:r>
              <w:rPr>
                <w:rFonts w:hint="eastAsia"/>
                <w:color w:val="auto"/>
                <w:lang w:val="en-US" w:eastAsia="zh-CN"/>
              </w:rPr>
              <w:t>/</w:t>
            </w:r>
          </w:p>
        </w:tc>
        <w:tc>
          <w:tcPr>
            <w:tcW w:w="391" w:type="pct"/>
            <w:noWrap w:val="0"/>
            <w:vAlign w:val="top"/>
          </w:tcPr>
          <w:p w14:paraId="65E24655">
            <w:pPr>
              <w:pStyle w:val="28"/>
              <w:bidi w:val="0"/>
              <w:jc w:val="center"/>
              <w:rPr>
                <w:rFonts w:hint="default"/>
                <w:color w:val="auto"/>
                <w:lang w:val="en-US" w:eastAsia="zh-CN"/>
              </w:rPr>
            </w:pPr>
            <w:r>
              <w:rPr>
                <w:rFonts w:hint="eastAsia"/>
                <w:color w:val="auto"/>
                <w:lang w:val="en-US" w:eastAsia="zh-CN"/>
              </w:rPr>
              <w:t>/</w:t>
            </w:r>
          </w:p>
        </w:tc>
        <w:tc>
          <w:tcPr>
            <w:tcW w:w="559" w:type="pct"/>
            <w:noWrap w:val="0"/>
            <w:vAlign w:val="top"/>
          </w:tcPr>
          <w:p w14:paraId="27925C25">
            <w:pPr>
              <w:pStyle w:val="28"/>
              <w:bidi w:val="0"/>
              <w:jc w:val="center"/>
              <w:rPr>
                <w:rFonts w:hint="default"/>
                <w:color w:val="auto"/>
                <w:lang w:val="en-US" w:eastAsia="zh-CN"/>
              </w:rPr>
            </w:pPr>
            <w:r>
              <w:rPr>
                <w:rFonts w:hint="eastAsia"/>
                <w:color w:val="auto"/>
                <w:lang w:val="en-US" w:eastAsia="zh-CN"/>
              </w:rPr>
              <w:t>/</w:t>
            </w:r>
          </w:p>
        </w:tc>
        <w:tc>
          <w:tcPr>
            <w:tcW w:w="644" w:type="pct"/>
            <w:noWrap w:val="0"/>
            <w:vAlign w:val="center"/>
          </w:tcPr>
          <w:p w14:paraId="40D9B0BB">
            <w:pPr>
              <w:pStyle w:val="28"/>
              <w:bidi w:val="0"/>
              <w:ind w:left="0" w:leftChars="0" w:firstLine="0" w:firstLineChars="0"/>
              <w:rPr>
                <w:rFonts w:hint="default"/>
                <w:color w:val="auto"/>
                <w:lang w:val="en-US" w:eastAsia="zh-CN"/>
              </w:rPr>
            </w:pPr>
            <w:r>
              <w:rPr>
                <w:rFonts w:hint="eastAsia"/>
                <w:color w:val="auto"/>
                <w:lang w:val="en-US" w:eastAsia="zh-CN"/>
              </w:rPr>
              <w:t>0.05</w:t>
            </w:r>
          </w:p>
        </w:tc>
        <w:tc>
          <w:tcPr>
            <w:tcW w:w="450" w:type="pct"/>
            <w:noWrap w:val="0"/>
            <w:vAlign w:val="top"/>
          </w:tcPr>
          <w:p w14:paraId="613E3EFD">
            <w:pPr>
              <w:pStyle w:val="28"/>
              <w:bidi w:val="0"/>
              <w:ind w:left="0" w:leftChars="0" w:firstLine="0" w:firstLineChars="0"/>
              <w:jc w:val="center"/>
              <w:rPr>
                <w:rFonts w:hint="default"/>
                <w:color w:val="auto"/>
                <w:lang w:val="en-US" w:eastAsia="zh-CN"/>
              </w:rPr>
            </w:pPr>
            <w:r>
              <w:rPr>
                <w:rFonts w:hint="eastAsia"/>
                <w:color w:val="auto"/>
                <w:lang w:val="en-US" w:eastAsia="zh-CN"/>
              </w:rPr>
              <w:t>/</w:t>
            </w:r>
          </w:p>
        </w:tc>
        <w:tc>
          <w:tcPr>
            <w:tcW w:w="613" w:type="pct"/>
            <w:noWrap w:val="0"/>
            <w:vAlign w:val="center"/>
          </w:tcPr>
          <w:p w14:paraId="17A3BF5F">
            <w:pPr>
              <w:pStyle w:val="28"/>
              <w:bidi w:val="0"/>
              <w:rPr>
                <w:rFonts w:hint="default"/>
                <w:color w:val="auto"/>
                <w:lang w:val="en-US" w:eastAsia="zh-CN"/>
              </w:rPr>
            </w:pPr>
            <w:r>
              <w:rPr>
                <w:rFonts w:hint="eastAsia"/>
                <w:color w:val="auto"/>
                <w:lang w:val="en-US" w:eastAsia="zh-CN"/>
              </w:rPr>
              <w:t>0.05</w:t>
            </w:r>
          </w:p>
        </w:tc>
        <w:tc>
          <w:tcPr>
            <w:tcW w:w="636" w:type="pct"/>
            <w:noWrap w:val="0"/>
            <w:vAlign w:val="center"/>
          </w:tcPr>
          <w:p w14:paraId="2252FF4A">
            <w:pPr>
              <w:pStyle w:val="28"/>
              <w:bidi w:val="0"/>
              <w:rPr>
                <w:rFonts w:hint="default"/>
                <w:color w:val="auto"/>
                <w:lang w:val="en-US" w:eastAsia="zh-CN"/>
              </w:rPr>
            </w:pPr>
            <w:r>
              <w:rPr>
                <w:rFonts w:hint="eastAsia"/>
                <w:color w:val="auto"/>
                <w:lang w:val="en-US" w:eastAsia="zh-CN"/>
              </w:rPr>
              <w:t>+0.05</w:t>
            </w:r>
          </w:p>
        </w:tc>
      </w:tr>
    </w:tbl>
    <w:p w14:paraId="25819B39">
      <w:pPr>
        <w:keepNext w:val="0"/>
        <w:keepLines w:val="0"/>
        <w:pageBreakBefore w:val="0"/>
        <w:widowControl w:val="0"/>
        <w:kinsoku/>
        <w:wordWrap/>
        <w:overflowPunct/>
        <w:topLinePunct w:val="0"/>
        <w:autoSpaceDE/>
        <w:autoSpaceDN/>
        <w:bidi w:val="0"/>
        <w:adjustRightInd/>
        <w:snapToGrid/>
        <w:spacing w:before="192" w:beforeLines="80" w:after="24" w:line="240" w:lineRule="auto"/>
        <w:jc w:val="left"/>
        <w:textAlignment w:val="auto"/>
        <w:rPr>
          <w:rFonts w:hint="default" w:ascii="Times New Roman" w:hAnsi="Times New Roman" w:eastAsia="宋体" w:cs="Times New Roman"/>
          <w:snapToGrid w:val="0"/>
          <w:color w:val="auto"/>
          <w:spacing w:val="-6"/>
          <w:kern w:val="21"/>
          <w:sz w:val="21"/>
          <w:szCs w:val="18"/>
        </w:rPr>
      </w:pPr>
      <w:r>
        <w:rPr>
          <w:rFonts w:hint="default" w:ascii="Times New Roman" w:hAnsi="Times New Roman" w:eastAsia="宋体" w:cs="Times New Roman"/>
          <w:snapToGrid w:val="0"/>
          <w:color w:val="auto"/>
          <w:kern w:val="21"/>
          <w:sz w:val="21"/>
          <w:szCs w:val="18"/>
        </w:rPr>
        <w:t>注：</w:t>
      </w:r>
      <w:r>
        <w:rPr>
          <w:rFonts w:hint="default" w:ascii="Times New Roman" w:hAnsi="Times New Roman" w:eastAsia="宋体" w:cs="Times New Roman"/>
          <w:snapToGrid w:val="0"/>
          <w:color w:val="auto"/>
          <w:spacing w:val="-16"/>
          <w:kern w:val="21"/>
          <w:sz w:val="21"/>
          <w:szCs w:val="18"/>
        </w:rPr>
        <w:fldChar w:fldCharType="begin"/>
      </w:r>
      <w:r>
        <w:rPr>
          <w:rFonts w:hint="default" w:ascii="Times New Roman" w:hAnsi="Times New Roman" w:eastAsia="宋体" w:cs="Times New Roman"/>
          <w:snapToGrid w:val="0"/>
          <w:color w:val="auto"/>
          <w:spacing w:val="-16"/>
          <w:kern w:val="21"/>
          <w:sz w:val="21"/>
          <w:szCs w:val="18"/>
        </w:rPr>
        <w:instrText xml:space="preserve"> = 6 \* GB3 \* MERGEFORMAT </w:instrText>
      </w:r>
      <w:r>
        <w:rPr>
          <w:rFonts w:hint="default" w:ascii="Times New Roman" w:hAnsi="Times New Roman" w:eastAsia="宋体" w:cs="Times New Roman"/>
          <w:snapToGrid w:val="0"/>
          <w:color w:val="auto"/>
          <w:spacing w:val="-16"/>
          <w:kern w:val="21"/>
          <w:sz w:val="21"/>
          <w:szCs w:val="18"/>
        </w:rPr>
        <w:fldChar w:fldCharType="separate"/>
      </w:r>
      <w:r>
        <w:rPr>
          <w:rFonts w:hint="default" w:ascii="Times New Roman" w:hAnsi="Times New Roman" w:eastAsia="宋体" w:cs="Times New Roman"/>
          <w:color w:val="auto"/>
          <w:sz w:val="21"/>
          <w:szCs w:val="18"/>
        </w:rPr>
        <w:t>⑥</w:t>
      </w:r>
      <w:r>
        <w:rPr>
          <w:rFonts w:hint="default" w:ascii="Times New Roman" w:hAnsi="Times New Roman" w:eastAsia="宋体" w:cs="Times New Roman"/>
          <w:snapToGrid w:val="0"/>
          <w:color w:val="auto"/>
          <w:spacing w:val="-16"/>
          <w:kern w:val="21"/>
          <w:sz w:val="21"/>
          <w:szCs w:val="18"/>
        </w:rPr>
        <w:fldChar w:fldCharType="end"/>
      </w:r>
      <w:r>
        <w:rPr>
          <w:rFonts w:hint="default" w:ascii="Times New Roman" w:hAnsi="Times New Roman" w:eastAsia="宋体" w:cs="Times New Roman"/>
          <w:snapToGrid w:val="0"/>
          <w:color w:val="auto"/>
          <w:spacing w:val="-16"/>
          <w:kern w:val="21"/>
          <w:sz w:val="21"/>
          <w:szCs w:val="18"/>
        </w:rPr>
        <w:t>=</w:t>
      </w:r>
      <w:r>
        <w:rPr>
          <w:rFonts w:hint="default" w:ascii="Times New Roman" w:hAnsi="Times New Roman" w:eastAsia="宋体" w:cs="Times New Roman"/>
          <w:snapToGrid w:val="0"/>
          <w:color w:val="auto"/>
          <w:spacing w:val="-6"/>
          <w:kern w:val="21"/>
          <w:sz w:val="21"/>
          <w:szCs w:val="18"/>
        </w:rPr>
        <w:fldChar w:fldCharType="begin"/>
      </w:r>
      <w:r>
        <w:rPr>
          <w:rFonts w:hint="default" w:ascii="Times New Roman" w:hAnsi="Times New Roman" w:eastAsia="宋体" w:cs="Times New Roman"/>
          <w:snapToGrid w:val="0"/>
          <w:color w:val="auto"/>
          <w:spacing w:val="-6"/>
          <w:kern w:val="21"/>
          <w:sz w:val="21"/>
          <w:szCs w:val="18"/>
        </w:rPr>
        <w:instrText xml:space="preserve"> = 1 \* GB3 \* MERGEFORMAT </w:instrText>
      </w:r>
      <w:r>
        <w:rPr>
          <w:rFonts w:hint="default" w:ascii="Times New Roman" w:hAnsi="Times New Roman" w:eastAsia="宋体" w:cs="Times New Roman"/>
          <w:snapToGrid w:val="0"/>
          <w:color w:val="auto"/>
          <w:spacing w:val="-6"/>
          <w:kern w:val="21"/>
          <w:sz w:val="21"/>
          <w:szCs w:val="18"/>
        </w:rPr>
        <w:fldChar w:fldCharType="separate"/>
      </w:r>
      <w:r>
        <w:rPr>
          <w:rFonts w:hint="default" w:ascii="Times New Roman" w:hAnsi="Times New Roman" w:eastAsia="宋体" w:cs="Times New Roman"/>
          <w:color w:val="auto"/>
          <w:sz w:val="21"/>
          <w:szCs w:val="18"/>
        </w:rPr>
        <w:t>①</w:t>
      </w:r>
      <w:r>
        <w:rPr>
          <w:rFonts w:hint="default" w:ascii="Times New Roman" w:hAnsi="Times New Roman" w:eastAsia="宋体" w:cs="Times New Roman"/>
          <w:snapToGrid w:val="0"/>
          <w:color w:val="auto"/>
          <w:spacing w:val="-6"/>
          <w:kern w:val="21"/>
          <w:sz w:val="21"/>
          <w:szCs w:val="18"/>
        </w:rPr>
        <w:fldChar w:fldCharType="end"/>
      </w:r>
      <w:r>
        <w:rPr>
          <w:rFonts w:hint="default" w:ascii="Times New Roman" w:hAnsi="Times New Roman" w:eastAsia="宋体" w:cs="Times New Roman"/>
          <w:snapToGrid w:val="0"/>
          <w:color w:val="auto"/>
          <w:spacing w:val="-6"/>
          <w:kern w:val="21"/>
          <w:sz w:val="21"/>
          <w:szCs w:val="18"/>
        </w:rPr>
        <w:t>+</w:t>
      </w:r>
      <w:r>
        <w:rPr>
          <w:rFonts w:hint="default" w:ascii="Times New Roman" w:hAnsi="Times New Roman" w:eastAsia="宋体" w:cs="Times New Roman"/>
          <w:snapToGrid w:val="0"/>
          <w:color w:val="auto"/>
          <w:spacing w:val="-6"/>
          <w:kern w:val="21"/>
          <w:sz w:val="21"/>
          <w:szCs w:val="18"/>
        </w:rPr>
        <w:fldChar w:fldCharType="begin"/>
      </w:r>
      <w:r>
        <w:rPr>
          <w:rFonts w:hint="default" w:ascii="Times New Roman" w:hAnsi="Times New Roman" w:eastAsia="宋体" w:cs="Times New Roman"/>
          <w:snapToGrid w:val="0"/>
          <w:color w:val="auto"/>
          <w:spacing w:val="-6"/>
          <w:kern w:val="21"/>
          <w:sz w:val="21"/>
          <w:szCs w:val="18"/>
        </w:rPr>
        <w:instrText xml:space="preserve"> = 3 \* GB3 \* MERGEFORMAT </w:instrText>
      </w:r>
      <w:r>
        <w:rPr>
          <w:rFonts w:hint="default" w:ascii="Times New Roman" w:hAnsi="Times New Roman" w:eastAsia="宋体" w:cs="Times New Roman"/>
          <w:snapToGrid w:val="0"/>
          <w:color w:val="auto"/>
          <w:spacing w:val="-6"/>
          <w:kern w:val="21"/>
          <w:sz w:val="21"/>
          <w:szCs w:val="18"/>
        </w:rPr>
        <w:fldChar w:fldCharType="separate"/>
      </w:r>
      <w:r>
        <w:rPr>
          <w:rFonts w:hint="default" w:ascii="Times New Roman" w:hAnsi="Times New Roman" w:eastAsia="宋体" w:cs="Times New Roman"/>
          <w:color w:val="auto"/>
          <w:sz w:val="21"/>
          <w:szCs w:val="18"/>
        </w:rPr>
        <w:t>③</w:t>
      </w:r>
      <w:r>
        <w:rPr>
          <w:rFonts w:hint="default" w:ascii="Times New Roman" w:hAnsi="Times New Roman" w:eastAsia="宋体" w:cs="Times New Roman"/>
          <w:snapToGrid w:val="0"/>
          <w:color w:val="auto"/>
          <w:spacing w:val="-6"/>
          <w:kern w:val="21"/>
          <w:sz w:val="21"/>
          <w:szCs w:val="18"/>
        </w:rPr>
        <w:fldChar w:fldCharType="end"/>
      </w:r>
      <w:r>
        <w:rPr>
          <w:rFonts w:hint="default" w:ascii="Times New Roman" w:hAnsi="Times New Roman" w:eastAsia="宋体" w:cs="Times New Roman"/>
          <w:snapToGrid w:val="0"/>
          <w:color w:val="auto"/>
          <w:spacing w:val="-6"/>
          <w:kern w:val="21"/>
          <w:sz w:val="21"/>
          <w:szCs w:val="18"/>
        </w:rPr>
        <w:t>+</w:t>
      </w:r>
      <w:r>
        <w:rPr>
          <w:rFonts w:hint="default" w:ascii="Times New Roman" w:hAnsi="Times New Roman" w:eastAsia="宋体" w:cs="Times New Roman"/>
          <w:snapToGrid w:val="0"/>
          <w:color w:val="auto"/>
          <w:spacing w:val="-6"/>
          <w:kern w:val="21"/>
          <w:sz w:val="21"/>
          <w:szCs w:val="18"/>
        </w:rPr>
        <w:fldChar w:fldCharType="begin"/>
      </w:r>
      <w:r>
        <w:rPr>
          <w:rFonts w:hint="default" w:ascii="Times New Roman" w:hAnsi="Times New Roman" w:eastAsia="宋体" w:cs="Times New Roman"/>
          <w:snapToGrid w:val="0"/>
          <w:color w:val="auto"/>
          <w:spacing w:val="-6"/>
          <w:kern w:val="21"/>
          <w:sz w:val="21"/>
          <w:szCs w:val="18"/>
        </w:rPr>
        <w:instrText xml:space="preserve"> = 4 \* GB3 \* MERGEFORMAT </w:instrText>
      </w:r>
      <w:r>
        <w:rPr>
          <w:rFonts w:hint="default" w:ascii="Times New Roman" w:hAnsi="Times New Roman" w:eastAsia="宋体" w:cs="Times New Roman"/>
          <w:snapToGrid w:val="0"/>
          <w:color w:val="auto"/>
          <w:spacing w:val="-6"/>
          <w:kern w:val="21"/>
          <w:sz w:val="21"/>
          <w:szCs w:val="18"/>
        </w:rPr>
        <w:fldChar w:fldCharType="separate"/>
      </w:r>
      <w:r>
        <w:rPr>
          <w:rFonts w:hint="default" w:ascii="Times New Roman" w:hAnsi="Times New Roman" w:eastAsia="宋体" w:cs="Times New Roman"/>
          <w:color w:val="auto"/>
          <w:sz w:val="21"/>
          <w:szCs w:val="18"/>
        </w:rPr>
        <w:t>④</w:t>
      </w:r>
      <w:r>
        <w:rPr>
          <w:rFonts w:hint="default" w:ascii="Times New Roman" w:hAnsi="Times New Roman" w:eastAsia="宋体" w:cs="Times New Roman"/>
          <w:snapToGrid w:val="0"/>
          <w:color w:val="auto"/>
          <w:spacing w:val="-6"/>
          <w:kern w:val="21"/>
          <w:sz w:val="21"/>
          <w:szCs w:val="18"/>
        </w:rPr>
        <w:fldChar w:fldCharType="end"/>
      </w:r>
      <w:r>
        <w:rPr>
          <w:rFonts w:hint="default" w:ascii="Times New Roman" w:hAnsi="Times New Roman" w:eastAsia="宋体" w:cs="Times New Roman"/>
          <w:snapToGrid w:val="0"/>
          <w:color w:val="auto"/>
          <w:spacing w:val="-6"/>
          <w:kern w:val="21"/>
          <w:sz w:val="21"/>
          <w:szCs w:val="18"/>
        </w:rPr>
        <w:t>-</w:t>
      </w:r>
      <w:r>
        <w:rPr>
          <w:rFonts w:hint="default" w:ascii="Times New Roman" w:hAnsi="Times New Roman" w:eastAsia="宋体" w:cs="Times New Roman"/>
          <w:snapToGrid w:val="0"/>
          <w:color w:val="auto"/>
          <w:spacing w:val="-16"/>
          <w:kern w:val="21"/>
          <w:sz w:val="21"/>
          <w:szCs w:val="18"/>
        </w:rPr>
        <w:fldChar w:fldCharType="begin"/>
      </w:r>
      <w:r>
        <w:rPr>
          <w:rFonts w:hint="default" w:ascii="Times New Roman" w:hAnsi="Times New Roman" w:eastAsia="宋体" w:cs="Times New Roman"/>
          <w:snapToGrid w:val="0"/>
          <w:color w:val="auto"/>
          <w:spacing w:val="-16"/>
          <w:kern w:val="21"/>
          <w:sz w:val="21"/>
          <w:szCs w:val="18"/>
        </w:rPr>
        <w:instrText xml:space="preserve"> = 5 \* GB3 \* MERGEFORMAT </w:instrText>
      </w:r>
      <w:r>
        <w:rPr>
          <w:rFonts w:hint="default" w:ascii="Times New Roman" w:hAnsi="Times New Roman" w:eastAsia="宋体" w:cs="Times New Roman"/>
          <w:snapToGrid w:val="0"/>
          <w:color w:val="auto"/>
          <w:spacing w:val="-16"/>
          <w:kern w:val="21"/>
          <w:sz w:val="21"/>
          <w:szCs w:val="18"/>
        </w:rPr>
        <w:fldChar w:fldCharType="separate"/>
      </w:r>
      <w:r>
        <w:rPr>
          <w:rFonts w:hint="default" w:ascii="Times New Roman" w:hAnsi="Times New Roman" w:eastAsia="宋体" w:cs="Times New Roman"/>
          <w:color w:val="auto"/>
          <w:sz w:val="21"/>
          <w:szCs w:val="18"/>
        </w:rPr>
        <w:t>⑤</w:t>
      </w:r>
      <w:r>
        <w:rPr>
          <w:rFonts w:hint="default" w:ascii="Times New Roman" w:hAnsi="Times New Roman" w:eastAsia="宋体" w:cs="Times New Roman"/>
          <w:snapToGrid w:val="0"/>
          <w:color w:val="auto"/>
          <w:spacing w:val="-16"/>
          <w:kern w:val="21"/>
          <w:sz w:val="21"/>
          <w:szCs w:val="18"/>
        </w:rPr>
        <w:fldChar w:fldCharType="end"/>
      </w:r>
      <w:r>
        <w:rPr>
          <w:rFonts w:hint="default" w:ascii="Times New Roman" w:hAnsi="Times New Roman" w:eastAsia="宋体" w:cs="Times New Roman"/>
          <w:snapToGrid w:val="0"/>
          <w:color w:val="auto"/>
          <w:spacing w:val="-16"/>
          <w:kern w:val="21"/>
          <w:sz w:val="21"/>
          <w:szCs w:val="18"/>
        </w:rPr>
        <w:t>；</w:t>
      </w:r>
      <w:r>
        <w:rPr>
          <w:rFonts w:hint="default" w:ascii="Times New Roman" w:hAnsi="Times New Roman" w:eastAsia="宋体" w:cs="Times New Roman"/>
          <w:snapToGrid w:val="0"/>
          <w:color w:val="auto"/>
          <w:spacing w:val="-6"/>
          <w:kern w:val="21"/>
          <w:sz w:val="21"/>
          <w:szCs w:val="18"/>
        </w:rPr>
        <w:fldChar w:fldCharType="begin"/>
      </w:r>
      <w:r>
        <w:rPr>
          <w:rFonts w:hint="default" w:ascii="Times New Roman" w:hAnsi="Times New Roman" w:eastAsia="宋体" w:cs="Times New Roman"/>
          <w:snapToGrid w:val="0"/>
          <w:color w:val="auto"/>
          <w:spacing w:val="-6"/>
          <w:kern w:val="21"/>
          <w:sz w:val="21"/>
          <w:szCs w:val="18"/>
        </w:rPr>
        <w:instrText xml:space="preserve"> = 7 \* GB3 \* MERGEFORMAT </w:instrText>
      </w:r>
      <w:r>
        <w:rPr>
          <w:rFonts w:hint="default" w:ascii="Times New Roman" w:hAnsi="Times New Roman" w:eastAsia="宋体" w:cs="Times New Roman"/>
          <w:snapToGrid w:val="0"/>
          <w:color w:val="auto"/>
          <w:spacing w:val="-6"/>
          <w:kern w:val="21"/>
          <w:sz w:val="21"/>
          <w:szCs w:val="18"/>
        </w:rPr>
        <w:fldChar w:fldCharType="separate"/>
      </w:r>
      <w:r>
        <w:rPr>
          <w:rFonts w:hint="default" w:ascii="Times New Roman" w:hAnsi="Times New Roman" w:eastAsia="宋体" w:cs="Times New Roman"/>
          <w:color w:val="auto"/>
          <w:sz w:val="21"/>
          <w:szCs w:val="18"/>
        </w:rPr>
        <w:t>⑦</w:t>
      </w:r>
      <w:r>
        <w:rPr>
          <w:rFonts w:hint="default" w:ascii="Times New Roman" w:hAnsi="Times New Roman" w:eastAsia="宋体" w:cs="Times New Roman"/>
          <w:snapToGrid w:val="0"/>
          <w:color w:val="auto"/>
          <w:spacing w:val="-6"/>
          <w:kern w:val="21"/>
          <w:sz w:val="21"/>
          <w:szCs w:val="18"/>
        </w:rPr>
        <w:fldChar w:fldCharType="end"/>
      </w:r>
      <w:r>
        <w:rPr>
          <w:rFonts w:hint="default" w:ascii="Times New Roman" w:hAnsi="Times New Roman" w:eastAsia="宋体" w:cs="Times New Roman"/>
          <w:snapToGrid w:val="0"/>
          <w:color w:val="auto"/>
          <w:spacing w:val="-6"/>
          <w:kern w:val="21"/>
          <w:sz w:val="21"/>
          <w:szCs w:val="18"/>
        </w:rPr>
        <w:t>=</w:t>
      </w:r>
      <w:r>
        <w:rPr>
          <w:rFonts w:hint="default" w:ascii="Times New Roman" w:hAnsi="Times New Roman" w:eastAsia="宋体" w:cs="Times New Roman"/>
          <w:snapToGrid w:val="0"/>
          <w:color w:val="auto"/>
          <w:spacing w:val="-16"/>
          <w:kern w:val="21"/>
          <w:sz w:val="21"/>
          <w:szCs w:val="18"/>
        </w:rPr>
        <w:fldChar w:fldCharType="begin"/>
      </w:r>
      <w:r>
        <w:rPr>
          <w:rFonts w:hint="default" w:ascii="Times New Roman" w:hAnsi="Times New Roman" w:eastAsia="宋体" w:cs="Times New Roman"/>
          <w:snapToGrid w:val="0"/>
          <w:color w:val="auto"/>
          <w:spacing w:val="-16"/>
          <w:kern w:val="21"/>
          <w:sz w:val="21"/>
          <w:szCs w:val="18"/>
        </w:rPr>
        <w:instrText xml:space="preserve"> = 6 \* GB3 \* MERGEFORMAT </w:instrText>
      </w:r>
      <w:r>
        <w:rPr>
          <w:rFonts w:hint="default" w:ascii="Times New Roman" w:hAnsi="Times New Roman" w:eastAsia="宋体" w:cs="Times New Roman"/>
          <w:snapToGrid w:val="0"/>
          <w:color w:val="auto"/>
          <w:spacing w:val="-16"/>
          <w:kern w:val="21"/>
          <w:sz w:val="21"/>
          <w:szCs w:val="18"/>
        </w:rPr>
        <w:fldChar w:fldCharType="separate"/>
      </w:r>
      <w:r>
        <w:rPr>
          <w:rFonts w:hint="default" w:ascii="Times New Roman" w:hAnsi="Times New Roman" w:eastAsia="宋体" w:cs="Times New Roman"/>
          <w:color w:val="auto"/>
          <w:sz w:val="21"/>
          <w:szCs w:val="18"/>
        </w:rPr>
        <w:t>⑥</w:t>
      </w:r>
      <w:r>
        <w:rPr>
          <w:rFonts w:hint="default" w:ascii="Times New Roman" w:hAnsi="Times New Roman" w:eastAsia="宋体" w:cs="Times New Roman"/>
          <w:snapToGrid w:val="0"/>
          <w:color w:val="auto"/>
          <w:spacing w:val="-16"/>
          <w:kern w:val="21"/>
          <w:sz w:val="21"/>
          <w:szCs w:val="18"/>
        </w:rPr>
        <w:fldChar w:fldCharType="end"/>
      </w:r>
      <w:r>
        <w:rPr>
          <w:rFonts w:hint="default" w:ascii="Times New Roman" w:hAnsi="Times New Roman" w:eastAsia="宋体" w:cs="Times New Roman"/>
          <w:snapToGrid w:val="0"/>
          <w:color w:val="auto"/>
          <w:spacing w:val="-16"/>
          <w:kern w:val="21"/>
          <w:sz w:val="21"/>
          <w:szCs w:val="18"/>
        </w:rPr>
        <w:t>-</w:t>
      </w:r>
      <w:r>
        <w:rPr>
          <w:rFonts w:hint="default" w:ascii="Times New Roman" w:hAnsi="Times New Roman" w:eastAsia="宋体" w:cs="Times New Roman"/>
          <w:snapToGrid w:val="0"/>
          <w:color w:val="auto"/>
          <w:spacing w:val="-6"/>
          <w:kern w:val="21"/>
          <w:sz w:val="21"/>
          <w:szCs w:val="18"/>
        </w:rPr>
        <w:fldChar w:fldCharType="begin"/>
      </w:r>
      <w:r>
        <w:rPr>
          <w:rFonts w:hint="default" w:ascii="Times New Roman" w:hAnsi="Times New Roman" w:eastAsia="宋体" w:cs="Times New Roman"/>
          <w:snapToGrid w:val="0"/>
          <w:color w:val="auto"/>
          <w:spacing w:val="-6"/>
          <w:kern w:val="21"/>
          <w:sz w:val="21"/>
          <w:szCs w:val="18"/>
        </w:rPr>
        <w:instrText xml:space="preserve"> = 1 \* GB3 \* MERGEFORMAT </w:instrText>
      </w:r>
      <w:r>
        <w:rPr>
          <w:rFonts w:hint="default" w:ascii="Times New Roman" w:hAnsi="Times New Roman" w:eastAsia="宋体" w:cs="Times New Roman"/>
          <w:snapToGrid w:val="0"/>
          <w:color w:val="auto"/>
          <w:spacing w:val="-6"/>
          <w:kern w:val="21"/>
          <w:sz w:val="21"/>
          <w:szCs w:val="18"/>
        </w:rPr>
        <w:fldChar w:fldCharType="separate"/>
      </w:r>
      <w:r>
        <w:rPr>
          <w:rFonts w:hint="default" w:ascii="Times New Roman" w:hAnsi="Times New Roman" w:eastAsia="宋体" w:cs="Times New Roman"/>
          <w:color w:val="auto"/>
          <w:sz w:val="21"/>
          <w:szCs w:val="18"/>
        </w:rPr>
        <w:t>①</w:t>
      </w:r>
      <w:r>
        <w:rPr>
          <w:rFonts w:hint="default" w:ascii="Times New Roman" w:hAnsi="Times New Roman" w:eastAsia="宋体" w:cs="Times New Roman"/>
          <w:snapToGrid w:val="0"/>
          <w:color w:val="auto"/>
          <w:spacing w:val="-6"/>
          <w:kern w:val="21"/>
          <w:sz w:val="21"/>
          <w:szCs w:val="18"/>
        </w:rPr>
        <w:fldChar w:fldCharType="end"/>
      </w:r>
    </w:p>
    <w:p w14:paraId="587046CE">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rPr>
        <w:sectPr>
          <w:footerReference r:id="rId6" w:type="default"/>
          <w:pgSz w:w="16838" w:h="11906" w:orient="landscape"/>
          <w:pgMar w:top="1417" w:right="1417" w:bottom="1417" w:left="1417" w:header="851" w:footer="851" w:gutter="0"/>
          <w:pgBorders>
            <w:top w:val="none" w:sz="0" w:space="0"/>
            <w:left w:val="none" w:sz="0" w:space="0"/>
            <w:bottom w:val="none" w:sz="0" w:space="0"/>
            <w:right w:val="none" w:sz="0" w:space="0"/>
          </w:pgBorders>
          <w:pgNumType w:fmt="numberInDash"/>
          <w:cols w:space="720" w:num="1"/>
          <w:docGrid w:linePitch="312" w:charSpace="0"/>
        </w:sectPr>
      </w:pPr>
    </w:p>
    <w:p w14:paraId="2B89A111">
      <w:pPr>
        <w:pStyle w:val="28"/>
        <w:bidi w:val="0"/>
        <w:jc w:val="left"/>
        <w:outlineLvl w:val="0"/>
        <w:rPr>
          <w:rFonts w:hint="default"/>
          <w:b/>
          <w:bCs/>
          <w:color w:val="auto"/>
          <w:sz w:val="28"/>
          <w:szCs w:val="36"/>
          <w:lang w:val="en-US" w:eastAsia="zh-CN"/>
        </w:rPr>
      </w:pPr>
      <w:bookmarkStart w:id="54" w:name="_Toc11966"/>
      <w:r>
        <w:rPr>
          <w:rFonts w:hint="eastAsia"/>
          <w:b/>
          <w:bCs/>
          <w:color w:val="auto"/>
          <w:sz w:val="28"/>
          <w:szCs w:val="36"/>
          <w:lang w:val="en-US" w:eastAsia="zh-CN"/>
        </w:rPr>
        <w:t xml:space="preserve">附件十二 </w:t>
      </w:r>
      <w:r>
        <w:rPr>
          <w:rStyle w:val="48"/>
          <w:rFonts w:hint="eastAsia"/>
          <w:b/>
          <w:bCs/>
          <w:color w:val="auto"/>
          <w:lang w:val="en-US" w:eastAsia="zh-CN"/>
        </w:rPr>
        <w:t>关于公开建设项目环评文件等信息情况的说明</w:t>
      </w:r>
      <w:bookmarkEnd w:id="54"/>
      <w:r>
        <w:rPr>
          <w:rFonts w:ascii="宋体" w:hAnsi="宋体" w:eastAsia="宋体" w:cs="宋体"/>
          <w:b/>
          <w:bCs/>
          <w:color w:val="auto"/>
          <w:sz w:val="24"/>
          <w:szCs w:val="24"/>
        </w:rPr>
        <w:t xml:space="preserve"> </w:t>
      </w:r>
    </w:p>
    <w:p w14:paraId="1A56A64F">
      <w:pPr>
        <w:pStyle w:val="28"/>
        <w:bidi w:val="0"/>
        <w:jc w:val="both"/>
        <w:rPr>
          <w:rFonts w:hint="eastAsia" w:eastAsia="宋体"/>
          <w:color w:val="auto"/>
          <w:lang w:eastAsia="zh-CN"/>
        </w:rPr>
      </w:pPr>
      <w:r>
        <w:rPr>
          <w:rFonts w:hint="eastAsia" w:eastAsia="宋体"/>
          <w:color w:val="auto"/>
          <w:lang w:eastAsia="zh-CN"/>
        </w:rPr>
        <w:drawing>
          <wp:inline distT="0" distB="0" distL="114300" distR="114300">
            <wp:extent cx="5754370" cy="8136890"/>
            <wp:effectExtent l="0" t="0" r="6350" b="1270"/>
            <wp:docPr id="118" name="图片 118" descr="5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5_01"/>
                    <pic:cNvPicPr>
                      <a:picLocks noChangeAspect="1"/>
                    </pic:cNvPicPr>
                  </pic:nvPicPr>
                  <pic:blipFill>
                    <a:blip r:embed="rId32"/>
                    <a:stretch>
                      <a:fillRect/>
                    </a:stretch>
                  </pic:blipFill>
                  <pic:spPr>
                    <a:xfrm>
                      <a:off x="0" y="0"/>
                      <a:ext cx="5754370" cy="8136890"/>
                    </a:xfrm>
                    <a:prstGeom prst="rect">
                      <a:avLst/>
                    </a:prstGeom>
                  </pic:spPr>
                </pic:pic>
              </a:graphicData>
            </a:graphic>
          </wp:inline>
        </w:drawing>
      </w:r>
    </w:p>
    <w:p w14:paraId="5A56A7AE">
      <w:pPr>
        <w:pStyle w:val="28"/>
        <w:bidi w:val="0"/>
        <w:jc w:val="left"/>
        <w:outlineLvl w:val="0"/>
        <w:rPr>
          <w:rFonts w:hint="default"/>
          <w:b/>
          <w:bCs/>
          <w:color w:val="auto"/>
          <w:sz w:val="28"/>
          <w:szCs w:val="36"/>
          <w:lang w:val="en-US" w:eastAsia="zh-CN"/>
        </w:rPr>
      </w:pPr>
      <w:bookmarkStart w:id="55" w:name="_Toc9907"/>
      <w:r>
        <w:rPr>
          <w:rFonts w:hint="eastAsia"/>
          <w:b/>
          <w:bCs/>
          <w:color w:val="auto"/>
          <w:sz w:val="28"/>
          <w:szCs w:val="36"/>
          <w:lang w:val="en-US" w:eastAsia="zh-CN"/>
        </w:rPr>
        <w:t xml:space="preserve">附件十三 </w:t>
      </w:r>
      <w:r>
        <w:rPr>
          <w:rStyle w:val="48"/>
          <w:rFonts w:hint="eastAsia"/>
          <w:b/>
          <w:bCs/>
          <w:color w:val="auto"/>
          <w:lang w:val="en-US" w:eastAsia="zh-CN"/>
        </w:rPr>
        <w:t>信息删除理由说明和删除依据说明</w:t>
      </w:r>
      <w:bookmarkEnd w:id="55"/>
      <w:r>
        <w:rPr>
          <w:rFonts w:ascii="宋体" w:hAnsi="宋体" w:eastAsia="宋体" w:cs="宋体"/>
          <w:b/>
          <w:bCs/>
          <w:color w:val="auto"/>
          <w:sz w:val="24"/>
          <w:szCs w:val="24"/>
        </w:rPr>
        <w:t xml:space="preserve"> </w:t>
      </w:r>
    </w:p>
    <w:p w14:paraId="7BBDC734">
      <w:pPr>
        <w:pStyle w:val="28"/>
        <w:bidi w:val="0"/>
        <w:rPr>
          <w:rFonts w:hint="default"/>
          <w:color w:val="auto"/>
          <w:lang w:val="en-US" w:eastAsia="zh-CN"/>
        </w:rPr>
      </w:pPr>
      <w:r>
        <w:rPr>
          <w:rFonts w:hint="default"/>
          <w:color w:val="auto"/>
          <w:lang w:val="en-US" w:eastAsia="zh-CN"/>
        </w:rPr>
        <w:drawing>
          <wp:inline distT="0" distB="0" distL="114300" distR="114300">
            <wp:extent cx="5754370" cy="8136890"/>
            <wp:effectExtent l="0" t="0" r="6350" b="1270"/>
            <wp:docPr id="116" name="图片 116" descr="3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3_01"/>
                    <pic:cNvPicPr>
                      <a:picLocks noChangeAspect="1"/>
                    </pic:cNvPicPr>
                  </pic:nvPicPr>
                  <pic:blipFill>
                    <a:blip r:embed="rId33"/>
                    <a:stretch>
                      <a:fillRect/>
                    </a:stretch>
                  </pic:blipFill>
                  <pic:spPr>
                    <a:xfrm>
                      <a:off x="0" y="0"/>
                      <a:ext cx="5754370" cy="8136890"/>
                    </a:xfrm>
                    <a:prstGeom prst="rect">
                      <a:avLst/>
                    </a:prstGeom>
                  </pic:spPr>
                </pic:pic>
              </a:graphicData>
            </a:graphic>
          </wp:inline>
        </w:drawing>
      </w:r>
    </w:p>
    <w:p w14:paraId="0AAE1CFF">
      <w:pPr>
        <w:pStyle w:val="28"/>
        <w:bidi w:val="0"/>
        <w:rPr>
          <w:rFonts w:hint="default"/>
          <w:color w:val="auto"/>
          <w:lang w:val="en-US" w:eastAsia="zh-CN"/>
        </w:rPr>
      </w:pPr>
      <w:r>
        <w:rPr>
          <w:rFonts w:hint="default"/>
          <w:color w:val="auto"/>
          <w:lang w:val="en-US" w:eastAsia="zh-CN"/>
        </w:rPr>
        <w:drawing>
          <wp:inline distT="0" distB="0" distL="114300" distR="114300">
            <wp:extent cx="5754370" cy="8136890"/>
            <wp:effectExtent l="0" t="0" r="6350" b="1270"/>
            <wp:docPr id="117" name="图片 117" descr="4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4_01"/>
                    <pic:cNvPicPr>
                      <a:picLocks noChangeAspect="1"/>
                    </pic:cNvPicPr>
                  </pic:nvPicPr>
                  <pic:blipFill>
                    <a:blip r:embed="rId34"/>
                    <a:stretch>
                      <a:fillRect/>
                    </a:stretch>
                  </pic:blipFill>
                  <pic:spPr>
                    <a:xfrm>
                      <a:off x="0" y="0"/>
                      <a:ext cx="5754370" cy="8136890"/>
                    </a:xfrm>
                    <a:prstGeom prst="rect">
                      <a:avLst/>
                    </a:prstGeom>
                  </pic:spPr>
                </pic:pic>
              </a:graphicData>
            </a:graphic>
          </wp:inline>
        </w:drawing>
      </w:r>
    </w:p>
    <w:p w14:paraId="100657DB">
      <w:pPr>
        <w:pStyle w:val="28"/>
        <w:bidi w:val="0"/>
        <w:rPr>
          <w:rFonts w:hint="default"/>
          <w:color w:val="auto"/>
          <w:lang w:val="en-US" w:eastAsia="zh-CN"/>
        </w:rPr>
      </w:pPr>
    </w:p>
    <w:p w14:paraId="5A8E6E1F">
      <w:pPr>
        <w:pStyle w:val="28"/>
        <w:bidi w:val="0"/>
        <w:rPr>
          <w:rFonts w:hint="default"/>
          <w:color w:val="auto"/>
          <w:lang w:val="en-US" w:eastAsia="zh-CN"/>
        </w:rPr>
      </w:pPr>
    </w:p>
    <w:sectPr>
      <w:pgSz w:w="11906" w:h="16838"/>
      <w:pgMar w:top="1417" w:right="1417" w:bottom="1417" w:left="1417" w:header="851" w:footer="992" w:gutter="0"/>
      <w:pgBorders>
        <w:top w:val="none" w:sz="0" w:space="0"/>
        <w:left w:val="none" w:sz="0" w:space="0"/>
        <w:bottom w:val="none" w:sz="0" w:space="0"/>
        <w:right w:val="none" w:sz="0" w:space="0"/>
      </w:pgBorders>
      <w:pgNumType w:fmt="numberInDash"/>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auto"/>
    <w:pitch w:val="default"/>
    <w:sig w:usb0="00000000" w:usb1="00000000" w:usb2="00000000" w:usb3="00000000" w:csb0="00040000" w:csb1="00000000"/>
  </w:font>
  <w:font w:name="Monotype Corsiva">
    <w:panose1 w:val="03010101010201010101"/>
    <w:charset w:val="00"/>
    <w:family w:val="script"/>
    <w:pitch w:val="default"/>
    <w:sig w:usb0="00000287" w:usb1="00000000" w:usb2="00000000" w:usb3="00000000" w:csb0="2000009F" w:csb1="DFD70000"/>
  </w:font>
  <w:font w:name="Arial Unicode MS">
    <w:panose1 w:val="020B0604020202020204"/>
    <w:charset w:val="86"/>
    <w:family w:val="auto"/>
    <w:pitch w:val="default"/>
    <w:sig w:usb0="FFFFFFFF" w:usb1="E9FFFFFF" w:usb2="0000003F" w:usb3="00000000" w:csb0="603F01FF" w:csb1="FFFF0000"/>
  </w:font>
  <w:font w:name="楷体_GB2312">
    <w:altName w:val="楷体"/>
    <w:panose1 w:val="02010609030101010101"/>
    <w:charset w:val="86"/>
    <w:family w:val="modern"/>
    <w:pitch w:val="default"/>
    <w:sig w:usb0="00000000" w:usb1="00000000" w:usb2="00000010" w:usb3="00000000" w:csb0="00040000" w:csb1="00000000"/>
  </w:font>
  <w:font w:name="Wingdings 2">
    <w:panose1 w:val="05020102010507070707"/>
    <w:charset w:val="02"/>
    <w:family w:val="auto"/>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501126">
    <w:pPr>
      <w:pStyle w:val="14"/>
      <w:ind w:right="360"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D2738BA">
                          <w:pPr>
                            <w:pStyle w:val="14"/>
                          </w:pPr>
                          <w:r>
                            <w:fldChar w:fldCharType="begin"/>
                          </w:r>
                          <w:r>
                            <w:instrText xml:space="preserve"> PAGE  \* MERGEFORMAT </w:instrText>
                          </w:r>
                          <w:r>
                            <w:fldChar w:fldCharType="separate"/>
                          </w:r>
                          <w:r>
                            <w:t>1</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OqXm5zwAAAAUBAAAPAAAAAAAAAAEAIAAAACIAAABkcnMvZG93bnJldi54bWxQ&#10;SwECFAAUAAAACACHTuJA9Aknl8cBAACZAwAADgAAAAAAAAABACAAAAAeAQAAZHJzL2Uyb0RvYy54&#10;bWxQSwUGAAAAAAYABgBZAQAAVwUAAAAA&#10;">
              <v:fill on="f" focussize="0,0"/>
              <v:stroke on="f"/>
              <v:imagedata o:title=""/>
              <o:lock v:ext="edit" aspectratio="f"/>
              <v:textbox inset="0mm,0mm,0mm,0mm" style="mso-fit-shape-to-text:t;">
                <w:txbxContent>
                  <w:p w14:paraId="7D2738BA">
                    <w:pPr>
                      <w:pStyle w:val="1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8E6159">
    <w:pPr>
      <w:pStyle w:val="14"/>
      <w:ind w:right="360" w:firstLine="36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3A68EC9">
                          <w:pPr>
                            <w:pStyle w:val="14"/>
                          </w:pPr>
                          <w:r>
                            <w:fldChar w:fldCharType="begin"/>
                          </w:r>
                          <w:r>
                            <w:instrText xml:space="preserve"> PAGE  \* MERGEFORMAT </w:instrText>
                          </w:r>
                          <w:r>
                            <w:fldChar w:fldCharType="separate"/>
                          </w:r>
                          <w:r>
                            <w:t>72</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kW9EbyQEAAJsDAAAOAAAAAAAAAAEAIAAAAB4BAABkcnMvZTJvRG9j&#10;LnhtbFBLBQYAAAAABgAGAFkBAABZBQAAAAA=&#10;">
              <v:fill on="f" focussize="0,0"/>
              <v:stroke on="f"/>
              <v:imagedata o:title=""/>
              <o:lock v:ext="edit" aspectratio="f"/>
              <v:textbox inset="0mm,0mm,0mm,0mm" style="mso-fit-shape-to-text:t;">
                <w:txbxContent>
                  <w:p w14:paraId="73A68EC9">
                    <w:pPr>
                      <w:pStyle w:val="14"/>
                    </w:pPr>
                    <w:r>
                      <w:fldChar w:fldCharType="begin"/>
                    </w:r>
                    <w:r>
                      <w:instrText xml:space="preserve"> PAGE  \* MERGEFORMAT </w:instrText>
                    </w:r>
                    <w:r>
                      <w:fldChar w:fldCharType="separate"/>
                    </w:r>
                    <w:r>
                      <w:t>72</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CFFA5A"/>
    <w:multiLevelType w:val="singleLevel"/>
    <w:tmpl w:val="81CFFA5A"/>
    <w:lvl w:ilvl="0" w:tentative="0">
      <w:start w:val="2"/>
      <w:numFmt w:val="decimal"/>
      <w:suff w:val="nothing"/>
      <w:lvlText w:val="（%1）"/>
      <w:lvlJc w:val="left"/>
    </w:lvl>
  </w:abstractNum>
  <w:abstractNum w:abstractNumId="1">
    <w:nsid w:val="8B298ADA"/>
    <w:multiLevelType w:val="singleLevel"/>
    <w:tmpl w:val="8B298ADA"/>
    <w:lvl w:ilvl="0" w:tentative="0">
      <w:start w:val="4"/>
      <w:numFmt w:val="chineseCounting"/>
      <w:suff w:val="nothing"/>
      <w:lvlText w:val="%1、"/>
      <w:lvlJc w:val="left"/>
      <w:rPr>
        <w:rFonts w:hint="eastAsia"/>
        <w:b/>
        <w:bCs/>
      </w:rPr>
    </w:lvl>
  </w:abstractNum>
  <w:abstractNum w:abstractNumId="2">
    <w:nsid w:val="9936CCBF"/>
    <w:multiLevelType w:val="singleLevel"/>
    <w:tmpl w:val="9936CCBF"/>
    <w:lvl w:ilvl="0" w:tentative="0">
      <w:start w:val="1"/>
      <w:numFmt w:val="decimal"/>
      <w:suff w:val="nothing"/>
      <w:lvlText w:val="%1、"/>
      <w:lvlJc w:val="left"/>
    </w:lvl>
  </w:abstractNum>
  <w:abstractNum w:abstractNumId="3">
    <w:nsid w:val="FE5CAF8B"/>
    <w:multiLevelType w:val="multilevel"/>
    <w:tmpl w:val="FE5CAF8B"/>
    <w:lvl w:ilvl="0" w:tentative="0">
      <w:start w:val="1"/>
      <w:numFmt w:val="decimal"/>
      <w:isLgl/>
      <w:suff w:val="space"/>
      <w:lvlText w:val="%1 "/>
      <w:lvlJc w:val="left"/>
      <w:rPr>
        <w:rFonts w:hint="eastAsia"/>
      </w:rPr>
    </w:lvl>
    <w:lvl w:ilvl="1" w:tentative="0">
      <w:start w:val="1"/>
      <w:numFmt w:val="decimal"/>
      <w:suff w:val="space"/>
      <w:lvlText w:val="%1.%2 "/>
      <w:lvlJc w:val="left"/>
      <w:rPr>
        <w:rFonts w:hint="eastAsia"/>
      </w:rPr>
    </w:lvl>
    <w:lvl w:ilvl="2" w:tentative="0">
      <w:start w:val="1"/>
      <w:numFmt w:val="decimal"/>
      <w:suff w:val="space"/>
      <w:lvlText w:val="%1.%2.%3 "/>
      <w:lvlJc w:val="left"/>
      <w:rPr>
        <w:rFonts w:hint="default" w:ascii="Times New Roman" w:hAnsi="Times New Roman" w:eastAsia="宋体"/>
        <w:b w:val="0"/>
        <w:bCs w:val="0"/>
        <w:i w:val="0"/>
        <w:iCs w:val="0"/>
        <w:sz w:val="21"/>
        <w:szCs w:val="21"/>
      </w:rPr>
    </w:lvl>
    <w:lvl w:ilvl="3" w:tentative="0">
      <w:start w:val="1"/>
      <w:numFmt w:val="decimal"/>
      <w:pStyle w:val="5"/>
      <w:lvlText w:val="%1.%2.%3.%4 "/>
      <w:lvlJc w:val="left"/>
      <w:pPr>
        <w:tabs>
          <w:tab w:val="left" w:pos="720"/>
        </w:tabs>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4">
    <w:nsid w:val="14AC69CA"/>
    <w:multiLevelType w:val="singleLevel"/>
    <w:tmpl w:val="14AC69CA"/>
    <w:lvl w:ilvl="0" w:tentative="0">
      <w:start w:val="1"/>
      <w:numFmt w:val="chineseCounting"/>
      <w:suff w:val="nothing"/>
      <w:lvlText w:val="%1、"/>
      <w:lvlJc w:val="left"/>
      <w:rPr>
        <w:rFonts w:hint="eastAsia"/>
      </w:rPr>
    </w:lvl>
  </w:abstractNum>
  <w:abstractNum w:abstractNumId="5">
    <w:nsid w:val="1CCCB413"/>
    <w:multiLevelType w:val="singleLevel"/>
    <w:tmpl w:val="1CCCB413"/>
    <w:lvl w:ilvl="0" w:tentative="0">
      <w:start w:val="1"/>
      <w:numFmt w:val="decimal"/>
      <w:suff w:val="nothing"/>
      <w:lvlText w:val="（%1）"/>
      <w:lvlJc w:val="left"/>
    </w:lvl>
  </w:abstractNum>
  <w:abstractNum w:abstractNumId="6">
    <w:nsid w:val="29EC8D0F"/>
    <w:multiLevelType w:val="singleLevel"/>
    <w:tmpl w:val="29EC8D0F"/>
    <w:lvl w:ilvl="0" w:tentative="0">
      <w:start w:val="9"/>
      <w:numFmt w:val="decimal"/>
      <w:suff w:val="nothing"/>
      <w:lvlText w:val="%1、"/>
      <w:lvlJc w:val="left"/>
    </w:lvl>
  </w:abstractNum>
  <w:abstractNum w:abstractNumId="7">
    <w:nsid w:val="6833FA05"/>
    <w:multiLevelType w:val="singleLevel"/>
    <w:tmpl w:val="6833FA05"/>
    <w:lvl w:ilvl="0" w:tentative="0">
      <w:start w:val="1"/>
      <w:numFmt w:val="decimal"/>
      <w:suff w:val="nothing"/>
      <w:lvlText w:val="%1、"/>
      <w:lvlJc w:val="left"/>
    </w:lvl>
  </w:abstractNum>
  <w:num w:numId="1">
    <w:abstractNumId w:val="3"/>
  </w:num>
  <w:num w:numId="2">
    <w:abstractNumId w:val="7"/>
  </w:num>
  <w:num w:numId="3">
    <w:abstractNumId w:val="4"/>
  </w:num>
  <w:num w:numId="4">
    <w:abstractNumId w:val="5"/>
  </w:num>
  <w:num w:numId="5">
    <w:abstractNumId w:val="6"/>
  </w:num>
  <w:num w:numId="6">
    <w:abstractNumId w:val="0"/>
  </w:num>
  <w:num w:numId="7">
    <w:abstractNumId w:val="2"/>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5445D5"/>
    <w:rsid w:val="00AA3CEC"/>
    <w:rsid w:val="00AD6187"/>
    <w:rsid w:val="00D77D9E"/>
    <w:rsid w:val="01715CA0"/>
    <w:rsid w:val="017936BE"/>
    <w:rsid w:val="02395EC6"/>
    <w:rsid w:val="02B916FA"/>
    <w:rsid w:val="03DA48EA"/>
    <w:rsid w:val="04425631"/>
    <w:rsid w:val="047F77C4"/>
    <w:rsid w:val="05A27BA8"/>
    <w:rsid w:val="0644429B"/>
    <w:rsid w:val="07070072"/>
    <w:rsid w:val="074F5B9E"/>
    <w:rsid w:val="082E3726"/>
    <w:rsid w:val="08367CC1"/>
    <w:rsid w:val="08A9768B"/>
    <w:rsid w:val="08AD3BAB"/>
    <w:rsid w:val="091B2126"/>
    <w:rsid w:val="09244DDD"/>
    <w:rsid w:val="09B12E56"/>
    <w:rsid w:val="09F71624"/>
    <w:rsid w:val="0A7E1D45"/>
    <w:rsid w:val="0AAF1155"/>
    <w:rsid w:val="0AC163F6"/>
    <w:rsid w:val="0AEA46D1"/>
    <w:rsid w:val="0B5A630E"/>
    <w:rsid w:val="0BD443FD"/>
    <w:rsid w:val="0C142961"/>
    <w:rsid w:val="0C4D5E73"/>
    <w:rsid w:val="0D447EB9"/>
    <w:rsid w:val="0E0B39D9"/>
    <w:rsid w:val="0F136D5F"/>
    <w:rsid w:val="0F3A3614"/>
    <w:rsid w:val="0F583DCD"/>
    <w:rsid w:val="107462EF"/>
    <w:rsid w:val="108A1444"/>
    <w:rsid w:val="11A27578"/>
    <w:rsid w:val="11D638BA"/>
    <w:rsid w:val="12B409FA"/>
    <w:rsid w:val="12BB75A1"/>
    <w:rsid w:val="14997EA7"/>
    <w:rsid w:val="14C70789"/>
    <w:rsid w:val="150D4A50"/>
    <w:rsid w:val="15B91E83"/>
    <w:rsid w:val="15FB4166"/>
    <w:rsid w:val="16065DEF"/>
    <w:rsid w:val="169E354F"/>
    <w:rsid w:val="176C18A3"/>
    <w:rsid w:val="17FB78A1"/>
    <w:rsid w:val="18F759EF"/>
    <w:rsid w:val="19A61B96"/>
    <w:rsid w:val="19DD3CFB"/>
    <w:rsid w:val="19F1171D"/>
    <w:rsid w:val="19F65454"/>
    <w:rsid w:val="1AA036F0"/>
    <w:rsid w:val="1AE83444"/>
    <w:rsid w:val="1C805E5B"/>
    <w:rsid w:val="1D126A49"/>
    <w:rsid w:val="1DAD49C3"/>
    <w:rsid w:val="1EA25BAA"/>
    <w:rsid w:val="1FC14756"/>
    <w:rsid w:val="200A3D4E"/>
    <w:rsid w:val="22C75BE0"/>
    <w:rsid w:val="234F7FFF"/>
    <w:rsid w:val="23B048C6"/>
    <w:rsid w:val="243948BB"/>
    <w:rsid w:val="24547947"/>
    <w:rsid w:val="249F749A"/>
    <w:rsid w:val="24F26AD5"/>
    <w:rsid w:val="251E565A"/>
    <w:rsid w:val="25F3318F"/>
    <w:rsid w:val="266B064C"/>
    <w:rsid w:val="26754358"/>
    <w:rsid w:val="268F4C66"/>
    <w:rsid w:val="27724F60"/>
    <w:rsid w:val="27AD67B7"/>
    <w:rsid w:val="2A465EF5"/>
    <w:rsid w:val="2AD24BF6"/>
    <w:rsid w:val="2AE00186"/>
    <w:rsid w:val="2B0E58B3"/>
    <w:rsid w:val="2B1D313C"/>
    <w:rsid w:val="2BA1404C"/>
    <w:rsid w:val="2CF3467C"/>
    <w:rsid w:val="2D2409EB"/>
    <w:rsid w:val="2D7E77E3"/>
    <w:rsid w:val="2E3A72C6"/>
    <w:rsid w:val="2F2B4C36"/>
    <w:rsid w:val="2F843677"/>
    <w:rsid w:val="2F9037FD"/>
    <w:rsid w:val="30A02706"/>
    <w:rsid w:val="30F70992"/>
    <w:rsid w:val="30F92976"/>
    <w:rsid w:val="3136299A"/>
    <w:rsid w:val="3207249C"/>
    <w:rsid w:val="32321E1C"/>
    <w:rsid w:val="32531B4E"/>
    <w:rsid w:val="3334071C"/>
    <w:rsid w:val="34B60ED2"/>
    <w:rsid w:val="34B940F2"/>
    <w:rsid w:val="34D4418C"/>
    <w:rsid w:val="34F25D61"/>
    <w:rsid w:val="351D3D85"/>
    <w:rsid w:val="3542559A"/>
    <w:rsid w:val="368220F2"/>
    <w:rsid w:val="372E5DD5"/>
    <w:rsid w:val="39352F70"/>
    <w:rsid w:val="39B90520"/>
    <w:rsid w:val="3A3533F4"/>
    <w:rsid w:val="3AED5FA8"/>
    <w:rsid w:val="3B196D9D"/>
    <w:rsid w:val="3B5B5607"/>
    <w:rsid w:val="3B6A43DD"/>
    <w:rsid w:val="3B7C7A57"/>
    <w:rsid w:val="3CA42C54"/>
    <w:rsid w:val="3E014244"/>
    <w:rsid w:val="3E9E5F37"/>
    <w:rsid w:val="3EA572C5"/>
    <w:rsid w:val="3ECF75FC"/>
    <w:rsid w:val="3EE65DB0"/>
    <w:rsid w:val="3FE660EF"/>
    <w:rsid w:val="3FEE6A4A"/>
    <w:rsid w:val="40766F2F"/>
    <w:rsid w:val="407A4800"/>
    <w:rsid w:val="41066EA2"/>
    <w:rsid w:val="41281AE7"/>
    <w:rsid w:val="41D57EC1"/>
    <w:rsid w:val="41D659E7"/>
    <w:rsid w:val="422E5823"/>
    <w:rsid w:val="42AE0712"/>
    <w:rsid w:val="42B357A3"/>
    <w:rsid w:val="436D706C"/>
    <w:rsid w:val="437C611B"/>
    <w:rsid w:val="43E66C40"/>
    <w:rsid w:val="43F873F7"/>
    <w:rsid w:val="444D62B8"/>
    <w:rsid w:val="44692B43"/>
    <w:rsid w:val="44A229EB"/>
    <w:rsid w:val="457B6EA7"/>
    <w:rsid w:val="45BC4EF4"/>
    <w:rsid w:val="45E42D27"/>
    <w:rsid w:val="47A0687C"/>
    <w:rsid w:val="48335942"/>
    <w:rsid w:val="488969DD"/>
    <w:rsid w:val="48BA4E3E"/>
    <w:rsid w:val="4904250E"/>
    <w:rsid w:val="49543DC1"/>
    <w:rsid w:val="4A025F64"/>
    <w:rsid w:val="4B9E1E4F"/>
    <w:rsid w:val="4BD123B2"/>
    <w:rsid w:val="4C6409E9"/>
    <w:rsid w:val="4C7B7D25"/>
    <w:rsid w:val="4D01600E"/>
    <w:rsid w:val="4D230F75"/>
    <w:rsid w:val="4D6C669F"/>
    <w:rsid w:val="4DA44BEC"/>
    <w:rsid w:val="4DAC4A19"/>
    <w:rsid w:val="4E2F68D1"/>
    <w:rsid w:val="4E402C73"/>
    <w:rsid w:val="4E972591"/>
    <w:rsid w:val="4EC015B1"/>
    <w:rsid w:val="4F443F90"/>
    <w:rsid w:val="4F5C20E5"/>
    <w:rsid w:val="4F986150"/>
    <w:rsid w:val="509205B0"/>
    <w:rsid w:val="516923D4"/>
    <w:rsid w:val="51AB09B6"/>
    <w:rsid w:val="51DA4458"/>
    <w:rsid w:val="51DD247A"/>
    <w:rsid w:val="52666914"/>
    <w:rsid w:val="52C8137C"/>
    <w:rsid w:val="53176397"/>
    <w:rsid w:val="53191BD8"/>
    <w:rsid w:val="53212333"/>
    <w:rsid w:val="53750A51"/>
    <w:rsid w:val="53E126F6"/>
    <w:rsid w:val="53E738DD"/>
    <w:rsid w:val="540A00DF"/>
    <w:rsid w:val="54266161"/>
    <w:rsid w:val="54316AAD"/>
    <w:rsid w:val="54505185"/>
    <w:rsid w:val="54624EB9"/>
    <w:rsid w:val="55C13BE6"/>
    <w:rsid w:val="56C47577"/>
    <w:rsid w:val="56E26F1A"/>
    <w:rsid w:val="57811AFA"/>
    <w:rsid w:val="586D64A8"/>
    <w:rsid w:val="58850B9C"/>
    <w:rsid w:val="58FE7456"/>
    <w:rsid w:val="59B2635D"/>
    <w:rsid w:val="59E06353"/>
    <w:rsid w:val="59F209F7"/>
    <w:rsid w:val="5AAF793F"/>
    <w:rsid w:val="5AEC67FA"/>
    <w:rsid w:val="5B582874"/>
    <w:rsid w:val="5C375640"/>
    <w:rsid w:val="5CB55884"/>
    <w:rsid w:val="5D3A5B17"/>
    <w:rsid w:val="5DC54D6A"/>
    <w:rsid w:val="5DFB0858"/>
    <w:rsid w:val="5ED61A68"/>
    <w:rsid w:val="5EE97D23"/>
    <w:rsid w:val="5FB702F3"/>
    <w:rsid w:val="5FC24942"/>
    <w:rsid w:val="603E210B"/>
    <w:rsid w:val="60441932"/>
    <w:rsid w:val="60601378"/>
    <w:rsid w:val="61B1083E"/>
    <w:rsid w:val="621945FC"/>
    <w:rsid w:val="628C1BEE"/>
    <w:rsid w:val="6297671D"/>
    <w:rsid w:val="62F53AC8"/>
    <w:rsid w:val="632A05BD"/>
    <w:rsid w:val="65176D90"/>
    <w:rsid w:val="652F7039"/>
    <w:rsid w:val="65972412"/>
    <w:rsid w:val="65C0678F"/>
    <w:rsid w:val="65DE078B"/>
    <w:rsid w:val="66D97C27"/>
    <w:rsid w:val="688E327E"/>
    <w:rsid w:val="6B252A70"/>
    <w:rsid w:val="6B9145AA"/>
    <w:rsid w:val="6C100B8B"/>
    <w:rsid w:val="6C621AA2"/>
    <w:rsid w:val="6D0611AC"/>
    <w:rsid w:val="6D9A109B"/>
    <w:rsid w:val="6DBF777E"/>
    <w:rsid w:val="6E6164B5"/>
    <w:rsid w:val="6E8F51E0"/>
    <w:rsid w:val="6EDA3817"/>
    <w:rsid w:val="6EE167E4"/>
    <w:rsid w:val="6FD022E5"/>
    <w:rsid w:val="6FDB6359"/>
    <w:rsid w:val="7074681C"/>
    <w:rsid w:val="707C7E64"/>
    <w:rsid w:val="71D83A8B"/>
    <w:rsid w:val="720A08A1"/>
    <w:rsid w:val="7275609B"/>
    <w:rsid w:val="733504E8"/>
    <w:rsid w:val="733A1083"/>
    <w:rsid w:val="73637DB5"/>
    <w:rsid w:val="75114065"/>
    <w:rsid w:val="757E7565"/>
    <w:rsid w:val="76126652"/>
    <w:rsid w:val="76991BEC"/>
    <w:rsid w:val="7798126F"/>
    <w:rsid w:val="77DC592E"/>
    <w:rsid w:val="78360DC6"/>
    <w:rsid w:val="787A6B4F"/>
    <w:rsid w:val="789B3E8B"/>
    <w:rsid w:val="789D671C"/>
    <w:rsid w:val="795B3FBE"/>
    <w:rsid w:val="7A1545F8"/>
    <w:rsid w:val="7A471471"/>
    <w:rsid w:val="7AFA1CAA"/>
    <w:rsid w:val="7B222A21"/>
    <w:rsid w:val="7BB3231A"/>
    <w:rsid w:val="7BEF3979"/>
    <w:rsid w:val="7C0337B4"/>
    <w:rsid w:val="7C2B3C5E"/>
    <w:rsid w:val="7CB44DAC"/>
    <w:rsid w:val="7CBA4FE2"/>
    <w:rsid w:val="7E25749C"/>
    <w:rsid w:val="7F2D0A2D"/>
    <w:rsid w:val="7F7D6EC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qFormat="1" w:unhideWhenUsed="0" w:uiPriority="39"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99"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ind w:firstLine="720" w:firstLineChars="200"/>
      <w:jc w:val="both"/>
    </w:pPr>
    <w:rPr>
      <w:rFonts w:ascii="Times New Roman" w:hAnsi="Times New Roman" w:eastAsia="宋体" w:cs="Times New Roman"/>
      <w:kern w:val="2"/>
      <w:sz w:val="24"/>
      <w:szCs w:val="24"/>
      <w:lang w:val="en-US" w:eastAsia="zh-CN" w:bidi="ar-SA"/>
    </w:rPr>
  </w:style>
  <w:style w:type="paragraph" w:styleId="2">
    <w:name w:val="heading 1"/>
    <w:basedOn w:val="1"/>
    <w:next w:val="1"/>
    <w:link w:val="27"/>
    <w:autoRedefine/>
    <w:qFormat/>
    <w:uiPriority w:val="0"/>
    <w:pPr>
      <w:keepNext/>
      <w:tabs>
        <w:tab w:val="left" w:pos="345"/>
      </w:tabs>
      <w:spacing w:before="50" w:beforeLines="50" w:line="360" w:lineRule="auto"/>
      <w:ind w:left="0" w:firstLine="0" w:firstLineChars="0"/>
      <w:jc w:val="left"/>
      <w:outlineLvl w:val="0"/>
    </w:pPr>
    <w:rPr>
      <w:rFonts w:ascii="Times New Roman" w:hAnsi="Times New Roman"/>
      <w:b/>
      <w:sz w:val="32"/>
    </w:rPr>
  </w:style>
  <w:style w:type="paragraph" w:styleId="3">
    <w:name w:val="heading 2"/>
    <w:basedOn w:val="2"/>
    <w:next w:val="1"/>
    <w:link w:val="29"/>
    <w:unhideWhenUsed/>
    <w:qFormat/>
    <w:uiPriority w:val="0"/>
    <w:pPr>
      <w:keepNext/>
      <w:keepLines/>
      <w:spacing w:beforeAutospacing="0" w:after="50" w:afterLines="50" w:afterAutospacing="0" w:line="240" w:lineRule="auto"/>
      <w:ind w:firstLine="0" w:firstLineChars="0"/>
      <w:jc w:val="left"/>
      <w:outlineLvl w:val="1"/>
    </w:pPr>
    <w:rPr>
      <w:rFonts w:ascii="Times New Roman" w:hAnsi="Times New Roman" w:eastAsia="宋体"/>
      <w:sz w:val="30"/>
    </w:rPr>
  </w:style>
  <w:style w:type="paragraph" w:styleId="4">
    <w:name w:val="heading 3"/>
    <w:basedOn w:val="1"/>
    <w:next w:val="1"/>
    <w:unhideWhenUsed/>
    <w:qFormat/>
    <w:uiPriority w:val="0"/>
    <w:pPr>
      <w:spacing w:before="50" w:beforeLines="50" w:beforeAutospacing="0" w:after="50" w:afterLines="50" w:afterAutospacing="0" w:line="240" w:lineRule="auto"/>
      <w:ind w:firstLine="0" w:firstLineChars="0"/>
      <w:jc w:val="left"/>
      <w:outlineLvl w:val="2"/>
    </w:pPr>
    <w:rPr>
      <w:rFonts w:hint="default" w:ascii="Times New Roman" w:hAnsi="Times New Roman" w:eastAsia="宋体" w:cs="宋体"/>
      <w:b/>
      <w:bCs/>
      <w:kern w:val="0"/>
      <w:sz w:val="28"/>
      <w:szCs w:val="27"/>
      <w:lang w:bidi="ar"/>
    </w:rPr>
  </w:style>
  <w:style w:type="paragraph" w:styleId="5">
    <w:name w:val="heading 4"/>
    <w:basedOn w:val="4"/>
    <w:next w:val="1"/>
    <w:semiHidden/>
    <w:unhideWhenUsed/>
    <w:qFormat/>
    <w:uiPriority w:val="0"/>
    <w:pPr>
      <w:numPr>
        <w:ilvl w:val="3"/>
        <w:numId w:val="1"/>
      </w:numPr>
      <w:spacing w:line="360" w:lineRule="auto"/>
      <w:outlineLvl w:val="3"/>
    </w:pPr>
    <w:rPr>
      <w:rFonts w:eastAsia="宋体"/>
      <w:sz w:val="24"/>
    </w:rPr>
  </w:style>
  <w:style w:type="character" w:default="1" w:styleId="22">
    <w:name w:val="Default Paragraph Font"/>
    <w:autoRedefine/>
    <w:qFormat/>
    <w:uiPriority w:val="0"/>
  </w:style>
  <w:style w:type="table" w:default="1" w:styleId="20">
    <w:name w:val="Normal Table"/>
    <w:autoRedefine/>
    <w:semiHidden/>
    <w:qFormat/>
    <w:uiPriority w:val="0"/>
    <w:tblPr>
      <w:tblCellMar>
        <w:top w:w="0" w:type="dxa"/>
        <w:left w:w="108" w:type="dxa"/>
        <w:bottom w:w="0" w:type="dxa"/>
        <w:right w:w="108" w:type="dxa"/>
      </w:tblCellMar>
    </w:tblPr>
  </w:style>
  <w:style w:type="paragraph" w:styleId="6">
    <w:name w:val="toc 7"/>
    <w:basedOn w:val="1"/>
    <w:next w:val="1"/>
    <w:qFormat/>
    <w:uiPriority w:val="39"/>
    <w:pPr>
      <w:ind w:left="1260"/>
      <w:jc w:val="left"/>
    </w:pPr>
    <w:rPr>
      <w:sz w:val="18"/>
      <w:szCs w:val="18"/>
    </w:rPr>
  </w:style>
  <w:style w:type="paragraph" w:styleId="7">
    <w:name w:val="Normal Indent"/>
    <w:basedOn w:val="1"/>
    <w:qFormat/>
    <w:uiPriority w:val="0"/>
    <w:pPr>
      <w:widowControl w:val="0"/>
      <w:ind w:firstLine="420"/>
      <w:jc w:val="both"/>
    </w:pPr>
    <w:rPr>
      <w:rFonts w:ascii="Times New Roman" w:hAnsi="Times New Roman" w:eastAsia="宋体" w:cs="Times New Roman"/>
      <w:kern w:val="2"/>
      <w:sz w:val="21"/>
      <w:szCs w:val="24"/>
      <w:lang w:val="en-US" w:eastAsia="zh-CN" w:bidi="ar-SA"/>
    </w:rPr>
  </w:style>
  <w:style w:type="paragraph" w:styleId="8">
    <w:name w:val="annotation text"/>
    <w:basedOn w:val="1"/>
    <w:qFormat/>
    <w:uiPriority w:val="0"/>
    <w:pPr>
      <w:jc w:val="left"/>
    </w:pPr>
  </w:style>
  <w:style w:type="paragraph" w:styleId="9">
    <w:name w:val="Salutation"/>
    <w:basedOn w:val="1"/>
    <w:next w:val="1"/>
    <w:qFormat/>
    <w:uiPriority w:val="99"/>
    <w:pPr>
      <w:widowControl w:val="0"/>
      <w:spacing w:line="307" w:lineRule="auto"/>
      <w:jc w:val="both"/>
    </w:pPr>
    <w:rPr>
      <w:rFonts w:ascii="Times New Roman" w:hAnsi="Times New Roman" w:eastAsia="宋体" w:cs="Times New Roman"/>
      <w:kern w:val="2"/>
      <w:sz w:val="21"/>
      <w:szCs w:val="24"/>
      <w:lang w:val="en-US" w:eastAsia="zh-CN" w:bidi="ar-SA"/>
    </w:rPr>
  </w:style>
  <w:style w:type="paragraph" w:styleId="10">
    <w:name w:val="Body Text"/>
    <w:basedOn w:val="1"/>
    <w:next w:val="9"/>
    <w:qFormat/>
    <w:uiPriority w:val="0"/>
    <w:pPr>
      <w:widowControl/>
      <w:snapToGrid w:val="0"/>
      <w:spacing w:before="60" w:after="160" w:line="259" w:lineRule="auto"/>
      <w:ind w:right="113"/>
      <w:jc w:val="both"/>
    </w:pPr>
    <w:rPr>
      <w:rFonts w:ascii="Times New Roman" w:hAnsi="Times New Roman" w:eastAsia="宋体" w:cs="Times New Roman"/>
      <w:kern w:val="0"/>
      <w:sz w:val="18"/>
      <w:szCs w:val="20"/>
      <w:lang w:val="en-US" w:eastAsia="zh-CN" w:bidi="ar-SA"/>
    </w:rPr>
  </w:style>
  <w:style w:type="paragraph" w:styleId="11">
    <w:name w:val="Body Text Indent"/>
    <w:basedOn w:val="1"/>
    <w:next w:val="12"/>
    <w:link w:val="36"/>
    <w:qFormat/>
    <w:uiPriority w:val="0"/>
    <w:pPr>
      <w:spacing w:after="120"/>
      <w:ind w:left="420" w:leftChars="200"/>
    </w:pPr>
    <w:rPr>
      <w:kern w:val="0"/>
      <w:sz w:val="24"/>
      <w:szCs w:val="20"/>
    </w:rPr>
  </w:style>
  <w:style w:type="paragraph" w:styleId="12">
    <w:name w:val="Balloon Text"/>
    <w:basedOn w:val="1"/>
    <w:next w:val="10"/>
    <w:semiHidden/>
    <w:qFormat/>
    <w:uiPriority w:val="0"/>
    <w:rPr>
      <w:kern w:val="0"/>
      <w:sz w:val="18"/>
      <w:szCs w:val="20"/>
    </w:rPr>
  </w:style>
  <w:style w:type="paragraph" w:styleId="13">
    <w:name w:val="Block Text"/>
    <w:basedOn w:val="1"/>
    <w:qFormat/>
    <w:uiPriority w:val="0"/>
    <w:pPr>
      <w:spacing w:line="440" w:lineRule="exact"/>
      <w:ind w:left="105" w:leftChars="50" w:right="105" w:rightChars="50" w:firstLine="556"/>
    </w:pPr>
    <w:rPr>
      <w:rFonts w:ascii="仿宋_GB2312" w:hAnsi="Monotype Corsiva" w:eastAsia="仿宋_GB2312"/>
      <w:bCs/>
      <w:sz w:val="24"/>
    </w:rPr>
  </w:style>
  <w:style w:type="paragraph" w:styleId="14">
    <w:name w:val="footer"/>
    <w:basedOn w:val="1"/>
    <w:qFormat/>
    <w:uiPriority w:val="99"/>
    <w:pPr>
      <w:widowControl w:val="0"/>
      <w:tabs>
        <w:tab w:val="center" w:pos="4153"/>
        <w:tab w:val="right" w:pos="8306"/>
      </w:tabs>
      <w:snapToGrid w:val="0"/>
      <w:jc w:val="left"/>
    </w:pPr>
    <w:rPr>
      <w:rFonts w:ascii="Times New Roman" w:hAnsi="Times New Roman" w:eastAsia="宋体" w:cs="Times New Roman"/>
      <w:kern w:val="0"/>
      <w:sz w:val="18"/>
      <w:szCs w:val="20"/>
      <w:lang w:val="en-US" w:eastAsia="zh-CN" w:bidi="ar-SA"/>
    </w:rPr>
  </w:style>
  <w:style w:type="paragraph" w:styleId="15">
    <w:name w:val="header"/>
    <w:basedOn w:val="1"/>
    <w:qFormat/>
    <w:uiPriority w:val="0"/>
    <w:pPr>
      <w:widowControl w:val="0"/>
      <w:pBdr>
        <w:bottom w:val="single" w:color="auto" w:sz="6" w:space="1"/>
      </w:pBdr>
      <w:tabs>
        <w:tab w:val="center" w:pos="4153"/>
        <w:tab w:val="right" w:pos="8306"/>
      </w:tabs>
      <w:snapToGrid w:val="0"/>
      <w:jc w:val="center"/>
    </w:pPr>
    <w:rPr>
      <w:rFonts w:ascii="Times New Roman" w:hAnsi="Times New Roman" w:eastAsia="宋体" w:cs="Times New Roman"/>
      <w:kern w:val="0"/>
      <w:sz w:val="18"/>
      <w:szCs w:val="20"/>
      <w:lang w:val="en-US" w:eastAsia="zh-CN" w:bidi="ar-SA"/>
    </w:rPr>
  </w:style>
  <w:style w:type="paragraph" w:styleId="16">
    <w:name w:val="toc 1"/>
    <w:basedOn w:val="1"/>
    <w:next w:val="1"/>
    <w:qFormat/>
    <w:uiPriority w:val="0"/>
  </w:style>
  <w:style w:type="paragraph" w:styleId="17">
    <w:name w:val="Normal (Web)"/>
    <w:basedOn w:val="1"/>
    <w:qFormat/>
    <w:uiPriority w:val="0"/>
    <w:pPr>
      <w:widowControl/>
      <w:spacing w:before="100" w:beforeAutospacing="1" w:after="100" w:afterAutospacing="1"/>
      <w:jc w:val="left"/>
    </w:pPr>
    <w:rPr>
      <w:rFonts w:ascii="宋体" w:hAnsi="宋体" w:eastAsia="宋体" w:cs="Times New Roman"/>
      <w:kern w:val="0"/>
      <w:sz w:val="24"/>
      <w:szCs w:val="20"/>
      <w:lang w:val="en-US" w:eastAsia="zh-CN" w:bidi="ar-SA"/>
    </w:rPr>
  </w:style>
  <w:style w:type="paragraph" w:styleId="18">
    <w:name w:val="Body Text First Indent"/>
    <w:basedOn w:val="10"/>
    <w:next w:val="1"/>
    <w:qFormat/>
    <w:uiPriority w:val="0"/>
    <w:pPr>
      <w:widowControl/>
      <w:snapToGrid w:val="0"/>
      <w:spacing w:before="60" w:after="160" w:line="259" w:lineRule="auto"/>
      <w:ind w:right="113" w:firstLine="420" w:firstLineChars="100"/>
      <w:jc w:val="both"/>
    </w:pPr>
    <w:rPr>
      <w:rFonts w:ascii="Times New Roman" w:hAnsi="Times New Roman" w:eastAsia="宋体" w:cs="Times New Roman"/>
      <w:kern w:val="0"/>
      <w:sz w:val="18"/>
      <w:szCs w:val="20"/>
      <w:lang w:val="en-US" w:eastAsia="zh-CN" w:bidi="ar-SA"/>
    </w:rPr>
  </w:style>
  <w:style w:type="paragraph" w:styleId="19">
    <w:name w:val="Body Text First Indent 2"/>
    <w:basedOn w:val="1"/>
    <w:next w:val="18"/>
    <w:qFormat/>
    <w:uiPriority w:val="0"/>
    <w:pPr>
      <w:keepNext w:val="0"/>
      <w:keepLines w:val="0"/>
      <w:widowControl/>
      <w:suppressLineNumbers w:val="0"/>
      <w:spacing w:before="0" w:beforeAutospacing="0" w:after="120" w:afterAutospacing="0"/>
      <w:ind w:left="420" w:leftChars="200" w:right="0" w:firstLine="420" w:firstLineChars="200"/>
      <w:jc w:val="left"/>
    </w:pPr>
    <w:rPr>
      <w:rFonts w:ascii="Times New Roman" w:hAnsi="Times New Roman" w:eastAsia="宋体" w:cs="Times New Roman"/>
      <w:kern w:val="2"/>
      <w:sz w:val="28"/>
      <w:szCs w:val="28"/>
      <w:lang w:val="en-US" w:eastAsia="zh-CN" w:bidi="ar-SA"/>
    </w:rPr>
  </w:style>
  <w:style w:type="table" w:styleId="21">
    <w:name w:val="Table Grid"/>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Strong"/>
    <w:basedOn w:val="22"/>
    <w:qFormat/>
    <w:uiPriority w:val="0"/>
    <w:rPr>
      <w:b/>
    </w:rPr>
  </w:style>
  <w:style w:type="character" w:styleId="24">
    <w:name w:val="Hyperlink"/>
    <w:basedOn w:val="22"/>
    <w:qFormat/>
    <w:uiPriority w:val="0"/>
    <w:rPr>
      <w:color w:val="0000FF"/>
      <w:u w:val="single"/>
    </w:rPr>
  </w:style>
  <w:style w:type="character" w:styleId="25">
    <w:name w:val="annotation reference"/>
    <w:basedOn w:val="22"/>
    <w:semiHidden/>
    <w:qFormat/>
    <w:uiPriority w:val="0"/>
    <w:rPr>
      <w:sz w:val="21"/>
    </w:rPr>
  </w:style>
  <w:style w:type="paragraph" w:customStyle="1" w:styleId="26">
    <w:name w:val="图片标题"/>
    <w:basedOn w:val="1"/>
    <w:link w:val="41"/>
    <w:autoRedefine/>
    <w:qFormat/>
    <w:uiPriority w:val="0"/>
    <w:pPr>
      <w:spacing w:beforeLines="0" w:line="240" w:lineRule="auto"/>
      <w:ind w:firstLine="0" w:firstLineChars="0"/>
      <w:jc w:val="center"/>
    </w:pPr>
    <w:rPr>
      <w:rFonts w:eastAsia="宋体"/>
      <w:b/>
    </w:rPr>
  </w:style>
  <w:style w:type="character" w:customStyle="1" w:styleId="27">
    <w:name w:val="标题 1 Char"/>
    <w:link w:val="2"/>
    <w:autoRedefine/>
    <w:qFormat/>
    <w:uiPriority w:val="0"/>
    <w:rPr>
      <w:rFonts w:ascii="Times New Roman" w:hAnsi="Times New Roman" w:eastAsia="宋体" w:cs="Times New Roman"/>
      <w:b/>
      <w:bCs/>
      <w:kern w:val="44"/>
      <w:sz w:val="30"/>
      <w:szCs w:val="44"/>
      <w:lang w:val="en-US" w:eastAsia="zh-CN" w:bidi="ar-SA"/>
    </w:rPr>
  </w:style>
  <w:style w:type="paragraph" w:customStyle="1" w:styleId="28">
    <w:name w:val="表格文字"/>
    <w:basedOn w:val="1"/>
    <w:autoRedefine/>
    <w:qFormat/>
    <w:uiPriority w:val="0"/>
    <w:pPr>
      <w:snapToGrid/>
      <w:spacing w:line="240" w:lineRule="auto"/>
      <w:ind w:left="0" w:leftChars="0" w:firstLine="0" w:firstLineChars="0"/>
      <w:jc w:val="center"/>
    </w:pPr>
    <w:rPr>
      <w:rFonts w:ascii="Times New Roman" w:hAnsi="Times New Roman" w:eastAsia="宋体"/>
      <w:sz w:val="21"/>
    </w:rPr>
  </w:style>
  <w:style w:type="character" w:customStyle="1" w:styleId="29">
    <w:name w:val="标题 2 Char"/>
    <w:link w:val="3"/>
    <w:autoRedefine/>
    <w:qFormat/>
    <w:uiPriority w:val="0"/>
    <w:rPr>
      <w:rFonts w:ascii="Times New Roman" w:hAnsi="Times New Roman" w:eastAsia="宋体" w:cs="Times New Roman"/>
      <w:b/>
      <w:sz w:val="30"/>
    </w:rPr>
  </w:style>
  <w:style w:type="paragraph" w:customStyle="1" w:styleId="30">
    <w:name w:val="Default"/>
    <w:basedOn w:val="31"/>
    <w:next w:val="32"/>
    <w:qFormat/>
    <w:uiPriority w:val="0"/>
    <w:pPr>
      <w:widowControl w:val="0"/>
      <w:autoSpaceDE w:val="0"/>
      <w:autoSpaceDN w:val="0"/>
      <w:adjustRightInd w:val="0"/>
    </w:pPr>
    <w:rPr>
      <w:rFonts w:ascii="Arial Unicode MS" w:hAnsi="Arial Unicode MS" w:eastAsia="宋体" w:cs="Arial Unicode MS"/>
      <w:color w:val="000000"/>
      <w:sz w:val="24"/>
      <w:szCs w:val="24"/>
      <w:lang w:val="en-US" w:eastAsia="zh-CN" w:bidi="ar-SA"/>
    </w:rPr>
  </w:style>
  <w:style w:type="paragraph" w:customStyle="1" w:styleId="31">
    <w:name w:val="纯文本1"/>
    <w:basedOn w:val="1"/>
    <w:qFormat/>
    <w:uiPriority w:val="0"/>
    <w:pPr>
      <w:adjustRightInd w:val="0"/>
    </w:pPr>
    <w:rPr>
      <w:rFonts w:ascii="宋体" w:hAnsi="Courier New"/>
      <w:szCs w:val="20"/>
    </w:rPr>
  </w:style>
  <w:style w:type="paragraph" w:customStyle="1" w:styleId="32">
    <w:name w:val="正文文字 6"/>
    <w:next w:val="1"/>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customStyle="1" w:styleId="33">
    <w:name w:val="表头"/>
    <w:basedOn w:val="28"/>
    <w:next w:val="28"/>
    <w:link w:val="42"/>
    <w:qFormat/>
    <w:uiPriority w:val="0"/>
    <w:pPr>
      <w:keepNext/>
      <w:spacing w:before="50" w:beforeLines="50" w:after="50" w:afterLines="50"/>
    </w:pPr>
    <w:rPr>
      <w:rFonts w:ascii="Times New Roman" w:hAnsi="Times New Roman" w:eastAsia="宋体"/>
      <w:b/>
    </w:rPr>
  </w:style>
  <w:style w:type="table" w:customStyle="1" w:styleId="34">
    <w:name w:val="样式6"/>
    <w:basedOn w:val="20"/>
    <w:qFormat/>
    <w:uiPriority w:val="99"/>
    <w:pPr>
      <w:jc w:val="center"/>
    </w:pPr>
    <w:rPr>
      <w:rFonts w:ascii="Times New Roman" w:hAnsi="Times New Roman"/>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style>
  <w:style w:type="paragraph" w:styleId="35">
    <w:name w:val="List Paragraph"/>
    <w:basedOn w:val="1"/>
    <w:unhideWhenUsed/>
    <w:qFormat/>
    <w:uiPriority w:val="99"/>
    <w:pPr>
      <w:ind w:firstLine="420" w:firstLineChars="200"/>
    </w:pPr>
    <w:rPr>
      <w:rFonts w:ascii="Times New Roman" w:hAnsi="Times New Roman" w:eastAsia="宋体"/>
    </w:rPr>
  </w:style>
  <w:style w:type="character" w:customStyle="1" w:styleId="36">
    <w:name w:val="正文文本缩进 Char"/>
    <w:basedOn w:val="22"/>
    <w:link w:val="11"/>
    <w:semiHidden/>
    <w:qFormat/>
    <w:locked/>
    <w:uiPriority w:val="0"/>
    <w:rPr>
      <w:kern w:val="0"/>
      <w:sz w:val="24"/>
      <w:szCs w:val="20"/>
    </w:rPr>
  </w:style>
  <w:style w:type="paragraph" w:customStyle="1" w:styleId="37">
    <w:name w:val="表格内容Q1"/>
    <w:basedOn w:val="1"/>
    <w:qFormat/>
    <w:uiPriority w:val="0"/>
    <w:pPr>
      <w:spacing w:line="240" w:lineRule="auto"/>
      <w:ind w:firstLine="0" w:firstLineChars="0"/>
      <w:jc w:val="center"/>
    </w:pPr>
    <w:rPr>
      <w:kern w:val="0"/>
      <w:sz w:val="18"/>
      <w:szCs w:val="20"/>
    </w:rPr>
  </w:style>
  <w:style w:type="paragraph" w:customStyle="1" w:styleId="38">
    <w:name w:val="a表格"/>
    <w:basedOn w:val="1"/>
    <w:qFormat/>
    <w:uiPriority w:val="0"/>
    <w:pPr>
      <w:snapToGrid w:val="0"/>
      <w:ind w:firstLine="0"/>
      <w:jc w:val="center"/>
    </w:pPr>
    <w:rPr>
      <w:rFonts w:eastAsia="宋体"/>
      <w:sz w:val="21"/>
      <w:szCs w:val="24"/>
    </w:rPr>
  </w:style>
  <w:style w:type="paragraph" w:customStyle="1" w:styleId="39">
    <w:name w:val="常用"/>
    <w:basedOn w:val="1"/>
    <w:qFormat/>
    <w:uiPriority w:val="0"/>
    <w:pPr>
      <w:widowControl/>
      <w:spacing w:line="360" w:lineRule="auto"/>
      <w:ind w:firstLine="200" w:firstLineChars="200"/>
      <w:jc w:val="left"/>
    </w:pPr>
    <w:rPr>
      <w:rFonts w:ascii="宋体" w:hAnsi="宋体" w:eastAsia="宋体"/>
      <w:kern w:val="0"/>
      <w:szCs w:val="28"/>
    </w:rPr>
  </w:style>
  <w:style w:type="paragraph" w:customStyle="1" w:styleId="40">
    <w:name w:val="表格固定文字"/>
    <w:basedOn w:val="1"/>
    <w:qFormat/>
    <w:uiPriority w:val="0"/>
    <w:pPr>
      <w:ind w:firstLine="0"/>
    </w:pPr>
    <w:rPr>
      <w:rFonts w:eastAsia="宋体"/>
      <w:sz w:val="21"/>
      <w:szCs w:val="24"/>
    </w:rPr>
  </w:style>
  <w:style w:type="character" w:customStyle="1" w:styleId="41">
    <w:name w:val="图片标题 Char"/>
    <w:link w:val="26"/>
    <w:qFormat/>
    <w:uiPriority w:val="0"/>
    <w:rPr>
      <w:rFonts w:eastAsia="宋体"/>
      <w:b/>
    </w:rPr>
  </w:style>
  <w:style w:type="character" w:customStyle="1" w:styleId="42">
    <w:name w:val="表头 Char"/>
    <w:link w:val="33"/>
    <w:qFormat/>
    <w:uiPriority w:val="0"/>
    <w:rPr>
      <w:rFonts w:ascii="Times New Roman" w:hAnsi="Times New Roman" w:eastAsia="宋体"/>
      <w:b/>
    </w:rPr>
  </w:style>
  <w:style w:type="paragraph" w:customStyle="1" w:styleId="43">
    <w:name w:val="表格字体"/>
    <w:qFormat/>
    <w:uiPriority w:val="0"/>
    <w:pPr>
      <w:snapToGrid w:val="0"/>
      <w:jc w:val="center"/>
    </w:pPr>
    <w:rPr>
      <w:rFonts w:ascii="Times New Roman" w:hAnsi="Times New Roman" w:eastAsia="宋体" w:cs="Times New Roman"/>
      <w:kern w:val="2"/>
      <w:sz w:val="21"/>
      <w:lang w:val="en-US" w:eastAsia="zh-CN" w:bidi="ar-SA"/>
    </w:rPr>
  </w:style>
  <w:style w:type="paragraph" w:customStyle="1" w:styleId="44">
    <w:name w:val=" Char Char Char Char Char Char Char Char Char1 Char"/>
    <w:basedOn w:val="1"/>
    <w:semiHidden/>
    <w:qFormat/>
    <w:uiPriority w:val="0"/>
    <w:pPr>
      <w:ind w:firstLine="0"/>
    </w:pPr>
    <w:rPr>
      <w:rFonts w:ascii="宋体" w:hAnsi="宋体" w:eastAsia="宋体" w:cs="Courier New"/>
      <w:sz w:val="32"/>
      <w:szCs w:val="32"/>
    </w:rPr>
  </w:style>
  <w:style w:type="paragraph" w:customStyle="1" w:styleId="45">
    <w:name w:val="5文章(治)"/>
    <w:basedOn w:val="1"/>
    <w:qFormat/>
    <w:uiPriority w:val="0"/>
    <w:pPr>
      <w:keepNext w:val="0"/>
      <w:keepLines w:val="0"/>
      <w:widowControl w:val="0"/>
      <w:suppressLineNumbers w:val="0"/>
      <w:spacing w:before="0" w:beforeAutospacing="0" w:after="0" w:afterAutospacing="0" w:line="360" w:lineRule="auto"/>
      <w:ind w:left="0" w:right="0" w:firstLine="560" w:firstLineChars="200"/>
      <w:jc w:val="both"/>
    </w:pPr>
    <w:rPr>
      <w:rFonts w:hint="default" w:ascii="Times New Roman" w:hAnsi="Times New Roman" w:eastAsia="宋体" w:cs="Times New Roman"/>
      <w:kern w:val="2"/>
      <w:sz w:val="24"/>
      <w:szCs w:val="20"/>
      <w:lang w:val="en-US" w:eastAsia="zh-CN" w:bidi="ar-SA"/>
    </w:rPr>
  </w:style>
  <w:style w:type="paragraph" w:customStyle="1" w:styleId="46">
    <w:name w:val="表格内容"/>
    <w:basedOn w:val="47"/>
    <w:qFormat/>
    <w:uiPriority w:val="0"/>
    <w:pPr>
      <w:autoSpaceDE w:val="0"/>
      <w:autoSpaceDN w:val="0"/>
      <w:ind w:firstLine="0"/>
      <w:jc w:val="center"/>
    </w:pPr>
    <w:rPr>
      <w:kern w:val="0"/>
      <w:sz w:val="24"/>
      <w:lang w:bidi="he-IL"/>
    </w:rPr>
  </w:style>
  <w:style w:type="paragraph" w:customStyle="1" w:styleId="47">
    <w:name w:val="内容"/>
    <w:basedOn w:val="1"/>
    <w:qFormat/>
    <w:uiPriority w:val="0"/>
    <w:pPr>
      <w:adjustRightInd w:val="0"/>
      <w:spacing w:before="100" w:beforeLines="50" w:beforeAutospacing="1" w:after="100" w:afterLines="50" w:afterAutospacing="1" w:line="400" w:lineRule="atLeast"/>
      <w:ind w:left="851"/>
      <w:textAlignment w:val="baseline"/>
    </w:pPr>
    <w:rPr>
      <w:kern w:val="0"/>
      <w:sz w:val="24"/>
    </w:rPr>
  </w:style>
  <w:style w:type="character" w:customStyle="1" w:styleId="48">
    <w:name w:val="fontstyle01"/>
    <w:basedOn w:val="22"/>
    <w:qFormat/>
    <w:uiPriority w:val="0"/>
    <w:rPr>
      <w:rFonts w:ascii="宋体" w:hAnsi="宋体" w:eastAsia="宋体" w:cs="宋体"/>
      <w:color w:val="000000"/>
      <w:sz w:val="28"/>
      <w:szCs w:val="28"/>
    </w:rPr>
  </w:style>
  <w:style w:type="paragraph" w:customStyle="1" w:styleId="49">
    <w:name w:val="正文样式"/>
    <w:basedOn w:val="1"/>
    <w:unhideWhenUsed/>
    <w:qFormat/>
    <w:uiPriority w:val="0"/>
    <w:pPr>
      <w:spacing w:line="360" w:lineRule="auto"/>
      <w:ind w:firstLine="720" w:firstLineChars="200"/>
    </w:pPr>
    <w:rPr>
      <w:sz w:val="24"/>
    </w:rPr>
  </w:style>
  <w:style w:type="paragraph" w:customStyle="1" w:styleId="50">
    <w:name w:val="正文样式-zsy"/>
    <w:basedOn w:val="49"/>
    <w:next w:val="1"/>
    <w:qFormat/>
    <w:uiPriority w:val="0"/>
    <w:pPr>
      <w:keepNext/>
      <w:keepLines/>
      <w:spacing w:line="360" w:lineRule="auto"/>
      <w:ind w:firstLine="720" w:firstLineChars="200"/>
      <w:outlineLvl w:val="9"/>
    </w:pPr>
    <w:rPr>
      <w:rFonts w:ascii="Times New Roman" w:hAnsi="Times New Roman" w:eastAsia="宋体"/>
      <w:sz w:val="24"/>
    </w:rPr>
  </w:style>
  <w:style w:type="paragraph" w:customStyle="1" w:styleId="51">
    <w:name w:val="表格样式"/>
    <w:basedOn w:val="1"/>
    <w:next w:val="1"/>
    <w:qFormat/>
    <w:uiPriority w:val="0"/>
    <w:pPr>
      <w:keepNext/>
      <w:overflowPunct w:val="0"/>
      <w:snapToGrid w:val="0"/>
      <w:spacing w:line="340" w:lineRule="exact"/>
      <w:ind w:left="0" w:firstLine="0"/>
      <w:jc w:val="center"/>
      <w:outlineLvl w:val="9"/>
    </w:pPr>
    <w:rPr>
      <w:rFonts w:hint="eastAsia" w:ascii="Times New Roman" w:hAnsi="Times New Roman" w:eastAsia="宋体"/>
      <w:bCs/>
      <w:color w:val="000000"/>
      <w:kern w:val="44"/>
      <w:szCs w:val="30"/>
    </w:rPr>
  </w:style>
  <w:style w:type="paragraph" w:customStyle="1" w:styleId="52">
    <w:name w:val="4正文"/>
    <w:basedOn w:val="1"/>
    <w:qFormat/>
    <w:uiPriority w:val="0"/>
    <w:pPr>
      <w:adjustRightInd w:val="0"/>
      <w:snapToGrid w:val="0"/>
      <w:spacing w:line="360" w:lineRule="auto"/>
      <w:ind w:firstLine="480" w:firstLineChars="200"/>
    </w:pPr>
    <w:rPr>
      <w:rFonts w:eastAsia="宋体" w:cs="宋体"/>
      <w:sz w:val="24"/>
    </w:rPr>
  </w:style>
  <w:style w:type="paragraph" w:customStyle="1" w:styleId="53">
    <w:name w:val="足乐正文"/>
    <w:basedOn w:val="1"/>
    <w:qFormat/>
    <w:uiPriority w:val="0"/>
    <w:pPr>
      <w:spacing w:line="360" w:lineRule="auto"/>
      <w:ind w:firstLine="720" w:firstLineChars="200"/>
    </w:pPr>
    <w:rPr>
      <w:kern w:val="0"/>
      <w:sz w:val="20"/>
      <w:szCs w:val="20"/>
    </w:rPr>
  </w:style>
  <w:style w:type="paragraph" w:customStyle="1" w:styleId="54">
    <w:name w:val="样式 黑色 行距: 最小值 26 磅"/>
    <w:basedOn w:val="1"/>
    <w:qFormat/>
    <w:uiPriority w:val="0"/>
    <w:pPr>
      <w:ind w:firstLine="200" w:firstLineChars="200"/>
    </w:pPr>
    <w:rPr>
      <w:rFonts w:ascii="Times New Roman" w:hAnsi="Times New Roman" w:eastAsia="楷体_GB2312" w:cs="宋体"/>
      <w:color w:val="000000"/>
      <w:spacing w:val="6"/>
      <w:sz w:val="28"/>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endnotes" Target="endnotes.xml"/><Relationship Id="rId37" Type="http://schemas.openxmlformats.org/officeDocument/2006/relationships/fontTable" Target="fontTable.xml"/><Relationship Id="rId36" Type="http://schemas.openxmlformats.org/officeDocument/2006/relationships/numbering" Target="numbering.xml"/><Relationship Id="rId35" Type="http://schemas.openxmlformats.org/officeDocument/2006/relationships/customXml" Target="../customXml/item1.xml"/><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jpeg"/><Relationship Id="rId21" Type="http://schemas.openxmlformats.org/officeDocument/2006/relationships/image" Target="media/image14.emf"/><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emf"/><Relationship Id="rId18" Type="http://schemas.openxmlformats.org/officeDocument/2006/relationships/image" Target="media/image11.wmf"/><Relationship Id="rId17" Type="http://schemas.openxmlformats.org/officeDocument/2006/relationships/image" Target="media/image10.wmf"/><Relationship Id="rId16" Type="http://schemas.openxmlformats.org/officeDocument/2006/relationships/image" Target="media/image9.wmf"/><Relationship Id="rId15" Type="http://schemas.openxmlformats.org/officeDocument/2006/relationships/image" Target="media/image8.wmf"/><Relationship Id="rId14" Type="http://schemas.openxmlformats.org/officeDocument/2006/relationships/image" Target="media/image7.jpeg"/><Relationship Id="rId13" Type="http://schemas.openxmlformats.org/officeDocument/2006/relationships/image" Target="media/image6.wmf"/><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102</Pages>
  <Words>65566</Words>
  <Characters>73095</Characters>
  <Lines>0</Lines>
  <Paragraphs>0</Paragraphs>
  <TotalTime>10</TotalTime>
  <ScaleCrop>false</ScaleCrop>
  <LinksUpToDate>false</LinksUpToDate>
  <CharactersWithSpaces>73509</CharactersWithSpaces>
  <Application>WPS Office_12.8.2.19315_F1E327BC-269C-435d-A152-05C5408002CA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2025-02-05T02:30:00Z</dcterms:created>
  <dc:creator>MIX（环评陈工）</dc:creator>
  <cp:lastModifiedBy>admin</cp:lastModifiedBy>
  <cp:lastPrinted>2025-04-02T03:16:00Z</cp:lastPrinted>
  <dcterms:modified xsi:type="dcterms:W3CDTF">2025-10-31T08:09:28Z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2052-12.8.2.19315</vt:lpwstr>
  </property>
  <property fmtid="{D5CDD505-2E9C-101B-9397-08002B2CF9AE}" pid="3" name="ICV">
    <vt:lpwstr>77ACA4235C6D483882940479E16CDF6A_13</vt:lpwstr>
  </property>
  <property fmtid="{D5CDD505-2E9C-101B-9397-08002B2CF9AE}" pid="4" name="KSOTemplateDocerSaveRecord">
    <vt:lpwstr>eyJoZGlkIjoiYmZlYTE5ZDc4MTljODdiYzkwNzFkZjRjYzc2MDUxMGUiLCJ1c2VySWQiOiIxMjA3MTQyNDI4In0=</vt:lpwstr>
  </property>
</Properties>
</file>