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177FD">
      <w:pPr>
        <w:jc w:val="both"/>
        <w:rPr>
          <w:rFonts w:hint="eastAsia" w:eastAsia="仿宋_GB2312"/>
          <w:color w:val="000000" w:themeColor="text1"/>
          <w:sz w:val="36"/>
          <w:szCs w:val="36"/>
          <w:highlight w:val="none"/>
          <w:lang w:eastAsia="zh-CN"/>
          <w14:textFill>
            <w14:solidFill>
              <w14:schemeClr w14:val="tx1"/>
            </w14:solidFill>
          </w14:textFill>
        </w:rPr>
      </w:pPr>
      <w:r>
        <w:rPr>
          <w:rFonts w:hint="eastAsia" w:eastAsia="仿宋_GB2312"/>
          <w:color w:val="000000" w:themeColor="text1"/>
          <w:sz w:val="36"/>
          <w:szCs w:val="36"/>
          <w:highlight w:val="none"/>
          <w:lang w:eastAsia="zh-CN"/>
          <w14:textFill>
            <w14:solidFill>
              <w14:schemeClr w14:val="tx1"/>
            </w14:solidFill>
          </w14:textFill>
        </w:rPr>
        <w:drawing>
          <wp:inline distT="0" distB="0" distL="114300" distR="114300">
            <wp:extent cx="5609590" cy="7892415"/>
            <wp:effectExtent l="0" t="0" r="10160" b="13335"/>
            <wp:docPr id="58" name="图片 58" descr="环评文件扩建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环评文件扩建_页面_1"/>
                    <pic:cNvPicPr>
                      <a:picLocks noChangeAspect="1"/>
                    </pic:cNvPicPr>
                  </pic:nvPicPr>
                  <pic:blipFill>
                    <a:blip r:embed="rId11"/>
                    <a:stretch>
                      <a:fillRect/>
                    </a:stretch>
                  </pic:blipFill>
                  <pic:spPr>
                    <a:xfrm>
                      <a:off x="0" y="0"/>
                      <a:ext cx="5609590" cy="7892415"/>
                    </a:xfrm>
                    <a:prstGeom prst="rect">
                      <a:avLst/>
                    </a:prstGeom>
                  </pic:spPr>
                </pic:pic>
              </a:graphicData>
            </a:graphic>
          </wp:inline>
        </w:drawing>
      </w:r>
    </w:p>
    <w:p w14:paraId="10CB146B">
      <w:pPr>
        <w:jc w:val="both"/>
        <w:rPr>
          <w:rFonts w:hint="eastAsia" w:eastAsia="仿宋_GB2312"/>
          <w:color w:val="000000" w:themeColor="text1"/>
          <w:sz w:val="36"/>
          <w:szCs w:val="36"/>
          <w:highlight w:val="none"/>
          <w:lang w:eastAsia="zh-CN"/>
          <w14:textFill>
            <w14:solidFill>
              <w14:schemeClr w14:val="tx1"/>
            </w14:solidFill>
          </w14:textFill>
        </w:rPr>
      </w:pPr>
    </w:p>
    <w:p w14:paraId="53E3580E">
      <w:pPr>
        <w:jc w:val="both"/>
        <w:rPr>
          <w:rFonts w:hint="eastAsia" w:eastAsia="仿宋_GB2312"/>
          <w:color w:val="000000" w:themeColor="text1"/>
          <w:sz w:val="36"/>
          <w:szCs w:val="36"/>
          <w:highlight w:val="none"/>
          <w:lang w:eastAsia="zh-CN"/>
          <w14:textFill>
            <w14:solidFill>
              <w14:schemeClr w14:val="tx1"/>
            </w14:solidFill>
          </w14:textFill>
        </w:rPr>
      </w:pPr>
    </w:p>
    <w:p w14:paraId="02399B45">
      <w:pPr>
        <w:jc w:val="both"/>
        <w:rPr>
          <w:rFonts w:hint="eastAsia" w:eastAsia="仿宋_GB2312"/>
          <w:color w:val="000000" w:themeColor="text1"/>
          <w:sz w:val="36"/>
          <w:szCs w:val="36"/>
          <w:highlight w:val="none"/>
          <w:lang w:eastAsia="zh-CN"/>
          <w14:textFill>
            <w14:solidFill>
              <w14:schemeClr w14:val="tx1"/>
            </w14:solidFill>
          </w14:textFill>
        </w:rPr>
      </w:pPr>
    </w:p>
    <w:p w14:paraId="7B7D6FEF">
      <w:pPr>
        <w:jc w:val="both"/>
        <w:rPr>
          <w:rFonts w:hint="eastAsia" w:eastAsia="仿宋_GB2312"/>
          <w:color w:val="000000" w:themeColor="text1"/>
          <w:sz w:val="36"/>
          <w:szCs w:val="36"/>
          <w:highlight w:val="none"/>
          <w:lang w:eastAsia="zh-CN"/>
          <w14:textFill>
            <w14:solidFill>
              <w14:schemeClr w14:val="tx1"/>
            </w14:solidFill>
          </w14:textFill>
        </w:rPr>
      </w:pPr>
    </w:p>
    <w:p w14:paraId="02BD324F">
      <w:pPr>
        <w:jc w:val="both"/>
        <w:rPr>
          <w:rFonts w:hint="eastAsia" w:eastAsia="仿宋_GB2312"/>
          <w:color w:val="000000" w:themeColor="text1"/>
          <w:sz w:val="36"/>
          <w:szCs w:val="36"/>
          <w:highlight w:val="none"/>
          <w:lang w:eastAsia="zh-CN"/>
          <w14:textFill>
            <w14:solidFill>
              <w14:schemeClr w14:val="tx1"/>
            </w14:solidFill>
          </w14:textFill>
        </w:rPr>
      </w:pPr>
    </w:p>
    <w:p w14:paraId="79005ABA">
      <w:pPr>
        <w:jc w:val="both"/>
        <w:rPr>
          <w:rFonts w:hint="eastAsia" w:eastAsia="仿宋_GB2312"/>
          <w:color w:val="000000" w:themeColor="text1"/>
          <w:sz w:val="36"/>
          <w:szCs w:val="36"/>
          <w:highlight w:val="none"/>
          <w:lang w:eastAsia="zh-CN"/>
          <w14:textFill>
            <w14:solidFill>
              <w14:schemeClr w14:val="tx1"/>
            </w14:solidFill>
          </w14:textFill>
        </w:rPr>
      </w:pPr>
    </w:p>
    <w:p w14:paraId="33D8A6A6">
      <w:pPr>
        <w:jc w:val="both"/>
        <w:rPr>
          <w:rFonts w:hint="eastAsia" w:eastAsia="仿宋_GB2312"/>
          <w:color w:val="000000" w:themeColor="text1"/>
          <w:sz w:val="36"/>
          <w:szCs w:val="36"/>
          <w:highlight w:val="none"/>
          <w:lang w:eastAsia="zh-CN"/>
          <w14:textFill>
            <w14:solidFill>
              <w14:schemeClr w14:val="tx1"/>
            </w14:solidFill>
          </w14:textFill>
        </w:rPr>
      </w:pPr>
      <w:bookmarkStart w:id="9" w:name="_GoBack"/>
      <w:bookmarkEnd w:id="9"/>
    </w:p>
    <w:p w14:paraId="7A467B58">
      <w:pPr>
        <w:jc w:val="both"/>
        <w:rPr>
          <w:rFonts w:hint="eastAsia" w:eastAsia="仿宋_GB2312"/>
          <w:color w:val="000000" w:themeColor="text1"/>
          <w:sz w:val="36"/>
          <w:szCs w:val="36"/>
          <w:highlight w:val="none"/>
          <w:lang w:eastAsia="zh-CN"/>
          <w14:textFill>
            <w14:solidFill>
              <w14:schemeClr w14:val="tx1"/>
            </w14:solidFill>
          </w14:textFill>
        </w:rPr>
      </w:pPr>
    </w:p>
    <w:p w14:paraId="25D9DD36">
      <w:pPr>
        <w:jc w:val="both"/>
        <w:rPr>
          <w:rFonts w:hint="eastAsia" w:eastAsia="仿宋_GB2312"/>
          <w:color w:val="000000" w:themeColor="text1"/>
          <w:sz w:val="36"/>
          <w:szCs w:val="36"/>
          <w:highlight w:val="none"/>
          <w:lang w:eastAsia="zh-CN"/>
          <w14:textFill>
            <w14:solidFill>
              <w14:schemeClr w14:val="tx1"/>
            </w14:solidFill>
          </w14:textFill>
        </w:rPr>
      </w:pPr>
    </w:p>
    <w:p w14:paraId="10153D1B">
      <w:pPr>
        <w:jc w:val="both"/>
        <w:rPr>
          <w:rFonts w:hint="eastAsia" w:eastAsia="仿宋_GB2312"/>
          <w:color w:val="000000" w:themeColor="text1"/>
          <w:sz w:val="36"/>
          <w:szCs w:val="36"/>
          <w:highlight w:val="none"/>
          <w:lang w:eastAsia="zh-CN"/>
          <w14:textFill>
            <w14:solidFill>
              <w14:schemeClr w14:val="tx1"/>
            </w14:solidFill>
          </w14:textFill>
        </w:rPr>
      </w:pPr>
    </w:p>
    <w:p w14:paraId="36ABEDE5">
      <w:pPr>
        <w:jc w:val="both"/>
        <w:rPr>
          <w:rFonts w:hint="eastAsia" w:eastAsia="仿宋_GB2312"/>
          <w:color w:val="000000" w:themeColor="text1"/>
          <w:sz w:val="36"/>
          <w:szCs w:val="36"/>
          <w:highlight w:val="none"/>
          <w:lang w:eastAsia="zh-CN"/>
          <w14:textFill>
            <w14:solidFill>
              <w14:schemeClr w14:val="tx1"/>
            </w14:solidFill>
          </w14:textFill>
        </w:rPr>
      </w:pPr>
    </w:p>
    <w:p w14:paraId="7382B532">
      <w:pPr>
        <w:jc w:val="both"/>
        <w:rPr>
          <w:rFonts w:hint="eastAsia" w:eastAsia="仿宋_GB2312"/>
          <w:color w:val="000000" w:themeColor="text1"/>
          <w:sz w:val="36"/>
          <w:szCs w:val="36"/>
          <w:highlight w:val="none"/>
          <w:lang w:eastAsia="zh-CN"/>
          <w14:textFill>
            <w14:solidFill>
              <w14:schemeClr w14:val="tx1"/>
            </w14:solidFill>
          </w14:textFill>
        </w:rPr>
      </w:pPr>
    </w:p>
    <w:p w14:paraId="303C7EC3">
      <w:pPr>
        <w:jc w:val="both"/>
        <w:rPr>
          <w:rFonts w:hint="eastAsia" w:eastAsia="仿宋_GB2312"/>
          <w:color w:val="000000" w:themeColor="text1"/>
          <w:sz w:val="36"/>
          <w:szCs w:val="36"/>
          <w:highlight w:val="none"/>
          <w:lang w:eastAsia="zh-CN"/>
          <w14:textFill>
            <w14:solidFill>
              <w14:schemeClr w14:val="tx1"/>
            </w14:solidFill>
          </w14:textFill>
        </w:rPr>
      </w:pPr>
    </w:p>
    <w:p w14:paraId="4D6561D8">
      <w:pPr>
        <w:jc w:val="both"/>
        <w:rPr>
          <w:rFonts w:eastAsia="仿宋_GB2312"/>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2676998">
      <w:pPr>
        <w:pStyle w:val="24"/>
        <w:ind w:firstLine="60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一、建设项目基本情况</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773"/>
        <w:gridCol w:w="2246"/>
        <w:gridCol w:w="1948"/>
        <w:gridCol w:w="264"/>
        <w:gridCol w:w="2639"/>
      </w:tblGrid>
      <w:tr w14:paraId="0A787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14:paraId="57B6F680">
            <w:pPr>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建设项目名称</w:t>
            </w:r>
          </w:p>
        </w:tc>
        <w:tc>
          <w:tcPr>
            <w:tcW w:w="7097" w:type="dxa"/>
            <w:gridSpan w:val="4"/>
            <w:vAlign w:val="center"/>
          </w:tcPr>
          <w:p w14:paraId="0FD9CCFE">
            <w:pPr>
              <w:adjustRightInd w:val="0"/>
              <w:snapToGrid w:val="0"/>
              <w:jc w:val="center"/>
              <w:textAlignment w:val="center"/>
              <w:rPr>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红树林（福州）智能家居有限公司年加工木质家具1.5万套扩建项目</w:t>
            </w:r>
          </w:p>
        </w:tc>
      </w:tr>
      <w:tr w14:paraId="06B0F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14:paraId="443E012F">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项目代码</w:t>
            </w:r>
          </w:p>
        </w:tc>
        <w:tc>
          <w:tcPr>
            <w:tcW w:w="7097" w:type="dxa"/>
            <w:gridSpan w:val="4"/>
            <w:vAlign w:val="center"/>
          </w:tcPr>
          <w:p w14:paraId="74A7C629">
            <w:pPr>
              <w:adjustRightInd w:val="0"/>
              <w:snapToGrid w:val="0"/>
              <w:jc w:val="center"/>
              <w:textAlignment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2510</w:t>
            </w:r>
            <w:r>
              <w:rPr>
                <w:rFonts w:hint="eastAsia"/>
                <w:color w:val="000000" w:themeColor="text1"/>
                <w:sz w:val="24"/>
                <w:highlight w:val="none"/>
                <w14:textFill>
                  <w14:solidFill>
                    <w14:schemeClr w14:val="tx1"/>
                  </w14:solidFill>
                </w14:textFill>
              </w:rPr>
              <w:t>-350181-04-0</w:t>
            </w:r>
            <w:r>
              <w:rPr>
                <w:rFonts w:hint="eastAsia"/>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873153</w:t>
            </w:r>
          </w:p>
        </w:tc>
      </w:tr>
      <w:tr w14:paraId="50207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14:paraId="08B869E1">
            <w:pPr>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建设单位联系人</w:t>
            </w:r>
          </w:p>
        </w:tc>
        <w:tc>
          <w:tcPr>
            <w:tcW w:w="2246" w:type="dxa"/>
            <w:vAlign w:val="center"/>
          </w:tcPr>
          <w:p w14:paraId="35E38572">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c>
          <w:tcPr>
            <w:tcW w:w="2212" w:type="dxa"/>
            <w:gridSpan w:val="2"/>
            <w:vAlign w:val="center"/>
          </w:tcPr>
          <w:p w14:paraId="628D0F20">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联系方式</w:t>
            </w:r>
          </w:p>
        </w:tc>
        <w:tc>
          <w:tcPr>
            <w:tcW w:w="2639" w:type="dxa"/>
            <w:vAlign w:val="center"/>
          </w:tcPr>
          <w:p w14:paraId="71D64173">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r>
      <w:tr w14:paraId="26FE1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14:paraId="0317CB32">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建设地点</w:t>
            </w:r>
          </w:p>
        </w:tc>
        <w:tc>
          <w:tcPr>
            <w:tcW w:w="7097" w:type="dxa"/>
            <w:gridSpan w:val="4"/>
            <w:vAlign w:val="center"/>
          </w:tcPr>
          <w:p w14:paraId="2C6B6B04">
            <w:pPr>
              <w:textAlignment w:val="center"/>
              <w:rPr>
                <w:color w:val="000000" w:themeColor="text1"/>
                <w:sz w:val="24"/>
                <w:highlight w:val="none"/>
                <w14:textFill>
                  <w14:solidFill>
                    <w14:schemeClr w14:val="tx1"/>
                  </w14:solidFill>
                </w14:textFill>
              </w:rPr>
            </w:pP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p>
        </w:tc>
      </w:tr>
      <w:tr w14:paraId="5CB82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14:paraId="1EC04D69">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地理坐标</w:t>
            </w:r>
          </w:p>
        </w:tc>
        <w:tc>
          <w:tcPr>
            <w:tcW w:w="7097" w:type="dxa"/>
            <w:gridSpan w:val="4"/>
            <w:vAlign w:val="center"/>
          </w:tcPr>
          <w:p w14:paraId="50C89E3C">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1</w:t>
            </w:r>
            <w:r>
              <w:rPr>
                <w:rFonts w:hint="eastAsia"/>
                <w:color w:val="000000" w:themeColor="text1"/>
                <w:sz w:val="24"/>
                <w:highlight w:val="none"/>
                <w:u w:val="single"/>
                <w14:textFill>
                  <w14:solidFill>
                    <w14:schemeClr w14:val="tx1"/>
                  </w14:solidFill>
                </w14:textFill>
              </w:rPr>
              <w:t>19</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14:textFill>
                  <w14:solidFill>
                    <w14:schemeClr w14:val="tx1"/>
                  </w14:solidFill>
                </w14:textFill>
              </w:rPr>
              <w:t xml:space="preserve"> 24</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14:textFill>
                  <w14:solidFill>
                    <w14:schemeClr w14:val="tx1"/>
                  </w14:solidFill>
                </w14:textFill>
              </w:rPr>
              <w:t>7.560</w:t>
            </w:r>
            <w:r>
              <w:rPr>
                <w:color w:val="000000" w:themeColor="text1"/>
                <w:sz w:val="24"/>
                <w:highlight w:val="none"/>
                <w14:textFill>
                  <w14:solidFill>
                    <w14:schemeClr w14:val="tx1"/>
                  </w14:solidFill>
                </w14:textFill>
              </w:rPr>
              <w:t>秒，</w:t>
            </w:r>
            <w:r>
              <w:rPr>
                <w:color w:val="000000" w:themeColor="text1"/>
                <w:sz w:val="24"/>
                <w:highlight w:val="none"/>
                <w:u w:val="single"/>
                <w14:textFill>
                  <w14:solidFill>
                    <w14:schemeClr w14:val="tx1"/>
                  </w14:solidFill>
                </w14:textFill>
              </w:rPr>
              <w:t xml:space="preserve"> 2</w:t>
            </w:r>
            <w:r>
              <w:rPr>
                <w:rFonts w:hint="eastAsia"/>
                <w:color w:val="000000" w:themeColor="text1"/>
                <w:sz w:val="24"/>
                <w:highlight w:val="none"/>
                <w:u w:val="single"/>
                <w14:textFill>
                  <w14:solidFill>
                    <w14:schemeClr w14:val="tx1"/>
                  </w14:solidFill>
                </w14:textFill>
              </w:rPr>
              <w:t>5</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14:textFill>
                  <w14:solidFill>
                    <w14:schemeClr w14:val="tx1"/>
                  </w14:solidFill>
                </w14:textFill>
              </w:rPr>
              <w:t>46</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14:textFill>
                  <w14:solidFill>
                    <w14:schemeClr w14:val="tx1"/>
                  </w14:solidFill>
                </w14:textFill>
              </w:rPr>
              <w:t>17.328</w:t>
            </w:r>
            <w:r>
              <w:rPr>
                <w:color w:val="000000" w:themeColor="text1"/>
                <w:sz w:val="24"/>
                <w:highlight w:val="none"/>
                <w14:textFill>
                  <w14:solidFill>
                    <w14:schemeClr w14:val="tx1"/>
                  </w14:solidFill>
                </w14:textFill>
              </w:rPr>
              <w:t>秒</w:t>
            </w:r>
            <w:r>
              <w:rPr>
                <w:rFonts w:hint="eastAsia"/>
                <w:color w:val="000000" w:themeColor="text1"/>
                <w:sz w:val="24"/>
                <w:highlight w:val="none"/>
                <w14:textFill>
                  <w14:solidFill>
                    <w14:schemeClr w14:val="tx1"/>
                  </w14:solidFill>
                </w14:textFill>
              </w:rPr>
              <w:t>）</w:t>
            </w:r>
          </w:p>
        </w:tc>
      </w:tr>
      <w:tr w14:paraId="0F31D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1773" w:type="dxa"/>
            <w:tcMar>
              <w:top w:w="16" w:type="dxa"/>
              <w:left w:w="16" w:type="dxa"/>
              <w:right w:w="16" w:type="dxa"/>
            </w:tcMar>
            <w:vAlign w:val="center"/>
          </w:tcPr>
          <w:p w14:paraId="5AEEAE8A">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国民经济</w:t>
            </w:r>
          </w:p>
          <w:p w14:paraId="525815D8">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p>
        </w:tc>
        <w:tc>
          <w:tcPr>
            <w:tcW w:w="2246" w:type="dxa"/>
            <w:vAlign w:val="center"/>
          </w:tcPr>
          <w:p w14:paraId="72201BFE">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C2110木质家具制造</w:t>
            </w:r>
          </w:p>
        </w:tc>
        <w:tc>
          <w:tcPr>
            <w:tcW w:w="1948" w:type="dxa"/>
            <w:vAlign w:val="center"/>
          </w:tcPr>
          <w:p w14:paraId="117924D2">
            <w:pPr>
              <w:jc w:val="center"/>
              <w:textAlignment w:val="center"/>
              <w:rPr>
                <w:color w:val="000000" w:themeColor="text1"/>
                <w:sz w:val="24"/>
                <w:highlight w:val="none"/>
                <w14:textFill>
                  <w14:solidFill>
                    <w14:schemeClr w14:val="tx1"/>
                  </w14:solidFill>
                </w14:textFill>
              </w:rPr>
            </w:pPr>
            <w:bookmarkStart w:id="0" w:name="_Hlk49843745"/>
            <w:r>
              <w:rPr>
                <w:color w:val="000000" w:themeColor="text1"/>
                <w:sz w:val="24"/>
                <w:highlight w:val="none"/>
                <w14:textFill>
                  <w14:solidFill>
                    <w14:schemeClr w14:val="tx1"/>
                  </w14:solidFill>
                </w14:textFill>
              </w:rPr>
              <w:t>建设项目</w:t>
            </w:r>
          </w:p>
          <w:p w14:paraId="09991C0A">
            <w:pPr>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bookmarkEnd w:id="0"/>
          </w:p>
        </w:tc>
        <w:tc>
          <w:tcPr>
            <w:tcW w:w="2903" w:type="dxa"/>
            <w:gridSpan w:val="2"/>
            <w:vAlign w:val="center"/>
          </w:tcPr>
          <w:p w14:paraId="7BF5DB2D">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十八</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家具制造业21：36木质家具制造211</w:t>
            </w:r>
          </w:p>
        </w:tc>
      </w:tr>
      <w:tr w14:paraId="29D86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1773" w:type="dxa"/>
            <w:tcMar>
              <w:top w:w="16" w:type="dxa"/>
              <w:left w:w="16" w:type="dxa"/>
              <w:right w:w="16" w:type="dxa"/>
            </w:tcMar>
            <w:vAlign w:val="center"/>
          </w:tcPr>
          <w:p w14:paraId="7C9C013B">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建设性质</w:t>
            </w:r>
          </w:p>
        </w:tc>
        <w:tc>
          <w:tcPr>
            <w:tcW w:w="2246" w:type="dxa"/>
            <w:vAlign w:val="center"/>
          </w:tcPr>
          <w:p w14:paraId="11B4F785">
            <w:pP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新建（迁建）</w:t>
            </w:r>
          </w:p>
          <w:p w14:paraId="270ED103">
            <w:pP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改建</w:t>
            </w:r>
          </w:p>
          <w:p w14:paraId="43677608">
            <w:pP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扩建</w:t>
            </w:r>
          </w:p>
          <w:p w14:paraId="56F52897">
            <w:pP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技术改造</w:t>
            </w:r>
          </w:p>
        </w:tc>
        <w:tc>
          <w:tcPr>
            <w:tcW w:w="1948" w:type="dxa"/>
            <w:vAlign w:val="center"/>
          </w:tcPr>
          <w:p w14:paraId="556240FA">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w:t>
            </w:r>
          </w:p>
          <w:p w14:paraId="14CE5CBB">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申报情形</w:t>
            </w:r>
          </w:p>
        </w:tc>
        <w:tc>
          <w:tcPr>
            <w:tcW w:w="2903" w:type="dxa"/>
            <w:gridSpan w:val="2"/>
            <w:vAlign w:val="center"/>
          </w:tcPr>
          <w:p w14:paraId="57A742AE">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√首次申报项目             </w:t>
            </w:r>
          </w:p>
          <w:p w14:paraId="1FEF6987">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□不予批准后再次申报项目</w:t>
            </w:r>
          </w:p>
          <w:p w14:paraId="1859E326">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□超五年重新审核项目     </w:t>
            </w:r>
          </w:p>
          <w:p w14:paraId="0F55CE48">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□重大变动重新报批项目</w:t>
            </w:r>
          </w:p>
        </w:tc>
      </w:tr>
      <w:tr w14:paraId="1F0A7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1773" w:type="dxa"/>
            <w:tcMar>
              <w:top w:w="16" w:type="dxa"/>
              <w:left w:w="16" w:type="dxa"/>
              <w:right w:w="16" w:type="dxa"/>
            </w:tcMar>
            <w:vAlign w:val="center"/>
          </w:tcPr>
          <w:p w14:paraId="6D8C01EC">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核准/</w:t>
            </w:r>
          </w:p>
          <w:p w14:paraId="59C2086F">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部门</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选填</w:t>
            </w:r>
            <w:r>
              <w:rPr>
                <w:rFonts w:hint="eastAsia"/>
                <w:color w:val="000000" w:themeColor="text1"/>
                <w:sz w:val="24"/>
                <w:highlight w:val="none"/>
                <w14:textFill>
                  <w14:solidFill>
                    <w14:schemeClr w14:val="tx1"/>
                  </w14:solidFill>
                </w14:textFill>
              </w:rPr>
              <w:t>）</w:t>
            </w:r>
          </w:p>
        </w:tc>
        <w:tc>
          <w:tcPr>
            <w:tcW w:w="2246" w:type="dxa"/>
            <w:vAlign w:val="center"/>
          </w:tcPr>
          <w:p w14:paraId="523F159E">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福清市</w:t>
            </w:r>
            <w:r>
              <w:rPr>
                <w:rFonts w:hint="eastAsia"/>
                <w:color w:val="000000" w:themeColor="text1"/>
                <w:sz w:val="24"/>
                <w:highlight w:val="none"/>
                <w:lang w:eastAsia="zh-CN"/>
                <w14:textFill>
                  <w14:solidFill>
                    <w14:schemeClr w14:val="tx1"/>
                  </w14:solidFill>
                </w14:textFill>
              </w:rPr>
              <w:t>工业和信息化</w:t>
            </w:r>
            <w:r>
              <w:rPr>
                <w:rFonts w:hint="eastAsia"/>
                <w:color w:val="000000" w:themeColor="text1"/>
                <w:sz w:val="24"/>
                <w:highlight w:val="none"/>
                <w14:textFill>
                  <w14:solidFill>
                    <w14:schemeClr w14:val="tx1"/>
                  </w14:solidFill>
                </w14:textFill>
              </w:rPr>
              <w:t>局</w:t>
            </w:r>
          </w:p>
        </w:tc>
        <w:tc>
          <w:tcPr>
            <w:tcW w:w="1948" w:type="dxa"/>
            <w:vAlign w:val="center"/>
          </w:tcPr>
          <w:p w14:paraId="0641D511">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核准/</w:t>
            </w:r>
          </w:p>
          <w:p w14:paraId="15410B19">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文号</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选填</w:t>
            </w:r>
            <w:r>
              <w:rPr>
                <w:rFonts w:hint="eastAsia"/>
                <w:color w:val="000000" w:themeColor="text1"/>
                <w:sz w:val="24"/>
                <w:highlight w:val="none"/>
                <w14:textFill>
                  <w14:solidFill>
                    <w14:schemeClr w14:val="tx1"/>
                  </w14:solidFill>
                </w14:textFill>
              </w:rPr>
              <w:t>）</w:t>
            </w:r>
          </w:p>
        </w:tc>
        <w:tc>
          <w:tcPr>
            <w:tcW w:w="2903" w:type="dxa"/>
            <w:gridSpan w:val="2"/>
            <w:vAlign w:val="center"/>
          </w:tcPr>
          <w:p w14:paraId="1B384E65">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闽</w:t>
            </w:r>
            <w:r>
              <w:rPr>
                <w:rFonts w:hint="eastAsia"/>
                <w:color w:val="000000" w:themeColor="text1"/>
                <w:sz w:val="24"/>
                <w:highlight w:val="none"/>
                <w:lang w:eastAsia="zh-CN"/>
                <w14:textFill>
                  <w14:solidFill>
                    <w14:schemeClr w14:val="tx1"/>
                  </w14:solidFill>
                </w14:textFill>
              </w:rPr>
              <w:t>工信</w:t>
            </w:r>
            <w:r>
              <w:rPr>
                <w:rFonts w:hint="eastAsia"/>
                <w:color w:val="000000" w:themeColor="text1"/>
                <w:sz w:val="24"/>
                <w:highlight w:val="none"/>
                <w14:textFill>
                  <w14:solidFill>
                    <w14:schemeClr w14:val="tx1"/>
                  </w14:solidFill>
                </w14:textFill>
              </w:rPr>
              <w:t>备[2025]A06</w:t>
            </w:r>
            <w:r>
              <w:rPr>
                <w:rFonts w:hint="eastAsia"/>
                <w:color w:val="000000" w:themeColor="text1"/>
                <w:sz w:val="24"/>
                <w:highlight w:val="none"/>
                <w:lang w:val="en-US" w:eastAsia="zh-CN"/>
                <w14:textFill>
                  <w14:solidFill>
                    <w14:schemeClr w14:val="tx1"/>
                  </w14:solidFill>
                </w14:textFill>
              </w:rPr>
              <w:t>0089</w:t>
            </w:r>
            <w:r>
              <w:rPr>
                <w:rFonts w:hint="eastAsia"/>
                <w:color w:val="000000" w:themeColor="text1"/>
                <w:sz w:val="24"/>
                <w:highlight w:val="none"/>
                <w14:textFill>
                  <w14:solidFill>
                    <w14:schemeClr w14:val="tx1"/>
                  </w14:solidFill>
                </w14:textFill>
              </w:rPr>
              <w:t>号</w:t>
            </w:r>
          </w:p>
        </w:tc>
      </w:tr>
      <w:tr w14:paraId="49963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14:paraId="78628154">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总投资</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万元</w:t>
            </w:r>
            <w:r>
              <w:rPr>
                <w:rFonts w:hint="eastAsia"/>
                <w:color w:val="000000" w:themeColor="text1"/>
                <w:sz w:val="24"/>
                <w:highlight w:val="none"/>
                <w14:textFill>
                  <w14:solidFill>
                    <w14:schemeClr w14:val="tx1"/>
                  </w14:solidFill>
                </w14:textFill>
              </w:rPr>
              <w:t>）</w:t>
            </w:r>
          </w:p>
        </w:tc>
        <w:tc>
          <w:tcPr>
            <w:tcW w:w="2246" w:type="dxa"/>
            <w:vAlign w:val="center"/>
          </w:tcPr>
          <w:p w14:paraId="48AC3941">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00</w:t>
            </w:r>
          </w:p>
        </w:tc>
        <w:tc>
          <w:tcPr>
            <w:tcW w:w="1948" w:type="dxa"/>
            <w:tcMar>
              <w:top w:w="16" w:type="dxa"/>
              <w:left w:w="16" w:type="dxa"/>
              <w:right w:w="16" w:type="dxa"/>
            </w:tcMar>
            <w:vAlign w:val="center"/>
          </w:tcPr>
          <w:p w14:paraId="4157AA50">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万元</w:t>
            </w:r>
            <w:r>
              <w:rPr>
                <w:rFonts w:hint="eastAsia"/>
                <w:color w:val="000000" w:themeColor="text1"/>
                <w:sz w:val="24"/>
                <w:highlight w:val="none"/>
                <w14:textFill>
                  <w14:solidFill>
                    <w14:schemeClr w14:val="tx1"/>
                  </w14:solidFill>
                </w14:textFill>
              </w:rPr>
              <w:t>）</w:t>
            </w:r>
          </w:p>
        </w:tc>
        <w:tc>
          <w:tcPr>
            <w:tcW w:w="2903" w:type="dxa"/>
            <w:gridSpan w:val="2"/>
            <w:vAlign w:val="center"/>
          </w:tcPr>
          <w:p w14:paraId="5CFDFDEC">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20</w:t>
            </w:r>
          </w:p>
        </w:tc>
      </w:tr>
      <w:tr w14:paraId="26ACB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14:paraId="54565786">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w:t>
            </w:r>
          </w:p>
        </w:tc>
        <w:tc>
          <w:tcPr>
            <w:tcW w:w="2246" w:type="dxa"/>
            <w:vAlign w:val="center"/>
          </w:tcPr>
          <w:p w14:paraId="5D503887">
            <w:pPr>
              <w:adjustRightInd w:val="0"/>
              <w:snapToGrid w:val="0"/>
              <w:jc w:val="center"/>
              <w:textAlignment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6.7</w:t>
            </w:r>
          </w:p>
        </w:tc>
        <w:tc>
          <w:tcPr>
            <w:tcW w:w="1948" w:type="dxa"/>
            <w:tcMar>
              <w:top w:w="16" w:type="dxa"/>
              <w:left w:w="16" w:type="dxa"/>
              <w:right w:w="16" w:type="dxa"/>
            </w:tcMar>
            <w:vAlign w:val="center"/>
          </w:tcPr>
          <w:p w14:paraId="00D251F0">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2903" w:type="dxa"/>
            <w:gridSpan w:val="2"/>
            <w:vAlign w:val="center"/>
          </w:tcPr>
          <w:p w14:paraId="6AA64C6D">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int="eastAsia"/>
                <w:color w:val="000000" w:themeColor="text1"/>
                <w:sz w:val="24"/>
                <w:highlight w:val="none"/>
                <w14:textFill>
                  <w14:solidFill>
                    <w14:schemeClr w14:val="tx1"/>
                  </w14:solidFill>
                </w14:textFill>
              </w:rPr>
              <w:t>个</w:t>
            </w:r>
            <w:r>
              <w:rPr>
                <w:color w:val="000000" w:themeColor="text1"/>
                <w:sz w:val="24"/>
                <w:highlight w:val="none"/>
                <w14:textFill>
                  <w14:solidFill>
                    <w14:schemeClr w14:val="tx1"/>
                  </w14:solidFill>
                </w14:textFill>
              </w:rPr>
              <w:t>月</w:t>
            </w:r>
          </w:p>
        </w:tc>
      </w:tr>
      <w:tr w14:paraId="0DDD8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14:paraId="31BFC910">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是否开工建设</w:t>
            </w:r>
          </w:p>
        </w:tc>
        <w:tc>
          <w:tcPr>
            <w:tcW w:w="2246" w:type="dxa"/>
            <w:vAlign w:val="center"/>
          </w:tcPr>
          <w:p w14:paraId="0802DD30">
            <w:pPr>
              <w:adjustRightInd w:val="0"/>
              <w:snapToGrid w:val="0"/>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√否</w:t>
            </w:r>
          </w:p>
          <w:p w14:paraId="55BC2886">
            <w:pPr>
              <w:adjustRightInd w:val="0"/>
              <w:snapToGrid w:val="0"/>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w:t>
            </w:r>
          </w:p>
        </w:tc>
        <w:tc>
          <w:tcPr>
            <w:tcW w:w="1948" w:type="dxa"/>
            <w:tcMar>
              <w:top w:w="16" w:type="dxa"/>
              <w:left w:w="16" w:type="dxa"/>
              <w:right w:w="16" w:type="dxa"/>
            </w:tcMar>
            <w:vAlign w:val="center"/>
          </w:tcPr>
          <w:p w14:paraId="25A72810">
            <w:pPr>
              <w:adjustRightInd w:val="0"/>
              <w:snapToGrid w:val="0"/>
              <w:jc w:val="center"/>
              <w:textAlignment w:val="center"/>
              <w:rPr>
                <w:color w:val="000000" w:themeColor="text1"/>
                <w:spacing w:val="-6"/>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用地</w:t>
            </w:r>
            <w:r>
              <w:rPr>
                <w:rFonts w:hint="eastAsia"/>
                <w:color w:val="000000" w:themeColor="text1"/>
                <w:spacing w:val="-6"/>
                <w:sz w:val="24"/>
                <w:highlight w:val="none"/>
                <w14:textFill>
                  <w14:solidFill>
                    <w14:schemeClr w14:val="tx1"/>
                  </w14:solidFill>
                </w14:textFill>
              </w:rPr>
              <w:t>（</w:t>
            </w:r>
            <w:r>
              <w:rPr>
                <w:color w:val="000000" w:themeColor="text1"/>
                <w:spacing w:val="-6"/>
                <w:sz w:val="24"/>
                <w:highlight w:val="none"/>
                <w14:textFill>
                  <w14:solidFill>
                    <w14:schemeClr w14:val="tx1"/>
                  </w14:solidFill>
                </w14:textFill>
              </w:rPr>
              <w:t>用海</w:t>
            </w:r>
            <w:r>
              <w:rPr>
                <w:rFonts w:hint="eastAsia"/>
                <w:color w:val="000000" w:themeColor="text1"/>
                <w:spacing w:val="-6"/>
                <w:sz w:val="24"/>
                <w:highlight w:val="none"/>
                <w14:textFill>
                  <w14:solidFill>
                    <w14:schemeClr w14:val="tx1"/>
                  </w14:solidFill>
                </w14:textFill>
              </w:rPr>
              <w:t>）</w:t>
            </w:r>
          </w:p>
          <w:p w14:paraId="100884E7">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面积</w:t>
            </w:r>
            <w:r>
              <w:rPr>
                <w:rFonts w:hint="eastAsia"/>
                <w:color w:val="000000" w:themeColor="text1"/>
                <w:spacing w:val="-6"/>
                <w:sz w:val="24"/>
                <w:highlight w:val="none"/>
                <w14:textFill>
                  <w14:solidFill>
                    <w14:schemeClr w14:val="tx1"/>
                  </w14:solidFill>
                </w14:textFill>
              </w:rPr>
              <w:t>（</w:t>
            </w:r>
            <w:r>
              <w:rPr>
                <w:color w:val="000000" w:themeColor="text1"/>
                <w:spacing w:val="-6"/>
                <w:sz w:val="24"/>
                <w:highlight w:val="none"/>
                <w14:textFill>
                  <w14:solidFill>
                    <w14:schemeClr w14:val="tx1"/>
                  </w14:solidFill>
                </w14:textFill>
              </w:rPr>
              <w:t>m</w:t>
            </w:r>
            <w:r>
              <w:rPr>
                <w:color w:val="000000" w:themeColor="text1"/>
                <w:spacing w:val="-6"/>
                <w:sz w:val="24"/>
                <w:highlight w:val="none"/>
                <w:vertAlign w:val="superscript"/>
                <w14:textFill>
                  <w14:solidFill>
                    <w14:schemeClr w14:val="tx1"/>
                  </w14:solidFill>
                </w14:textFill>
              </w:rPr>
              <w:t>2</w:t>
            </w:r>
            <w:r>
              <w:rPr>
                <w:rFonts w:hint="eastAsia"/>
                <w:color w:val="000000" w:themeColor="text1"/>
                <w:spacing w:val="-6"/>
                <w:sz w:val="24"/>
                <w:highlight w:val="none"/>
                <w14:textFill>
                  <w14:solidFill>
                    <w14:schemeClr w14:val="tx1"/>
                  </w14:solidFill>
                </w14:textFill>
              </w:rPr>
              <w:t>）</w:t>
            </w:r>
          </w:p>
        </w:tc>
        <w:tc>
          <w:tcPr>
            <w:tcW w:w="2903" w:type="dxa"/>
            <w:gridSpan w:val="2"/>
            <w:vAlign w:val="center"/>
          </w:tcPr>
          <w:p w14:paraId="6BBEE32D">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1670</w:t>
            </w:r>
            <w:r>
              <w:rPr>
                <w:color w:val="000000" w:themeColor="text1"/>
                <w:spacing w:val="-6"/>
                <w:sz w:val="24"/>
                <w:highlight w:val="none"/>
                <w14:textFill>
                  <w14:solidFill>
                    <w14:schemeClr w14:val="tx1"/>
                  </w14:solidFill>
                </w14:textFill>
              </w:rPr>
              <w:t>m</w:t>
            </w:r>
            <w:r>
              <w:rPr>
                <w:color w:val="000000" w:themeColor="text1"/>
                <w:spacing w:val="-6"/>
                <w:sz w:val="24"/>
                <w:highlight w:val="none"/>
                <w:vertAlign w:val="superscript"/>
                <w14:textFill>
                  <w14:solidFill>
                    <w14:schemeClr w14:val="tx1"/>
                  </w14:solidFill>
                </w14:textFill>
              </w:rPr>
              <w:t>2</w:t>
            </w:r>
          </w:p>
        </w:tc>
      </w:tr>
      <w:tr w14:paraId="4803D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1773" w:type="dxa"/>
            <w:vAlign w:val="center"/>
          </w:tcPr>
          <w:p w14:paraId="157A5600">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专项评价设置情况</w:t>
            </w:r>
          </w:p>
        </w:tc>
        <w:tc>
          <w:tcPr>
            <w:tcW w:w="7097" w:type="dxa"/>
            <w:gridSpan w:val="4"/>
            <w:vAlign w:val="center"/>
          </w:tcPr>
          <w:p w14:paraId="37EBA4DC">
            <w:pPr>
              <w:autoSpaceDE w:val="0"/>
              <w:autoSpaceDN w:val="0"/>
              <w:adjustRightInd w:val="0"/>
              <w:snapToGrid w:val="0"/>
              <w:ind w:firstLine="600" w:firstLineChars="250"/>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对照《建设项目环境影响报告表编制建设指南——污染影响类》专题评价设置原则表，</w:t>
            </w:r>
            <w:r>
              <w:rPr>
                <w:rFonts w:hint="eastAsia"/>
                <w:color w:val="000000" w:themeColor="text1"/>
                <w:sz w:val="24"/>
                <w:highlight w:val="none"/>
                <w:lang w:eastAsia="zh-CN"/>
                <w14:textFill>
                  <w14:solidFill>
                    <w14:schemeClr w14:val="tx1"/>
                  </w14:solidFill>
                </w14:textFill>
              </w:rPr>
              <w:t>扩建</w:t>
            </w:r>
            <w:r>
              <w:rPr>
                <w:rFonts w:hint="eastAsia"/>
                <w:color w:val="000000" w:themeColor="text1"/>
                <w:sz w:val="24"/>
                <w:highlight w:val="none"/>
                <w14:textFill>
                  <w14:solidFill>
                    <w14:schemeClr w14:val="tx1"/>
                  </w14:solidFill>
                </w14:textFill>
              </w:rPr>
              <w:t>项目专题评价设置情况判定如下：</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2859"/>
              <w:gridCol w:w="2576"/>
              <w:gridCol w:w="766"/>
            </w:tblGrid>
            <w:tr w14:paraId="4E40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90" w:type="pct"/>
                  <w:vAlign w:val="center"/>
                </w:tcPr>
                <w:p w14:paraId="5C0F88AD">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专项评价类别</w:t>
                  </w:r>
                </w:p>
              </w:tc>
              <w:tc>
                <w:tcPr>
                  <w:tcW w:w="2033" w:type="pct"/>
                  <w:vAlign w:val="center"/>
                </w:tcPr>
                <w:p w14:paraId="1E9EDF1F">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设置原则</w:t>
                  </w:r>
                </w:p>
              </w:tc>
              <w:tc>
                <w:tcPr>
                  <w:tcW w:w="1832" w:type="pct"/>
                  <w:vAlign w:val="center"/>
                </w:tcPr>
                <w:p w14:paraId="425EEFDB">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p>
                <w:p w14:paraId="54B5911B">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情况</w:t>
                  </w:r>
                </w:p>
              </w:tc>
              <w:tc>
                <w:tcPr>
                  <w:tcW w:w="543" w:type="pct"/>
                  <w:vAlign w:val="center"/>
                </w:tcPr>
                <w:p w14:paraId="20DFE377">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判定结果</w:t>
                  </w:r>
                </w:p>
              </w:tc>
            </w:tr>
            <w:tr w14:paraId="258C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590" w:type="pct"/>
                  <w:vAlign w:val="center"/>
                </w:tcPr>
                <w:p w14:paraId="45295982">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w:t>
                  </w:r>
                </w:p>
              </w:tc>
              <w:tc>
                <w:tcPr>
                  <w:tcW w:w="2033" w:type="pct"/>
                  <w:vAlign w:val="center"/>
                </w:tcPr>
                <w:p w14:paraId="139D795A">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排放废气含有毒有害污染物、二噁英、苯并芘、氰化物、氯气</w:t>
                  </w:r>
                  <w:r>
                    <w:rPr>
                      <w:rFonts w:hint="eastAsia"/>
                      <w:color w:val="000000" w:themeColor="text1"/>
                      <w:highlight w:val="none"/>
                      <w:lang w:eastAsia="zh-CN"/>
                      <w14:textFill>
                        <w14:solidFill>
                          <w14:schemeClr w14:val="tx1"/>
                        </w14:solidFill>
                      </w14:textFill>
                    </w:rPr>
                    <w:t>且</w:t>
                  </w:r>
                  <w:r>
                    <w:rPr>
                      <w:color w:val="000000" w:themeColor="text1"/>
                      <w:highlight w:val="none"/>
                      <w14:textFill>
                        <w14:solidFill>
                          <w14:schemeClr w14:val="tx1"/>
                        </w14:solidFill>
                      </w14:textFill>
                    </w:rPr>
                    <w:t>厂界外500米范围内有环境空气保护目标的项目</w:t>
                  </w:r>
                </w:p>
              </w:tc>
              <w:tc>
                <w:tcPr>
                  <w:tcW w:w="1832" w:type="pct"/>
                  <w:vAlign w:val="center"/>
                </w:tcPr>
                <w:p w14:paraId="1CBEBC5C">
                  <w:pPr>
                    <w:pStyle w:val="311"/>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项目排放废气中不含有毒有害污染物、二噁英、苯并[a]芘、氰化物、氯气</w:t>
                  </w:r>
                </w:p>
              </w:tc>
              <w:tc>
                <w:tcPr>
                  <w:tcW w:w="543" w:type="pct"/>
                  <w:vAlign w:val="center"/>
                </w:tcPr>
                <w:p w14:paraId="4DBBE52D">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4028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14:paraId="7AC79333">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w:t>
                  </w:r>
                </w:p>
              </w:tc>
              <w:tc>
                <w:tcPr>
                  <w:tcW w:w="2033" w:type="pct"/>
                  <w:vAlign w:val="center"/>
                </w:tcPr>
                <w:p w14:paraId="0D4630D5">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新增工业废水直排建设项目（槽罐车外送污水处理厂的除外），新增废水直排的污水集中处理厂</w:t>
                  </w:r>
                </w:p>
              </w:tc>
              <w:tc>
                <w:tcPr>
                  <w:tcW w:w="1832" w:type="pct"/>
                  <w:vAlign w:val="center"/>
                </w:tcPr>
                <w:p w14:paraId="68B91B1B">
                  <w:pPr>
                    <w:pStyle w:val="311"/>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项目新增</w:t>
                  </w:r>
                  <w:r>
                    <w:rPr>
                      <w:rFonts w:hint="eastAsia"/>
                      <w:color w:val="000000" w:themeColor="text1"/>
                      <w:highlight w:val="none"/>
                      <w:lang w:eastAsia="zh-CN"/>
                      <w14:textFill>
                        <w14:solidFill>
                          <w14:schemeClr w14:val="tx1"/>
                        </w14:solidFill>
                      </w14:textFill>
                    </w:rPr>
                    <w:t>生活污水</w:t>
                  </w:r>
                  <w:r>
                    <w:rPr>
                      <w:rFonts w:hint="eastAsia"/>
                      <w:color w:val="000000" w:themeColor="text1"/>
                      <w:highlight w:val="none"/>
                      <w14:textFill>
                        <w14:solidFill>
                          <w14:schemeClr w14:val="tx1"/>
                        </w14:solidFill>
                      </w14:textFill>
                    </w:rPr>
                    <w:t>经处理后接入市政污水管网，排入福清市融元污水处理厂，属于间接排放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不存在工业废水直排</w:t>
                  </w:r>
                </w:p>
              </w:tc>
              <w:tc>
                <w:tcPr>
                  <w:tcW w:w="543" w:type="pct"/>
                  <w:vAlign w:val="center"/>
                </w:tcPr>
                <w:p w14:paraId="0C30BDE3">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0050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14:paraId="54B4CEA1">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w:t>
                  </w:r>
                </w:p>
              </w:tc>
              <w:tc>
                <w:tcPr>
                  <w:tcW w:w="2033" w:type="pct"/>
                  <w:vAlign w:val="center"/>
                </w:tcPr>
                <w:p w14:paraId="6FE44E6E">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有毒有害和易燃易爆危险物质存储量超过临界量的建设项目</w:t>
                  </w:r>
                </w:p>
              </w:tc>
              <w:tc>
                <w:tcPr>
                  <w:tcW w:w="1832" w:type="pct"/>
                  <w:vAlign w:val="center"/>
                </w:tcPr>
                <w:p w14:paraId="115563FA">
                  <w:pPr>
                    <w:pStyle w:val="311"/>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项目使用涂料等，环境风险物质存储量未超过临界量</w:t>
                  </w:r>
                </w:p>
              </w:tc>
              <w:tc>
                <w:tcPr>
                  <w:tcW w:w="543" w:type="pct"/>
                  <w:vAlign w:val="center"/>
                </w:tcPr>
                <w:p w14:paraId="7377F3D6">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4774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14:paraId="6C7FCD8F">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w:t>
                  </w:r>
                </w:p>
              </w:tc>
              <w:tc>
                <w:tcPr>
                  <w:tcW w:w="2033" w:type="pct"/>
                  <w:vAlign w:val="center"/>
                </w:tcPr>
                <w:p w14:paraId="59879EDA">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取水口下游500米范围内有重要水生生物的自然产卵场、索饵场、越冬场和洄游通道的新增河道取水的污染类建设项目</w:t>
                  </w:r>
                </w:p>
              </w:tc>
              <w:tc>
                <w:tcPr>
                  <w:tcW w:w="1832" w:type="pct"/>
                  <w:vAlign w:val="center"/>
                </w:tcPr>
                <w:p w14:paraId="4B8AB9BB">
                  <w:pPr>
                    <w:pStyle w:val="31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项目使用自来水，不设置取水口</w:t>
                  </w:r>
                </w:p>
              </w:tc>
              <w:tc>
                <w:tcPr>
                  <w:tcW w:w="543" w:type="pct"/>
                  <w:vAlign w:val="center"/>
                </w:tcPr>
                <w:p w14:paraId="370ADAC1">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09B5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14:paraId="54DE983B">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海洋</w:t>
                  </w:r>
                </w:p>
              </w:tc>
              <w:tc>
                <w:tcPr>
                  <w:tcW w:w="2033" w:type="pct"/>
                  <w:vAlign w:val="center"/>
                </w:tcPr>
                <w:p w14:paraId="3ECB9CF6">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直接向海排放污染物的海洋工程建设项目</w:t>
                  </w:r>
                </w:p>
              </w:tc>
              <w:tc>
                <w:tcPr>
                  <w:tcW w:w="1832" w:type="pct"/>
                  <w:vAlign w:val="center"/>
                </w:tcPr>
                <w:p w14:paraId="7B4F4CC1">
                  <w:pPr>
                    <w:pStyle w:val="311"/>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项目不属于海洋工程建设项目</w:t>
                  </w:r>
                </w:p>
              </w:tc>
              <w:tc>
                <w:tcPr>
                  <w:tcW w:w="543" w:type="pct"/>
                  <w:vAlign w:val="center"/>
                </w:tcPr>
                <w:p w14:paraId="27332CD4">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14:paraId="640B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79F1AEBF">
                  <w:pPr>
                    <w:pStyle w:val="331"/>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注：1.废气中有毒有害污染物指纳入《有毒有害大气污染物名录》的污染物(不包括无排放标准的污染物)。</w:t>
                  </w:r>
                </w:p>
                <w:p w14:paraId="68CBF3D8">
                  <w:pPr>
                    <w:pStyle w:val="331"/>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2.环境空气保护目标指自然保护区、风景名胜区、居住区、文化区和农村地区中人群较集中的区域。</w:t>
                  </w:r>
                </w:p>
                <w:p w14:paraId="1399FF89">
                  <w:pPr>
                    <w:pStyle w:val="311"/>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3.临界量及其计算方法可参考《建设项目环境风险评价技术导则》(HJ169)附录B、附录C。</w:t>
                  </w:r>
                </w:p>
              </w:tc>
            </w:tr>
          </w:tbl>
          <w:p w14:paraId="479DA2AF">
            <w:pPr>
              <w:autoSpaceDE w:val="0"/>
              <w:autoSpaceDN w:val="0"/>
              <w:adjustRightInd w:val="0"/>
              <w:snapToGrid w:val="0"/>
              <w:ind w:firstLine="600" w:firstLineChars="250"/>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经判定，</w:t>
            </w:r>
            <w:r>
              <w:rPr>
                <w:rFonts w:hint="eastAsia"/>
                <w:color w:val="000000" w:themeColor="text1"/>
                <w:sz w:val="24"/>
                <w:highlight w:val="none"/>
                <w:lang w:eastAsia="zh-CN"/>
                <w14:textFill>
                  <w14:solidFill>
                    <w14:schemeClr w14:val="tx1"/>
                  </w14:solidFill>
                </w14:textFill>
              </w:rPr>
              <w:t>扩建</w:t>
            </w:r>
            <w:r>
              <w:rPr>
                <w:color w:val="000000" w:themeColor="text1"/>
                <w:sz w:val="24"/>
                <w:highlight w:val="none"/>
                <w14:textFill>
                  <w14:solidFill>
                    <w14:schemeClr w14:val="tx1"/>
                  </w14:solidFill>
                </w14:textFill>
              </w:rPr>
              <w:t>项目无需设置专项评价。</w:t>
            </w:r>
          </w:p>
        </w:tc>
      </w:tr>
      <w:tr w14:paraId="4E800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1773" w:type="dxa"/>
            <w:vAlign w:val="center"/>
          </w:tcPr>
          <w:p w14:paraId="1AB33731">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规划情况</w:t>
            </w:r>
          </w:p>
        </w:tc>
        <w:tc>
          <w:tcPr>
            <w:tcW w:w="7097" w:type="dxa"/>
            <w:gridSpan w:val="4"/>
            <w:vAlign w:val="center"/>
          </w:tcPr>
          <w:p w14:paraId="6EC40EBE">
            <w:pPr>
              <w:pStyle w:val="162"/>
              <w:ind w:firstLine="0" w:firstLineChars="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规划名称：</w:t>
            </w:r>
            <w:r>
              <w:rPr>
                <w:color w:val="000000" w:themeColor="text1"/>
                <w:sz w:val="24"/>
                <w:szCs w:val="24"/>
                <w:highlight w:val="none"/>
                <w14:textFill>
                  <w14:solidFill>
                    <w14:schemeClr w14:val="tx1"/>
                  </w14:solidFill>
                </w14:textFill>
              </w:rPr>
              <w:t>《福清融侨经济技术开发区总体规划（2018-2035年）》</w:t>
            </w:r>
          </w:p>
          <w:p w14:paraId="73166BCC">
            <w:pPr>
              <w:pStyle w:val="162"/>
              <w:ind w:firstLine="0" w:firstLineChars="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审批机关：融侨经济技术开发区管委会</w:t>
            </w:r>
          </w:p>
          <w:p w14:paraId="3BCACFDB">
            <w:pPr>
              <w:pStyle w:val="162"/>
              <w:ind w:firstLine="0" w:firstLineChars="0"/>
              <w:jc w:val="left"/>
              <w:rPr>
                <w:color w:val="000000" w:themeColor="text1"/>
                <w:sz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审批文件名称及文号：无</w:t>
            </w:r>
          </w:p>
        </w:tc>
      </w:tr>
      <w:tr w14:paraId="317D4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773" w:type="dxa"/>
            <w:vAlign w:val="center"/>
          </w:tcPr>
          <w:p w14:paraId="030355B2">
            <w:pPr>
              <w:autoSpaceDE w:val="0"/>
              <w:autoSpaceDN w:val="0"/>
              <w:adjustRightInd w:val="0"/>
              <w:snapToGrid w:val="0"/>
              <w:jc w:val="center"/>
              <w:textAlignment w:val="center"/>
              <w:rPr>
                <w:rFonts w:ascii="宋体u.砸.葷." w:eastAsia="宋体u.砸.葷." w:cs="宋体u.砸.葷."/>
                <w:color w:val="000000" w:themeColor="text1"/>
                <w:kern w:val="0"/>
                <w:sz w:val="24"/>
                <w:highlight w:val="none"/>
                <w14:textFill>
                  <w14:solidFill>
                    <w14:schemeClr w14:val="tx1"/>
                  </w14:solidFill>
                </w14:textFill>
              </w:rPr>
            </w:pPr>
            <w:r>
              <w:rPr>
                <w:rFonts w:ascii="宋体u.砸.葷." w:eastAsia="宋体u.砸.葷." w:cs="宋体u.砸.葷."/>
                <w:color w:val="000000" w:themeColor="text1"/>
                <w:kern w:val="0"/>
                <w:sz w:val="24"/>
                <w:highlight w:val="none"/>
                <w14:textFill>
                  <w14:solidFill>
                    <w14:schemeClr w14:val="tx1"/>
                  </w14:solidFill>
                </w14:textFill>
              </w:rPr>
              <w:t>规划环境影响</w:t>
            </w:r>
          </w:p>
          <w:p w14:paraId="108C5398">
            <w:pPr>
              <w:autoSpaceDE w:val="0"/>
              <w:autoSpaceDN w:val="0"/>
              <w:adjustRightInd w:val="0"/>
              <w:snapToGrid w:val="0"/>
              <w:jc w:val="center"/>
              <w:textAlignment w:val="center"/>
              <w:rPr>
                <w:rFonts w:ascii="宋体u.砸.葷." w:eastAsia="宋体u.砸.葷." w:cs="宋体u.砸.葷."/>
                <w:color w:val="000000" w:themeColor="text1"/>
                <w:kern w:val="0"/>
                <w:sz w:val="24"/>
                <w:highlight w:val="none"/>
                <w14:textFill>
                  <w14:solidFill>
                    <w14:schemeClr w14:val="tx1"/>
                  </w14:solidFill>
                </w14:textFill>
              </w:rPr>
            </w:pPr>
            <w:r>
              <w:rPr>
                <w:rFonts w:ascii="宋体u.砸.葷." w:eastAsia="宋体u.砸.葷." w:cs="宋体u.砸.葷."/>
                <w:color w:val="000000" w:themeColor="text1"/>
                <w:kern w:val="0"/>
                <w:sz w:val="24"/>
                <w:highlight w:val="none"/>
                <w14:textFill>
                  <w14:solidFill>
                    <w14:schemeClr w14:val="tx1"/>
                  </w14:solidFill>
                </w14:textFill>
              </w:rPr>
              <w:t>评价情况</w:t>
            </w:r>
          </w:p>
        </w:tc>
        <w:tc>
          <w:tcPr>
            <w:tcW w:w="7097" w:type="dxa"/>
            <w:gridSpan w:val="4"/>
            <w:vAlign w:val="center"/>
          </w:tcPr>
          <w:p w14:paraId="6833D9BA">
            <w:pPr>
              <w:pStyle w:val="162"/>
              <w:ind w:firstLine="0" w:firstLineChars="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《福清融侨经济技术开发区总体规划（2018-2035年）环境影响报告书》；</w:t>
            </w:r>
          </w:p>
          <w:p w14:paraId="775115B9">
            <w:pPr>
              <w:pStyle w:val="162"/>
              <w:ind w:firstLine="0" w:firstLineChars="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审查机关：中华人民共和国生态环境部；</w:t>
            </w:r>
          </w:p>
          <w:p w14:paraId="1BF43D45">
            <w:pPr>
              <w:pStyle w:val="162"/>
              <w:ind w:firstLine="0" w:firstLineChars="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审查意见文号： 环审</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2020</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80号</w:t>
            </w:r>
          </w:p>
        </w:tc>
      </w:tr>
      <w:tr w14:paraId="6A0BC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1773" w:type="dxa"/>
            <w:vAlign w:val="center"/>
          </w:tcPr>
          <w:p w14:paraId="122CA559">
            <w:pPr>
              <w:autoSpaceDE w:val="0"/>
              <w:autoSpaceDN w:val="0"/>
              <w:adjustRightInd w:val="0"/>
              <w:snapToGrid w:val="0"/>
              <w:jc w:val="center"/>
              <w:textAlignment w:val="center"/>
              <w:rPr>
                <w:rFonts w:ascii="宋体u.砸.葷." w:eastAsia="宋体u.砸.葷." w:cs="宋体u.砸.葷."/>
                <w:color w:val="000000" w:themeColor="text1"/>
                <w:kern w:val="0"/>
                <w:sz w:val="24"/>
                <w:highlight w:val="none"/>
                <w14:textFill>
                  <w14:solidFill>
                    <w14:schemeClr w14:val="tx1"/>
                  </w14:solidFill>
                </w14:textFill>
              </w:rPr>
            </w:pPr>
            <w:r>
              <w:rPr>
                <w:rFonts w:ascii="宋体u.砸.葷." w:eastAsia="宋体u.砸.葷." w:cs="宋体u.砸.葷."/>
                <w:color w:val="000000" w:themeColor="text1"/>
                <w:kern w:val="0"/>
                <w:sz w:val="24"/>
                <w:highlight w:val="none"/>
                <w14:textFill>
                  <w14:solidFill>
                    <w14:schemeClr w14:val="tx1"/>
                  </w14:solidFill>
                </w14:textFill>
              </w:rPr>
              <w:t>规划及规划环境</w:t>
            </w:r>
          </w:p>
          <w:p w14:paraId="3E8DB6B7">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rFonts w:ascii="宋体u.砸.葷." w:eastAsia="宋体u.砸.葷." w:cs="宋体u.砸.葷."/>
                <w:color w:val="000000" w:themeColor="text1"/>
                <w:kern w:val="0"/>
                <w:sz w:val="24"/>
                <w:highlight w:val="none"/>
                <w14:textFill>
                  <w14:solidFill>
                    <w14:schemeClr w14:val="tx1"/>
                  </w14:solidFill>
                </w14:textFill>
              </w:rPr>
              <w:t>影响评价符合性分析</w:t>
            </w:r>
          </w:p>
        </w:tc>
        <w:tc>
          <w:tcPr>
            <w:tcW w:w="7097" w:type="dxa"/>
            <w:gridSpan w:val="4"/>
            <w:vAlign w:val="center"/>
          </w:tcPr>
          <w:p w14:paraId="43EA1362">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1.1与《福清融侨经济技术开发区总体规划</w:t>
            </w:r>
            <w:r>
              <w:rPr>
                <w:rFonts w:hint="eastAsia"/>
                <w:b/>
                <w:color w:val="000000" w:themeColor="text1"/>
                <w:sz w:val="30"/>
                <w:szCs w:val="30"/>
                <w:highlight w:val="none"/>
                <w14:textFill>
                  <w14:solidFill>
                    <w14:schemeClr w14:val="tx1"/>
                  </w14:solidFill>
                </w14:textFill>
              </w:rPr>
              <w:t>(</w:t>
            </w:r>
            <w:r>
              <w:rPr>
                <w:b/>
                <w:color w:val="000000" w:themeColor="text1"/>
                <w:sz w:val="30"/>
                <w:szCs w:val="30"/>
                <w:highlight w:val="none"/>
                <w14:textFill>
                  <w14:solidFill>
                    <w14:schemeClr w14:val="tx1"/>
                  </w14:solidFill>
                </w14:textFill>
              </w:rPr>
              <w:t>2018-2035年</w:t>
            </w:r>
            <w:r>
              <w:rPr>
                <w:rFonts w:hint="eastAsia"/>
                <w:b/>
                <w:color w:val="000000" w:themeColor="text1"/>
                <w:sz w:val="30"/>
                <w:szCs w:val="30"/>
                <w:highlight w:val="none"/>
                <w14:textFill>
                  <w14:solidFill>
                    <w14:schemeClr w14:val="tx1"/>
                  </w14:solidFill>
                </w14:textFill>
              </w:rPr>
              <w:t>)</w:t>
            </w:r>
            <w:r>
              <w:rPr>
                <w:b/>
                <w:color w:val="000000" w:themeColor="text1"/>
                <w:sz w:val="30"/>
                <w:szCs w:val="30"/>
                <w:highlight w:val="none"/>
                <w14:textFill>
                  <w14:solidFill>
                    <w14:schemeClr w14:val="tx1"/>
                  </w14:solidFill>
                </w14:textFill>
              </w:rPr>
              <w:t>》符合性分析</w:t>
            </w:r>
          </w:p>
          <w:p w14:paraId="6F13C798">
            <w:pPr>
              <w:pStyle w:val="33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福清融侨经济技术开发区规划面积</w:t>
            </w:r>
            <w:r>
              <w:rPr>
                <w:color w:val="000000" w:themeColor="text1"/>
                <w:highlight w:val="none"/>
                <w:lang w:val="en-US"/>
                <w14:textFill>
                  <w14:solidFill>
                    <w14:schemeClr w14:val="tx1"/>
                  </w14:solidFill>
                </w14:textFill>
              </w:rPr>
              <w:t>53.2</w:t>
            </w:r>
            <w:r>
              <w:rPr>
                <w:color w:val="000000" w:themeColor="text1"/>
                <w:highlight w:val="none"/>
                <w14:textFill>
                  <w14:solidFill>
                    <w14:schemeClr w14:val="tx1"/>
                  </w14:solidFill>
                </w14:textFill>
              </w:rPr>
              <w:t>平方公里，规划期2018年至2035年，以电子信息、精密汽车部件、光学为支柱产业。拟形成“一区三园多组团”的空间结构，“一区”即融侨经济技术开发区，“三园”即中心产业园、城北产业园(包括洪宽工业村)和南部产业园，“多组团”指各子园区内部分别形成若干工业、居住和服务组团。</w:t>
            </w:r>
          </w:p>
          <w:p w14:paraId="335D72B7">
            <w:pPr>
              <w:pStyle w:val="186"/>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w:t>
            </w:r>
            <w:r>
              <w:rPr>
                <w:rFonts w:hint="eastAsia"/>
                <w:color w:val="000000" w:themeColor="text1"/>
                <w:szCs w:val="21"/>
                <w:highlight w:val="none"/>
                <w:lang w:eastAsia="zh-CN"/>
                <w14:textFill>
                  <w14:solidFill>
                    <w14:schemeClr w14:val="tx1"/>
                  </w14:solidFill>
                </w14:textFill>
              </w:rPr>
              <w:t>扩建</w:t>
            </w:r>
            <w:r>
              <w:rPr>
                <w:color w:val="000000" w:themeColor="text1"/>
                <w:szCs w:val="21"/>
                <w:highlight w:val="none"/>
                <w14:textFill>
                  <w14:solidFill>
                    <w14:schemeClr w14:val="tx1"/>
                  </w14:solidFill>
                </w14:textFill>
              </w:rPr>
              <w:t>项</w:t>
            </w:r>
            <w:r>
              <w:rPr>
                <w:color w:val="000000" w:themeColor="text1"/>
                <w:highlight w:val="none"/>
                <w14:textFill>
                  <w14:solidFill>
                    <w14:schemeClr w14:val="tx1"/>
                  </w14:solidFill>
                </w14:textFill>
              </w:rPr>
              <w:t>目位于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t>，属于福清融侨经济技术开发区范围。根据《福清融侨经济技术开发区总体规划（2018-2035年）》，</w:t>
            </w:r>
            <w:r>
              <w:rPr>
                <w:color w:val="000000" w:themeColor="text1"/>
                <w:szCs w:val="21"/>
                <w:highlight w:val="none"/>
                <w14:textFill>
                  <w14:solidFill>
                    <w14:schemeClr w14:val="tx1"/>
                  </w14:solidFill>
                </w14:textFill>
              </w:rPr>
              <w:t>项目用地规划用途为工业用地。</w:t>
            </w:r>
          </w:p>
          <w:p w14:paraId="54CF187A">
            <w:pPr>
              <w:pStyle w:val="1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根据建设单位提供的</w:t>
            </w:r>
            <w:r>
              <w:rPr>
                <w:rFonts w:hint="eastAsia"/>
                <w:color w:val="000000" w:themeColor="text1"/>
                <w:highlight w:val="none"/>
                <w14:textFill>
                  <w14:solidFill>
                    <w14:schemeClr w14:val="tx1"/>
                  </w14:solidFill>
                </w14:textFill>
              </w:rPr>
              <w:t>福建乐翔服饰制造有限公司不动产权证</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闽（2024）福清市不动产权第9037608号</w:t>
            </w:r>
            <w:r>
              <w:rPr>
                <w:color w:val="000000" w:themeColor="text1"/>
                <w:highlight w:val="none"/>
                <w14:textFill>
                  <w14:solidFill>
                    <w14:schemeClr w14:val="tx1"/>
                  </w14:solidFill>
                </w14:textFill>
              </w:rPr>
              <w:t>），项目用地为</w:t>
            </w:r>
            <w:r>
              <w:rPr>
                <w:rFonts w:hint="eastAsia"/>
                <w:color w:val="000000" w:themeColor="text1"/>
                <w:highlight w:val="none"/>
                <w14:textFill>
                  <w14:solidFill>
                    <w14:schemeClr w14:val="tx1"/>
                  </w14:solidFill>
                </w14:textFill>
              </w:rPr>
              <w:t>工业用地</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项目用地合法，符合《福清融侨经济技术开发区总体规划（2018-2035年）》规划要求。</w:t>
            </w:r>
          </w:p>
          <w:p w14:paraId="778CD18B">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1.2与《福清融侨经济技术开发区总体规划（2018-2035年）环境影响报告书》及规划环评审查意见的符合性分析</w:t>
            </w:r>
          </w:p>
          <w:p w14:paraId="3C372E62">
            <w:pPr>
              <w:pStyle w:val="33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福清融侨经济技术开发区总体规划环境影响报告书(2018-2035年)》及其审查意见(环审[2020]80号)，融侨经济技术开发区产业主要为电子信息：显示科技、光电科技、电子元器件、通讯设备、计算机与智能终端设备等；机械电气：数控机床、精密磨具、光机电一体化等；汽车零配件：汽配玻璃、汽车零部件、变速器、汽车轴承等。根据开发区对主导产业发展方向的定位，对照《国民经济行业分类》(GB/T4754-2017)，主导行业涉及国民经济类别主要包括C29、C304、C33、C34、C35、C36、C38、C39、C40；禁止新建，含电镀工艺、冶炼工艺、电解铝的项目，现有生产能力一定期限内搬迁；包装印刷业禁止使用不符合环保要求的油墨、胶黏剂。</w:t>
            </w:r>
          </w:p>
          <w:p w14:paraId="7668BF95">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t>，项目与规划环评中空间布局管控要求符合性见表1.2-1。</w:t>
            </w:r>
          </w:p>
          <w:p w14:paraId="5D9FD01F">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项目为木质家具生产项目，属于国民经济行业C2110木质家具制造，不属于含电镀工艺、冶炼工艺、电解铝的项目。不涉及包装印刷行业。不属于禁止类</w:t>
            </w:r>
            <w:r>
              <w:rPr>
                <w:color w:val="000000" w:themeColor="text1"/>
                <w:highlight w:val="none"/>
                <w:lang w:val="en-US"/>
                <w14:textFill>
                  <w14:solidFill>
                    <w14:schemeClr w14:val="tx1"/>
                  </w14:solidFill>
                </w14:textFill>
              </w:rPr>
              <w:t>新建</w:t>
            </w:r>
            <w:r>
              <w:rPr>
                <w:color w:val="000000" w:themeColor="text1"/>
                <w:highlight w:val="none"/>
                <w14:textFill>
                  <w14:solidFill>
                    <w14:schemeClr w14:val="tx1"/>
                  </w14:solidFill>
                </w14:textFill>
              </w:rPr>
              <w:t>项目。项目与规划环评中规划区配套及其他行业环境准入符合性见表1.2-2。</w:t>
            </w:r>
          </w:p>
          <w:p w14:paraId="4B8553AE">
            <w:pPr>
              <w:pStyle w:val="186"/>
              <w:ind w:firstLine="480"/>
              <w:rPr>
                <w:color w:val="000000" w:themeColor="text1"/>
                <w:highlight w:val="none"/>
                <w14:textFill>
                  <w14:solidFill>
                    <w14:schemeClr w14:val="tx1"/>
                  </w14:solidFill>
                </w14:textFill>
              </w:rPr>
            </w:pPr>
          </w:p>
          <w:p w14:paraId="34F6BB0E">
            <w:pPr>
              <w:spacing w:line="360" w:lineRule="auto"/>
              <w:ind w:firstLine="420" w:firstLineChars="200"/>
              <w:rPr>
                <w:color w:val="000000" w:themeColor="text1"/>
                <w:highlight w:val="none"/>
                <w14:textFill>
                  <w14:solidFill>
                    <w14:schemeClr w14:val="tx1"/>
                  </w14:solidFill>
                </w14:textFill>
              </w:rPr>
            </w:pPr>
          </w:p>
        </w:tc>
      </w:tr>
    </w:tbl>
    <w:p w14:paraId="4137B2A8">
      <w:pPr>
        <w:spacing w:line="360" w:lineRule="auto"/>
        <w:ind w:firstLine="600"/>
        <w:outlineLvl w:val="0"/>
        <w:rPr>
          <w:rFonts w:eastAsia="黑体"/>
          <w:color w:val="000000" w:themeColor="text1"/>
          <w:sz w:val="30"/>
          <w:highlight w:val="none"/>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4"/>
      </w:tblGrid>
      <w:tr w14:paraId="2C31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6" w:type="dxa"/>
          </w:tcPr>
          <w:p w14:paraId="47119F9C">
            <w:pPr>
              <w:pStyle w:val="188"/>
              <w:ind w:firstLine="480"/>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表1.2-1项目与</w:t>
            </w:r>
            <w:r>
              <w:rPr>
                <w:color w:val="000000" w:themeColor="text1"/>
                <w:highlight w:val="none"/>
                <w14:textFill>
                  <w14:solidFill>
                    <w14:schemeClr w14:val="tx1"/>
                  </w14:solidFill>
                </w14:textFill>
              </w:rPr>
              <w:t>规划环评空间布局管控要求符合性表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123"/>
              <w:gridCol w:w="3220"/>
              <w:gridCol w:w="4262"/>
              <w:gridCol w:w="2545"/>
              <w:gridCol w:w="1230"/>
            </w:tblGrid>
            <w:tr w14:paraId="74AA0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0" w:type="auto"/>
                  <w:vAlign w:val="center"/>
                </w:tcPr>
                <w:p w14:paraId="4EC6C1E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所含空间单元</w:t>
                  </w:r>
                </w:p>
                <w:p w14:paraId="30593B0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（规划区块编号）</w:t>
                  </w:r>
                </w:p>
              </w:tc>
              <w:tc>
                <w:tcPr>
                  <w:tcW w:w="0" w:type="auto"/>
                  <w:vAlign w:val="center"/>
                </w:tcPr>
                <w:p w14:paraId="6C2343A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面积（hm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tc>
              <w:tc>
                <w:tcPr>
                  <w:tcW w:w="0" w:type="auto"/>
                  <w:vAlign w:val="center"/>
                </w:tcPr>
                <w:p w14:paraId="3B74D27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四至范围</w:t>
                  </w:r>
                </w:p>
              </w:tc>
              <w:tc>
                <w:tcPr>
                  <w:tcW w:w="0" w:type="auto"/>
                  <w:vAlign w:val="center"/>
                </w:tcPr>
                <w:p w14:paraId="3B5B5BA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管控要求</w:t>
                  </w:r>
                </w:p>
              </w:tc>
              <w:tc>
                <w:tcPr>
                  <w:tcW w:w="2545" w:type="dxa"/>
                  <w:vAlign w:val="center"/>
                </w:tcPr>
                <w:p w14:paraId="30C65A57">
                  <w:pPr>
                    <w:jc w:val="cente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p>
              </w:tc>
              <w:tc>
                <w:tcPr>
                  <w:tcW w:w="1230" w:type="dxa"/>
                  <w:vAlign w:val="center"/>
                </w:tcPr>
                <w:p w14:paraId="39C2A4E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符合性</w:t>
                  </w:r>
                </w:p>
              </w:tc>
            </w:tr>
            <w:tr w14:paraId="169C5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FDDB5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融侨开发区龙江干支流防护区（GK-01）</w:t>
                  </w:r>
                </w:p>
              </w:tc>
              <w:tc>
                <w:tcPr>
                  <w:tcW w:w="0" w:type="auto"/>
                  <w:vAlign w:val="center"/>
                </w:tcPr>
                <w:p w14:paraId="71E8A3C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255.69</w:t>
                  </w:r>
                </w:p>
              </w:tc>
              <w:tc>
                <w:tcPr>
                  <w:tcW w:w="0" w:type="auto"/>
                  <w:vAlign w:val="center"/>
                </w:tcPr>
                <w:p w14:paraId="1107D20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规划区范围内龙江干流及主要支流关溪、太城溪、大北溪、虎溪及沿岸规划绿地。</w:t>
                  </w:r>
                </w:p>
              </w:tc>
              <w:tc>
                <w:tcPr>
                  <w:tcW w:w="0" w:type="auto"/>
                  <w:vAlign w:val="center"/>
                </w:tcPr>
                <w:p w14:paraId="19353FE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1，应采取最严格的土地保护管理措施，保证基本农田与优质林地不受侵占。</w:t>
                  </w:r>
                </w:p>
                <w:p w14:paraId="5C607B5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2、对区内的裸地、荒草地、闲置土地等进行综合整治，防止对现有植被的破坏，减少自然灾害和水土流失.</w:t>
                  </w:r>
                </w:p>
                <w:p w14:paraId="318715E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3.调整区内的土地结构，修复提升生态系统服务功能。</w:t>
                  </w:r>
                </w:p>
                <w:p w14:paraId="5C938A2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4、对区内不符合相关法规和规定的现状建筑，应控制规模，逐步予以清退，并按相关部门要求进行永久性复绿。</w:t>
                  </w:r>
                </w:p>
              </w:tc>
              <w:tc>
                <w:tcPr>
                  <w:tcW w:w="2545" w:type="dxa"/>
                  <w:vAlign w:val="center"/>
                </w:tcPr>
                <w:p w14:paraId="2DC4D1B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在</w:t>
                  </w:r>
                  <w:r>
                    <w:rPr>
                      <w:color w:val="000000" w:themeColor="text1"/>
                      <w:highlight w:val="none"/>
                      <w14:textFill>
                        <w14:solidFill>
                          <w14:schemeClr w14:val="tx1"/>
                        </w14:solidFill>
                      </w14:textFill>
                    </w:rPr>
                    <w:t>福建乐翔服饰制造有限公司已建的厂房内新增生产设备进行生产。厂房用地合法，符合规划和相关法规的要求。</w:t>
                  </w:r>
                </w:p>
              </w:tc>
              <w:tc>
                <w:tcPr>
                  <w:tcW w:w="1230" w:type="dxa"/>
                  <w:vAlign w:val="center"/>
                </w:tcPr>
                <w:p w14:paraId="648E663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79974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6999B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融侨开发区基本农田保护区（GK-02）</w:t>
                  </w:r>
                </w:p>
              </w:tc>
              <w:tc>
                <w:tcPr>
                  <w:tcW w:w="0" w:type="auto"/>
                  <w:vAlign w:val="center"/>
                </w:tcPr>
                <w:p w14:paraId="723CACD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530.6</w:t>
                  </w:r>
                </w:p>
              </w:tc>
              <w:tc>
                <w:tcPr>
                  <w:tcW w:w="0" w:type="auto"/>
                  <w:vAlign w:val="center"/>
                </w:tcPr>
                <w:p w14:paraId="0624E14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规划区范围内基本农田</w:t>
                  </w:r>
                </w:p>
              </w:tc>
              <w:tc>
                <w:tcPr>
                  <w:tcW w:w="0" w:type="auto"/>
                  <w:vAlign w:val="center"/>
                </w:tcPr>
                <w:p w14:paraId="3268DC3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规划开发建设涉及基本农田时，需先取得主管部门同意，用地性质调整后方可进行建设。</w:t>
                  </w:r>
                </w:p>
              </w:tc>
              <w:tc>
                <w:tcPr>
                  <w:tcW w:w="2545" w:type="dxa"/>
                  <w:vAlign w:val="center"/>
                </w:tcPr>
                <w:p w14:paraId="4003C17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在</w:t>
                  </w:r>
                  <w:r>
                    <w:rPr>
                      <w:color w:val="000000" w:themeColor="text1"/>
                      <w:highlight w:val="none"/>
                      <w14:textFill>
                        <w14:solidFill>
                          <w14:schemeClr w14:val="tx1"/>
                        </w14:solidFill>
                      </w14:textFill>
                    </w:rPr>
                    <w:t>福建乐翔服饰制造有限公司已建的厂房内新增生产设备进行生产。不涉及新增用地。</w:t>
                  </w:r>
                </w:p>
              </w:tc>
              <w:tc>
                <w:tcPr>
                  <w:tcW w:w="1230" w:type="dxa"/>
                  <w:vAlign w:val="center"/>
                </w:tcPr>
                <w:p w14:paraId="2DBF8F5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71694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BC9E5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闽江调水工程新局调节库缓冲区（GK-03）</w:t>
                  </w:r>
                </w:p>
              </w:tc>
              <w:tc>
                <w:tcPr>
                  <w:tcW w:w="0" w:type="auto"/>
                  <w:vAlign w:val="center"/>
                </w:tcPr>
                <w:p w14:paraId="5D6333E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108.66</w:t>
                  </w:r>
                </w:p>
              </w:tc>
              <w:tc>
                <w:tcPr>
                  <w:tcW w:w="0" w:type="auto"/>
                  <w:vAlign w:val="center"/>
                </w:tcPr>
                <w:p w14:paraId="3A72E6E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调节库周边200m范围内</w:t>
                  </w:r>
                </w:p>
              </w:tc>
              <w:tc>
                <w:tcPr>
                  <w:tcW w:w="0" w:type="auto"/>
                  <w:vAlign w:val="center"/>
                </w:tcPr>
                <w:p w14:paraId="47A9786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1、禁止工业企业生产过程使用危化品；2、禁止新建排放烟粉尘、VOCs废气的工业项目。</w:t>
                  </w:r>
                </w:p>
              </w:tc>
              <w:tc>
                <w:tcPr>
                  <w:tcW w:w="2545" w:type="dxa"/>
                  <w:vAlign w:val="center"/>
                </w:tcPr>
                <w:p w14:paraId="5BB8261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项目不涉及该布局</w:t>
                  </w:r>
                </w:p>
              </w:tc>
              <w:tc>
                <w:tcPr>
                  <w:tcW w:w="1230" w:type="dxa"/>
                  <w:vAlign w:val="center"/>
                </w:tcPr>
                <w:p w14:paraId="5EC5A65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33E8B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4C053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石竹山升级风景名胜区防护区（GK-04）</w:t>
                  </w:r>
                </w:p>
              </w:tc>
              <w:tc>
                <w:tcPr>
                  <w:tcW w:w="0" w:type="auto"/>
                  <w:vAlign w:val="center"/>
                </w:tcPr>
                <w:p w14:paraId="71F920D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133.58</w:t>
                  </w:r>
                </w:p>
              </w:tc>
              <w:tc>
                <w:tcPr>
                  <w:tcW w:w="0" w:type="auto"/>
                  <w:vAlign w:val="center"/>
                </w:tcPr>
                <w:p w14:paraId="3459593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石竹山省级风景名胜区800m范围内</w:t>
                  </w:r>
                </w:p>
              </w:tc>
              <w:tc>
                <w:tcPr>
                  <w:tcW w:w="0" w:type="auto"/>
                  <w:vAlign w:val="center"/>
                </w:tcPr>
                <w:p w14:paraId="2538451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1.禁止新建排放烟粉尘、VOCs废气的工业项目；</w:t>
                  </w:r>
                </w:p>
                <w:p w14:paraId="2003676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2、禁止使用燃煤锅炉；</w:t>
                  </w:r>
                </w:p>
                <w:p w14:paraId="2FACE37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3、现有废气排放企业控制不新增废气排放量。</w:t>
                  </w:r>
                </w:p>
              </w:tc>
              <w:tc>
                <w:tcPr>
                  <w:tcW w:w="2545" w:type="dxa"/>
                  <w:vAlign w:val="center"/>
                </w:tcPr>
                <w:p w14:paraId="1FE08F6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项目不涉及该布局</w:t>
                  </w:r>
                </w:p>
              </w:tc>
              <w:tc>
                <w:tcPr>
                  <w:tcW w:w="1230" w:type="dxa"/>
                  <w:vAlign w:val="center"/>
                </w:tcPr>
                <w:p w14:paraId="6D53927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14:paraId="7E19591E">
            <w:pPr>
              <w:pStyle w:val="188"/>
              <w:ind w:firstLine="480"/>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表1.2-2</w:t>
            </w:r>
            <w:r>
              <w:rPr>
                <w:color w:val="000000" w:themeColor="text1"/>
                <w:highlight w:val="none"/>
                <w14:textFill>
                  <w14:solidFill>
                    <w14:schemeClr w14:val="tx1"/>
                  </w14:solidFill>
                </w14:textFill>
              </w:rPr>
              <w:t>项目与规划环评中规划区配套及其他行业环境准入符合性表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1466"/>
              <w:gridCol w:w="1791"/>
              <w:gridCol w:w="1920"/>
              <w:gridCol w:w="1791"/>
              <w:gridCol w:w="3450"/>
              <w:gridCol w:w="853"/>
            </w:tblGrid>
            <w:tr w14:paraId="3EA0C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14:paraId="55AF823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类别名称</w:t>
                  </w:r>
                </w:p>
              </w:tc>
              <w:tc>
                <w:tcPr>
                  <w:tcW w:w="500" w:type="pct"/>
                  <w:vAlign w:val="center"/>
                </w:tcPr>
                <w:p w14:paraId="0A9C807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空间布局约束</w:t>
                  </w:r>
                </w:p>
              </w:tc>
              <w:tc>
                <w:tcPr>
                  <w:tcW w:w="611" w:type="pct"/>
                  <w:vAlign w:val="center"/>
                </w:tcPr>
                <w:p w14:paraId="364295C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环境风险防控</w:t>
                  </w:r>
                </w:p>
              </w:tc>
              <w:tc>
                <w:tcPr>
                  <w:tcW w:w="655" w:type="pct"/>
                  <w:vAlign w:val="center"/>
                </w:tcPr>
                <w:p w14:paraId="48F0966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污染物排放管控</w:t>
                  </w:r>
                </w:p>
              </w:tc>
              <w:tc>
                <w:tcPr>
                  <w:tcW w:w="611" w:type="pct"/>
                  <w:vAlign w:val="center"/>
                </w:tcPr>
                <w:p w14:paraId="10B7FCD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资源环境效率管控</w:t>
                  </w:r>
                </w:p>
              </w:tc>
              <w:tc>
                <w:tcPr>
                  <w:tcW w:w="1177" w:type="pct"/>
                  <w:vAlign w:val="center"/>
                </w:tcPr>
                <w:p w14:paraId="354EF21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本项目情况</w:t>
                  </w:r>
                </w:p>
              </w:tc>
              <w:tc>
                <w:tcPr>
                  <w:tcW w:w="291" w:type="pct"/>
                  <w:vAlign w:val="center"/>
                </w:tcPr>
                <w:p w14:paraId="42CB8D6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符合性</w:t>
                  </w:r>
                </w:p>
              </w:tc>
            </w:tr>
            <w:tr w14:paraId="14039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14:paraId="08B4FBE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C17纺织业（含印染精加工）</w:t>
                  </w:r>
                </w:p>
              </w:tc>
              <w:tc>
                <w:tcPr>
                  <w:tcW w:w="500" w:type="pct"/>
                  <w:vAlign w:val="center"/>
                </w:tcPr>
                <w:p w14:paraId="2BCAEFD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严禁引入</w:t>
                  </w:r>
                </w:p>
              </w:tc>
              <w:tc>
                <w:tcPr>
                  <w:tcW w:w="611" w:type="pct"/>
                  <w:vAlign w:val="center"/>
                </w:tcPr>
                <w:p w14:paraId="1378987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55" w:type="pct"/>
                  <w:vAlign w:val="center"/>
                </w:tcPr>
                <w:p w14:paraId="79B0986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11" w:type="pct"/>
                  <w:vAlign w:val="center"/>
                </w:tcPr>
                <w:p w14:paraId="227686C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177" w:type="pct"/>
                  <w:vAlign w:val="center"/>
                </w:tcPr>
                <w:p w14:paraId="421C5DB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项目不属于</w:t>
                  </w:r>
                </w:p>
              </w:tc>
              <w:tc>
                <w:tcPr>
                  <w:tcW w:w="291" w:type="pct"/>
                  <w:vAlign w:val="center"/>
                </w:tcPr>
                <w:p w14:paraId="3A67865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540B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14:paraId="6996D22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C22造纸和纸制品业（纸制品制造除外）</w:t>
                  </w:r>
                </w:p>
              </w:tc>
              <w:tc>
                <w:tcPr>
                  <w:tcW w:w="500" w:type="pct"/>
                  <w:vAlign w:val="center"/>
                </w:tcPr>
                <w:p w14:paraId="3DE1BEB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严禁引入</w:t>
                  </w:r>
                </w:p>
              </w:tc>
              <w:tc>
                <w:tcPr>
                  <w:tcW w:w="611" w:type="pct"/>
                  <w:vAlign w:val="center"/>
                </w:tcPr>
                <w:p w14:paraId="4875519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55" w:type="pct"/>
                  <w:vAlign w:val="center"/>
                </w:tcPr>
                <w:p w14:paraId="2B0CE7A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11" w:type="pct"/>
                  <w:vAlign w:val="center"/>
                </w:tcPr>
                <w:p w14:paraId="537D5AB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177" w:type="pct"/>
                  <w:vAlign w:val="center"/>
                </w:tcPr>
                <w:p w14:paraId="793920F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项目不属于</w:t>
                  </w:r>
                </w:p>
              </w:tc>
              <w:tc>
                <w:tcPr>
                  <w:tcW w:w="291" w:type="pct"/>
                  <w:vAlign w:val="center"/>
                </w:tcPr>
                <w:p w14:paraId="078E071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3F69A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14:paraId="117A6E7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C26化学原料和化学制品制造业（工业气体生产除外）</w:t>
                  </w:r>
                </w:p>
              </w:tc>
              <w:tc>
                <w:tcPr>
                  <w:tcW w:w="500" w:type="pct"/>
                  <w:vAlign w:val="center"/>
                </w:tcPr>
                <w:p w14:paraId="7E738BA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严禁引入</w:t>
                  </w:r>
                </w:p>
              </w:tc>
              <w:tc>
                <w:tcPr>
                  <w:tcW w:w="611" w:type="pct"/>
                  <w:vAlign w:val="center"/>
                </w:tcPr>
                <w:p w14:paraId="73E9119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55" w:type="pct"/>
                  <w:vAlign w:val="center"/>
                </w:tcPr>
                <w:p w14:paraId="6787017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11" w:type="pct"/>
                  <w:vAlign w:val="center"/>
                </w:tcPr>
                <w:p w14:paraId="6E877E0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177" w:type="pct"/>
                  <w:vAlign w:val="center"/>
                </w:tcPr>
                <w:p w14:paraId="60CD549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项目不属于</w:t>
                  </w:r>
                </w:p>
              </w:tc>
              <w:tc>
                <w:tcPr>
                  <w:tcW w:w="291" w:type="pct"/>
                  <w:vAlign w:val="center"/>
                </w:tcPr>
                <w:p w14:paraId="52AA0C5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CD6C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14:paraId="1ECE20D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C32有色金属冶炼及压延加工业（压延加工除外）</w:t>
                  </w:r>
                </w:p>
              </w:tc>
              <w:tc>
                <w:tcPr>
                  <w:tcW w:w="500" w:type="pct"/>
                  <w:vAlign w:val="center"/>
                </w:tcPr>
                <w:p w14:paraId="454A7AD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严禁引入</w:t>
                  </w:r>
                </w:p>
              </w:tc>
              <w:tc>
                <w:tcPr>
                  <w:tcW w:w="611" w:type="pct"/>
                  <w:vAlign w:val="center"/>
                </w:tcPr>
                <w:p w14:paraId="61060B0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55" w:type="pct"/>
                  <w:vAlign w:val="center"/>
                </w:tcPr>
                <w:p w14:paraId="131B0B6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11" w:type="pct"/>
                  <w:vAlign w:val="center"/>
                </w:tcPr>
                <w:p w14:paraId="2C70F57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177" w:type="pct"/>
                  <w:vAlign w:val="center"/>
                </w:tcPr>
                <w:p w14:paraId="48FECD8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项目不属于</w:t>
                  </w:r>
                </w:p>
              </w:tc>
              <w:tc>
                <w:tcPr>
                  <w:tcW w:w="291" w:type="pct"/>
                  <w:vAlign w:val="center"/>
                </w:tcPr>
                <w:p w14:paraId="422431C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1BFA5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14:paraId="3AB4CFB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其他非主导行业</w:t>
                  </w:r>
                </w:p>
              </w:tc>
              <w:tc>
                <w:tcPr>
                  <w:tcW w:w="500" w:type="pct"/>
                  <w:vAlign w:val="center"/>
                </w:tcPr>
                <w:p w14:paraId="6E5F0CB8">
                  <w:pPr>
                    <w:jc w:val="center"/>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1.禁止新建，含电镀工艺、冶炼工艺、电解铝的项目，现有生产能力一定期限内搬迁</w:t>
                  </w:r>
                  <w:r>
                    <w:rPr>
                      <w:rFonts w:hint="eastAsia"/>
                      <w:color w:val="000000" w:themeColor="text1"/>
                      <w:highlight w:val="none"/>
                      <w:lang w:eastAsia="zh-CN"/>
                      <w14:textFill>
                        <w14:solidFill>
                          <w14:schemeClr w14:val="tx1"/>
                        </w14:solidFill>
                      </w14:textFill>
                    </w:rPr>
                    <w:t>；</w:t>
                  </w:r>
                </w:p>
                <w:p w14:paraId="3721851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2.包装印刷业禁止使用不符合环保要求的油墨、胶黏剂。</w:t>
                  </w:r>
                </w:p>
              </w:tc>
              <w:tc>
                <w:tcPr>
                  <w:tcW w:w="611" w:type="pct"/>
                  <w:vAlign w:val="center"/>
                </w:tcPr>
                <w:p w14:paraId="43097B0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1.必须规范配套应急池,建设企业、园区和周边水系三级环境风险防控工程，确保有效拦截、降污和倒流;</w:t>
                  </w:r>
                </w:p>
                <w:p w14:paraId="049D3FD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受园区排污影响的周边水系应建设应急闸门，防止泄漏物和消防水等排入外环境。</w:t>
                  </w:r>
                </w:p>
                <w:p w14:paraId="5691C00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2、开发区内污水处理设施应采取必要的防渗处理，不得污染地下水环境.</w:t>
                  </w:r>
                </w:p>
              </w:tc>
              <w:tc>
                <w:tcPr>
                  <w:tcW w:w="655" w:type="pct"/>
                  <w:vAlign w:val="center"/>
                </w:tcPr>
                <w:p w14:paraId="2B4D58C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1、新、改、扩建项目新增大气污染物(现阶段指SO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、NOx) 排放量实行1.5倍削减替代(不含使用天然气、液化石油气等作为燃料的非火电锅炉和工业炉窑) 。</w:t>
                  </w:r>
                </w:p>
                <w:p w14:paraId="526B2E8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2、新、改、扩建项目新增VOCs排放量实行倍量削减替代。</w:t>
                  </w:r>
                </w:p>
                <w:p w14:paraId="54071D3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3、工业企业废水全部纳管进入污水厂集中处理后达标排放。</w:t>
                  </w:r>
                </w:p>
              </w:tc>
              <w:tc>
                <w:tcPr>
                  <w:tcW w:w="611" w:type="pct"/>
                  <w:vAlign w:val="center"/>
                </w:tcPr>
                <w:p w14:paraId="6D63696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1、能耗不超过0.23吨标煤/万元工业增加值</w:t>
                  </w:r>
                </w:p>
                <w:p w14:paraId="5945439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2.水耗不超过6.90 t/万元工业增加值</w:t>
                  </w:r>
                </w:p>
                <w:p w14:paraId="76D5CAF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3、污水排放量不超过5.43t/万元工业增加值</w:t>
                  </w:r>
                </w:p>
                <w:p w14:paraId="58682D6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4、VOCs排放量不超过0.46kg/万元工业增加值</w:t>
                  </w:r>
                </w:p>
              </w:tc>
              <w:tc>
                <w:tcPr>
                  <w:tcW w:w="1177" w:type="pct"/>
                  <w:vAlign w:val="center"/>
                </w:tcPr>
                <w:p w14:paraId="4CB7C7B5">
                  <w:pPr>
                    <w:jc w:val="cente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新增VOCs排放量实行倍量削减替代。项目生产废水</w:t>
                  </w:r>
                  <w:r>
                    <w:rPr>
                      <w:rFonts w:hint="eastAsia"/>
                      <w:color w:val="000000" w:themeColor="text1"/>
                      <w:highlight w:val="none"/>
                      <w:lang w:eastAsia="zh-CN"/>
                      <w14:textFill>
                        <w14:solidFill>
                          <w14:schemeClr w14:val="tx1"/>
                        </w14:solidFill>
                      </w14:textFill>
                    </w:rPr>
                    <w:t>循环使用</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不外排；</w:t>
                  </w:r>
                  <w:r>
                    <w:rPr>
                      <w:color w:val="000000" w:themeColor="text1"/>
                      <w:highlight w:val="none"/>
                      <w14:textFill>
                        <w14:solidFill>
                          <w14:schemeClr w14:val="tx1"/>
                        </w14:solidFill>
                      </w14:textFill>
                    </w:rPr>
                    <w:t>生活污水进入污水处理厂集中处理后达标排放。</w:t>
                  </w:r>
                </w:p>
                <w:p w14:paraId="14AF1DD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VOCs排放量0.</w:t>
                  </w:r>
                  <w:r>
                    <w:rPr>
                      <w:rFonts w:hint="eastAsia"/>
                      <w:color w:val="000000" w:themeColor="text1"/>
                      <w:highlight w:val="none"/>
                      <w:lang w:val="en-US" w:eastAsia="zh-CN"/>
                      <w14:textFill>
                        <w14:solidFill>
                          <w14:schemeClr w14:val="tx1"/>
                        </w14:solidFill>
                      </w14:textFill>
                    </w:rPr>
                    <w:t>0302</w:t>
                  </w:r>
                  <w:r>
                    <w:rPr>
                      <w:color w:val="000000" w:themeColor="text1"/>
                      <w:highlight w:val="none"/>
                      <w14:textFill>
                        <w14:solidFill>
                          <w14:schemeClr w14:val="tx1"/>
                        </w14:solidFill>
                      </w14:textFill>
                    </w:rPr>
                    <w:t>kg/万元工业增加值</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水耗</w:t>
                  </w: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13</w:t>
                  </w:r>
                  <w:r>
                    <w:rPr>
                      <w:color w:val="000000" w:themeColor="text1"/>
                      <w:highlight w:val="none"/>
                      <w14:textFill>
                        <w14:solidFill>
                          <w14:schemeClr w14:val="tx1"/>
                        </w14:solidFill>
                      </w14:textFill>
                    </w:rPr>
                    <w:t xml:space="preserve"> t/万元工业增加值。</w:t>
                  </w:r>
                </w:p>
                <w:p w14:paraId="6EB5AE8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能耗0.0</w:t>
                  </w:r>
                  <w:r>
                    <w:rPr>
                      <w:rFonts w:hint="eastAsia"/>
                      <w:color w:val="000000" w:themeColor="text1"/>
                      <w:highlight w:val="none"/>
                      <w:lang w:val="en-US" w:eastAsia="zh-CN"/>
                      <w14:textFill>
                        <w14:solidFill>
                          <w14:schemeClr w14:val="tx1"/>
                        </w14:solidFill>
                      </w14:textFill>
                    </w:rPr>
                    <w:t>15</w:t>
                  </w:r>
                  <w:r>
                    <w:rPr>
                      <w:color w:val="000000" w:themeColor="text1"/>
                      <w:highlight w:val="none"/>
                      <w14:textFill>
                        <w14:solidFill>
                          <w14:schemeClr w14:val="tx1"/>
                        </w14:solidFill>
                      </w14:textFill>
                    </w:rPr>
                    <w:t>吨标煤/万元工业增加值。</w:t>
                  </w:r>
                </w:p>
              </w:tc>
              <w:tc>
                <w:tcPr>
                  <w:tcW w:w="291" w:type="pct"/>
                  <w:vAlign w:val="center"/>
                </w:tcPr>
                <w:p w14:paraId="065F654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14:paraId="7629A6A9">
            <w:pPr>
              <w:spacing w:line="360" w:lineRule="auto"/>
              <w:outlineLvl w:val="0"/>
              <w:rPr>
                <w:rFonts w:eastAsia="黑体"/>
                <w:color w:val="000000" w:themeColor="text1"/>
                <w:sz w:val="30"/>
                <w:highlight w:val="none"/>
                <w14:textFill>
                  <w14:solidFill>
                    <w14:schemeClr w14:val="tx1"/>
                  </w14:solidFill>
                </w14:textFill>
              </w:rPr>
            </w:pPr>
            <w:r>
              <w:rPr>
                <w:color w:val="000000" w:themeColor="text1"/>
                <w:highlight w:val="none"/>
                <w14:textFill>
                  <w14:solidFill>
                    <w14:schemeClr w14:val="tx1"/>
                  </w14:solidFill>
                </w14:textFill>
              </w:rPr>
              <w:t>综上所述，项目符合《福清融侨经济技术开发区总体规划（2018-2035年）环境影响报告书》 及审查小组意见相关要求。</w:t>
            </w:r>
          </w:p>
        </w:tc>
      </w:tr>
    </w:tbl>
    <w:p w14:paraId="085AACE5">
      <w:pPr>
        <w:spacing w:line="360" w:lineRule="auto"/>
        <w:ind w:firstLine="600"/>
        <w:outlineLvl w:val="0"/>
        <w:rPr>
          <w:rFonts w:eastAsia="黑体"/>
          <w:color w:val="000000" w:themeColor="text1"/>
          <w:sz w:val="30"/>
          <w:highlight w:val="none"/>
          <w14:textFill>
            <w14:solidFill>
              <w14:schemeClr w14:val="tx1"/>
            </w14:solidFill>
          </w14:textFill>
        </w:rPr>
        <w:sectPr>
          <w:pgSz w:w="16838" w:h="11906" w:orient="landscape"/>
          <w:pgMar w:top="1440" w:right="1080" w:bottom="1440" w:left="1080" w:header="851" w:footer="1077" w:gutter="0"/>
          <w:pgBorders>
            <w:top w:val="none" w:sz="0" w:space="0"/>
            <w:left w:val="none" w:sz="0" w:space="0"/>
            <w:bottom w:val="none" w:sz="0" w:space="0"/>
            <w:right w:val="none" w:sz="0" w:space="0"/>
          </w:pgBorders>
          <w:cols w:space="720" w:num="1"/>
          <w:docGrid w:linePitch="312" w:charSpace="0"/>
        </w:sectPr>
      </w:pP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01"/>
        <w:gridCol w:w="8369"/>
      </w:tblGrid>
      <w:tr w14:paraId="1E942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32" w:hRule="atLeast"/>
          <w:jc w:val="center"/>
        </w:trPr>
        <w:tc>
          <w:tcPr>
            <w:tcW w:w="501" w:type="dxa"/>
            <w:vAlign w:val="center"/>
          </w:tcPr>
          <w:p w14:paraId="3CCC55C8">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其他符合性分析</w:t>
            </w:r>
          </w:p>
        </w:tc>
        <w:tc>
          <w:tcPr>
            <w:tcW w:w="8369" w:type="dxa"/>
            <w:vAlign w:val="center"/>
          </w:tcPr>
          <w:p w14:paraId="4319B5E4">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w:t>
            </w:r>
            <w:r>
              <w:rPr>
                <w:rFonts w:hint="eastAsia"/>
                <w:b/>
                <w:color w:val="000000" w:themeColor="text1"/>
                <w:sz w:val="30"/>
                <w:szCs w:val="30"/>
                <w:highlight w:val="none"/>
                <w14:textFill>
                  <w14:solidFill>
                    <w14:schemeClr w14:val="tx1"/>
                  </w14:solidFill>
                </w14:textFill>
              </w:rPr>
              <w:t>3“</w:t>
            </w:r>
            <w:r>
              <w:rPr>
                <w:b/>
                <w:color w:val="000000" w:themeColor="text1"/>
                <w:sz w:val="30"/>
                <w:szCs w:val="30"/>
                <w:highlight w:val="none"/>
                <w14:textFill>
                  <w14:solidFill>
                    <w14:schemeClr w14:val="tx1"/>
                  </w14:solidFill>
                </w14:textFill>
              </w:rPr>
              <w:t>三线一单</w:t>
            </w:r>
            <w:r>
              <w:rPr>
                <w:rFonts w:hint="eastAsia"/>
                <w:b/>
                <w:color w:val="000000" w:themeColor="text1"/>
                <w:sz w:val="30"/>
                <w:szCs w:val="30"/>
                <w:highlight w:val="none"/>
                <w14:textFill>
                  <w14:solidFill>
                    <w14:schemeClr w14:val="tx1"/>
                  </w14:solidFill>
                </w14:textFill>
              </w:rPr>
              <w:t>”</w:t>
            </w:r>
            <w:r>
              <w:rPr>
                <w:b/>
                <w:color w:val="000000" w:themeColor="text1"/>
                <w:sz w:val="30"/>
                <w:szCs w:val="30"/>
                <w:highlight w:val="none"/>
                <w14:textFill>
                  <w14:solidFill>
                    <w14:schemeClr w14:val="tx1"/>
                  </w14:solidFill>
                </w14:textFill>
              </w:rPr>
              <w:t>控制要求符合性分析</w:t>
            </w:r>
          </w:p>
          <w:p w14:paraId="61775138">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根据《福建省人民政府关于实施“三线一单”生态分区管控的通知》（闽政[2020]12号），项目与福建省“三线一单”管控相关要求符合性分析如下：</w:t>
            </w:r>
          </w:p>
          <w:p w14:paraId="7EB7A957">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（1）生态保护红线</w:t>
            </w:r>
          </w:p>
          <w:p w14:paraId="6B9D0E67">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福州市生态保护红线包括陆域生态保护红线和海洋生态保护红线，陆域生态保护红线：按照《福建省生态保护红线划定方案（报批稿）》（闽政函〔2018〕70号），福州市陆域生态保护红线划定面积为2497.75平方千米，占全市陆域国土面积的21.06%。陆域生态保护红线最终面积与比例以省政府发布结果为准。</w:t>
            </w:r>
          </w:p>
          <w:p w14:paraId="5549C467">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海洋生态保护红线：根据《福建省海洋生态保护红线划定成果》（闽政文〔2017〕457号），福州市海洋生态保护红线划定总面积2835.96平方千米，占福州市海域总选划面积的34.06%。海洋生态保护红线最终面积与比例以省政府发布结果为准。</w:t>
            </w:r>
          </w:p>
          <w:p w14:paraId="527A83D0">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项目位于福清融侨经济技术开发区，建设区未涉及生态保护红线，因此项目建设与生态保护红线管控要求不冲突。</w:t>
            </w:r>
          </w:p>
          <w:p w14:paraId="4876E3B6">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（2）环境质量底线</w:t>
            </w:r>
          </w:p>
          <w:p w14:paraId="2F832B27">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水环境质量底线</w:t>
            </w:r>
          </w:p>
          <w:p w14:paraId="4B4B87E0">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到2025年，国省控断面水质优良（达到或优于</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类）比例总体达到90.0%，福清海口桥断面水质稳定达到</w:t>
            </w:r>
            <w:r>
              <w:rPr>
                <w:rFonts w:hint="eastAsia"/>
                <w:color w:val="000000" w:themeColor="text1"/>
                <w:highlight w:val="none"/>
                <w14:textFill>
                  <w14:solidFill>
                    <w14:schemeClr w14:val="tx1"/>
                  </w14:solidFill>
                </w14:textFill>
              </w:rPr>
              <w:t>Ⅳ</w:t>
            </w:r>
            <w:r>
              <w:rPr>
                <w:color w:val="000000" w:themeColor="text1"/>
                <w:highlight w:val="none"/>
                <w14:textFill>
                  <w14:solidFill>
                    <w14:schemeClr w14:val="tx1"/>
                  </w14:solidFill>
                </w14:textFill>
              </w:rPr>
              <w:t>类；县级以上集中式饮用水水源水质达标率达100%。到2030年，国省控断面水质优良（达到或优于</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类）比例总体达到90.0%；县级以上城市建成区黑臭水体总体得到消除；县级以上集中式饮用水水源水质达标率达100%。到2035年，国省考断面水质优良（达到或优于</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类）比例总体达到95.0%；生态系统实现良性循环。</w:t>
            </w:r>
          </w:p>
          <w:p w14:paraId="55C030E8">
            <w:pPr>
              <w:pStyle w:val="9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项目无生产废水外排，生活污水</w:t>
            </w:r>
            <w:r>
              <w:rPr>
                <w:color w:val="000000" w:themeColor="text1"/>
                <w:highlight w:val="none"/>
                <w14:textFill>
                  <w14:solidFill>
                    <w14:schemeClr w14:val="tx1"/>
                  </w14:solidFill>
                </w14:textFill>
              </w:rPr>
              <w:t>经</w:t>
            </w:r>
            <w:r>
              <w:rPr>
                <w:rFonts w:hint="eastAsia"/>
                <w:color w:val="000000" w:themeColor="text1"/>
                <w:highlight w:val="none"/>
                <w14:textFill>
                  <w14:solidFill>
                    <w14:schemeClr w14:val="tx1"/>
                  </w14:solidFill>
                </w14:textFill>
              </w:rPr>
              <w:t>产业园</w:t>
            </w:r>
            <w:r>
              <w:rPr>
                <w:color w:val="000000" w:themeColor="text1"/>
                <w:highlight w:val="none"/>
                <w14:textFill>
                  <w14:solidFill>
                    <w14:schemeClr w14:val="tx1"/>
                  </w14:solidFill>
                </w14:textFill>
              </w:rPr>
              <w:t>化粪池</w:t>
            </w:r>
            <w:r>
              <w:rPr>
                <w:rFonts w:hint="eastAsia"/>
                <w:color w:val="000000" w:themeColor="text1"/>
                <w:highlight w:val="none"/>
                <w14:textFill>
                  <w14:solidFill>
                    <w14:schemeClr w14:val="tx1"/>
                  </w14:solidFill>
                </w14:textFill>
              </w:rPr>
              <w:t>预</w:t>
            </w:r>
            <w:r>
              <w:rPr>
                <w:color w:val="000000" w:themeColor="text1"/>
                <w:highlight w:val="none"/>
                <w14:textFill>
                  <w14:solidFill>
                    <w14:schemeClr w14:val="tx1"/>
                  </w14:solidFill>
                </w14:textFill>
              </w:rPr>
              <w:t>处理</w:t>
            </w:r>
            <w:r>
              <w:rPr>
                <w:rFonts w:hint="eastAsia"/>
                <w:color w:val="000000" w:themeColor="text1"/>
                <w:highlight w:val="none"/>
                <w14:textFill>
                  <w14:solidFill>
                    <w14:schemeClr w14:val="tx1"/>
                  </w14:solidFill>
                </w14:textFill>
              </w:rPr>
              <w:t>达标</w:t>
            </w:r>
            <w:r>
              <w:rPr>
                <w:color w:val="000000" w:themeColor="text1"/>
                <w:highlight w:val="none"/>
                <w14:textFill>
                  <w14:solidFill>
                    <w14:schemeClr w14:val="tx1"/>
                  </w14:solidFill>
                </w14:textFill>
              </w:rPr>
              <w:t>后排入市政污水管网</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汇入福清市融元污水处理厂集中处理，符合水环境质量底线要求。</w:t>
            </w:r>
          </w:p>
          <w:p w14:paraId="063A6538">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大气环境质量底线</w:t>
            </w:r>
          </w:p>
          <w:p w14:paraId="32BF7034">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福建省“</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生态分区管控》，到2025年，地级以上城市空气质量PM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年平均浓度不高于23μg/m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。到2035年，县级以上地区空气质量PM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年平均浓度不高于18μg/m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3BE57D9C">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项目生产过程产生的大气污染物经废气净化设施处理后达标排放，不会对大气环境产生明显的不良影响，符合大气环境质量底线要求。</w:t>
            </w:r>
          </w:p>
          <w:p w14:paraId="076D220C">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土壤环境风险防控底线</w:t>
            </w:r>
          </w:p>
          <w:p w14:paraId="4D5B81A7">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到2025年，全省土壤环境质量保持稳定，土壤环境风险得到管控，受污染耕地安全利用率达到93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，污染地块安全利用率达到93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。到2035年，全省土壤环境质量稳中向好，土壤环境风险得到全面管控，受污染耕地安全利用率达95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以上，污染地块安全利用率达95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以上。</w:t>
            </w:r>
          </w:p>
          <w:p w14:paraId="0129CB8D">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t>，用地性质属于工业用地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项目场地</w:t>
            </w:r>
            <w:r>
              <w:rPr>
                <w:rFonts w:hint="eastAsia"/>
                <w:color w:val="000000" w:themeColor="text1"/>
                <w:highlight w:val="none"/>
                <w14:textFill>
                  <w14:solidFill>
                    <w14:schemeClr w14:val="tx1"/>
                  </w14:solidFill>
                </w14:textFill>
              </w:rPr>
              <w:t>为已建成标准厂房；厂区</w:t>
            </w:r>
            <w:r>
              <w:rPr>
                <w:color w:val="000000" w:themeColor="text1"/>
                <w:highlight w:val="none"/>
                <w14:textFill>
                  <w14:solidFill>
                    <w14:schemeClr w14:val="tx1"/>
                  </w14:solidFill>
                </w14:textFill>
              </w:rPr>
              <w:t>内除绿化外均进行了硬化处理，企业按生产管理要求安全生产，不会对厂区内土壤环境产生明显的不良影响，符合土壤环境风险防控底线要求。</w:t>
            </w:r>
          </w:p>
          <w:p w14:paraId="07655C89">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（3）资源利用上线</w:t>
            </w:r>
          </w:p>
          <w:p w14:paraId="4832825A">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水资源利用上线</w:t>
            </w:r>
          </w:p>
          <w:p w14:paraId="271E9093">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福建省“</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生态分区管控》，衔接水资源管理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三条红线</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，控制目标以省政府下达为准，即全市水资源利用不会突破水资源利用上线。</w:t>
            </w:r>
          </w:p>
          <w:p w14:paraId="63A2208B">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项目运营期用水为生活用水</w:t>
            </w:r>
            <w:r>
              <w:rPr>
                <w:rFonts w:hint="eastAsia"/>
                <w:color w:val="000000" w:themeColor="text1"/>
                <w:highlight w:val="none"/>
                <w14:textFill>
                  <w14:solidFill>
                    <w14:schemeClr w14:val="tx1"/>
                  </w14:solidFill>
                </w14:textFill>
              </w:rPr>
              <w:t>和生产循环系统补充水</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循环水补充</w:t>
            </w:r>
            <w:r>
              <w:rPr>
                <w:color w:val="000000" w:themeColor="text1"/>
                <w:highlight w:val="none"/>
                <w14:textFill>
                  <w14:solidFill>
                    <w14:schemeClr w14:val="tx1"/>
                  </w14:solidFill>
                </w14:textFill>
              </w:rPr>
              <w:t>量</w:t>
            </w:r>
            <w:r>
              <w:rPr>
                <w:rFonts w:hint="eastAsia"/>
                <w:color w:val="000000" w:themeColor="text1"/>
                <w:highlight w:val="none"/>
                <w14:textFill>
                  <w14:solidFill>
                    <w14:schemeClr w14:val="tx1"/>
                  </w14:solidFill>
                </w14:textFill>
              </w:rPr>
              <w:t>较小，该用水</w:t>
            </w:r>
            <w:r>
              <w:rPr>
                <w:color w:val="000000" w:themeColor="text1"/>
                <w:highlight w:val="none"/>
                <w14:textFill>
                  <w14:solidFill>
                    <w14:schemeClr w14:val="tx1"/>
                  </w14:solidFill>
                </w14:textFill>
              </w:rPr>
              <w:t>循环使用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不外排</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生活和生产用水来源于市政给水，与福州市水资源利用上线管控要求相符。</w:t>
            </w:r>
          </w:p>
          <w:p w14:paraId="2E58F6C3">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土地资源利用上线</w:t>
            </w:r>
          </w:p>
          <w:p w14:paraId="69126936">
            <w:pPr>
              <w:pStyle w:val="92"/>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根据</w:t>
            </w:r>
            <w:r>
              <w:rPr>
                <w:color w:val="000000" w:themeColor="text1"/>
                <w:kern w:val="2"/>
                <w:szCs w:val="24"/>
                <w:highlight w:val="none"/>
                <w14:textFill>
                  <w14:solidFill>
                    <w14:schemeClr w14:val="tx1"/>
                  </w14:solidFill>
                </w14:textFill>
              </w:rPr>
              <w:t>《福州市生态环境分区管控方案（2023年更新）》（榕政办规〔2024〕20号）</w:t>
            </w:r>
            <w:r>
              <w:rPr>
                <w:color w:val="000000" w:themeColor="text1"/>
                <w:kern w:val="0"/>
                <w:highlight w:val="none"/>
                <w14:textFill>
                  <w14:solidFill>
                    <w14:schemeClr w14:val="tx1"/>
                  </w14:solidFill>
                </w14:textFill>
              </w:rPr>
              <w:t>，衔接《</w:t>
            </w:r>
            <w:r>
              <w:rPr>
                <w:color w:val="000000" w:themeColor="text1"/>
                <w:highlight w:val="none"/>
                <w14:textFill>
                  <w14:solidFill>
                    <w14:schemeClr w14:val="tx1"/>
                  </w14:solidFill>
                </w14:textFill>
              </w:rPr>
              <w:t>福清融侨经济技术开发区总体规划（2018-2035年）</w:t>
            </w:r>
            <w:r>
              <w:rPr>
                <w:color w:val="000000" w:themeColor="text1"/>
                <w:kern w:val="0"/>
                <w:highlight w:val="none"/>
                <w14:textFill>
                  <w14:solidFill>
                    <w14:schemeClr w14:val="tx1"/>
                  </w14:solidFill>
                </w14:textFill>
              </w:rPr>
              <w:t>》，项目与《</w:t>
            </w:r>
            <w:r>
              <w:rPr>
                <w:color w:val="000000" w:themeColor="text1"/>
                <w:highlight w:val="none"/>
                <w14:textFill>
                  <w14:solidFill>
                    <w14:schemeClr w14:val="tx1"/>
                  </w14:solidFill>
                </w14:textFill>
              </w:rPr>
              <w:t>福清融侨经济技术开发区总体规划（2018-2035年）</w:t>
            </w:r>
            <w:r>
              <w:rPr>
                <w:color w:val="000000" w:themeColor="text1"/>
                <w:kern w:val="0"/>
                <w:highlight w:val="none"/>
                <w14:textFill>
                  <w14:solidFill>
                    <w14:schemeClr w14:val="tx1"/>
                  </w14:solidFill>
                </w14:textFill>
              </w:rPr>
              <w:t>》不冲突，符合土地资源利用上线管控要求。</w:t>
            </w:r>
          </w:p>
          <w:p w14:paraId="53DC76A4">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能源资源利用上线</w:t>
            </w:r>
          </w:p>
          <w:p w14:paraId="1CA3B580">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福建省“</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分区管控》，衔接碳达峰方案、节能减排、能源规划等文件要求，控制目标以省政府下达为准。项目所在地不属于划定的高污染燃料禁燃区，项目生产设备使用电能，非高耗能项目，与福州市能源资源利用上线要求相符。</w:t>
            </w:r>
          </w:p>
          <w:p w14:paraId="052AA280">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（4）环境准入清单</w:t>
            </w:r>
          </w:p>
          <w:p w14:paraId="679B983A">
            <w:pPr>
              <w:pStyle w:val="92"/>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《福州市生态环境分区管控方案（2023年更新）》（榕政办规〔2024〕20号）</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（下文简称“方案”）</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，属于</w:t>
            </w:r>
            <w:r>
              <w:rPr>
                <w:color w:val="000000" w:themeColor="text1"/>
                <w:highlight w:val="none"/>
                <w14:textFill>
                  <w14:solidFill>
                    <w14:schemeClr w14:val="tx1"/>
                  </w14:solidFill>
                </w14:textFill>
              </w:rPr>
              <w:t>福清融侨经济技术开发区，为重点管控单元</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环境管控单位编码ZH3501812000</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，其管控要求见表1.3-1。</w:t>
            </w:r>
          </w:p>
          <w:p w14:paraId="352B2C49">
            <w:pPr>
              <w:pStyle w:val="188"/>
              <w:ind w:firstLine="48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表1.3-1项目与</w:t>
            </w:r>
            <w:r>
              <w:rPr>
                <w:rFonts w:hint="eastAsia" w:ascii="Times New Roman" w:hAnsi="Times New Roman" w:cs="Times New Roman"/>
                <w:b/>
                <w:bCs/>
                <w:color w:val="000000" w:themeColor="text1"/>
                <w:highlight w:val="none"/>
                <w:lang w:val="en-US" w:eastAsia="zh-CN"/>
                <w14:textFill>
                  <w14:solidFill>
                    <w14:schemeClr w14:val="tx1"/>
                  </w14:solidFill>
                </w14:textFill>
              </w:rPr>
              <w:t>生态环境准入清单</w:t>
            </w:r>
            <w:r>
              <w:rPr>
                <w:b/>
                <w:bCs/>
                <w:color w:val="000000" w:themeColor="text1"/>
                <w:highlight w:val="none"/>
                <w14:textFill>
                  <w14:solidFill>
                    <w14:schemeClr w14:val="tx1"/>
                  </w14:solidFill>
                </w14:textFill>
              </w:rPr>
              <w:t>要求符合性分析</w:t>
            </w:r>
          </w:p>
          <w:tbl>
            <w:tblPr>
              <w:tblStyle w:val="38"/>
              <w:tblW w:w="4987" w:type="pct"/>
              <w:tblInd w:w="-7"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550"/>
              <w:gridCol w:w="546"/>
              <w:gridCol w:w="3598"/>
              <w:gridCol w:w="2461"/>
              <w:gridCol w:w="576"/>
            </w:tblGrid>
            <w:tr w14:paraId="441814D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pct"/>
                  <w:gridSpan w:val="2"/>
                  <w:tcBorders>
                    <w:tl2br w:val="nil"/>
                    <w:tr2bl w:val="nil"/>
                  </w:tcBorders>
                  <w:noWrap w:val="0"/>
                  <w:vAlign w:val="center"/>
                </w:tcPr>
                <w:p w14:paraId="7A6C1C6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环境管控单元名称</w:t>
                  </w:r>
                  <w:r>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及类别</w:t>
                  </w:r>
                </w:p>
              </w:tc>
              <w:tc>
                <w:tcPr>
                  <w:tcW w:w="2503" w:type="pct"/>
                  <w:gridSpan w:val="2"/>
                  <w:tcBorders>
                    <w:tl2br w:val="nil"/>
                    <w:tr2bl w:val="nil"/>
                  </w:tcBorders>
                  <w:noWrap w:val="0"/>
                  <w:vAlign w:val="center"/>
                </w:tcPr>
                <w:p w14:paraId="74BE092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管控要求</w:t>
                  </w:r>
                </w:p>
              </w:tc>
              <w:tc>
                <w:tcPr>
                  <w:tcW w:w="1486" w:type="pct"/>
                  <w:tcBorders>
                    <w:tl2br w:val="nil"/>
                    <w:tr2bl w:val="nil"/>
                  </w:tcBorders>
                  <w:noWrap w:val="0"/>
                  <w:vAlign w:val="center"/>
                </w:tcPr>
                <w:p w14:paraId="462457C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本项目情况</w:t>
                  </w:r>
                </w:p>
              </w:tc>
              <w:tc>
                <w:tcPr>
                  <w:tcW w:w="348" w:type="pct"/>
                  <w:tcBorders>
                    <w:tl2br w:val="nil"/>
                    <w:tr2bl w:val="nil"/>
                  </w:tcBorders>
                  <w:noWrap w:val="0"/>
                  <w:vAlign w:val="center"/>
                </w:tcPr>
                <w:p w14:paraId="1EE0116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符合性</w:t>
                  </w:r>
                </w:p>
              </w:tc>
            </w:tr>
            <w:tr w14:paraId="49239A6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9" w:type="pct"/>
                  <w:vMerge w:val="restart"/>
                  <w:tcBorders>
                    <w:tl2br w:val="nil"/>
                    <w:tr2bl w:val="nil"/>
                  </w:tcBorders>
                  <w:noWrap w:val="0"/>
                  <w:vAlign w:val="center"/>
                </w:tcPr>
                <w:p w14:paraId="675AABF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福州市</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福清市</w:t>
                  </w:r>
                </w:p>
              </w:tc>
              <w:tc>
                <w:tcPr>
                  <w:tcW w:w="332" w:type="pct"/>
                  <w:vMerge w:val="restart"/>
                  <w:tcBorders>
                    <w:tl2br w:val="nil"/>
                    <w:tr2bl w:val="nil"/>
                  </w:tcBorders>
                  <w:noWrap w:val="0"/>
                  <w:vAlign w:val="center"/>
                </w:tcPr>
                <w:p w14:paraId="6DE1DF4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重点管控单元</w:t>
                  </w:r>
                </w:p>
              </w:tc>
              <w:tc>
                <w:tcPr>
                  <w:tcW w:w="330" w:type="pct"/>
                  <w:tcBorders>
                    <w:tl2br w:val="nil"/>
                    <w:tr2bl w:val="nil"/>
                  </w:tcBorders>
                  <w:noWrap w:val="0"/>
                  <w:vAlign w:val="center"/>
                </w:tcPr>
                <w:p w14:paraId="0B2B62F0">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空间布局约束</w:t>
                  </w:r>
                </w:p>
              </w:tc>
              <w:tc>
                <w:tcPr>
                  <w:tcW w:w="2173" w:type="pct"/>
                  <w:tcBorders>
                    <w:tl2br w:val="nil"/>
                    <w:tr2bl w:val="nil"/>
                  </w:tcBorders>
                  <w:noWrap w:val="0"/>
                  <w:vAlign w:val="center"/>
                </w:tcPr>
                <w:p w14:paraId="2AB3DA4F">
                  <w:pP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1486" w:type="pct"/>
                  <w:tcBorders>
                    <w:tl2br w:val="nil"/>
                    <w:tr2bl w:val="nil"/>
                  </w:tcBorders>
                  <w:noWrap w:val="0"/>
                  <w:vAlign w:val="center"/>
                </w:tcPr>
                <w:p w14:paraId="4F15A02C">
                  <w:pPr>
                    <w:pStyle w:val="35"/>
                    <w:spacing w:line="240" w:lineRule="auto"/>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eastAsia" w:cs="Times New Roman"/>
                      <w:snapToGrid/>
                      <w:color w:val="000000" w:themeColor="text1"/>
                      <w:kern w:val="2"/>
                      <w:sz w:val="21"/>
                      <w:szCs w:val="24"/>
                      <w:highlight w:val="none"/>
                      <w:lang w:val="en-US" w:eastAsia="zh-CN" w:bidi="ar-SA"/>
                      <w14:textFill>
                        <w14:solidFill>
                          <w14:schemeClr w14:val="tx1"/>
                        </w14:solidFill>
                      </w14:textFill>
                    </w:rPr>
                    <w:t>扩建</w:t>
                  </w:r>
                  <w:r>
                    <w:rPr>
                      <w:rFonts w:hint="eastAsia" w:ascii="Times New Roman" w:hAnsi="Times New Roman" w:eastAsia="宋体" w:cs="Times New Roman"/>
                      <w:snapToGrid/>
                      <w:color w:val="000000" w:themeColor="text1"/>
                      <w:kern w:val="2"/>
                      <w:sz w:val="21"/>
                      <w:szCs w:val="24"/>
                      <w:highlight w:val="none"/>
                      <w:lang w:val="en-US" w:eastAsia="zh-CN" w:bidi="ar-SA"/>
                      <w14:textFill>
                        <w14:solidFill>
                          <w14:schemeClr w14:val="tx1"/>
                        </w14:solidFill>
                      </w14:textFill>
                    </w:rPr>
                    <w:t>项目属于C2110木质家具制造，不属于福清融侨经济技术开发区禁止引进的项目。</w:t>
                  </w:r>
                </w:p>
              </w:tc>
              <w:tc>
                <w:tcPr>
                  <w:tcW w:w="348" w:type="pct"/>
                  <w:tcBorders>
                    <w:tl2br w:val="nil"/>
                    <w:tr2bl w:val="nil"/>
                  </w:tcBorders>
                  <w:noWrap w:val="0"/>
                  <w:vAlign w:val="center"/>
                </w:tcPr>
                <w:p w14:paraId="6320204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符合</w:t>
                  </w:r>
                </w:p>
              </w:tc>
            </w:tr>
            <w:tr w14:paraId="2E4C7C0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9" w:type="pct"/>
                  <w:vMerge w:val="continue"/>
                  <w:tcBorders>
                    <w:tl2br w:val="nil"/>
                    <w:tr2bl w:val="nil"/>
                  </w:tcBorders>
                  <w:noWrap w:val="0"/>
                  <w:vAlign w:val="center"/>
                </w:tcPr>
                <w:p w14:paraId="6F74532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2" w:type="pct"/>
                  <w:vMerge w:val="continue"/>
                  <w:tcBorders>
                    <w:tl2br w:val="nil"/>
                    <w:tr2bl w:val="nil"/>
                  </w:tcBorders>
                  <w:noWrap w:val="0"/>
                  <w:vAlign w:val="center"/>
                </w:tcPr>
                <w:p w14:paraId="3161761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0" w:type="pct"/>
                  <w:tcBorders>
                    <w:tl2br w:val="nil"/>
                    <w:tr2bl w:val="nil"/>
                  </w:tcBorders>
                  <w:noWrap w:val="0"/>
                  <w:vAlign w:val="center"/>
                </w:tcPr>
                <w:p w14:paraId="0ED8A947">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污染物排放管控</w:t>
                  </w:r>
                </w:p>
              </w:tc>
              <w:tc>
                <w:tcPr>
                  <w:tcW w:w="2173" w:type="pct"/>
                  <w:tcBorders>
                    <w:tl2br w:val="nil"/>
                    <w:tr2bl w:val="nil"/>
                  </w:tcBorders>
                  <w:noWrap w:val="0"/>
                  <w:vAlign w:val="center"/>
                </w:tcPr>
                <w:p w14:paraId="27812C31">
                  <w:pP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落实新增二氧化硫、氮氧化物和VOCs排放总量控制要求。</w:t>
                  </w:r>
                </w:p>
              </w:tc>
              <w:tc>
                <w:tcPr>
                  <w:tcW w:w="1486" w:type="pct"/>
                  <w:tcBorders>
                    <w:tl2br w:val="nil"/>
                    <w:tr2bl w:val="nil"/>
                  </w:tcBorders>
                  <w:noWrap w:val="0"/>
                  <w:vAlign w:val="center"/>
                </w:tcPr>
                <w:p w14:paraId="3408BE8A">
                  <w:pPr>
                    <w:rPr>
                      <w:rFonts w:ascii="Times New Roman" w:hAnsi="Times New Roman" w:eastAsia="宋体" w:cs="Times New Roman"/>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项目使用</w:t>
                  </w:r>
                  <w:r>
                    <w:rPr>
                      <w:rFonts w:hint="eastAsia"/>
                      <w:color w:val="000000" w:themeColor="text1"/>
                      <w:highlight w:val="none"/>
                      <w14:textFill>
                        <w14:solidFill>
                          <w14:schemeClr w14:val="tx1"/>
                        </w14:solidFill>
                      </w14:textFill>
                    </w:rPr>
                    <w:t>环保油漆</w:t>
                  </w:r>
                  <w:r>
                    <w:rPr>
                      <w:color w:val="000000" w:themeColor="text1"/>
                      <w:highlight w:val="none"/>
                      <w14:textFill>
                        <w14:solidFill>
                          <w14:schemeClr w14:val="tx1"/>
                        </w14:solidFill>
                      </w14:textFill>
                    </w:rPr>
                    <w:t>，为进一步控制有机废气的排放，</w:t>
                  </w:r>
                  <w:r>
                    <w:rPr>
                      <w:rFonts w:hint="eastAsia"/>
                      <w:color w:val="000000" w:themeColor="text1"/>
                      <w:highlight w:val="none"/>
                      <w14:textFill>
                        <w14:solidFill>
                          <w14:schemeClr w14:val="tx1"/>
                        </w14:solidFill>
                      </w14:textFill>
                    </w:rPr>
                    <w:t>设置独立的调漆喷漆及烘干区域并配套</w:t>
                  </w:r>
                  <w:r>
                    <w:rPr>
                      <w:color w:val="000000" w:themeColor="text1"/>
                      <w:highlight w:val="none"/>
                      <w14:textFill>
                        <w14:solidFill>
                          <w14:schemeClr w14:val="tx1"/>
                        </w14:solidFill>
                      </w14:textFill>
                    </w:rPr>
                    <w:t>集气设施收集有机废气。废气净化设施为</w:t>
                  </w:r>
                  <w:r>
                    <w:rPr>
                      <w:rFonts w:hint="eastAsia"/>
                      <w:color w:val="000000" w:themeColor="text1"/>
                      <w:highlight w:val="none"/>
                      <w14:textFill>
                        <w14:solidFill>
                          <w14:schemeClr w14:val="tx1"/>
                        </w14:solidFill>
                      </w14:textFill>
                    </w:rPr>
                    <w:t>“水喷淋+二级活性炭吸附”设备</w:t>
                  </w:r>
                  <w:r>
                    <w:rPr>
                      <w:color w:val="000000" w:themeColor="text1"/>
                      <w:highlight w:val="none"/>
                      <w14:textFill>
                        <w14:solidFill>
                          <w14:schemeClr w14:val="tx1"/>
                        </w14:solidFill>
                      </w14:textFill>
                    </w:rPr>
                    <w:t>，经</w:t>
                  </w:r>
                  <w:r>
                    <w:rPr>
                      <w:rFonts w:hint="eastAsia"/>
                      <w:color w:val="000000" w:themeColor="text1"/>
                      <w:highlight w:val="none"/>
                      <w14:textFill>
                        <w14:solidFill>
                          <w14:schemeClr w14:val="tx1"/>
                        </w14:solidFill>
                      </w14:textFill>
                    </w:rPr>
                    <w:t>净化处理</w:t>
                  </w:r>
                  <w:r>
                    <w:rPr>
                      <w:color w:val="000000" w:themeColor="text1"/>
                      <w:highlight w:val="none"/>
                      <w14:textFill>
                        <w14:solidFill>
                          <w14:schemeClr w14:val="tx1"/>
                        </w14:solidFill>
                      </w14:textFill>
                    </w:rPr>
                    <w:t>后有机废气</w:t>
                  </w:r>
                  <w:r>
                    <w:rPr>
                      <w:rFonts w:ascii="Times New Roman" w:hAnsi="Times New Roman" w:eastAsia="宋体" w:cs="Times New Roman"/>
                      <w:color w:val="000000" w:themeColor="text1"/>
                      <w:highlight w:val="none"/>
                      <w14:textFill>
                        <w14:solidFill>
                          <w14:schemeClr w14:val="tx1"/>
                        </w14:solidFill>
                      </w14:textFill>
                    </w:rPr>
                    <w:t>可达标排放。</w:t>
                  </w:r>
                </w:p>
                <w:p w14:paraId="3533C781">
                  <w:pP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本项目新增排放的VOCs排放实行区域内倍量替代。</w:t>
                  </w:r>
                </w:p>
              </w:tc>
              <w:tc>
                <w:tcPr>
                  <w:tcW w:w="348" w:type="pct"/>
                  <w:tcBorders>
                    <w:tl2br w:val="nil"/>
                    <w:tr2bl w:val="nil"/>
                  </w:tcBorders>
                  <w:noWrap w:val="0"/>
                  <w:vAlign w:val="center"/>
                </w:tcPr>
                <w:p w14:paraId="3B28419E">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符合</w:t>
                  </w:r>
                </w:p>
              </w:tc>
            </w:tr>
            <w:tr w14:paraId="7CA1187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9" w:type="pct"/>
                  <w:vMerge w:val="continue"/>
                  <w:tcBorders>
                    <w:tl2br w:val="nil"/>
                    <w:tr2bl w:val="nil"/>
                  </w:tcBorders>
                  <w:noWrap w:val="0"/>
                  <w:vAlign w:val="center"/>
                </w:tcPr>
                <w:p w14:paraId="51C7981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2" w:type="pct"/>
                  <w:vMerge w:val="continue"/>
                  <w:tcBorders>
                    <w:tl2br w:val="nil"/>
                    <w:tr2bl w:val="nil"/>
                  </w:tcBorders>
                  <w:noWrap w:val="0"/>
                  <w:vAlign w:val="center"/>
                </w:tcPr>
                <w:p w14:paraId="22D28AC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0" w:type="pct"/>
                  <w:tcBorders>
                    <w:tl2br w:val="nil"/>
                    <w:tr2bl w:val="nil"/>
                  </w:tcBorders>
                  <w:noWrap w:val="0"/>
                  <w:vAlign w:val="center"/>
                </w:tcPr>
                <w:p w14:paraId="3E13807A">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eastAsia"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环境风险防控</w:t>
                  </w:r>
                </w:p>
              </w:tc>
              <w:tc>
                <w:tcPr>
                  <w:tcW w:w="2173" w:type="pct"/>
                  <w:tcBorders>
                    <w:tl2br w:val="nil"/>
                    <w:tr2bl w:val="nil"/>
                  </w:tcBorders>
                  <w:noWrap w:val="0"/>
                  <w:vAlign w:val="center"/>
                </w:tcPr>
                <w:p w14:paraId="306907DA">
                  <w:pPr>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p w14:paraId="10A91AE1">
                  <w:pPr>
                    <w:rPr>
                      <w:rFonts w:hint="eastAsia"/>
                      <w:color w:val="000000" w:themeColor="text1"/>
                      <w:highlight w:val="none"/>
                      <w:vertAlign w:val="baseline"/>
                      <w:lang w:val="en-US" w:eastAsia="zh-CN"/>
                      <w14:textFill>
                        <w14:solidFill>
                          <w14:schemeClr w14:val="tx1"/>
                        </w14:solidFill>
                      </w14:textFill>
                    </w:rPr>
                  </w:pPr>
                </w:p>
              </w:tc>
              <w:tc>
                <w:tcPr>
                  <w:tcW w:w="1486" w:type="pct"/>
                  <w:tcBorders>
                    <w:tl2br w:val="nil"/>
                    <w:tr2bl w:val="nil"/>
                  </w:tcBorders>
                  <w:noWrap w:val="0"/>
                  <w:vAlign w:val="center"/>
                </w:tcPr>
                <w:p w14:paraId="4B8EC339">
                  <w:pPr>
                    <w:pStyle w:val="265"/>
                    <w:jc w:val="left"/>
                    <w:rPr>
                      <w:rFonts w:ascii="Times New Roman" w:hAnsi="Times New Roman" w:eastAsia="宋体" w:cs="Times New Roman"/>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项目外排废水为生活污水，经化粪池预处理达标后排入市政污水管网，</w:t>
                  </w:r>
                  <w:r>
                    <w:rPr>
                      <w:color w:val="000000" w:themeColor="text1"/>
                      <w:highlight w:val="none"/>
                      <w14:textFill>
                        <w14:solidFill>
                          <w14:schemeClr w14:val="tx1"/>
                        </w14:solidFill>
                      </w14:textFill>
                    </w:rPr>
                    <w:t>汇入福清市融元污水处理厂集</w:t>
                  </w:r>
                  <w:r>
                    <w:rPr>
                      <w:rFonts w:ascii="Times New Roman" w:hAnsi="Times New Roman" w:eastAsia="宋体" w:cs="Times New Roman"/>
                      <w:color w:val="000000" w:themeColor="text1"/>
                      <w:highlight w:val="none"/>
                      <w14:textFill>
                        <w14:solidFill>
                          <w14:schemeClr w14:val="tx1"/>
                        </w14:solidFill>
                      </w14:textFill>
                    </w:rPr>
                    <w:t>中处理</w:t>
                  </w:r>
                  <w:r>
                    <w:rPr>
                      <w:rFonts w:hint="eastAsia" w:ascii="Times New Roman" w:hAnsi="Times New Roman" w:eastAsia="宋体" w:cs="Times New Roman"/>
                      <w:color w:val="000000" w:themeColor="text1"/>
                      <w:highlight w:val="none"/>
                      <w14:textFill>
                        <w14:solidFill>
                          <w14:schemeClr w14:val="tx1"/>
                        </w14:solidFill>
                      </w14:textFill>
                    </w:rPr>
                    <w:t>；本项目无生产废水外排，不涉及准入要求中提及的环境风险。</w:t>
                  </w:r>
                </w:p>
                <w:p w14:paraId="368D950D">
                  <w:pPr>
                    <w:pStyle w:val="265"/>
                    <w:jc w:val="left"/>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项目符合环境风险防控。</w:t>
                  </w:r>
                </w:p>
              </w:tc>
              <w:tc>
                <w:tcPr>
                  <w:tcW w:w="348" w:type="pct"/>
                  <w:tcBorders>
                    <w:tl2br w:val="nil"/>
                    <w:tr2bl w:val="nil"/>
                  </w:tcBorders>
                  <w:noWrap w:val="0"/>
                  <w:vAlign w:val="center"/>
                </w:tcPr>
                <w:p w14:paraId="136406D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r>
            <w:tr w14:paraId="652D0B2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329" w:type="pct"/>
                  <w:vMerge w:val="continue"/>
                  <w:tcBorders>
                    <w:tl2br w:val="nil"/>
                    <w:tr2bl w:val="nil"/>
                  </w:tcBorders>
                  <w:noWrap w:val="0"/>
                  <w:vAlign w:val="center"/>
                </w:tcPr>
                <w:p w14:paraId="0D46835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2" w:type="pct"/>
                  <w:vMerge w:val="continue"/>
                  <w:tcBorders>
                    <w:tl2br w:val="nil"/>
                    <w:tr2bl w:val="nil"/>
                  </w:tcBorders>
                  <w:noWrap w:val="0"/>
                  <w:vAlign w:val="center"/>
                </w:tcPr>
                <w:p w14:paraId="31FD8BF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0" w:type="pct"/>
                  <w:tcBorders>
                    <w:tl2br w:val="nil"/>
                    <w:tr2bl w:val="nil"/>
                  </w:tcBorders>
                  <w:noWrap w:val="0"/>
                  <w:vAlign w:val="center"/>
                </w:tcPr>
                <w:p w14:paraId="55B7A59E">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资源开发效率要求</w:t>
                  </w:r>
                </w:p>
              </w:tc>
              <w:tc>
                <w:tcPr>
                  <w:tcW w:w="2173" w:type="pct"/>
                  <w:tcBorders>
                    <w:tl2br w:val="nil"/>
                    <w:tr2bl w:val="nil"/>
                  </w:tcBorders>
                  <w:noWrap w:val="0"/>
                  <w:vAlign w:val="center"/>
                </w:tcPr>
                <w:p w14:paraId="5F7D18F2">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1486" w:type="pct"/>
                  <w:tcBorders>
                    <w:tl2br w:val="nil"/>
                    <w:tr2bl w:val="nil"/>
                  </w:tcBorders>
                  <w:noWrap w:val="0"/>
                  <w:vAlign w:val="center"/>
                </w:tcPr>
                <w:p w14:paraId="463AEE8B">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不涉及高污染燃料使用</w:t>
                  </w:r>
                  <w:r>
                    <w:rPr>
                      <w:color w:val="000000" w:themeColor="text1"/>
                      <w:highlight w:val="none"/>
                      <w14:textFill>
                        <w14:solidFill>
                          <w14:schemeClr w14:val="tx1"/>
                        </w14:solidFill>
                      </w14:textFill>
                    </w:rPr>
                    <w:t>，生产设备使用电能。</w:t>
                  </w:r>
                </w:p>
              </w:tc>
              <w:tc>
                <w:tcPr>
                  <w:tcW w:w="348" w:type="pct"/>
                  <w:tcBorders>
                    <w:tl2br w:val="nil"/>
                    <w:tr2bl w:val="nil"/>
                  </w:tcBorders>
                  <w:noWrap w:val="0"/>
                  <w:vAlign w:val="center"/>
                </w:tcPr>
                <w:p w14:paraId="375F4478">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符合</w:t>
                  </w:r>
                </w:p>
              </w:tc>
            </w:tr>
          </w:tbl>
          <w:p w14:paraId="01B58F45">
            <w:pPr>
              <w:spacing w:before="120" w:beforeLines="50" w:line="360" w:lineRule="auto"/>
              <w:ind w:firstLine="480" w:firstLineChars="200"/>
              <w:outlineLvl w:val="1"/>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综上所述，项目选址和建设符合</w:t>
            </w:r>
            <w:r>
              <w:rPr>
                <w:rFonts w:hint="eastAsia"/>
                <w:color w:val="000000" w:themeColor="text1"/>
                <w:sz w:val="24"/>
                <w:highlight w:val="none"/>
                <w:lang w:eastAsia="zh-CN"/>
                <w14:textFill>
                  <w14:solidFill>
                    <w14:schemeClr w14:val="tx1"/>
                  </w14:solidFill>
                </w14:textFill>
              </w:rPr>
              <w:t>所在区域</w:t>
            </w:r>
            <w:r>
              <w:rPr>
                <w:color w:val="000000" w:themeColor="text1"/>
                <w:sz w:val="24"/>
                <w:highlight w:val="none"/>
                <w14:textFill>
                  <w14:solidFill>
                    <w14:schemeClr w14:val="tx1"/>
                  </w14:solidFill>
                </w14:textFill>
              </w:rPr>
              <w:t>“三线一单”控制要求。</w:t>
            </w:r>
          </w:p>
          <w:p w14:paraId="2F8352A2">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1.4与产业政策符合性分析</w:t>
            </w:r>
          </w:p>
          <w:p w14:paraId="75BB3CD8">
            <w:pPr>
              <w:spacing w:line="360" w:lineRule="auto"/>
              <w:ind w:firstLine="480"/>
              <w:rPr>
                <w:color w:val="000000" w:themeColor="text1"/>
                <w:sz w:val="24"/>
                <w:szCs w:val="20"/>
                <w:highlight w:val="none"/>
                <w14:textFill>
                  <w14:solidFill>
                    <w14:schemeClr w14:val="tx1"/>
                  </w14:solidFill>
                </w14:textFill>
              </w:rPr>
            </w:pPr>
            <w:r>
              <w:rPr>
                <w:rFonts w:hint="eastAsia"/>
                <w:color w:val="000000" w:themeColor="text1"/>
                <w:sz w:val="24"/>
                <w:szCs w:val="20"/>
                <w:highlight w:val="none"/>
                <w:lang w:eastAsia="zh-CN"/>
                <w14:textFill>
                  <w14:solidFill>
                    <w14:schemeClr w14:val="tx1"/>
                  </w14:solidFill>
                </w14:textFill>
              </w:rPr>
              <w:t>扩建</w:t>
            </w:r>
            <w:r>
              <w:rPr>
                <w:color w:val="000000" w:themeColor="text1"/>
                <w:sz w:val="24"/>
                <w:szCs w:val="20"/>
                <w:highlight w:val="none"/>
                <w14:textFill>
                  <w14:solidFill>
                    <w14:schemeClr w14:val="tx1"/>
                  </w14:solidFill>
                </w14:textFill>
              </w:rPr>
              <w:t>项目主要从事</w:t>
            </w:r>
            <w:r>
              <w:rPr>
                <w:rFonts w:hint="eastAsia"/>
                <w:color w:val="000000" w:themeColor="text1"/>
                <w:sz w:val="24"/>
                <w:szCs w:val="20"/>
                <w:highlight w:val="none"/>
                <w14:textFill>
                  <w14:solidFill>
                    <w14:schemeClr w14:val="tx1"/>
                  </w14:solidFill>
                </w14:textFill>
              </w:rPr>
              <w:t>木质家具</w:t>
            </w:r>
            <w:r>
              <w:rPr>
                <w:color w:val="000000" w:themeColor="text1"/>
                <w:sz w:val="24"/>
                <w:szCs w:val="20"/>
                <w:highlight w:val="none"/>
                <w14:textFill>
                  <w14:solidFill>
                    <w14:schemeClr w14:val="tx1"/>
                  </w14:solidFill>
                </w14:textFill>
              </w:rPr>
              <w:t>生产，</w:t>
            </w:r>
            <w:r>
              <w:rPr>
                <w:rFonts w:hint="eastAsia"/>
                <w:color w:val="000000" w:themeColor="text1"/>
                <w:sz w:val="24"/>
                <w:szCs w:val="20"/>
                <w:highlight w:val="none"/>
                <w14:textFill>
                  <w14:solidFill>
                    <w14:schemeClr w14:val="tx1"/>
                  </w14:solidFill>
                </w14:textFill>
              </w:rPr>
              <w:t>属于</w:t>
            </w:r>
            <w:r>
              <w:rPr>
                <w:rFonts w:hint="eastAsia"/>
                <w:color w:val="000000" w:themeColor="text1"/>
                <w:sz w:val="24"/>
                <w:highlight w:val="none"/>
                <w14:textFill>
                  <w14:solidFill>
                    <w14:schemeClr w14:val="tx1"/>
                  </w14:solidFill>
                </w14:textFill>
              </w:rPr>
              <w:t>木质家具制造</w:t>
            </w:r>
            <w:r>
              <w:rPr>
                <w:rFonts w:hint="eastAsia"/>
                <w:color w:val="000000" w:themeColor="text1"/>
                <w:sz w:val="24"/>
                <w:szCs w:val="20"/>
                <w:highlight w:val="none"/>
                <w14:textFill>
                  <w14:solidFill>
                    <w14:schemeClr w14:val="tx1"/>
                  </w14:solidFill>
                </w14:textFill>
              </w:rPr>
              <w:t>业。</w:t>
            </w:r>
            <w:r>
              <w:rPr>
                <w:color w:val="000000" w:themeColor="text1"/>
                <w:kern w:val="0"/>
                <w:sz w:val="24"/>
                <w:highlight w:val="none"/>
                <w:lang w:bidi="ar"/>
                <w14:textFill>
                  <w14:solidFill>
                    <w14:schemeClr w14:val="tx1"/>
                  </w14:solidFill>
                </w14:textFill>
              </w:rPr>
              <w:t>《产业结构调整指导目录 (20</w:t>
            </w:r>
            <w:r>
              <w:rPr>
                <w:rFonts w:hint="eastAsia"/>
                <w:color w:val="000000" w:themeColor="text1"/>
                <w:kern w:val="0"/>
                <w:sz w:val="24"/>
                <w:highlight w:val="none"/>
                <w:lang w:bidi="ar"/>
                <w14:textFill>
                  <w14:solidFill>
                    <w14:schemeClr w14:val="tx1"/>
                  </w14:solidFill>
                </w14:textFill>
              </w:rPr>
              <w:t>24</w:t>
            </w:r>
            <w:r>
              <w:rPr>
                <w:color w:val="000000" w:themeColor="text1"/>
                <w:kern w:val="0"/>
                <w:sz w:val="24"/>
                <w:highlight w:val="none"/>
                <w:lang w:bidi="ar"/>
                <w14:textFill>
                  <w14:solidFill>
                    <w14:schemeClr w14:val="tx1"/>
                  </w14:solidFill>
                </w14:textFill>
              </w:rPr>
              <w:t>年本)》，</w:t>
            </w:r>
            <w:r>
              <w:rPr>
                <w:rFonts w:hint="eastAsia"/>
                <w:color w:val="000000" w:themeColor="text1"/>
                <w:kern w:val="0"/>
                <w:sz w:val="24"/>
                <w:highlight w:val="none"/>
                <w:lang w:eastAsia="zh-CN" w:bidi="ar"/>
                <w14:textFill>
                  <w14:solidFill>
                    <w14:schemeClr w14:val="tx1"/>
                  </w14:solidFill>
                </w14:textFill>
              </w:rPr>
              <w:t>扩建</w:t>
            </w:r>
            <w:r>
              <w:rPr>
                <w:color w:val="000000" w:themeColor="text1"/>
                <w:kern w:val="0"/>
                <w:sz w:val="24"/>
                <w:highlight w:val="none"/>
                <w:lang w:bidi="ar"/>
                <w14:textFill>
                  <w14:solidFill>
                    <w14:schemeClr w14:val="tx1"/>
                  </w14:solidFill>
                </w14:textFill>
              </w:rPr>
              <w:t>项目不属于鼓励类、限值类、淘汰类产业，因此属于允许类。</w:t>
            </w:r>
            <w:r>
              <w:rPr>
                <w:color w:val="000000" w:themeColor="text1"/>
                <w:sz w:val="24"/>
                <w:szCs w:val="20"/>
                <w:highlight w:val="none"/>
                <w14:textFill>
                  <w14:solidFill>
                    <w14:schemeClr w14:val="tx1"/>
                  </w14:solidFill>
                </w14:textFill>
              </w:rPr>
              <w:t>同时，</w:t>
            </w:r>
            <w:r>
              <w:rPr>
                <w:rFonts w:hint="eastAsia"/>
                <w:color w:val="000000" w:themeColor="text1"/>
                <w:sz w:val="24"/>
                <w:szCs w:val="20"/>
                <w:highlight w:val="none"/>
                <w:lang w:eastAsia="zh-CN"/>
                <w14:textFill>
                  <w14:solidFill>
                    <w14:schemeClr w14:val="tx1"/>
                  </w14:solidFill>
                </w14:textFill>
              </w:rPr>
              <w:t>扩建</w:t>
            </w:r>
            <w:r>
              <w:rPr>
                <w:color w:val="000000" w:themeColor="text1"/>
                <w:sz w:val="24"/>
                <w:szCs w:val="20"/>
                <w:highlight w:val="none"/>
                <w14:textFill>
                  <w14:solidFill>
                    <w14:schemeClr w14:val="tx1"/>
                  </w14:solidFill>
                </w14:textFill>
              </w:rPr>
              <w:t>项目已于 202</w:t>
            </w:r>
            <w:r>
              <w:rPr>
                <w:rFonts w:hint="eastAsia"/>
                <w:color w:val="000000" w:themeColor="text1"/>
                <w:sz w:val="24"/>
                <w:szCs w:val="20"/>
                <w:highlight w:val="none"/>
                <w14:textFill>
                  <w14:solidFill>
                    <w14:schemeClr w14:val="tx1"/>
                  </w14:solidFill>
                </w14:textFill>
              </w:rPr>
              <w:t>5</w:t>
            </w:r>
            <w:r>
              <w:rPr>
                <w:rFonts w:hint="eastAsia"/>
                <w:color w:val="000000" w:themeColor="text1"/>
                <w:sz w:val="24"/>
                <w:szCs w:val="20"/>
                <w:highlight w:val="none"/>
                <w:lang w:val="en-US" w:eastAsia="zh-CN"/>
                <w14:textFill>
                  <w14:solidFill>
                    <w14:schemeClr w14:val="tx1"/>
                  </w14:solidFill>
                </w14:textFill>
              </w:rPr>
              <w:t>年10月9</w:t>
            </w:r>
            <w:r>
              <w:rPr>
                <w:color w:val="000000" w:themeColor="text1"/>
                <w:sz w:val="24"/>
                <w:szCs w:val="20"/>
                <w:highlight w:val="none"/>
                <w14:textFill>
                  <w14:solidFill>
                    <w14:schemeClr w14:val="tx1"/>
                  </w14:solidFill>
                </w14:textFill>
              </w:rPr>
              <w:t>日取得了福清市</w:t>
            </w:r>
            <w:r>
              <w:rPr>
                <w:rFonts w:hint="eastAsia"/>
                <w:color w:val="000000" w:themeColor="text1"/>
                <w:sz w:val="24"/>
                <w:szCs w:val="20"/>
                <w:highlight w:val="none"/>
                <w:lang w:eastAsia="zh-CN"/>
                <w14:textFill>
                  <w14:solidFill>
                    <w14:schemeClr w14:val="tx1"/>
                  </w14:solidFill>
                </w14:textFill>
              </w:rPr>
              <w:t>工业和信息化局</w:t>
            </w:r>
            <w:r>
              <w:rPr>
                <w:color w:val="000000" w:themeColor="text1"/>
                <w:sz w:val="24"/>
                <w:szCs w:val="20"/>
                <w:highlight w:val="none"/>
                <w14:textFill>
                  <w14:solidFill>
                    <w14:schemeClr w14:val="tx1"/>
                  </w14:solidFill>
                </w14:textFill>
              </w:rPr>
              <w:t>的备案（</w:t>
            </w:r>
            <w:r>
              <w:rPr>
                <w:rFonts w:hint="eastAsia"/>
                <w:color w:val="000000" w:themeColor="text1"/>
                <w:sz w:val="24"/>
                <w:highlight w:val="none"/>
                <w14:textFill>
                  <w14:solidFill>
                    <w14:schemeClr w14:val="tx1"/>
                  </w14:solidFill>
                </w14:textFill>
              </w:rPr>
              <w:t>闽</w:t>
            </w:r>
            <w:r>
              <w:rPr>
                <w:rFonts w:hint="eastAsia"/>
                <w:color w:val="000000" w:themeColor="text1"/>
                <w:sz w:val="24"/>
                <w:highlight w:val="none"/>
                <w:lang w:eastAsia="zh-CN"/>
                <w14:textFill>
                  <w14:solidFill>
                    <w14:schemeClr w14:val="tx1"/>
                  </w14:solidFill>
                </w14:textFill>
              </w:rPr>
              <w:t>工信</w:t>
            </w:r>
            <w:r>
              <w:rPr>
                <w:rFonts w:hint="eastAsia"/>
                <w:color w:val="000000" w:themeColor="text1"/>
                <w:sz w:val="24"/>
                <w:highlight w:val="none"/>
                <w14:textFill>
                  <w14:solidFill>
                    <w14:schemeClr w14:val="tx1"/>
                  </w14:solidFill>
                </w14:textFill>
              </w:rPr>
              <w:t>备[2025]A06</w:t>
            </w:r>
            <w:r>
              <w:rPr>
                <w:rFonts w:hint="eastAsia"/>
                <w:color w:val="000000" w:themeColor="text1"/>
                <w:sz w:val="24"/>
                <w:highlight w:val="none"/>
                <w:lang w:val="en-US" w:eastAsia="zh-CN"/>
                <w14:textFill>
                  <w14:solidFill>
                    <w14:schemeClr w14:val="tx1"/>
                  </w14:solidFill>
                </w14:textFill>
              </w:rPr>
              <w:t>0089</w:t>
            </w:r>
            <w:r>
              <w:rPr>
                <w:rFonts w:hint="eastAsia"/>
                <w:color w:val="000000" w:themeColor="text1"/>
                <w:sz w:val="24"/>
                <w:highlight w:val="none"/>
                <w14:textFill>
                  <w14:solidFill>
                    <w14:schemeClr w14:val="tx1"/>
                  </w14:solidFill>
                </w14:textFill>
              </w:rPr>
              <w:t>号</w:t>
            </w:r>
            <w:r>
              <w:rPr>
                <w:color w:val="000000" w:themeColor="text1"/>
                <w:sz w:val="24"/>
                <w:szCs w:val="20"/>
                <w:highlight w:val="none"/>
                <w14:textFill>
                  <w14:solidFill>
                    <w14:schemeClr w14:val="tx1"/>
                  </w14:solidFill>
                </w14:textFill>
              </w:rPr>
              <w:t>，</w:t>
            </w:r>
            <w:r>
              <w:rPr>
                <w:rFonts w:hint="eastAsia"/>
                <w:color w:val="000000" w:themeColor="text1"/>
                <w:sz w:val="24"/>
                <w:szCs w:val="20"/>
                <w:highlight w:val="none"/>
                <w14:textFill>
                  <w14:solidFill>
                    <w14:schemeClr w14:val="tx1"/>
                  </w14:solidFill>
                </w14:textFill>
              </w:rPr>
              <w:t>详</w:t>
            </w:r>
            <w:r>
              <w:rPr>
                <w:color w:val="000000" w:themeColor="text1"/>
                <w:sz w:val="24"/>
                <w:szCs w:val="20"/>
                <w:highlight w:val="none"/>
                <w14:textFill>
                  <w14:solidFill>
                    <w14:schemeClr w14:val="tx1"/>
                  </w14:solidFill>
                </w14:textFill>
              </w:rPr>
              <w:t>见附件</w:t>
            </w:r>
            <w:r>
              <w:rPr>
                <w:rFonts w:hint="eastAsia"/>
                <w:color w:val="000000" w:themeColor="text1"/>
                <w:sz w:val="24"/>
                <w:szCs w:val="20"/>
                <w:highlight w:val="none"/>
                <w14:textFill>
                  <w14:solidFill>
                    <w14:schemeClr w14:val="tx1"/>
                  </w14:solidFill>
                </w14:textFill>
              </w:rPr>
              <w:t>8</w:t>
            </w:r>
            <w:r>
              <w:rPr>
                <w:color w:val="000000" w:themeColor="text1"/>
                <w:sz w:val="24"/>
                <w:szCs w:val="20"/>
                <w:highlight w:val="none"/>
                <w14:textFill>
                  <w14:solidFill>
                    <w14:schemeClr w14:val="tx1"/>
                  </w14:solidFill>
                </w14:textFill>
              </w:rPr>
              <w:t>）。因此，项目建设符合国家和地方产业政策。</w:t>
            </w:r>
          </w:p>
          <w:p w14:paraId="1B8ECDC0">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1.5用地合法性分析</w:t>
            </w:r>
          </w:p>
          <w:p w14:paraId="1772ED17">
            <w:pPr>
              <w:pStyle w:val="186"/>
              <w:ind w:firstLine="480"/>
              <w:rPr>
                <w:rFonts w:hint="default"/>
                <w:color w:val="000000" w:themeColor="text1"/>
                <w:highlight w:val="none"/>
                <w:lang w:val="en-US"/>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扩建</w:t>
            </w:r>
            <w:r>
              <w:rPr>
                <w:color w:val="000000" w:themeColor="text1"/>
                <w:szCs w:val="21"/>
                <w:highlight w:val="none"/>
                <w14:textFill>
                  <w14:solidFill>
                    <w14:schemeClr w14:val="tx1"/>
                  </w14:solidFill>
                </w14:textFill>
              </w:rPr>
              <w:t>项目位于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t>，属于福清融侨经济技术开发区范围</w:t>
            </w:r>
            <w:r>
              <w:rPr>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t>根据建设单位提供的</w:t>
            </w:r>
            <w:r>
              <w:rPr>
                <w:rFonts w:hint="eastAsia"/>
                <w:color w:val="000000" w:themeColor="text1"/>
                <w:highlight w:val="none"/>
                <w14:textFill>
                  <w14:solidFill>
                    <w14:schemeClr w14:val="tx1"/>
                  </w14:solidFill>
                </w14:textFill>
              </w:rPr>
              <w:t>福建乐翔服饰制造有限公司不动产权证</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闽（2024）福清市不动产权第9037608号</w:t>
            </w:r>
            <w:r>
              <w:rPr>
                <w:color w:val="000000" w:themeColor="text1"/>
                <w:highlight w:val="none"/>
                <w14:textFill>
                  <w14:solidFill>
                    <w14:schemeClr w14:val="tx1"/>
                  </w14:solidFill>
                </w14:textFill>
              </w:rPr>
              <w:t>），项目用地为</w:t>
            </w:r>
            <w:r>
              <w:rPr>
                <w:rFonts w:hint="eastAsia"/>
                <w:color w:val="000000" w:themeColor="text1"/>
                <w:highlight w:val="none"/>
                <w14:textFill>
                  <w14:solidFill>
                    <w14:schemeClr w14:val="tx1"/>
                  </w14:solidFill>
                </w14:textFill>
              </w:rPr>
              <w:t>工业用地</w:t>
            </w:r>
            <w:r>
              <w:rPr>
                <w:color w:val="000000" w:themeColor="text1"/>
                <w:highlight w:val="none"/>
                <w14:textFill>
                  <w14:solidFill>
                    <w14:schemeClr w14:val="tx1"/>
                  </w14:solidFill>
                </w14:textFill>
              </w:rPr>
              <w:t>。</w:t>
            </w:r>
          </w:p>
          <w:p w14:paraId="7D7BA554">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1.6三线三区</w:t>
            </w:r>
          </w:p>
          <w:p w14:paraId="25374BBD">
            <w:pPr>
              <w:pStyle w:val="186"/>
              <w:ind w:firstLine="48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自然资源部办公厅关于北京等省(区、市)启用“三区三线”划定成果作为报批建设项目用地用海依据的函》(自然资办函〔2022〕2207号)，福建省已按照《全国国土空间规划纲要(2021—2035年)》确定的耕地和永久基本农田保护红线任务和《全国“三区三线”划定规则》，完成了“三区三线”划定工作，划定成果符合质检要求，从即日起正式启用，作为建设项目用地用海组卷报批的依据。经调阅“三区三线”划定成果，</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项目不占用永久基本农田、不占用生态保护红线，项目选址位于城镇开发边界范围内，能够符合城镇集中建设区的功能定位。</w:t>
            </w:r>
          </w:p>
          <w:p w14:paraId="2AD948F6">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w:t>
            </w:r>
            <w:r>
              <w:rPr>
                <w:rFonts w:hint="eastAsia"/>
                <w:b/>
                <w:color w:val="000000" w:themeColor="text1"/>
                <w:sz w:val="30"/>
                <w:szCs w:val="30"/>
                <w:highlight w:val="none"/>
                <w14:textFill>
                  <w14:solidFill>
                    <w14:schemeClr w14:val="tx1"/>
                  </w14:solidFill>
                </w14:textFill>
              </w:rPr>
              <w:t>7</w:t>
            </w:r>
            <w:r>
              <w:rPr>
                <w:b/>
                <w:color w:val="000000" w:themeColor="text1"/>
                <w:sz w:val="30"/>
                <w:szCs w:val="30"/>
                <w:highlight w:val="none"/>
                <w14:textFill>
                  <w14:solidFill>
                    <w14:schemeClr w14:val="tx1"/>
                  </w14:solidFill>
                </w14:textFill>
              </w:rPr>
              <w:t>与挥发性有机物污染防治相关政策符合性分析</w:t>
            </w:r>
          </w:p>
          <w:p w14:paraId="4011327E">
            <w:pPr>
              <w:spacing w:line="360" w:lineRule="auto"/>
              <w:ind w:firstLine="480"/>
              <w:rPr>
                <w:color w:val="000000" w:themeColor="text1"/>
                <w:highlight w:val="none"/>
                <w14:textFill>
                  <w14:solidFill>
                    <w14:schemeClr w14:val="tx1"/>
                  </w14:solidFill>
                </w14:textFill>
              </w:rPr>
            </w:pPr>
            <w:r>
              <w:rPr>
                <w:rFonts w:hint="eastAsia"/>
                <w:color w:val="000000" w:themeColor="text1"/>
                <w:sz w:val="24"/>
                <w:szCs w:val="20"/>
                <w:highlight w:val="none"/>
                <w:lang w:eastAsia="zh-CN"/>
                <w14:textFill>
                  <w14:solidFill>
                    <w14:schemeClr w14:val="tx1"/>
                  </w14:solidFill>
                </w14:textFill>
              </w:rPr>
              <w:t>扩建</w:t>
            </w:r>
            <w:r>
              <w:rPr>
                <w:color w:val="000000" w:themeColor="text1"/>
                <w:sz w:val="24"/>
                <w:szCs w:val="20"/>
                <w:highlight w:val="none"/>
                <w14:textFill>
                  <w14:solidFill>
                    <w14:schemeClr w14:val="tx1"/>
                  </w14:solidFill>
                </w14:textFill>
              </w:rPr>
              <w:t>项目与《“十三五”挥发性有机物污染防治工作方案》、《福建省重点行业挥发性有机物污染防治工作方案》(闽环保大气〔2017〕6号)、《福州市生态环境保护委员会办公室关于印发福州市打好污染防治攻坚战2020年度工作方案的通知》、《挥发性有机物无组织排放控制标准（GB37822—2019）》符合性分析详见1.</w:t>
            </w:r>
            <w:r>
              <w:rPr>
                <w:rFonts w:hint="eastAsia"/>
                <w:color w:val="000000" w:themeColor="text1"/>
                <w:sz w:val="24"/>
                <w:szCs w:val="20"/>
                <w:highlight w:val="none"/>
                <w14:textFill>
                  <w14:solidFill>
                    <w14:schemeClr w14:val="tx1"/>
                  </w14:solidFill>
                </w14:textFill>
              </w:rPr>
              <w:t>7</w:t>
            </w:r>
            <w:r>
              <w:rPr>
                <w:color w:val="000000" w:themeColor="text1"/>
                <w:sz w:val="24"/>
                <w:szCs w:val="20"/>
                <w:highlight w:val="none"/>
                <w14:textFill>
                  <w14:solidFill>
                    <w14:schemeClr w14:val="tx1"/>
                  </w14:solidFill>
                </w14:textFill>
              </w:rPr>
              <w:t>-1。</w:t>
            </w:r>
          </w:p>
        </w:tc>
      </w:tr>
    </w:tbl>
    <w:p w14:paraId="4F7264C6">
      <w:pPr>
        <w:spacing w:line="360" w:lineRule="auto"/>
        <w:ind w:firstLine="600"/>
        <w:outlineLvl w:val="0"/>
        <w:rPr>
          <w:rFonts w:eastAsia="黑体"/>
          <w:color w:val="000000" w:themeColor="text1"/>
          <w:sz w:val="30"/>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4"/>
      </w:tblGrid>
      <w:tr w14:paraId="788E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3108C0E">
            <w:pPr>
              <w:pStyle w:val="1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表1.</w:t>
            </w:r>
            <w:r>
              <w:rPr>
                <w:rFonts w:hint="eastAsia"/>
                <w:color w:val="000000" w:themeColor="text1"/>
                <w:highlight w:val="none"/>
                <w:lang w:val="en-US"/>
                <w14:textFill>
                  <w14:solidFill>
                    <w14:schemeClr w14:val="tx1"/>
                  </w14:solidFill>
                </w14:textFill>
              </w:rPr>
              <w:t>7</w:t>
            </w:r>
            <w:r>
              <w:rPr>
                <w:color w:val="000000" w:themeColor="text1"/>
                <w:highlight w:val="none"/>
                <w14:textFill>
                  <w14:solidFill>
                    <w14:schemeClr w14:val="tx1"/>
                  </w14:solidFill>
                </w14:textFill>
              </w:rPr>
              <w:t>-1 挥发性有机物污染防治政策相关内容</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72"/>
              <w:gridCol w:w="3151"/>
              <w:gridCol w:w="5537"/>
              <w:gridCol w:w="4640"/>
              <w:gridCol w:w="748"/>
            </w:tblGrid>
            <w:tr w14:paraId="56BCDF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 w:type="pct"/>
                  <w:vAlign w:val="center"/>
                </w:tcPr>
                <w:p w14:paraId="4E23AD4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075" w:type="pct"/>
                  <w:vAlign w:val="center"/>
                </w:tcPr>
                <w:p w14:paraId="56F3ACD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相关文件名称</w:t>
                  </w:r>
                </w:p>
              </w:tc>
              <w:tc>
                <w:tcPr>
                  <w:tcW w:w="1889" w:type="pct"/>
                  <w:vAlign w:val="center"/>
                </w:tcPr>
                <w:p w14:paraId="6A4A382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相关内容</w:t>
                  </w:r>
                </w:p>
              </w:tc>
              <w:tc>
                <w:tcPr>
                  <w:tcW w:w="1583" w:type="pct"/>
                  <w:vAlign w:val="center"/>
                </w:tcPr>
                <w:p w14:paraId="5EB5581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项目情况</w:t>
                  </w:r>
                </w:p>
              </w:tc>
              <w:tc>
                <w:tcPr>
                  <w:tcW w:w="255" w:type="pct"/>
                  <w:vAlign w:val="center"/>
                </w:tcPr>
                <w:p w14:paraId="5EB05AB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符合性</w:t>
                  </w:r>
                </w:p>
              </w:tc>
            </w:tr>
            <w:tr w14:paraId="24A5CD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 w:type="pct"/>
                  <w:vAlign w:val="center"/>
                </w:tcPr>
                <w:p w14:paraId="5B8720B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075" w:type="pct"/>
                  <w:vAlign w:val="center"/>
                </w:tcPr>
                <w:p w14:paraId="21A981E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“十三五”挥发性有机物污染防治工作方案</w:t>
                  </w:r>
                </w:p>
              </w:tc>
              <w:tc>
                <w:tcPr>
                  <w:tcW w:w="1889" w:type="pct"/>
                  <w:vAlign w:val="center"/>
                </w:tcPr>
                <w:p w14:paraId="338968F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（一）加大产业结构调整力度。</w:t>
                  </w:r>
                </w:p>
                <w:p w14:paraId="5690355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2.严格建设项目环境准入。</w:t>
                  </w:r>
                </w:p>
                <w:p w14:paraId="6F3044E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提高VOCs排放重点行业环保准入门槛，严格控制新增污染物排放量。……新建涉 VOCs 排放的工业企业要入园区。……新、改、扩建涉VOCs排放项目，应从源头加强控制，使用低（无）VOCs含量的原辅材料，加强废气收集，安装高效治理设施。</w:t>
                  </w:r>
                </w:p>
                <w:p w14:paraId="45AF180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（二）加快实施工业源VOCs污染防治。</w:t>
                  </w:r>
                </w:p>
                <w:p w14:paraId="1F400E2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因地制宜推进其他工业行业VOCs综合治理。各地应结合本地产业结构特征和VOCs治理重点，因地制宜选择其他工业行业开展VOCs治理。电子行业应重点加强溶剂清洗、光刻、涂胶、涂装等工序VOCs排放控制；制鞋行业应重点加强鞋面拼接、成型、组底、喷漆、发泡、注塑、印刷、清洗等工序VOCs排放治理；纺织印染行业应重点加强化纤纺丝、热定型、涂层等工序VOCs排放治理；木材加工行业应重点加强干燥、涂胶、热压过程VOCs排放治理。</w:t>
                  </w:r>
                </w:p>
              </w:tc>
              <w:tc>
                <w:tcPr>
                  <w:tcW w:w="1583" w:type="pct"/>
                  <w:vAlign w:val="center"/>
                </w:tcPr>
                <w:p w14:paraId="3C85D40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项目涉及新增VOCs 排放，项目位于福清融侨经济技术开发区。</w:t>
                  </w:r>
                </w:p>
                <w:p w14:paraId="4DB04DD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项目生产过程</w:t>
                  </w:r>
                  <w:r>
                    <w:rPr>
                      <w:rFonts w:hint="eastAsia"/>
                      <w:color w:val="000000" w:themeColor="text1"/>
                      <w:highlight w:val="none"/>
                      <w14:textFill>
                        <w14:solidFill>
                          <w14:schemeClr w14:val="tx1"/>
                        </w14:solidFill>
                      </w14:textFill>
                    </w:rPr>
                    <w:t>使用水性漆及聚氨酯漆符合</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涂料标准要求，</w:t>
                  </w:r>
                  <w:r>
                    <w:rPr>
                      <w:color w:val="000000" w:themeColor="text1"/>
                      <w:highlight w:val="none"/>
                      <w14:textFill>
                        <w14:solidFill>
                          <w14:schemeClr w14:val="tx1"/>
                        </w14:solidFill>
                      </w14:textFill>
                    </w:rPr>
                    <w:t>为进一步增加对VOCs的治理，</w:t>
                  </w:r>
                  <w:r>
                    <w:rPr>
                      <w:rFonts w:hint="eastAsia"/>
                      <w:color w:val="000000" w:themeColor="text1"/>
                      <w:highlight w:val="none"/>
                      <w14:textFill>
                        <w14:solidFill>
                          <w14:schemeClr w14:val="tx1"/>
                        </w14:solidFill>
                      </w14:textFill>
                    </w:rPr>
                    <w:t>设拟置独立的喷漆及烘干区域并配套</w:t>
                  </w:r>
                  <w:r>
                    <w:rPr>
                      <w:color w:val="000000" w:themeColor="text1"/>
                      <w:highlight w:val="none"/>
                      <w14:textFill>
                        <w14:solidFill>
                          <w14:schemeClr w14:val="tx1"/>
                        </w14:solidFill>
                      </w14:textFill>
                    </w:rPr>
                    <w:t>集气设施收集有机废气。废气净化设施为</w:t>
                  </w:r>
                  <w:r>
                    <w:rPr>
                      <w:rFonts w:hint="eastAsia"/>
                      <w:color w:val="000000" w:themeColor="text1"/>
                      <w:highlight w:val="none"/>
                      <w14:textFill>
                        <w14:solidFill>
                          <w14:schemeClr w14:val="tx1"/>
                        </w14:solidFill>
                      </w14:textFill>
                    </w:rPr>
                    <w:t>“水喷淋+二级活性炭吸附”设备</w:t>
                  </w:r>
                  <w:r>
                    <w:rPr>
                      <w:color w:val="000000" w:themeColor="text1"/>
                      <w:highlight w:val="none"/>
                      <w14:textFill>
                        <w14:solidFill>
                          <w14:schemeClr w14:val="tx1"/>
                        </w14:solidFill>
                      </w14:textFill>
                    </w:rPr>
                    <w:t>，收集的有机废气经处理后</w:t>
                  </w:r>
                  <w:r>
                    <w:rPr>
                      <w:rFonts w:hint="eastAsia"/>
                      <w:color w:val="000000" w:themeColor="text1"/>
                      <w:highlight w:val="none"/>
                      <w14:textFill>
                        <w14:solidFill>
                          <w14:schemeClr w14:val="tx1"/>
                        </w14:solidFill>
                      </w14:textFill>
                    </w:rPr>
                    <w:t>可达标</w:t>
                  </w:r>
                  <w:r>
                    <w:rPr>
                      <w:color w:val="000000" w:themeColor="text1"/>
                      <w:highlight w:val="none"/>
                      <w14:textFill>
                        <w14:solidFill>
                          <w14:schemeClr w14:val="tx1"/>
                        </w14:solidFill>
                      </w14:textFill>
                    </w:rPr>
                    <w:t>排放。</w:t>
                  </w:r>
                </w:p>
              </w:tc>
              <w:tc>
                <w:tcPr>
                  <w:tcW w:w="255" w:type="pct"/>
                  <w:vAlign w:val="center"/>
                </w:tcPr>
                <w:p w14:paraId="1DEFFBC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C14D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 w:type="pct"/>
                  <w:vAlign w:val="center"/>
                </w:tcPr>
                <w:p w14:paraId="3B56167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075" w:type="pct"/>
                  <w:vAlign w:val="center"/>
                </w:tcPr>
                <w:p w14:paraId="618E464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福建省重点行业挥发性有机物污染防治工作方案</w:t>
                  </w:r>
                </w:p>
              </w:tc>
              <w:tc>
                <w:tcPr>
                  <w:tcW w:w="1889" w:type="pct"/>
                  <w:vAlign w:val="center"/>
                </w:tcPr>
                <w:p w14:paraId="22FEB13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（一）严格环境准入</w:t>
                  </w:r>
                </w:p>
                <w:p w14:paraId="6878FF9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141B5E1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（二）大力推进清洁生产</w:t>
                  </w:r>
                </w:p>
                <w:p w14:paraId="4245842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……在重点行业大力倡导环境标志产品生产及使用，尤其是水性涂料的生产和使用，从源头控制VOCs排放。</w:t>
                  </w:r>
                </w:p>
                <w:p w14:paraId="32F0304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（三）加快推进重点行业VOCs专项整治</w:t>
                  </w:r>
                </w:p>
                <w:p w14:paraId="5EF4678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（4）推进溶剂使用工艺VOCs控制</w:t>
                  </w:r>
                </w:p>
                <w:p w14:paraId="61CE26A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纺织印染、皮革加工、制鞋、木材加工、木制品生产等行业，积极推动使用低毒、低挥发性溶剂，食品加工行业必须使用低挥发性溶剂，制鞋行业胶粘剂应符合国家强制性标准《鞋和箱包胶粘剂》的要求；同时开展VOCs收集与净化处理。</w:t>
                  </w:r>
                </w:p>
              </w:tc>
              <w:tc>
                <w:tcPr>
                  <w:tcW w:w="1583" w:type="pct"/>
                  <w:vAlign w:val="center"/>
                </w:tcPr>
                <w:p w14:paraId="6E2374EA">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项目生产过程</w:t>
                  </w:r>
                  <w:r>
                    <w:rPr>
                      <w:rFonts w:hint="eastAsia"/>
                      <w:color w:val="000000" w:themeColor="text1"/>
                      <w:highlight w:val="none"/>
                      <w14:textFill>
                        <w14:solidFill>
                          <w14:schemeClr w14:val="tx1"/>
                        </w14:solidFill>
                      </w14:textFill>
                    </w:rPr>
                    <w:t>使用水性漆及聚氨酯漆符合</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涂料标准要求，</w:t>
                  </w:r>
                  <w:r>
                    <w:rPr>
                      <w:color w:val="000000" w:themeColor="text1"/>
                      <w:highlight w:val="none"/>
                      <w14:textFill>
                        <w14:solidFill>
                          <w14:schemeClr w14:val="tx1"/>
                        </w14:solidFill>
                      </w14:textFill>
                    </w:rPr>
                    <w:t>为进一步增加对VOCs的治理，项目</w:t>
                  </w:r>
                  <w:r>
                    <w:rPr>
                      <w:rFonts w:hint="eastAsia"/>
                      <w:color w:val="000000" w:themeColor="text1"/>
                      <w:highlight w:val="none"/>
                      <w14:textFill>
                        <w14:solidFill>
                          <w14:schemeClr w14:val="tx1"/>
                        </w14:solidFill>
                      </w14:textFill>
                    </w:rPr>
                    <w:t>拟设置独立的调漆喷漆及烘干区域并配套</w:t>
                  </w:r>
                  <w:r>
                    <w:rPr>
                      <w:color w:val="000000" w:themeColor="text1"/>
                      <w:highlight w:val="none"/>
                      <w14:textFill>
                        <w14:solidFill>
                          <w14:schemeClr w14:val="tx1"/>
                        </w14:solidFill>
                      </w14:textFill>
                    </w:rPr>
                    <w:t>集气设施收集有机废气。废气净化设施为</w:t>
                  </w:r>
                  <w:r>
                    <w:rPr>
                      <w:rFonts w:hint="eastAsia"/>
                      <w:color w:val="000000" w:themeColor="text1"/>
                      <w:highlight w:val="none"/>
                      <w14:textFill>
                        <w14:solidFill>
                          <w14:schemeClr w14:val="tx1"/>
                        </w14:solidFill>
                      </w14:textFill>
                    </w:rPr>
                    <w:t>“水喷淋+二级活性炭吸附”设备</w:t>
                  </w:r>
                  <w:r>
                    <w:rPr>
                      <w:color w:val="000000" w:themeColor="text1"/>
                      <w:highlight w:val="none"/>
                      <w14:textFill>
                        <w14:solidFill>
                          <w14:schemeClr w14:val="tx1"/>
                        </w14:solidFill>
                      </w14:textFill>
                    </w:rPr>
                    <w:t>，收集的有机废气经处理后</w:t>
                  </w:r>
                  <w:r>
                    <w:rPr>
                      <w:rFonts w:hint="eastAsia"/>
                      <w:color w:val="000000" w:themeColor="text1"/>
                      <w:highlight w:val="none"/>
                      <w14:textFill>
                        <w14:solidFill>
                          <w14:schemeClr w14:val="tx1"/>
                        </w14:solidFill>
                      </w14:textFill>
                    </w:rPr>
                    <w:t>可达标</w:t>
                  </w:r>
                  <w:r>
                    <w:rPr>
                      <w:color w:val="000000" w:themeColor="text1"/>
                      <w:highlight w:val="none"/>
                      <w14:textFill>
                        <w14:solidFill>
                          <w14:schemeClr w14:val="tx1"/>
                        </w14:solidFill>
                      </w14:textFill>
                    </w:rPr>
                    <w:t>排放。</w:t>
                  </w:r>
                </w:p>
              </w:tc>
              <w:tc>
                <w:tcPr>
                  <w:tcW w:w="255" w:type="pct"/>
                  <w:vAlign w:val="center"/>
                </w:tcPr>
                <w:p w14:paraId="32F692B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14BC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5" w:hRule="atLeast"/>
                <w:jc w:val="center"/>
              </w:trPr>
              <w:tc>
                <w:tcPr>
                  <w:tcW w:w="195" w:type="pct"/>
                  <w:vAlign w:val="center"/>
                </w:tcPr>
                <w:p w14:paraId="38929BC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075" w:type="pct"/>
                  <w:vAlign w:val="center"/>
                </w:tcPr>
                <w:p w14:paraId="2A046DD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《福州市生态环境保护委员会办公室关于印发福州市打好污染防治攻坚战2020年度工作方案的通知》</w:t>
                  </w:r>
                </w:p>
              </w:tc>
              <w:tc>
                <w:tcPr>
                  <w:tcW w:w="1889" w:type="pct"/>
                  <w:vAlign w:val="center"/>
                </w:tcPr>
                <w:p w14:paraId="4B78678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格涉VOCs建设项目环境影响评价，VOCs排放实行区域内实施倍量替代。新、改、扩建涉VOCs排放项目，应使用低（无）VOCs的涂料、粘胶剂、油墨。严格控制石化、化工、包装印刷、工业涂装、制鞋等高VOCs排放建设项目，新建设涉VOCs排放重点行业项目必须进入工业园区。</w:t>
                  </w:r>
                </w:p>
              </w:tc>
              <w:tc>
                <w:tcPr>
                  <w:tcW w:w="1583" w:type="pct"/>
                  <w:vAlign w:val="center"/>
                </w:tcPr>
                <w:p w14:paraId="40797AE6">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项目新增排放的VOCs排放实行区域内倍量替代。本项目</w:t>
                  </w:r>
                  <w:r>
                    <w:rPr>
                      <w:rFonts w:hint="eastAsia"/>
                      <w:color w:val="000000" w:themeColor="text1"/>
                      <w:highlight w:val="none"/>
                      <w14:textFill>
                        <w14:solidFill>
                          <w14:schemeClr w14:val="tx1"/>
                        </w14:solidFill>
                      </w14:textFill>
                    </w:rPr>
                    <w:t>为</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使用水性漆及聚氨酯漆符合</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涂料标准要求，</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选址</w:t>
                  </w:r>
                  <w:r>
                    <w:rPr>
                      <w:color w:val="000000" w:themeColor="text1"/>
                      <w:highlight w:val="none"/>
                      <w14:textFill>
                        <w14:solidFill>
                          <w14:schemeClr w14:val="tx1"/>
                        </w14:solidFill>
                      </w14:textFill>
                    </w:rPr>
                    <w:t>位于福清融侨经济技术开发区。</w:t>
                  </w:r>
                </w:p>
              </w:tc>
              <w:tc>
                <w:tcPr>
                  <w:tcW w:w="255" w:type="pct"/>
                  <w:vAlign w:val="center"/>
                </w:tcPr>
                <w:p w14:paraId="33DC7D7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45822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5" w:hRule="atLeast"/>
                <w:jc w:val="center"/>
              </w:trPr>
              <w:tc>
                <w:tcPr>
                  <w:tcW w:w="195" w:type="pct"/>
                  <w:vAlign w:val="center"/>
                </w:tcPr>
                <w:p w14:paraId="6035B47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075" w:type="pct"/>
                  <w:vAlign w:val="center"/>
                </w:tcPr>
                <w:p w14:paraId="708E2C0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《挥发性有机物无组织排放控制标准（GB37822—2019）》</w:t>
                  </w:r>
                </w:p>
              </w:tc>
              <w:tc>
                <w:tcPr>
                  <w:tcW w:w="1889" w:type="pct"/>
                  <w:vAlign w:val="center"/>
                </w:tcPr>
                <w:p w14:paraId="2773FF8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583" w:type="pct"/>
                  <w:vAlign w:val="center"/>
                </w:tcPr>
                <w:p w14:paraId="4DCB6499">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项目生产过程</w:t>
                  </w:r>
                  <w:r>
                    <w:rPr>
                      <w:rFonts w:hint="eastAsia"/>
                      <w:color w:val="000000" w:themeColor="text1"/>
                      <w:highlight w:val="none"/>
                      <w14:textFill>
                        <w14:solidFill>
                          <w14:schemeClr w14:val="tx1"/>
                        </w14:solidFill>
                      </w14:textFill>
                    </w:rPr>
                    <w:t>使用水性漆及聚氨酯漆符合</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涂料标准要求</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水性漆树脂</w:t>
                  </w:r>
                  <w:r>
                    <w:rPr>
                      <w:color w:val="000000" w:themeColor="text1"/>
                      <w:highlight w:val="none"/>
                      <w14:textFill>
                        <w14:solidFill>
                          <w14:schemeClr w14:val="tx1"/>
                        </w14:solidFill>
                      </w14:textFill>
                    </w:rPr>
                    <w:t>含量</w:t>
                  </w:r>
                  <w:r>
                    <w:rPr>
                      <w:rFonts w:hint="eastAsia"/>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、聚氨酯漆树脂</w:t>
                  </w:r>
                  <w:r>
                    <w:rPr>
                      <w:color w:val="000000" w:themeColor="text1"/>
                      <w:highlight w:val="none"/>
                      <w14:textFill>
                        <w14:solidFill>
                          <w14:schemeClr w14:val="tx1"/>
                        </w14:solidFill>
                      </w14:textFill>
                    </w:rPr>
                    <w:t>含量</w:t>
                  </w:r>
                  <w:r>
                    <w:rPr>
                      <w:rFonts w:hint="eastAsia"/>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t>%，VOCs</w:t>
                  </w:r>
                  <w:r>
                    <w:rPr>
                      <w:rFonts w:hint="eastAsia"/>
                      <w:color w:val="000000" w:themeColor="text1"/>
                      <w:highlight w:val="none"/>
                      <w14:textFill>
                        <w14:solidFill>
                          <w14:schemeClr w14:val="tx1"/>
                        </w14:solidFill>
                      </w14:textFill>
                    </w:rPr>
                    <w:t>质量占比均≥10%；拟设置独立的调漆喷漆及烘干区域并配套</w:t>
                  </w:r>
                  <w:r>
                    <w:rPr>
                      <w:color w:val="000000" w:themeColor="text1"/>
                      <w:highlight w:val="none"/>
                      <w14:textFill>
                        <w14:solidFill>
                          <w14:schemeClr w14:val="tx1"/>
                        </w14:solidFill>
                      </w14:textFill>
                    </w:rPr>
                    <w:t>集气设施收集有机废气。废气净化设施为</w:t>
                  </w:r>
                  <w:r>
                    <w:rPr>
                      <w:rFonts w:hint="eastAsia"/>
                      <w:color w:val="000000" w:themeColor="text1"/>
                      <w:highlight w:val="none"/>
                      <w14:textFill>
                        <w14:solidFill>
                          <w14:schemeClr w14:val="tx1"/>
                        </w14:solidFill>
                      </w14:textFill>
                    </w:rPr>
                    <w:t>“水喷淋+二级活性炭吸附”设备</w:t>
                  </w:r>
                  <w:r>
                    <w:rPr>
                      <w:color w:val="000000" w:themeColor="text1"/>
                      <w:highlight w:val="none"/>
                      <w14:textFill>
                        <w14:solidFill>
                          <w14:schemeClr w14:val="tx1"/>
                        </w14:solidFill>
                      </w14:textFill>
                    </w:rPr>
                    <w:t>，收集的有机废气经处理后</w:t>
                  </w:r>
                  <w:r>
                    <w:rPr>
                      <w:rFonts w:hint="eastAsia"/>
                      <w:color w:val="000000" w:themeColor="text1"/>
                      <w:highlight w:val="none"/>
                      <w14:textFill>
                        <w14:solidFill>
                          <w14:schemeClr w14:val="tx1"/>
                        </w14:solidFill>
                      </w14:textFill>
                    </w:rPr>
                    <w:t>可达标</w:t>
                  </w:r>
                  <w:r>
                    <w:rPr>
                      <w:color w:val="000000" w:themeColor="text1"/>
                      <w:highlight w:val="none"/>
                      <w14:textFill>
                        <w14:solidFill>
                          <w14:schemeClr w14:val="tx1"/>
                        </w14:solidFill>
                      </w14:textFill>
                    </w:rPr>
                    <w:t>排放。</w:t>
                  </w:r>
                </w:p>
              </w:tc>
              <w:tc>
                <w:tcPr>
                  <w:tcW w:w="255" w:type="pct"/>
                  <w:vAlign w:val="center"/>
                </w:tcPr>
                <w:p w14:paraId="1325276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14:paraId="1FB546C4">
            <w:pPr>
              <w:pStyle w:val="162"/>
              <w:ind w:firstLine="420"/>
              <w:rPr>
                <w:snapToGrid w:val="0"/>
                <w:color w:val="000000" w:themeColor="text1"/>
                <w:highlight w:val="none"/>
                <w14:textFill>
                  <w14:solidFill>
                    <w14:schemeClr w14:val="tx1"/>
                  </w14:solidFill>
                </w14:textFill>
              </w:rPr>
            </w:pPr>
          </w:p>
        </w:tc>
      </w:tr>
    </w:tbl>
    <w:p w14:paraId="788B8D63">
      <w:pPr>
        <w:spacing w:line="360" w:lineRule="auto"/>
        <w:ind w:firstLine="600"/>
        <w:outlineLvl w:val="0"/>
        <w:rPr>
          <w:rFonts w:eastAsia="黑体"/>
          <w:color w:val="000000" w:themeColor="text1"/>
          <w:sz w:val="30"/>
          <w:highlight w:val="none"/>
          <w14:textFill>
            <w14:solidFill>
              <w14:schemeClr w14:val="tx1"/>
            </w14:solidFill>
          </w14:textFill>
        </w:rPr>
        <w:sectPr>
          <w:pgSz w:w="16838" w:h="11906" w:orient="landscape"/>
          <w:pgMar w:top="1440" w:right="1080" w:bottom="1440" w:left="1080" w:header="851" w:footer="1077" w:gutter="0"/>
          <w:pgBorders>
            <w:top w:val="none" w:sz="0" w:space="0"/>
            <w:left w:val="none" w:sz="0" w:space="0"/>
            <w:bottom w:val="none" w:sz="0" w:space="0"/>
            <w:right w:val="none" w:sz="0" w:space="0"/>
          </w:pgBorders>
          <w:cols w:space="720" w:num="1"/>
          <w:docGrid w:linePitch="312" w:charSpace="0"/>
        </w:sectPr>
      </w:pPr>
    </w:p>
    <w:p w14:paraId="1162EE3B">
      <w:pPr>
        <w:pStyle w:val="83"/>
        <w:numPr>
          <w:ilvl w:val="0"/>
          <w:numId w:val="1"/>
        </w:num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建设项目工程分析</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14:paraId="1C2F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7" w:hRule="atLeast"/>
        </w:trPr>
        <w:tc>
          <w:tcPr>
            <w:tcW w:w="473" w:type="dxa"/>
          </w:tcPr>
          <w:p w14:paraId="4556B09A">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18F4747B">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01B77E4F">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405764F9">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07A9395B">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40FB72B3">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121178A0">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1FE6C680">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12CEB1CE">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69938419">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7CA6A764">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4E35921C">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396E2EBF">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14:paraId="47FA1BA9">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建设内容</w:t>
            </w:r>
          </w:p>
        </w:tc>
        <w:tc>
          <w:tcPr>
            <w:tcW w:w="8587" w:type="dxa"/>
          </w:tcPr>
          <w:p w14:paraId="056720A3">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2.1项目由来</w:t>
            </w:r>
          </w:p>
          <w:p w14:paraId="787DA9E4">
            <w:pPr>
              <w:pStyle w:val="3"/>
              <w:widowControl w:val="0"/>
              <w:spacing w:before="0" w:beforeLines="0" w:beforeAutospacing="0" w:after="0" w:afterLines="0" w:afterAutospacing="0" w:line="360" w:lineRule="auto"/>
              <w:jc w:val="both"/>
              <w:rPr>
                <w:rFonts w:hint="eastAsia" w:ascii="Times New Roman" w:hAnsi="Times New Roman" w:eastAsia="宋体" w:cs="Times New Roman"/>
                <w:bCs w:val="0"/>
                <w:color w:val="000000" w:themeColor="text1"/>
                <w:sz w:val="28"/>
                <w:szCs w:val="24"/>
                <w:highlight w:val="none"/>
                <w:lang w:val="en-US" w:eastAsia="zh-CN"/>
                <w14:textFill>
                  <w14:solidFill>
                    <w14:schemeClr w14:val="tx1"/>
                  </w14:solidFill>
                </w14:textFill>
              </w:rPr>
            </w:pPr>
            <w:r>
              <w:rPr>
                <w:rFonts w:hint="eastAsia" w:ascii="Times New Roman" w:hAnsi="Times New Roman" w:eastAsia="宋体" w:cs="Times New Roman"/>
                <w:bCs w:val="0"/>
                <w:color w:val="000000" w:themeColor="text1"/>
                <w:sz w:val="28"/>
                <w:szCs w:val="24"/>
                <w:highlight w:val="none"/>
                <w:lang w:val="en-US" w:eastAsia="zh-CN"/>
                <w14:textFill>
                  <w14:solidFill>
                    <w14:schemeClr w14:val="tx1"/>
                  </w14:solidFill>
                </w14:textFill>
              </w:rPr>
              <w:t>1、项目由来</w:t>
            </w:r>
          </w:p>
          <w:p w14:paraId="7AB0EE9A">
            <w:pPr>
              <w:pStyle w:val="33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红树林（福州）智能家居有限公司</w:t>
            </w:r>
            <w:r>
              <w:rPr>
                <w:rFonts w:hint="eastAsia"/>
                <w:color w:val="000000" w:themeColor="text1"/>
                <w:highlight w:val="none"/>
                <w:lang w:val="en-US" w:eastAsia="zh-CN"/>
                <w14:textFill>
                  <w14:solidFill>
                    <w14:schemeClr w14:val="tx1"/>
                  </w14:solidFill>
                </w14:textFill>
              </w:rPr>
              <w:t>（原福清市红树林木业有限公司）</w:t>
            </w:r>
            <w:r>
              <w:rPr>
                <w:rFonts w:hint="eastAsia"/>
                <w:color w:val="000000" w:themeColor="text1"/>
                <w:highlight w:val="none"/>
                <w:lang w:val="en-US"/>
                <w14:textFill>
                  <w14:solidFill>
                    <w14:schemeClr w14:val="tx1"/>
                  </w14:solidFill>
                </w14:textFill>
              </w:rPr>
              <w:t>成立于2014年，2025年</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lang w:val="en-US"/>
                <w14:textFill>
                  <w14:solidFill>
                    <w14:schemeClr w14:val="tx1"/>
                  </w14:solidFill>
                </w14:textFill>
              </w:rPr>
              <w:t>月将经营场所变更至福建省福州市福清市阳下街道新局村福建乐翔服饰制造有限公司内</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en-US"/>
                <w14:textFill>
                  <w14:solidFill>
                    <w14:schemeClr w14:val="tx1"/>
                  </w14:solidFill>
                </w14:textFill>
              </w:rPr>
              <w:t>为了提高公司产品质量，提高公司经营效益，带动企业的持续发展；</w:t>
            </w:r>
            <w:r>
              <w:rPr>
                <w:rFonts w:hint="eastAsia"/>
                <w:color w:val="000000" w:themeColor="text1"/>
                <w:szCs w:val="24"/>
                <w:highlight w:val="none"/>
                <w:lang w:val="en-US"/>
                <w14:textFill>
                  <w14:solidFill>
                    <w14:schemeClr w14:val="tx1"/>
                  </w14:solidFill>
                </w14:textFill>
              </w:rPr>
              <w:t>建设单位</w:t>
            </w:r>
            <w:r>
              <w:rPr>
                <w:rFonts w:hint="eastAsia"/>
                <w:color w:val="000000" w:themeColor="text1"/>
                <w:szCs w:val="24"/>
                <w:highlight w:val="none"/>
                <w:lang w:val="en-US" w:eastAsia="zh-CN"/>
                <w14:textFill>
                  <w14:solidFill>
                    <w14:schemeClr w14:val="tx1"/>
                  </w14:solidFill>
                </w14:textFill>
              </w:rPr>
              <w:t>决定</w:t>
            </w:r>
            <w:r>
              <w:rPr>
                <w:rFonts w:hint="eastAsia"/>
                <w:color w:val="000000" w:themeColor="text1"/>
                <w:szCs w:val="24"/>
                <w:highlight w:val="none"/>
                <w:lang w:val="en-US"/>
                <w14:textFill>
                  <w14:solidFill>
                    <w14:schemeClr w14:val="tx1"/>
                  </w14:solidFill>
                </w14:textFill>
              </w:rPr>
              <w:t>在租赁范围内增设</w:t>
            </w:r>
            <w:r>
              <w:rPr>
                <w:rFonts w:hint="eastAsia"/>
                <w:color w:val="000000" w:themeColor="text1"/>
                <w:szCs w:val="24"/>
                <w:highlight w:val="none"/>
                <w:lang w:val="en-US" w:eastAsia="zh-CN"/>
                <w14:textFill>
                  <w14:solidFill>
                    <w14:schemeClr w14:val="tx1"/>
                  </w14:solidFill>
                </w14:textFill>
              </w:rPr>
              <w:t>封边、</w:t>
            </w:r>
            <w:r>
              <w:rPr>
                <w:rFonts w:hint="eastAsia"/>
                <w:color w:val="000000" w:themeColor="text1"/>
                <w:szCs w:val="24"/>
                <w:highlight w:val="none"/>
                <w:lang w:val="en-US"/>
                <w14:textFill>
                  <w14:solidFill>
                    <w14:schemeClr w14:val="tx1"/>
                  </w14:solidFill>
                </w14:textFill>
              </w:rPr>
              <w:t>喷漆及打磨</w:t>
            </w:r>
            <w:r>
              <w:rPr>
                <w:rFonts w:hint="eastAsia"/>
                <w:color w:val="000000" w:themeColor="text1"/>
                <w:szCs w:val="24"/>
                <w:highlight w:val="none"/>
                <w:lang w:val="en-US" w:eastAsia="zh-CN"/>
                <w14:textFill>
                  <w14:solidFill>
                    <w14:schemeClr w14:val="tx1"/>
                  </w14:solidFill>
                </w14:textFill>
              </w:rPr>
              <w:t>等</w:t>
            </w:r>
            <w:r>
              <w:rPr>
                <w:rFonts w:hint="eastAsia"/>
                <w:color w:val="000000" w:themeColor="text1"/>
                <w:szCs w:val="24"/>
                <w:highlight w:val="none"/>
                <w:lang w:val="en-US"/>
                <w14:textFill>
                  <w14:solidFill>
                    <w14:schemeClr w14:val="tx1"/>
                  </w14:solidFill>
                </w14:textFill>
              </w:rPr>
              <w:t>工艺，对部分木质家具进行补漆、修色；</w:t>
            </w:r>
            <w:r>
              <w:rPr>
                <w:rFonts w:hint="eastAsia"/>
                <w:color w:val="000000" w:themeColor="text1"/>
                <w:szCs w:val="24"/>
                <w:highlight w:val="none"/>
                <w:lang w:val="en-US" w:eastAsia="zh-CN"/>
                <w14:textFill>
                  <w14:solidFill>
                    <w14:schemeClr w14:val="tx1"/>
                  </w14:solidFill>
                </w14:textFill>
              </w:rPr>
              <w:t>同时扩大</w:t>
            </w:r>
            <w:r>
              <w:rPr>
                <w:rFonts w:hint="eastAsia"/>
                <w:color w:val="000000" w:themeColor="text1"/>
                <w:szCs w:val="24"/>
                <w:highlight w:val="none"/>
                <w:lang w:val="en-US"/>
                <w14:textFill>
                  <w14:solidFill>
                    <w14:schemeClr w14:val="tx1"/>
                  </w14:solidFill>
                </w14:textFill>
              </w:rPr>
              <w:t>企业产能，</w:t>
            </w:r>
            <w:r>
              <w:rPr>
                <w:rFonts w:hint="eastAsia"/>
                <w:color w:val="000000" w:themeColor="text1"/>
                <w:szCs w:val="24"/>
                <w:highlight w:val="none"/>
                <w:lang w:val="en-US" w:eastAsia="zh-CN"/>
                <w14:textFill>
                  <w14:solidFill>
                    <w14:schemeClr w14:val="tx1"/>
                  </w14:solidFill>
                </w14:textFill>
              </w:rPr>
              <w:t>扩建后规模为</w:t>
            </w:r>
            <w:r>
              <w:rPr>
                <w:rFonts w:hint="eastAsia"/>
                <w:color w:val="000000" w:themeColor="text1"/>
                <w:szCs w:val="24"/>
                <w:highlight w:val="none"/>
                <w:lang w:val="en-US"/>
                <w14:textFill>
                  <w14:solidFill>
                    <w14:schemeClr w14:val="tx1"/>
                  </w14:solidFill>
                </w14:textFill>
              </w:rPr>
              <w:t>年产</w:t>
            </w:r>
            <w:r>
              <w:rPr>
                <w:rFonts w:hint="eastAsia"/>
                <w:color w:val="000000" w:themeColor="text1"/>
                <w:highlight w:val="none"/>
                <w14:textFill>
                  <w14:solidFill>
                    <w14:schemeClr w14:val="tx1"/>
                  </w14:solidFill>
                </w14:textFill>
              </w:rPr>
              <w:t>木质家具</w:t>
            </w:r>
            <w:r>
              <w:rPr>
                <w:rFonts w:hint="eastAsia"/>
                <w:color w:val="000000" w:themeColor="text1"/>
                <w:highlight w:val="none"/>
                <w:lang w:val="en-US"/>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val="en-US"/>
                <w14:textFill>
                  <w14:solidFill>
                    <w14:schemeClr w14:val="tx1"/>
                  </w14:solidFill>
                </w14:textFill>
              </w:rPr>
              <w:t>万套</w:t>
            </w:r>
            <w:r>
              <w:rPr>
                <w:rFonts w:hint="eastAsia"/>
                <w:color w:val="000000" w:themeColor="text1"/>
                <w:szCs w:val="24"/>
                <w:highlight w:val="none"/>
                <w:lang w:val="en-US"/>
                <w14:textFill>
                  <w14:solidFill>
                    <w14:schemeClr w14:val="tx1"/>
                  </w14:solidFill>
                </w14:textFill>
              </w:rPr>
              <w:t>。</w:t>
            </w:r>
          </w:p>
          <w:p w14:paraId="6E6A2276">
            <w:pPr>
              <w:pStyle w:val="33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根据《中华人民共和国环境保护法》(2015年)、《中华人民共和国环境影响评价法》(2018年修正)、《建设项目环境保护管理条例》(2017年)的相关规定，</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增设</w:t>
            </w:r>
            <w:r>
              <w:rPr>
                <w:rFonts w:hint="eastAsia"/>
                <w:color w:val="000000" w:themeColor="text1"/>
                <w:highlight w:val="none"/>
                <w:lang w:eastAsia="zh-CN"/>
                <w14:textFill>
                  <w14:solidFill>
                    <w14:schemeClr w14:val="tx1"/>
                  </w14:solidFill>
                </w14:textFill>
              </w:rPr>
              <w:t>封边、</w:t>
            </w:r>
            <w:r>
              <w:rPr>
                <w:rFonts w:hint="eastAsia"/>
                <w:color w:val="000000" w:themeColor="text1"/>
                <w:highlight w:val="none"/>
                <w14:textFill>
                  <w14:solidFill>
                    <w14:schemeClr w14:val="tx1"/>
                  </w14:solidFill>
                </w14:textFill>
              </w:rPr>
              <w:t>喷漆及打磨工序后</w:t>
            </w:r>
            <w:r>
              <w:rPr>
                <w:color w:val="000000" w:themeColor="text1"/>
                <w:highlight w:val="none"/>
                <w14:textFill>
                  <w14:solidFill>
                    <w14:schemeClr w14:val="tx1"/>
                  </w14:solidFill>
                </w14:textFill>
              </w:rPr>
              <w:t>需要办理环境影响评价手续；根据《建设项目环境影响评价分类管理名录》(2021年版)规定，</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项目属于十八、家具制造业21</w:t>
            </w:r>
            <w:r>
              <w:rPr>
                <w:rFonts w:hint="eastAsia"/>
                <w:color w:val="000000" w:themeColor="text1"/>
                <w:highlight w:val="none"/>
                <w:lang w:val="en-US"/>
                <w14:textFill>
                  <w14:solidFill>
                    <w14:schemeClr w14:val="tx1"/>
                  </w14:solidFill>
                </w14:textFill>
              </w:rPr>
              <w:t>-</w:t>
            </w:r>
            <w:r>
              <w:rPr>
                <w:rFonts w:hint="eastAsia"/>
                <w:color w:val="000000" w:themeColor="text1"/>
                <w:highlight w:val="none"/>
                <w14:textFill>
                  <w14:solidFill>
                    <w14:schemeClr w14:val="tx1"/>
                  </w14:solidFill>
                </w14:textFill>
              </w:rPr>
              <w:t>木质家具制造211*中的其他。</w:t>
            </w:r>
            <w:r>
              <w:rPr>
                <w:color w:val="000000" w:themeColor="text1"/>
                <w:highlight w:val="none"/>
                <w14:textFill>
                  <w14:solidFill>
                    <w14:schemeClr w14:val="tx1"/>
                  </w14:solidFill>
                </w14:textFill>
              </w:rPr>
              <w:t>项目环评类别为环境影响报告表，详见表2</w:t>
            </w:r>
            <w:r>
              <w:rPr>
                <w:rFonts w:hint="eastAsia"/>
                <w:color w:val="000000" w:themeColor="text1"/>
                <w:highlight w:val="none"/>
                <w:lang w:val="en-US"/>
                <w14:textFill>
                  <w14:solidFill>
                    <w14:schemeClr w14:val="tx1"/>
                  </w14:solidFill>
                </w14:textFill>
              </w:rPr>
              <w:t>.1</w:t>
            </w:r>
            <w:r>
              <w:rPr>
                <w:color w:val="000000" w:themeColor="text1"/>
                <w:highlight w:val="none"/>
                <w14:textFill>
                  <w14:solidFill>
                    <w14:schemeClr w14:val="tx1"/>
                  </w14:solidFill>
                </w14:textFill>
              </w:rPr>
              <w:t>-1。</w:t>
            </w:r>
          </w:p>
          <w:p w14:paraId="03242A0E">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-1  建设项目环境影响评价分类管理名录(摘录)</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2465"/>
              <w:gridCol w:w="2196"/>
              <w:gridCol w:w="2190"/>
              <w:gridCol w:w="1007"/>
            </w:tblGrid>
            <w:tr w14:paraId="7902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1" w:type="pct"/>
                  <w:gridSpan w:val="2"/>
                  <w:tcBorders>
                    <w:top w:val="single" w:color="auto" w:sz="12" w:space="0"/>
                    <w:left w:val="nil"/>
                    <w:bottom w:val="single" w:color="auto" w:sz="4" w:space="0"/>
                    <w:tl2br w:val="single" w:color="auto" w:sz="4" w:space="0"/>
                  </w:tcBorders>
                  <w:vAlign w:val="center"/>
                </w:tcPr>
                <w:p w14:paraId="13D91777">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环评类别</w:t>
                  </w:r>
                </w:p>
                <w:p w14:paraId="3FDDABA0">
                  <w:pPr>
                    <w:pStyle w:val="331"/>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项目类别</w:t>
                  </w:r>
                </w:p>
              </w:tc>
              <w:tc>
                <w:tcPr>
                  <w:tcW w:w="1311" w:type="pct"/>
                  <w:tcBorders>
                    <w:top w:val="single" w:color="auto" w:sz="12" w:space="0"/>
                    <w:bottom w:val="single" w:color="auto" w:sz="4" w:space="0"/>
                  </w:tcBorders>
                  <w:vAlign w:val="center"/>
                </w:tcPr>
                <w:p w14:paraId="7D10089A">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报告书</w:t>
                  </w:r>
                </w:p>
              </w:tc>
              <w:tc>
                <w:tcPr>
                  <w:tcW w:w="1307" w:type="pct"/>
                  <w:tcBorders>
                    <w:top w:val="single" w:color="auto" w:sz="12" w:space="0"/>
                    <w:bottom w:val="single" w:color="auto" w:sz="4" w:space="0"/>
                  </w:tcBorders>
                  <w:shd w:val="pct10" w:color="auto" w:fill="auto"/>
                  <w:vAlign w:val="center"/>
                </w:tcPr>
                <w:p w14:paraId="33C8A4FA">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报告表</w:t>
                  </w:r>
                </w:p>
              </w:tc>
              <w:tc>
                <w:tcPr>
                  <w:tcW w:w="599" w:type="pct"/>
                  <w:tcBorders>
                    <w:top w:val="single" w:color="auto" w:sz="12" w:space="0"/>
                    <w:bottom w:val="single" w:color="auto" w:sz="4" w:space="0"/>
                    <w:right w:val="nil"/>
                  </w:tcBorders>
                  <w:vAlign w:val="center"/>
                </w:tcPr>
                <w:p w14:paraId="30768D65">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登记表</w:t>
                  </w:r>
                </w:p>
              </w:tc>
            </w:tr>
            <w:tr w14:paraId="3874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right w:val="nil"/>
                  </w:tcBorders>
                  <w:shd w:val="pct10" w:color="auto" w:fill="auto"/>
                  <w:vAlign w:val="center"/>
                </w:tcPr>
                <w:p w14:paraId="02EEA917">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十八、家具制造业21</w:t>
                  </w:r>
                </w:p>
              </w:tc>
            </w:tr>
            <w:tr w14:paraId="2742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tcBorders>
                    <w:left w:val="nil"/>
                    <w:bottom w:val="single" w:color="auto" w:sz="12" w:space="0"/>
                  </w:tcBorders>
                  <w:vAlign w:val="center"/>
                </w:tcPr>
                <w:p w14:paraId="35A76F6D">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w:t>
                  </w:r>
                </w:p>
              </w:tc>
              <w:tc>
                <w:tcPr>
                  <w:tcW w:w="1471" w:type="pct"/>
                  <w:tcBorders>
                    <w:left w:val="single" w:color="auto" w:sz="4" w:space="0"/>
                    <w:bottom w:val="single" w:color="auto" w:sz="12" w:space="0"/>
                  </w:tcBorders>
                  <w:vAlign w:val="center"/>
                </w:tcPr>
                <w:p w14:paraId="71B1CE11">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木质家具制造211*；竹、藤家具制造212*；金属家具制造213*；塑料家具制造214*；其他家具制造219*</w:t>
                  </w:r>
                </w:p>
              </w:tc>
              <w:tc>
                <w:tcPr>
                  <w:tcW w:w="1311" w:type="pct"/>
                  <w:tcBorders>
                    <w:bottom w:val="single" w:color="auto" w:sz="12" w:space="0"/>
                  </w:tcBorders>
                  <w:vAlign w:val="center"/>
                </w:tcPr>
                <w:p w14:paraId="5FCE2F92">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有电镀工艺的；年用溶剂型涂料（含稀释剂）10吨及以上的</w:t>
                  </w:r>
                </w:p>
              </w:tc>
              <w:tc>
                <w:tcPr>
                  <w:tcW w:w="1307" w:type="pct"/>
                  <w:tcBorders>
                    <w:bottom w:val="single" w:color="auto" w:sz="12" w:space="0"/>
                  </w:tcBorders>
                  <w:shd w:val="pct10" w:color="auto" w:fill="auto"/>
                  <w:vAlign w:val="center"/>
                </w:tcPr>
                <w:p w14:paraId="34621245">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其他（仅分割、组装的除外；年用非溶剂型低VOCs含量涂料10吨以下的除外）</w:t>
                  </w:r>
                </w:p>
              </w:tc>
              <w:tc>
                <w:tcPr>
                  <w:tcW w:w="599" w:type="pct"/>
                  <w:tcBorders>
                    <w:bottom w:val="single" w:color="auto" w:sz="12" w:space="0"/>
                    <w:right w:val="nil"/>
                  </w:tcBorders>
                  <w:vAlign w:val="center"/>
                </w:tcPr>
                <w:p w14:paraId="6759C6A6">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bl>
          <w:p w14:paraId="10AE1077">
            <w:pPr>
              <w:spacing w:before="120" w:beforeLines="50" w:line="360" w:lineRule="auto"/>
              <w:ind w:firstLine="480" w:firstLineChars="200"/>
              <w:outlineLvl w:val="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因</w:t>
            </w:r>
            <w:r>
              <w:rPr>
                <w:color w:val="000000" w:themeColor="text1"/>
                <w:sz w:val="24"/>
                <w:szCs w:val="24"/>
                <w:highlight w:val="none"/>
                <w14:textFill>
                  <w14:solidFill>
                    <w14:schemeClr w14:val="tx1"/>
                  </w14:solidFill>
                </w14:textFill>
              </w:rPr>
              <w:t>此，建设单位委托</w:t>
            </w:r>
            <w:r>
              <w:rPr>
                <w:rFonts w:hint="eastAsia"/>
                <w:color w:val="000000" w:themeColor="text1"/>
                <w:sz w:val="24"/>
                <w:szCs w:val="24"/>
                <w:highlight w:val="none"/>
                <w14:textFill>
                  <w14:solidFill>
                    <w14:schemeClr w14:val="tx1"/>
                  </w14:solidFill>
                </w14:textFill>
              </w:rPr>
              <w:t>我单位</w:t>
            </w:r>
            <w:r>
              <w:rPr>
                <w:color w:val="000000" w:themeColor="text1"/>
                <w:sz w:val="24"/>
                <w:szCs w:val="24"/>
                <w:highlight w:val="none"/>
                <w14:textFill>
                  <w14:solidFill>
                    <w14:schemeClr w14:val="tx1"/>
                  </w14:solidFill>
                </w14:textFill>
              </w:rPr>
              <w:t>编制该项目的环境影响报告表(委托书详见附件</w:t>
            </w:r>
            <w:r>
              <w:rPr>
                <w:rFonts w:hint="eastAsia"/>
                <w:color w:val="000000" w:themeColor="text1"/>
                <w:sz w:val="24"/>
                <w:szCs w:val="24"/>
                <w:highlight w:val="none"/>
                <w:lang w:val="en-US"/>
                <w14:textFill>
                  <w14:solidFill>
                    <w14:schemeClr w14:val="tx1"/>
                  </w14:solidFill>
                </w14:textFill>
              </w:rPr>
              <w:t>1</w:t>
            </w:r>
            <w:r>
              <w:rPr>
                <w:color w:val="000000" w:themeColor="text1"/>
                <w:sz w:val="24"/>
                <w:szCs w:val="24"/>
                <w:highlight w:val="none"/>
                <w14:textFill>
                  <w14:solidFill>
                    <w14:schemeClr w14:val="tx1"/>
                  </w14:solidFill>
                </w14:textFill>
              </w:rPr>
              <w:t>)。本环评单位接受委托后，派技术人员踏勘现场和收集有关资料，按照</w:t>
            </w:r>
            <w:r>
              <w:rPr>
                <w:rFonts w:hint="eastAsia"/>
                <w:color w:val="000000" w:themeColor="text1"/>
                <w:sz w:val="24"/>
                <w:szCs w:val="24"/>
                <w:highlight w:val="none"/>
                <w14:textFill>
                  <w14:solidFill>
                    <w14:schemeClr w14:val="tx1"/>
                  </w14:solidFill>
                </w14:textFill>
              </w:rPr>
              <w:t>《建设项目环境影响报告表编制技术指南(污染影响类)》(试行)</w:t>
            </w:r>
            <w:r>
              <w:rPr>
                <w:color w:val="000000" w:themeColor="text1"/>
                <w:sz w:val="24"/>
                <w:szCs w:val="24"/>
                <w:highlight w:val="none"/>
                <w14:textFill>
                  <w14:solidFill>
                    <w14:schemeClr w14:val="tx1"/>
                  </w14:solidFill>
                </w14:textFill>
              </w:rPr>
              <w:t>及相关技术规范要求，编制了本环境影响报告表，供建设单位上报生态环境行政主管部门审批。</w:t>
            </w:r>
          </w:p>
          <w:p w14:paraId="03DD823C">
            <w:pPr>
              <w:pStyle w:val="3"/>
              <w:widowControl w:val="0"/>
              <w:spacing w:before="0" w:beforeLines="0" w:beforeAutospacing="0" w:after="0" w:afterLines="0" w:afterAutospacing="0" w:line="360" w:lineRule="auto"/>
              <w:jc w:val="both"/>
              <w:rPr>
                <w:rFonts w:hint="eastAsia" w:ascii="Times New Roman" w:hAnsi="Times New Roman" w:eastAsia="宋体" w:cs="Times New Roman"/>
                <w:bCs w:val="0"/>
                <w:color w:val="000000" w:themeColor="text1"/>
                <w:sz w:val="28"/>
                <w:szCs w:val="24"/>
                <w:highlight w:val="none"/>
                <w:lang w:val="en-US" w:eastAsia="zh-CN"/>
                <w14:textFill>
                  <w14:solidFill>
                    <w14:schemeClr w14:val="tx1"/>
                  </w14:solidFill>
                </w14:textFill>
              </w:rPr>
            </w:pPr>
            <w:r>
              <w:rPr>
                <w:rFonts w:hint="eastAsia" w:ascii="Times New Roman" w:hAnsi="Times New Roman" w:eastAsia="宋体" w:cs="Times New Roman"/>
                <w:bCs w:val="0"/>
                <w:color w:val="000000" w:themeColor="text1"/>
                <w:sz w:val="28"/>
                <w:szCs w:val="24"/>
                <w:highlight w:val="none"/>
                <w:lang w:val="en-US" w:eastAsia="zh-CN"/>
                <w14:textFill>
                  <w14:solidFill>
                    <w14:schemeClr w14:val="tx1"/>
                  </w14:solidFill>
                </w14:textFill>
              </w:rPr>
              <w:t>2、出租方基本概况</w:t>
            </w:r>
          </w:p>
          <w:p w14:paraId="5C046F58">
            <w:pPr>
              <w:pStyle w:val="86"/>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eastAsia="zh-CN"/>
                <w14:textFill>
                  <w14:solidFill>
                    <w14:schemeClr w14:val="tx1"/>
                  </w14:solidFill>
                </w14:textFill>
              </w:rPr>
              <w:t>）福建乐翔服饰制造有限公司基本情况</w:t>
            </w:r>
          </w:p>
          <w:p w14:paraId="0FA67584">
            <w:pPr>
              <w:pStyle w:val="86"/>
              <w:ind w:firstLine="48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福建乐翔服饰制造有限公司是一家从事服装制造,服装服饰批发,服装服饰零售等业务的公司，成立于2007年12月14日，经营范围为：一般项目：服装制造；服装服饰批发；服装服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饰零售；非居住房地产租赁；货物进出口；技术进出口；进出口代理；木材加工；五金产品批发；五金产品零售；五金产品制造；汽车零配件批发；汽车零配件零售；汽车零部件及配件制造。</w:t>
            </w:r>
          </w:p>
          <w:p w14:paraId="1F5BED7F">
            <w:pPr>
              <w:spacing w:before="120" w:beforeLines="50" w:line="360" w:lineRule="auto"/>
              <w:ind w:firstLine="480" w:firstLineChars="200"/>
              <w:outlineLvl w:val="1"/>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福建乐翔服饰制造有限公司厂房于2015年11月编制完成福建乐翔服饰制造有限公司厂房及配套项目环境影响评价登记表，并于2015年11月26日取得福清市</w:t>
            </w:r>
            <w:r>
              <w:rPr>
                <w:rFonts w:hint="eastAsia" w:cs="Times New Roman"/>
                <w:color w:val="000000" w:themeColor="text1"/>
                <w:sz w:val="24"/>
                <w:szCs w:val="24"/>
                <w:highlight w:val="none"/>
                <w:lang w:val="en-US" w:eastAsia="zh-CN"/>
                <w14:textFill>
                  <w14:solidFill>
                    <w14:schemeClr w14:val="tx1"/>
                  </w14:solidFill>
                </w14:textFill>
              </w:rPr>
              <w:t>生态环境局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批复（融侨环评登[2015]1号），扩建项目租赁1号厂房原为制衣车间及仓库，原厂房内历史建设情况详见附件11。</w:t>
            </w:r>
          </w:p>
          <w:p w14:paraId="76CE3EFF">
            <w:pPr>
              <w:pStyle w:val="86"/>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eastAsia="zh-CN"/>
                <w14:textFill>
                  <w14:solidFill>
                    <w14:schemeClr w14:val="tx1"/>
                  </w14:solidFill>
                </w14:textFill>
              </w:rPr>
              <w:t>）扩建项目依托出租房情况</w:t>
            </w:r>
          </w:p>
          <w:p w14:paraId="11359C7B">
            <w:pPr>
              <w:pStyle w:val="86"/>
              <w:ind w:firstLine="480"/>
              <w:rPr>
                <w:rFonts w:hint="eastAsia" w:ascii="Times New Roman" w:hAnsi="Times New Roman" w:eastAsia="宋体"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扩建项目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租赁的</w:t>
            </w:r>
            <w:r>
              <w:rPr>
                <w:rFonts w:hint="eastAsia" w:ascii="Times New Roman" w:hAnsi="Times New Roman" w:eastAsia="宋体" w:cs="Times New Roman"/>
                <w:color w:val="000000" w:themeColor="text1"/>
                <w:highlight w:val="none"/>
                <w14:textFill>
                  <w14:solidFill>
                    <w14:schemeClr w14:val="tx1"/>
                  </w14:solidFill>
                </w14:textFill>
              </w:rPr>
              <w:t>福建乐翔服饰制造有限公司</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1号厂房1层及3层</w:t>
            </w:r>
            <w:r>
              <w:rPr>
                <w:rFonts w:hint="eastAsia" w:ascii="Times New Roman" w:hAnsi="Times New Roman" w:eastAsia="宋体" w:cs="Times New Roman"/>
                <w:color w:val="000000" w:themeColor="text1"/>
                <w:highlight w:val="none"/>
                <w14:textFill>
                  <w14:solidFill>
                    <w14:schemeClr w14:val="tx1"/>
                  </w14:solidFill>
                </w14:textFill>
              </w:rPr>
              <w:t>进行</w:t>
            </w:r>
            <w:r>
              <w:rPr>
                <w:rFonts w:hint="eastAsia" w:ascii="Times New Roman" w:hAnsi="Times New Roman" w:eastAsia="宋体" w:cs="Times New Roman"/>
                <w:color w:val="000000" w:themeColor="text1"/>
                <w:highlight w:val="none"/>
                <w:lang w:eastAsia="zh-CN"/>
                <w14:textFill>
                  <w14:solidFill>
                    <w14:schemeClr w14:val="tx1"/>
                  </w14:solidFill>
                </w14:textFill>
              </w:rPr>
              <w:t>生产</w:t>
            </w:r>
            <w:r>
              <w:rPr>
                <w:rFonts w:hint="eastAsia" w:ascii="Times New Roman" w:hAnsi="Times New Roman" w:eastAsia="宋体" w:cs="Times New Roman"/>
                <w:color w:val="000000" w:themeColor="text1"/>
                <w:highlight w:val="none"/>
                <w14:textFill>
                  <w14:solidFill>
                    <w14:schemeClr w14:val="tx1"/>
                  </w14:solidFill>
                </w14:textFill>
              </w:rPr>
              <w:t>，租赁</w:t>
            </w:r>
            <w:r>
              <w:rPr>
                <w:rFonts w:hint="eastAsia" w:ascii="Times New Roman" w:hAnsi="Times New Roman" w:eastAsia="宋体" w:cs="Times New Roman"/>
                <w:color w:val="000000" w:themeColor="text1"/>
                <w:highlight w:val="none"/>
                <w:lang w:eastAsia="zh-CN"/>
                <w14:textFill>
                  <w14:solidFill>
                    <w14:schemeClr w14:val="tx1"/>
                  </w14:solidFill>
                </w14:textFill>
              </w:rPr>
              <w:t>面积为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3338.95</w:t>
            </w:r>
            <w:r>
              <w:rPr>
                <w:rFonts w:hint="eastAsia" w:ascii="Times New Roman" w:hAnsi="Times New Roman" w:eastAsia="宋体" w:cs="Times New Roman"/>
                <w:color w:val="000000" w:themeColor="text1"/>
                <w:highlight w:val="none"/>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，根据现场调查可知，福建乐翔服饰制造有限公司</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1号厂房已竣工验收</w:t>
            </w:r>
            <w:r>
              <w:rPr>
                <w:rFonts w:hint="eastAsia" w:ascii="Times New Roman" w:hAnsi="Times New Roman" w:eastAsia="宋体" w:cs="Times New Roman"/>
                <w:color w:val="000000" w:themeColor="text1"/>
                <w:highlight w:val="none"/>
                <w:lang w:val="en-US"/>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根据现场勘查，目前</w:t>
            </w:r>
            <w:r>
              <w:rPr>
                <w:rFonts w:hint="eastAsia" w:ascii="Times New Roman" w:hAnsi="Times New Roman" w:eastAsia="宋体" w:cs="Times New Roman"/>
                <w:color w:val="000000" w:themeColor="text1"/>
                <w:highlight w:val="none"/>
                <w:lang w:eastAsia="zh-CN"/>
                <w14:textFill>
                  <w14:solidFill>
                    <w14:schemeClr w14:val="tx1"/>
                  </w14:solidFill>
                </w14:textFill>
              </w:rPr>
              <w:t>扩建</w:t>
            </w:r>
            <w:r>
              <w:rPr>
                <w:rFonts w:hint="eastAsia" w:ascii="Times New Roman" w:hAnsi="Times New Roman" w:eastAsia="宋体" w:cs="Times New Roman"/>
                <w:color w:val="000000" w:themeColor="text1"/>
                <w:highlight w:val="none"/>
                <w14:textFill>
                  <w14:solidFill>
                    <w14:schemeClr w14:val="tx1"/>
                  </w14:solidFill>
                </w14:textFill>
              </w:rPr>
              <w:t>项目周边市政雨、污管网已铺设到项目所在地，当前厂区内污水处理达《污水综合排放标准》(GB8978-1996)表4中三级标准及《污水排入城镇下水道水质标准》(GB/T31962-2015)表1中B级标准后，可直接</w:t>
            </w:r>
            <w:r>
              <w:rPr>
                <w:rFonts w:hint="eastAsia" w:ascii="Times New Roman" w:hAnsi="Times New Roman" w:eastAsia="宋体" w:cs="Times New Roman"/>
                <w:color w:val="000000" w:themeColor="text1"/>
                <w:highlight w:val="none"/>
                <w:lang w:eastAsia="zh-CN"/>
                <w14:textFill>
                  <w14:solidFill>
                    <w14:schemeClr w14:val="tx1"/>
                  </w14:solidFill>
                </w14:textFill>
              </w:rPr>
              <w:t>排入</w:t>
            </w:r>
            <w:r>
              <w:rPr>
                <w:rFonts w:hint="eastAsia" w:ascii="Times New Roman" w:hAnsi="Times New Roman" w:eastAsia="宋体" w:cs="Times New Roman"/>
                <w:color w:val="000000" w:themeColor="text1"/>
                <w:highlight w:val="none"/>
                <w14:textFill>
                  <w14:solidFill>
                    <w14:schemeClr w14:val="tx1"/>
                  </w14:solidFill>
                </w14:textFill>
              </w:rPr>
              <w:t>福清市融元污水处理厂集中处理</w:t>
            </w:r>
            <w:r>
              <w:rPr>
                <w:rFonts w:hint="eastAsia" w:ascii="Times New Roman" w:hAnsi="Times New Roman" w:eastAsia="宋体" w:cs="Times New Roman"/>
                <w:color w:val="000000" w:themeColor="text1"/>
                <w:highlight w:val="none"/>
                <w:lang w:val="en-US"/>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城市排水许可</w:t>
            </w:r>
            <w:r>
              <w:rPr>
                <w:rFonts w:hint="eastAsia" w:ascii="Times New Roman" w:hAnsi="Times New Roman" w:eastAsia="宋体" w:cs="Times New Roman"/>
                <w:color w:val="000000" w:themeColor="text1"/>
                <w:highlight w:val="none"/>
                <w14:textFill>
                  <w14:solidFill>
                    <w14:schemeClr w14:val="tx1"/>
                  </w14:solidFill>
                </w14:textFill>
              </w:rPr>
              <w:t>详见附件</w:t>
            </w:r>
            <w:r>
              <w:rPr>
                <w:rFonts w:hint="eastAsia" w:ascii="Times New Roman" w:hAnsi="Times New Roman" w:eastAsia="宋体" w:cs="Times New Roman"/>
                <w:color w:val="000000" w:themeColor="text1"/>
                <w:highlight w:val="none"/>
                <w:lang w:val="en-US"/>
                <w14:textFill>
                  <w14:solidFill>
                    <w14:schemeClr w14:val="tx1"/>
                  </w14:solidFill>
                </w14:textFill>
              </w:rPr>
              <w:t>7)</w:t>
            </w:r>
            <w:r>
              <w:rPr>
                <w:rFonts w:hint="eastAsia" w:ascii="Times New Roman" w:hAnsi="Times New Roman" w:eastAsia="宋体" w:cs="Times New Roman"/>
                <w:color w:val="000000" w:themeColor="text1"/>
                <w:highlight w:val="none"/>
                <w14:textFill>
                  <w14:solidFill>
                    <w14:schemeClr w14:val="tx1"/>
                  </w14:solidFill>
                </w14:textFill>
              </w:rPr>
              <w:t>。该厂区内未建设废气等环保设施可供本扩建项目使用，可依托的设施主要为福清市伟鑫机车配件有限公司厂区内的给水管网、排水管网、化粪池、供电管网及给水消防等公用工程设施。项目与出租方的依托关系见下表</w:t>
            </w:r>
            <w:r>
              <w:rPr>
                <w:rFonts w:hint="eastAsia" w:ascii="Times New Roman" w:hAnsi="Times New Roman" w:eastAsia="宋体" w:cs="Times New Roman"/>
                <w:color w:val="000000" w:themeColor="text1"/>
                <w:highlight w:val="none"/>
                <w:lang w:val="en-US"/>
                <w14:textFill>
                  <w14:solidFill>
                    <w14:schemeClr w14:val="tx1"/>
                  </w14:solidFill>
                </w14:textFill>
              </w:rPr>
              <w:t>。</w:t>
            </w:r>
          </w:p>
          <w:p w14:paraId="594A5BB4">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项目与出租方的依托关系</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245"/>
              <w:gridCol w:w="3138"/>
              <w:gridCol w:w="2858"/>
            </w:tblGrid>
            <w:tr w14:paraId="57853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tcBorders>
                    <w:tl2br w:val="nil"/>
                    <w:tr2bl w:val="nil"/>
                  </w:tcBorders>
                  <w:noWrap w:val="0"/>
                  <w:vAlign w:val="center"/>
                </w:tcPr>
                <w:p w14:paraId="3FBD9B13">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工程类别</w:t>
                  </w:r>
                </w:p>
              </w:tc>
              <w:tc>
                <w:tcPr>
                  <w:tcW w:w="745" w:type="pct"/>
                  <w:tcBorders>
                    <w:tl2br w:val="nil"/>
                    <w:tr2bl w:val="nil"/>
                  </w:tcBorders>
                  <w:noWrap w:val="0"/>
                  <w:vAlign w:val="center"/>
                </w:tcPr>
                <w:p w14:paraId="0AAFB9C1">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项目组成</w:t>
                  </w:r>
                </w:p>
              </w:tc>
              <w:tc>
                <w:tcPr>
                  <w:tcW w:w="1877" w:type="pct"/>
                  <w:tcBorders>
                    <w:tl2br w:val="nil"/>
                    <w:tr2bl w:val="nil"/>
                  </w:tcBorders>
                  <w:noWrap w:val="0"/>
                  <w:vAlign w:val="center"/>
                </w:tcPr>
                <w:p w14:paraId="3E77ED6A">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具体建设内容</w:t>
                  </w:r>
                </w:p>
              </w:tc>
              <w:tc>
                <w:tcPr>
                  <w:tcW w:w="1709" w:type="pct"/>
                  <w:tcBorders>
                    <w:tl2br w:val="nil"/>
                    <w:tr2bl w:val="nil"/>
                  </w:tcBorders>
                  <w:noWrap w:val="0"/>
                  <w:vAlign w:val="center"/>
                </w:tcPr>
                <w:p w14:paraId="305A1FA6">
                  <w:pPr>
                    <w:pStyle w:val="331"/>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备注</w:t>
                  </w:r>
                </w:p>
              </w:tc>
            </w:tr>
            <w:tr w14:paraId="4DFEB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tcBorders>
                    <w:tl2br w:val="nil"/>
                    <w:tr2bl w:val="nil"/>
                  </w:tcBorders>
                  <w:noWrap w:val="0"/>
                  <w:vAlign w:val="center"/>
                </w:tcPr>
                <w:p w14:paraId="6B3FA2CA">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主体工程</w:t>
                  </w:r>
                </w:p>
              </w:tc>
              <w:tc>
                <w:tcPr>
                  <w:tcW w:w="745" w:type="pct"/>
                  <w:tcBorders>
                    <w:tl2br w:val="nil"/>
                    <w:tr2bl w:val="nil"/>
                  </w:tcBorders>
                  <w:noWrap w:val="0"/>
                  <w:vAlign w:val="center"/>
                </w:tcPr>
                <w:p w14:paraId="3D2F2733">
                  <w:pPr>
                    <w:pStyle w:val="331"/>
                    <w:rPr>
                      <w:rFonts w:hint="eastAsia" w:eastAsia="宋体"/>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租赁福建乐翔服饰制造有限公司1号厂房1层及3层</w:t>
                  </w:r>
                </w:p>
              </w:tc>
              <w:tc>
                <w:tcPr>
                  <w:tcW w:w="1877" w:type="pct"/>
                  <w:tcBorders>
                    <w:tl2br w:val="nil"/>
                    <w:tr2bl w:val="nil"/>
                  </w:tcBorders>
                  <w:noWrap w:val="0"/>
                  <w:vAlign w:val="center"/>
                </w:tcPr>
                <w:p w14:paraId="584F9318">
                  <w:pPr>
                    <w:pStyle w:val="331"/>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依托租赁</w:t>
                  </w:r>
                  <w:r>
                    <w:rPr>
                      <w:rFonts w:hint="eastAsia" w:eastAsia="宋体"/>
                      <w:color w:val="000000" w:themeColor="text1"/>
                      <w:sz w:val="21"/>
                      <w:szCs w:val="21"/>
                      <w:highlight w:val="none"/>
                      <w:lang w:val="en-US" w:eastAsia="zh-CN"/>
                      <w14:textFill>
                        <w14:solidFill>
                          <w14:schemeClr w14:val="tx1"/>
                        </w14:solidFill>
                      </w14:textFill>
                    </w:rPr>
                    <w:t>福建乐翔服饰制造有限公司1号厂房1层及3层</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租赁面积为</w:t>
                  </w:r>
                  <w:r>
                    <w:rPr>
                      <w:rFonts w:hint="eastAsia"/>
                      <w:color w:val="000000" w:themeColor="text1"/>
                      <w:sz w:val="21"/>
                      <w:szCs w:val="21"/>
                      <w:highlight w:val="none"/>
                      <w:lang w:val="en-US" w:eastAsia="zh-CN"/>
                      <w14:textFill>
                        <w14:solidFill>
                          <w14:schemeClr w14:val="tx1"/>
                        </w14:solidFill>
                      </w14:textFill>
                    </w:rPr>
                    <w:t>3338.95</w:t>
                  </w: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2</w:t>
                  </w:r>
                </w:p>
              </w:tc>
              <w:tc>
                <w:tcPr>
                  <w:tcW w:w="1709" w:type="pct"/>
                  <w:tcBorders>
                    <w:tl2br w:val="nil"/>
                    <w:tr2bl w:val="nil"/>
                  </w:tcBorders>
                  <w:noWrap w:val="0"/>
                  <w:vAlign w:val="center"/>
                </w:tcPr>
                <w:p w14:paraId="4DE3BBEE">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厂房为混凝土结构，每个楼层均有配置灭火器、消防栓等消防设施</w:t>
                  </w:r>
                </w:p>
              </w:tc>
            </w:tr>
            <w:tr w14:paraId="6590E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Merge w:val="restart"/>
                  <w:tcBorders>
                    <w:tl2br w:val="nil"/>
                    <w:tr2bl w:val="nil"/>
                  </w:tcBorders>
                  <w:noWrap w:val="0"/>
                  <w:vAlign w:val="center"/>
                </w:tcPr>
                <w:p w14:paraId="0D394853">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公用工程</w:t>
                  </w:r>
                </w:p>
              </w:tc>
              <w:tc>
                <w:tcPr>
                  <w:tcW w:w="745" w:type="pct"/>
                  <w:tcBorders>
                    <w:tl2br w:val="nil"/>
                    <w:tr2bl w:val="nil"/>
                  </w:tcBorders>
                  <w:noWrap w:val="0"/>
                  <w:vAlign w:val="center"/>
                </w:tcPr>
                <w:p w14:paraId="51094BD6">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供水</w:t>
                  </w:r>
                </w:p>
              </w:tc>
              <w:tc>
                <w:tcPr>
                  <w:tcW w:w="1877" w:type="pct"/>
                  <w:tcBorders>
                    <w:tl2br w:val="nil"/>
                    <w:tr2bl w:val="nil"/>
                  </w:tcBorders>
                  <w:noWrap w:val="0"/>
                  <w:vAlign w:val="center"/>
                </w:tcPr>
                <w:p w14:paraId="6E0D5099">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接市政供水管网</w:t>
                  </w:r>
                </w:p>
              </w:tc>
              <w:tc>
                <w:tcPr>
                  <w:tcW w:w="1709" w:type="pct"/>
                  <w:vMerge w:val="restart"/>
                  <w:tcBorders>
                    <w:tl2br w:val="nil"/>
                    <w:tr2bl w:val="nil"/>
                  </w:tcBorders>
                  <w:noWrap w:val="0"/>
                  <w:vAlign w:val="center"/>
                </w:tcPr>
                <w:p w14:paraId="196C2665">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管路设施</w:t>
                  </w:r>
                  <w:r>
                    <w:rPr>
                      <w:rFonts w:hint="eastAsia"/>
                      <w:color w:val="000000" w:themeColor="text1"/>
                      <w:sz w:val="21"/>
                      <w:szCs w:val="21"/>
                      <w:highlight w:val="none"/>
                      <w14:textFill>
                        <w14:solidFill>
                          <w14:schemeClr w14:val="tx1"/>
                        </w14:solidFill>
                      </w14:textFill>
                    </w:rPr>
                    <w:t>已</w:t>
                  </w:r>
                  <w:r>
                    <w:rPr>
                      <w:color w:val="000000" w:themeColor="text1"/>
                      <w:sz w:val="21"/>
                      <w:szCs w:val="21"/>
                      <w:highlight w:val="none"/>
                      <w14:textFill>
                        <w14:solidFill>
                          <w14:schemeClr w14:val="tx1"/>
                        </w14:solidFill>
                      </w14:textFill>
                    </w:rPr>
                    <w:t>完善</w:t>
                  </w:r>
                </w:p>
              </w:tc>
            </w:tr>
            <w:tr w14:paraId="7DF6B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Merge w:val="continue"/>
                  <w:tcBorders>
                    <w:tl2br w:val="nil"/>
                    <w:tr2bl w:val="nil"/>
                  </w:tcBorders>
                  <w:noWrap w:val="0"/>
                  <w:vAlign w:val="center"/>
                </w:tcPr>
                <w:p w14:paraId="78FA3C82">
                  <w:pPr>
                    <w:pStyle w:val="331"/>
                    <w:rPr>
                      <w:color w:val="000000" w:themeColor="text1"/>
                      <w:sz w:val="21"/>
                      <w:szCs w:val="21"/>
                      <w:highlight w:val="none"/>
                      <w14:textFill>
                        <w14:solidFill>
                          <w14:schemeClr w14:val="tx1"/>
                        </w14:solidFill>
                      </w14:textFill>
                    </w:rPr>
                  </w:pPr>
                </w:p>
              </w:tc>
              <w:tc>
                <w:tcPr>
                  <w:tcW w:w="745" w:type="pct"/>
                  <w:tcBorders>
                    <w:tl2br w:val="nil"/>
                    <w:tr2bl w:val="nil"/>
                  </w:tcBorders>
                  <w:noWrap w:val="0"/>
                  <w:vAlign w:val="center"/>
                </w:tcPr>
                <w:p w14:paraId="03646DF1">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排水</w:t>
                  </w:r>
                </w:p>
              </w:tc>
              <w:tc>
                <w:tcPr>
                  <w:tcW w:w="1877" w:type="pct"/>
                  <w:tcBorders>
                    <w:tl2br w:val="nil"/>
                    <w:tr2bl w:val="nil"/>
                  </w:tcBorders>
                  <w:noWrap w:val="0"/>
                  <w:vAlign w:val="center"/>
                </w:tcPr>
                <w:p w14:paraId="01F93CDD">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依托厂区现有雨污管网</w:t>
                  </w:r>
                </w:p>
              </w:tc>
              <w:tc>
                <w:tcPr>
                  <w:tcW w:w="1709" w:type="pct"/>
                  <w:vMerge w:val="continue"/>
                  <w:tcBorders>
                    <w:tl2br w:val="nil"/>
                    <w:tr2bl w:val="nil"/>
                  </w:tcBorders>
                  <w:noWrap w:val="0"/>
                  <w:vAlign w:val="center"/>
                </w:tcPr>
                <w:p w14:paraId="34304907">
                  <w:pPr>
                    <w:pStyle w:val="331"/>
                    <w:rPr>
                      <w:color w:val="000000" w:themeColor="text1"/>
                      <w:sz w:val="21"/>
                      <w:szCs w:val="21"/>
                      <w:highlight w:val="none"/>
                      <w14:textFill>
                        <w14:solidFill>
                          <w14:schemeClr w14:val="tx1"/>
                        </w14:solidFill>
                      </w14:textFill>
                    </w:rPr>
                  </w:pPr>
                </w:p>
              </w:tc>
            </w:tr>
            <w:tr w14:paraId="5C2AE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vMerge w:val="continue"/>
                  <w:tcBorders>
                    <w:tl2br w:val="nil"/>
                    <w:tr2bl w:val="nil"/>
                  </w:tcBorders>
                  <w:noWrap w:val="0"/>
                  <w:vAlign w:val="center"/>
                </w:tcPr>
                <w:p w14:paraId="144A883D">
                  <w:pPr>
                    <w:pStyle w:val="331"/>
                    <w:rPr>
                      <w:color w:val="000000" w:themeColor="text1"/>
                      <w:sz w:val="21"/>
                      <w:szCs w:val="21"/>
                      <w:highlight w:val="none"/>
                      <w14:textFill>
                        <w14:solidFill>
                          <w14:schemeClr w14:val="tx1"/>
                        </w14:solidFill>
                      </w14:textFill>
                    </w:rPr>
                  </w:pPr>
                </w:p>
              </w:tc>
              <w:tc>
                <w:tcPr>
                  <w:tcW w:w="745" w:type="pct"/>
                  <w:tcBorders>
                    <w:tl2br w:val="nil"/>
                    <w:tr2bl w:val="nil"/>
                  </w:tcBorders>
                  <w:noWrap w:val="0"/>
                  <w:vAlign w:val="center"/>
                </w:tcPr>
                <w:p w14:paraId="628CA0CC">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供电</w:t>
                  </w:r>
                </w:p>
              </w:tc>
              <w:tc>
                <w:tcPr>
                  <w:tcW w:w="1877" w:type="pct"/>
                  <w:tcBorders>
                    <w:tl2br w:val="nil"/>
                    <w:tr2bl w:val="nil"/>
                  </w:tcBorders>
                  <w:noWrap w:val="0"/>
                  <w:vAlign w:val="center"/>
                </w:tcPr>
                <w:p w14:paraId="3E16355A">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接市政供电系统</w:t>
                  </w:r>
                </w:p>
              </w:tc>
              <w:tc>
                <w:tcPr>
                  <w:tcW w:w="1709" w:type="pct"/>
                  <w:vMerge w:val="continue"/>
                  <w:tcBorders>
                    <w:tl2br w:val="nil"/>
                    <w:tr2bl w:val="nil"/>
                  </w:tcBorders>
                  <w:noWrap w:val="0"/>
                  <w:vAlign w:val="center"/>
                </w:tcPr>
                <w:p w14:paraId="0C4BFA40">
                  <w:pPr>
                    <w:pStyle w:val="331"/>
                    <w:rPr>
                      <w:color w:val="000000" w:themeColor="text1"/>
                      <w:sz w:val="21"/>
                      <w:szCs w:val="21"/>
                      <w:highlight w:val="none"/>
                      <w14:textFill>
                        <w14:solidFill>
                          <w14:schemeClr w14:val="tx1"/>
                        </w14:solidFill>
                      </w14:textFill>
                    </w:rPr>
                  </w:pPr>
                </w:p>
              </w:tc>
            </w:tr>
            <w:tr w14:paraId="7996A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pct"/>
                  <w:tcBorders>
                    <w:tl2br w:val="nil"/>
                    <w:tr2bl w:val="nil"/>
                  </w:tcBorders>
                  <w:noWrap w:val="0"/>
                  <w:vAlign w:val="center"/>
                </w:tcPr>
                <w:p w14:paraId="1C59CAD0">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环保工程</w:t>
                  </w:r>
                </w:p>
              </w:tc>
              <w:tc>
                <w:tcPr>
                  <w:tcW w:w="745" w:type="pct"/>
                  <w:tcBorders>
                    <w:tl2br w:val="nil"/>
                    <w:tr2bl w:val="nil"/>
                  </w:tcBorders>
                  <w:noWrap w:val="0"/>
                  <w:vAlign w:val="center"/>
                </w:tcPr>
                <w:p w14:paraId="62732BD6">
                  <w:pPr>
                    <w:pStyle w:val="331"/>
                    <w:rPr>
                      <w:rFonts w:hint="eastAsia"/>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r>
                    <w:rPr>
                      <w:rFonts w:hint="eastAsia"/>
                      <w:color w:val="000000" w:themeColor="text1"/>
                      <w:sz w:val="21"/>
                      <w:szCs w:val="21"/>
                      <w:highlight w:val="none"/>
                      <w14:textFill>
                        <w14:solidFill>
                          <w14:schemeClr w14:val="tx1"/>
                        </w14:solidFill>
                      </w14:textFill>
                    </w:rPr>
                    <w:t>治理</w:t>
                  </w:r>
                </w:p>
              </w:tc>
              <w:tc>
                <w:tcPr>
                  <w:tcW w:w="1877" w:type="pct"/>
                  <w:tcBorders>
                    <w:tl2br w:val="nil"/>
                    <w:tr2bl w:val="nil"/>
                  </w:tcBorders>
                  <w:noWrap w:val="0"/>
                  <w:vAlign w:val="center"/>
                </w:tcPr>
                <w:p w14:paraId="70667B35">
                  <w:pPr>
                    <w:pStyle w:val="331"/>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依托</w:t>
                  </w:r>
                  <w:r>
                    <w:rPr>
                      <w:rFonts w:hint="eastAsia" w:eastAsia="宋体"/>
                      <w:color w:val="000000" w:themeColor="text1"/>
                      <w:sz w:val="21"/>
                      <w:szCs w:val="21"/>
                      <w:highlight w:val="none"/>
                      <w:lang w:val="en-US" w:eastAsia="zh-CN"/>
                      <w14:textFill>
                        <w14:solidFill>
                          <w14:schemeClr w14:val="tx1"/>
                        </w14:solidFill>
                      </w14:textFill>
                    </w:rPr>
                    <w:t>福建乐翔服饰制造有限公司</w:t>
                  </w:r>
                  <w:r>
                    <w:rPr>
                      <w:color w:val="000000" w:themeColor="text1"/>
                      <w:sz w:val="21"/>
                      <w:szCs w:val="21"/>
                      <w:highlight w:val="none"/>
                      <w14:textFill>
                        <w14:solidFill>
                          <w14:schemeClr w14:val="tx1"/>
                        </w14:solidFill>
                      </w14:textFill>
                    </w:rPr>
                    <w:t>现有化粪池(规模</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0</w:t>
                  </w:r>
                  <w:r>
                    <w:rPr>
                      <w:color w:val="000000" w:themeColor="text1"/>
                      <w:sz w:val="21"/>
                      <w:szCs w:val="21"/>
                      <w:highlight w:val="none"/>
                      <w14:textFill>
                        <w14:solidFill>
                          <w14:schemeClr w14:val="tx1"/>
                        </w14:solidFill>
                      </w14:textFill>
                    </w:rPr>
                    <w:t>m³/d)</w:t>
                  </w:r>
                </w:p>
              </w:tc>
              <w:tc>
                <w:tcPr>
                  <w:tcW w:w="1709" w:type="pct"/>
                  <w:tcBorders>
                    <w:tl2br w:val="nil"/>
                    <w:tr2bl w:val="nil"/>
                  </w:tcBorders>
                  <w:noWrap w:val="0"/>
                  <w:vAlign w:val="center"/>
                </w:tcPr>
                <w:p w14:paraId="1E59190A">
                  <w:pPr>
                    <w:pStyle w:val="331"/>
                    <w:rPr>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福建乐翔服饰制造有限公司</w:t>
                  </w:r>
                </w:p>
              </w:tc>
            </w:tr>
          </w:tbl>
          <w:p w14:paraId="3C2DD227">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2</w:t>
            </w:r>
            <w:r>
              <w:rPr>
                <w:b/>
                <w:color w:val="000000" w:themeColor="text1"/>
                <w:sz w:val="30"/>
                <w:szCs w:val="30"/>
                <w:highlight w:val="none"/>
                <w14:textFill>
                  <w14:solidFill>
                    <w14:schemeClr w14:val="tx1"/>
                  </w14:solidFill>
                </w14:textFill>
              </w:rPr>
              <w:t>项目</w:t>
            </w:r>
            <w:r>
              <w:rPr>
                <w:rFonts w:hint="eastAsia"/>
                <w:b/>
                <w:color w:val="000000" w:themeColor="text1"/>
                <w:sz w:val="30"/>
                <w:szCs w:val="30"/>
                <w:highlight w:val="none"/>
                <w14:textFill>
                  <w14:solidFill>
                    <w14:schemeClr w14:val="tx1"/>
                  </w14:solidFill>
                </w14:textFill>
              </w:rPr>
              <w:t>基本情况</w:t>
            </w:r>
          </w:p>
          <w:p w14:paraId="52D704E6">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（1）项目名称：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红树林（福州）智能家居有限公司年加工木质家具1.5万套扩建项目</w:t>
            </w:r>
          </w:p>
          <w:p w14:paraId="715DEE18">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（2）建设单位：红树林（福州）智能家居有限公司</w:t>
            </w:r>
          </w:p>
          <w:p w14:paraId="2F6F6080">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（3）建设地点：</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p>
          <w:p w14:paraId="30C31314">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）总投资：</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00万元</w:t>
            </w:r>
          </w:p>
          <w:p w14:paraId="02FE7499">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）占地面积：</w:t>
            </w:r>
            <w:r>
              <w:rPr>
                <w:rFonts w:hint="eastAsia"/>
                <w:color w:val="000000" w:themeColor="text1"/>
                <w:highlight w:val="none"/>
                <w14:textFill>
                  <w14:solidFill>
                    <w14:schemeClr w14:val="tx1"/>
                  </w14:solidFill>
                </w14:textFill>
              </w:rPr>
              <w:t>租赁厂房</w:t>
            </w:r>
            <w:r>
              <w:rPr>
                <w:color w:val="000000" w:themeColor="text1"/>
                <w:highlight w:val="none"/>
                <w14:textFill>
                  <w14:solidFill>
                    <w14:schemeClr w14:val="tx1"/>
                  </w14:solidFill>
                </w14:textFill>
              </w:rPr>
              <w:t>占地面积</w:t>
            </w:r>
            <w:r>
              <w:rPr>
                <w:rFonts w:hint="eastAsia"/>
                <w:color w:val="000000" w:themeColor="text1"/>
                <w:highlight w:val="none"/>
                <w14:textFill>
                  <w14:solidFill>
                    <w14:schemeClr w14:val="tx1"/>
                  </w14:solidFill>
                </w14:textFill>
              </w:rPr>
              <w:t>约1670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建筑面积约3338.95</w:t>
            </w:r>
            <w:r>
              <w:rPr>
                <w:color w:val="000000" w:themeColor="text1"/>
                <w:highlight w:val="none"/>
                <w14:textFill>
                  <w14:solidFill>
                    <w14:schemeClr w14:val="tx1"/>
                  </w14:solidFill>
                </w14:textFill>
              </w:rPr>
              <w:t xml:space="preserve"> m</w:t>
            </w:r>
            <w:r>
              <w:rPr>
                <w:color w:val="000000" w:themeColor="text1"/>
                <w:highlight w:val="none"/>
                <w:vertAlign w:val="superscript"/>
                <w14:textFill>
                  <w14:solidFill>
                    <w14:schemeClr w14:val="tx1"/>
                  </w14:solidFill>
                </w14:textFill>
              </w:rPr>
              <w:t>2</w:t>
            </w:r>
          </w:p>
          <w:p w14:paraId="695CE832">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规模：</w:t>
            </w:r>
            <w:r>
              <w:rPr>
                <w:rFonts w:hint="eastAsia"/>
                <w:color w:val="000000" w:themeColor="text1"/>
                <w:highlight w:val="none"/>
                <w14:textFill>
                  <w14:solidFill>
                    <w14:schemeClr w14:val="tx1"/>
                  </w14:solidFill>
                </w14:textFill>
              </w:rPr>
              <w:t>年产木质家具1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万套</w:t>
            </w:r>
          </w:p>
          <w:p w14:paraId="73922254">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建设</w:t>
            </w:r>
            <w:r>
              <w:rPr>
                <w:color w:val="000000" w:themeColor="text1"/>
                <w:highlight w:val="none"/>
                <w14:textFill>
                  <w14:solidFill>
                    <w14:schemeClr w14:val="tx1"/>
                  </w14:solidFill>
                </w14:textFill>
              </w:rPr>
              <w:t>性质：</w:t>
            </w:r>
            <w:r>
              <w:rPr>
                <w:rFonts w:hint="eastAsia"/>
                <w:color w:val="000000" w:themeColor="text1"/>
                <w:highlight w:val="none"/>
                <w:lang w:eastAsia="zh-CN"/>
                <w14:textFill>
                  <w14:solidFill>
                    <w14:schemeClr w14:val="tx1"/>
                  </w14:solidFill>
                </w14:textFill>
              </w:rPr>
              <w:t>扩</w:t>
            </w:r>
            <w:r>
              <w:rPr>
                <w:rFonts w:hint="eastAsia"/>
                <w:color w:val="000000" w:themeColor="text1"/>
                <w:highlight w:val="none"/>
                <w14:textFill>
                  <w14:solidFill>
                    <w14:schemeClr w14:val="tx1"/>
                  </w14:solidFill>
                </w14:textFill>
              </w:rPr>
              <w:t>建</w:t>
            </w:r>
          </w:p>
          <w:p w14:paraId="3B973E98">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职工人数</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职工6人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均不在厂区住宿</w:t>
            </w:r>
          </w:p>
          <w:p w14:paraId="4421099C">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9）工作制度：年生产日</w:t>
            </w:r>
            <w:r>
              <w:rPr>
                <w:rFonts w:hint="eastAsia"/>
                <w:color w:val="000000" w:themeColor="text1"/>
                <w:highlight w:val="none"/>
                <w14:textFill>
                  <w14:solidFill>
                    <w14:schemeClr w14:val="tx1"/>
                  </w14:solidFill>
                </w14:textFill>
              </w:rPr>
              <w:t>260</w:t>
            </w:r>
            <w:r>
              <w:rPr>
                <w:color w:val="000000" w:themeColor="text1"/>
                <w:highlight w:val="none"/>
                <w14:textFill>
                  <w14:solidFill>
                    <w14:schemeClr w14:val="tx1"/>
                  </w14:solidFill>
                </w14:textFill>
              </w:rPr>
              <w:t>天，</w:t>
            </w:r>
            <w:r>
              <w:rPr>
                <w:rFonts w:hint="eastAsia"/>
                <w:color w:val="000000" w:themeColor="text1"/>
                <w:highlight w:val="none"/>
                <w14:textFill>
                  <w14:solidFill>
                    <w14:schemeClr w14:val="tx1"/>
                  </w14:solidFill>
                </w14:textFill>
              </w:rPr>
              <w:t>单班</w:t>
            </w:r>
            <w:r>
              <w:rPr>
                <w:color w:val="000000" w:themeColor="text1"/>
                <w:highlight w:val="none"/>
                <w14:textFill>
                  <w14:solidFill>
                    <w14:schemeClr w14:val="tx1"/>
                  </w14:solidFill>
                </w14:textFill>
              </w:rPr>
              <w:t>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每班</w:t>
            </w:r>
            <w:r>
              <w:rPr>
                <w:rFonts w:hint="eastAsia"/>
                <w:color w:val="000000" w:themeColor="text1"/>
                <w:highlight w:val="none"/>
                <w14:textFill>
                  <w14:solidFill>
                    <w14:schemeClr w14:val="tx1"/>
                  </w14:solidFill>
                </w14:textFill>
              </w:rPr>
              <w:t>8个</w:t>
            </w:r>
            <w:r>
              <w:rPr>
                <w:color w:val="000000" w:themeColor="text1"/>
                <w:highlight w:val="none"/>
                <w14:textFill>
                  <w14:solidFill>
                    <w14:schemeClr w14:val="tx1"/>
                  </w14:solidFill>
                </w14:textFill>
              </w:rPr>
              <w:t>小时</w:t>
            </w:r>
          </w:p>
          <w:p w14:paraId="7B0D5C99">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（10）周边概况：</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bookmarkStart w:id="1" w:name="OLE_LINK2"/>
            <w:r>
              <w:rPr>
                <w:rFonts w:hint="eastAsia"/>
                <w:color w:val="000000" w:themeColor="text1"/>
                <w:highlight w:val="none"/>
                <w14:textFill>
                  <w14:solidFill>
                    <w14:schemeClr w14:val="tx1"/>
                  </w14:solidFill>
                </w14:textFill>
              </w:rPr>
              <w:t>租赁</w:t>
            </w:r>
            <w:r>
              <w:rPr>
                <w:rFonts w:hint="eastAsia"/>
                <w:color w:val="000000" w:themeColor="text1"/>
                <w:highlight w:val="none"/>
                <w:lang w:eastAsia="zh-CN"/>
                <w14:textFill>
                  <w14:solidFill>
                    <w14:schemeClr w14:val="tx1"/>
                  </w14:solidFill>
                </w14:textFill>
              </w:rPr>
              <w:t>位于</w:t>
            </w:r>
            <w:r>
              <w:rPr>
                <w:rFonts w:hint="eastAsia"/>
                <w:color w:val="000000" w:themeColor="text1"/>
                <w:highlight w:val="none"/>
                <w14:textFill>
                  <w14:solidFill>
                    <w14:schemeClr w14:val="tx1"/>
                  </w14:solidFill>
                </w14:textFill>
              </w:rPr>
              <w:t>福清市阳下街道新局村福建乐翔服饰制造有限公司内1号厂房</w:t>
            </w:r>
            <w:bookmarkEnd w:id="1"/>
            <w:r>
              <w:rPr>
                <w:rFonts w:hint="eastAsia"/>
                <w:color w:val="000000" w:themeColor="text1"/>
                <w:highlight w:val="none"/>
                <w:lang w:val="en-US" w:eastAsia="zh-CN"/>
                <w14:textFill>
                  <w14:solidFill>
                    <w14:schemeClr w14:val="tx1"/>
                  </w14:solidFill>
                </w14:textFill>
              </w:rPr>
              <w:t>1层及3层</w:t>
            </w:r>
            <w:r>
              <w:rPr>
                <w:rFonts w:hint="eastAsia"/>
                <w:color w:val="000000" w:themeColor="text1"/>
                <w:highlight w:val="none"/>
                <w14:textFill>
                  <w14:solidFill>
                    <w14:schemeClr w14:val="tx1"/>
                  </w14:solidFill>
                </w14:textFill>
              </w:rPr>
              <w:t>作为生产场所</w:t>
            </w:r>
            <w:r>
              <w:rPr>
                <w:rFonts w:hint="eastAsia" w:cs="宋体"/>
                <w:color w:val="000000" w:themeColor="text1"/>
                <w:highlight w:val="none"/>
                <w14:textFill>
                  <w14:solidFill>
                    <w14:schemeClr w14:val="tx1"/>
                  </w14:solidFill>
                </w14:textFill>
              </w:rPr>
              <w:t>。项目厂界东侧</w:t>
            </w:r>
            <w:r>
              <w:rPr>
                <w:rFonts w:hint="eastAsia"/>
                <w:color w:val="000000" w:themeColor="text1"/>
                <w:highlight w:val="none"/>
                <w14:textFill>
                  <w14:solidFill>
                    <w14:schemeClr w14:val="tx1"/>
                  </w14:solidFill>
                </w14:textFill>
              </w:rPr>
              <w:t>福建乐翔服饰制造有限公司厂区6号厂房</w:t>
            </w:r>
            <w:r>
              <w:rPr>
                <w:rFonts w:hint="eastAsia" w:cs="宋体"/>
                <w:color w:val="000000" w:themeColor="text1"/>
                <w:highlight w:val="none"/>
                <w14:textFill>
                  <w14:solidFill>
                    <w14:schemeClr w14:val="tx1"/>
                  </w14:solidFill>
                </w14:textFill>
              </w:rPr>
              <w:t>，南侧为</w:t>
            </w:r>
            <w:r>
              <w:rPr>
                <w:rFonts w:hint="eastAsia"/>
                <w:color w:val="000000" w:themeColor="text1"/>
                <w:highlight w:val="none"/>
                <w14:textFill>
                  <w14:solidFill>
                    <w14:schemeClr w14:val="tx1"/>
                  </w14:solidFill>
                </w14:textFill>
              </w:rPr>
              <w:t>福建乐翔服饰制造有限公司厂区2号及5号厂房</w:t>
            </w:r>
            <w:r>
              <w:rPr>
                <w:rFonts w:hint="eastAsia" w:cs="宋体"/>
                <w:color w:val="000000" w:themeColor="text1"/>
                <w:highlight w:val="none"/>
                <w14:textFill>
                  <w14:solidFill>
                    <w14:schemeClr w14:val="tx1"/>
                  </w14:solidFill>
                </w14:textFill>
              </w:rPr>
              <w:t>，西侧为福清光明塑胶厂区，北侧</w:t>
            </w:r>
            <w:r>
              <w:rPr>
                <w:rFonts w:hint="eastAsia"/>
                <w:color w:val="000000" w:themeColor="text1"/>
                <w:highlight w:val="none"/>
                <w14:textFill>
                  <w14:solidFill>
                    <w14:schemeClr w14:val="tx1"/>
                  </w14:solidFill>
                </w14:textFill>
              </w:rPr>
              <w:t>福建乐翔服饰制造有限公司厂区3号厂房及</w:t>
            </w:r>
            <w:r>
              <w:rPr>
                <w:rFonts w:hint="eastAsia" w:cs="宋体"/>
                <w:color w:val="000000" w:themeColor="text1"/>
                <w:highlight w:val="none"/>
                <w14:textFill>
                  <w14:solidFill>
                    <w14:schemeClr w14:val="tx1"/>
                  </w14:solidFill>
                </w14:textFill>
              </w:rPr>
              <w:t>福清光明塑胶厂区。附近最近敏感目标为</w:t>
            </w:r>
            <w:r>
              <w:rPr>
                <w:rFonts w:hint="eastAsia" w:cs="宋体"/>
                <w:color w:val="000000" w:themeColor="text1"/>
                <w:highlight w:val="none"/>
                <w:lang w:eastAsia="zh-CN"/>
                <w14:textFill>
                  <w14:solidFill>
                    <w14:schemeClr w14:val="tx1"/>
                  </w14:solidFill>
                </w14:textFill>
              </w:rPr>
              <w:t>溪东</w:t>
            </w:r>
            <w:r>
              <w:rPr>
                <w:rFonts w:hint="eastAsia" w:cs="宋体"/>
                <w:color w:val="000000" w:themeColor="text1"/>
                <w:highlight w:val="none"/>
                <w14:textFill>
                  <w14:solidFill>
                    <w14:schemeClr w14:val="tx1"/>
                  </w14:solidFill>
                </w14:textFill>
              </w:rPr>
              <w:t>村，距本项目厂界最近距离约为</w:t>
            </w:r>
            <w:r>
              <w:rPr>
                <w:rFonts w:hint="eastAsia" w:cs="宋体"/>
                <w:color w:val="000000" w:themeColor="text1"/>
                <w:highlight w:val="none"/>
                <w:lang w:val="en-US" w:eastAsia="zh-CN"/>
                <w14:textFill>
                  <w14:solidFill>
                    <w14:schemeClr w14:val="tx1"/>
                  </w14:solidFill>
                </w14:textFill>
              </w:rPr>
              <w:t>102</w:t>
            </w:r>
            <w:r>
              <w:rPr>
                <w:rFonts w:hint="eastAsia" w:cs="宋体"/>
                <w:color w:val="000000" w:themeColor="text1"/>
                <w:highlight w:val="none"/>
                <w14:textFill>
                  <w14:solidFill>
                    <w14:schemeClr w14:val="tx1"/>
                  </w14:solidFill>
                </w14:textFill>
              </w:rPr>
              <w:t>m。项目周边情况示意图见附图3，项目周边环境照片见附图4。</w:t>
            </w:r>
          </w:p>
          <w:p w14:paraId="1EFDDCA9">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3</w:t>
            </w:r>
            <w:r>
              <w:rPr>
                <w:b/>
                <w:color w:val="000000" w:themeColor="text1"/>
                <w:sz w:val="30"/>
                <w:szCs w:val="30"/>
                <w:highlight w:val="none"/>
                <w14:textFill>
                  <w14:solidFill>
                    <w14:schemeClr w14:val="tx1"/>
                  </w14:solidFill>
                </w14:textFill>
              </w:rPr>
              <w:t>项目</w:t>
            </w:r>
            <w:r>
              <w:rPr>
                <w:rFonts w:hint="eastAsia"/>
                <w:b/>
                <w:color w:val="000000" w:themeColor="text1"/>
                <w:sz w:val="30"/>
                <w:szCs w:val="30"/>
                <w:highlight w:val="none"/>
                <w14:textFill>
                  <w14:solidFill>
                    <w14:schemeClr w14:val="tx1"/>
                  </w14:solidFill>
                </w14:textFill>
              </w:rPr>
              <w:t>主要工程</w:t>
            </w:r>
            <w:r>
              <w:rPr>
                <w:b/>
                <w:color w:val="000000" w:themeColor="text1"/>
                <w:sz w:val="30"/>
                <w:szCs w:val="30"/>
                <w:highlight w:val="none"/>
                <w14:textFill>
                  <w14:solidFill>
                    <w14:schemeClr w14:val="tx1"/>
                  </w14:solidFill>
                </w14:textFill>
              </w:rPr>
              <w:t>内容</w:t>
            </w:r>
          </w:p>
          <w:p w14:paraId="2A2AA06A">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项目主要</w:t>
            </w:r>
            <w:r>
              <w:rPr>
                <w:rFonts w:hint="eastAsia"/>
                <w:color w:val="000000" w:themeColor="text1"/>
                <w:highlight w:val="none"/>
                <w14:textFill>
                  <w14:solidFill>
                    <w14:schemeClr w14:val="tx1"/>
                  </w14:solidFill>
                </w14:textFill>
              </w:rPr>
              <w:t>工程</w:t>
            </w:r>
            <w:r>
              <w:rPr>
                <w:color w:val="000000" w:themeColor="text1"/>
                <w:highlight w:val="none"/>
                <w14:textFill>
                  <w14:solidFill>
                    <w14:schemeClr w14:val="tx1"/>
                  </w14:solidFill>
                </w14:textFill>
              </w:rPr>
              <w:t>组成</w:t>
            </w:r>
            <w:r>
              <w:rPr>
                <w:rFonts w:hint="eastAsia"/>
                <w:color w:val="000000" w:themeColor="text1"/>
                <w:highlight w:val="none"/>
                <w14:textFill>
                  <w14:solidFill>
                    <w14:schemeClr w14:val="tx1"/>
                  </w14:solidFill>
                </w14:textFill>
              </w:rPr>
              <w:t>详见</w:t>
            </w: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-1所示。</w:t>
            </w:r>
          </w:p>
          <w:p w14:paraId="74D58E9A">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表2.3-1</w:t>
            </w:r>
            <w:r>
              <w:rPr>
                <w:rFonts w:ascii="Times New Roman" w:hAnsi="Times New Roman"/>
                <w:b/>
                <w:color w:val="000000" w:themeColor="text1"/>
                <w:highlight w:val="none"/>
                <w14:textFill>
                  <w14:solidFill>
                    <w14:schemeClr w14:val="tx1"/>
                  </w14:solidFill>
                </w14:textFill>
              </w:rPr>
              <w:t xml:space="preserve">  项目</w:t>
            </w:r>
            <w:r>
              <w:rPr>
                <w:rFonts w:hint="eastAsia" w:ascii="Times New Roman" w:hAnsi="Times New Roman"/>
                <w:b/>
                <w:color w:val="000000" w:themeColor="text1"/>
                <w:highlight w:val="none"/>
                <w14:textFill>
                  <w14:solidFill>
                    <w14:schemeClr w14:val="tx1"/>
                  </w14:solidFill>
                </w14:textFill>
              </w:rPr>
              <w:t>工程组成</w:t>
            </w:r>
            <w:r>
              <w:rPr>
                <w:rFonts w:ascii="Times New Roman" w:hAnsi="Times New Roman"/>
                <w:b/>
                <w:color w:val="000000" w:themeColor="text1"/>
                <w:highlight w:val="none"/>
                <w14:textFill>
                  <w14:solidFill>
                    <w14:schemeClr w14:val="tx1"/>
                  </w14:solidFill>
                </w14:textFill>
              </w:rPr>
              <w:t>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167"/>
              <w:gridCol w:w="1247"/>
              <w:gridCol w:w="4620"/>
              <w:gridCol w:w="1322"/>
            </w:tblGrid>
            <w:tr w14:paraId="00A1A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1444" w:type="pct"/>
                  <w:gridSpan w:val="2"/>
                  <w:vAlign w:val="center"/>
                </w:tcPr>
                <w:p w14:paraId="682880D6">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项目名称</w:t>
                  </w:r>
                </w:p>
              </w:tc>
              <w:tc>
                <w:tcPr>
                  <w:tcW w:w="2764" w:type="pct"/>
                  <w:vAlign w:val="center"/>
                </w:tcPr>
                <w:p w14:paraId="4ECBBB52">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全部建成后工程内容</w:t>
                  </w:r>
                </w:p>
              </w:tc>
              <w:tc>
                <w:tcPr>
                  <w:tcW w:w="791" w:type="pct"/>
                  <w:vAlign w:val="center"/>
                </w:tcPr>
                <w:p w14:paraId="5EC0A62B">
                  <w:pPr>
                    <w:pStyle w:val="95"/>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备注</w:t>
                  </w:r>
                </w:p>
              </w:tc>
            </w:tr>
            <w:tr w14:paraId="0D4FC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2" w:hRule="atLeast"/>
                <w:jc w:val="center"/>
              </w:trPr>
              <w:tc>
                <w:tcPr>
                  <w:tcW w:w="698" w:type="pct"/>
                  <w:vMerge w:val="restart"/>
                  <w:vAlign w:val="center"/>
                </w:tcPr>
                <w:p w14:paraId="50793E2D">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主体工程</w:t>
                  </w:r>
                </w:p>
                <w:p w14:paraId="3187A269">
                  <w:pPr>
                    <w:pStyle w:val="95"/>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（1号厂房）</w:t>
                  </w:r>
                </w:p>
              </w:tc>
              <w:tc>
                <w:tcPr>
                  <w:tcW w:w="745" w:type="pct"/>
                  <w:vAlign w:val="center"/>
                </w:tcPr>
                <w:p w14:paraId="1613F12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1楼</w:t>
                  </w:r>
                </w:p>
              </w:tc>
              <w:tc>
                <w:tcPr>
                  <w:tcW w:w="2764" w:type="pct"/>
                  <w:vAlign w:val="center"/>
                </w:tcPr>
                <w:p w14:paraId="53CA1170">
                  <w:pPr>
                    <w:pStyle w:val="98"/>
                    <w:spacing w:line="240" w:lineRule="auto"/>
                    <w:ind w:firstLine="0" w:firstLineChars="0"/>
                    <w:jc w:val="both"/>
                    <w:rPr>
                      <w:rFonts w:hint="default" w:eastAsia="宋体"/>
                      <w:color w:val="000000" w:themeColor="text1"/>
                      <w:kern w:val="2"/>
                      <w:highlight w:val="none"/>
                      <w:lang w:val="en-US" w:eastAsia="zh-CN"/>
                      <w14:textFill>
                        <w14:solidFill>
                          <w14:schemeClr w14:val="tx1"/>
                        </w14:solidFill>
                      </w14:textFill>
                    </w:rPr>
                  </w:pPr>
                  <w:r>
                    <w:rPr>
                      <w:rFonts w:hint="eastAsia"/>
                      <w:color w:val="000000" w:themeColor="text1"/>
                      <w:kern w:val="2"/>
                      <w:highlight w:val="none"/>
                      <w:lang w:val="en-US" w:eastAsia="zh-CN"/>
                      <w14:textFill>
                        <w14:solidFill>
                          <w14:schemeClr w14:val="tx1"/>
                        </w14:solidFill>
                      </w14:textFill>
                    </w:rPr>
                    <w:t>1F木工区</w:t>
                  </w:r>
                </w:p>
              </w:tc>
              <w:tc>
                <w:tcPr>
                  <w:tcW w:w="791" w:type="pct"/>
                  <w:vAlign w:val="center"/>
                </w:tcPr>
                <w:p w14:paraId="34A66699">
                  <w:pPr>
                    <w:pStyle w:val="98"/>
                    <w:spacing w:line="240" w:lineRule="auto"/>
                    <w:ind w:firstLine="0" w:firstLineChars="0"/>
                    <w:jc w:val="center"/>
                    <w:rPr>
                      <w:rFonts w:hint="eastAsia" w:eastAsia="宋体"/>
                      <w:color w:val="000000" w:themeColor="text1"/>
                      <w:kern w:val="2"/>
                      <w:highlight w:val="none"/>
                      <w:lang w:eastAsia="zh-CN"/>
                      <w14:textFill>
                        <w14:solidFill>
                          <w14:schemeClr w14:val="tx1"/>
                        </w14:solidFill>
                      </w14:textFill>
                    </w:rPr>
                  </w:pPr>
                  <w:r>
                    <w:rPr>
                      <w:rFonts w:hint="eastAsia"/>
                      <w:color w:val="000000" w:themeColor="text1"/>
                      <w:kern w:val="2"/>
                      <w:highlight w:val="none"/>
                      <w:lang w:eastAsia="zh-CN"/>
                      <w14:textFill>
                        <w14:solidFill>
                          <w14:schemeClr w14:val="tx1"/>
                        </w14:solidFill>
                      </w14:textFill>
                    </w:rPr>
                    <w:t>现有工程</w:t>
                  </w:r>
                </w:p>
              </w:tc>
            </w:tr>
            <w:tr w14:paraId="777A9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98" w:type="pct"/>
                  <w:vMerge w:val="continue"/>
                  <w:vAlign w:val="center"/>
                </w:tcPr>
                <w:p w14:paraId="3742A7FF">
                  <w:pPr>
                    <w:pStyle w:val="95"/>
                    <w:rPr>
                      <w:rFonts w:hint="eastAsia" w:eastAsia="宋体"/>
                      <w:color w:val="000000" w:themeColor="text1"/>
                      <w:highlight w:val="none"/>
                      <w14:textFill>
                        <w14:solidFill>
                          <w14:schemeClr w14:val="tx1"/>
                        </w14:solidFill>
                      </w14:textFill>
                    </w:rPr>
                  </w:pPr>
                </w:p>
              </w:tc>
              <w:tc>
                <w:tcPr>
                  <w:tcW w:w="745" w:type="pct"/>
                  <w:vAlign w:val="center"/>
                </w:tcPr>
                <w:p w14:paraId="52C6E2F8">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1楼</w:t>
                  </w:r>
                </w:p>
              </w:tc>
              <w:tc>
                <w:tcPr>
                  <w:tcW w:w="2764" w:type="pct"/>
                  <w:vAlign w:val="center"/>
                </w:tcPr>
                <w:p w14:paraId="1B20C5EA">
                  <w:pPr>
                    <w:pStyle w:val="98"/>
                    <w:spacing w:line="240" w:lineRule="auto"/>
                    <w:ind w:firstLine="0" w:firstLineChars="0"/>
                    <w:jc w:val="both"/>
                    <w:rPr>
                      <w:rFonts w:hint="eastAsia"/>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1F主要设智能数控加工区</w:t>
                  </w:r>
                  <w:r>
                    <w:rPr>
                      <w:rFonts w:hint="eastAsia"/>
                      <w:color w:val="000000" w:themeColor="text1"/>
                      <w:kern w:val="2"/>
                      <w:highlight w:val="none"/>
                      <w:lang w:eastAsia="zh-CN"/>
                      <w14:textFill>
                        <w14:solidFill>
                          <w14:schemeClr w14:val="tx1"/>
                        </w14:solidFill>
                      </w14:textFill>
                    </w:rPr>
                    <w:t>、封边区</w:t>
                  </w:r>
                </w:p>
              </w:tc>
              <w:tc>
                <w:tcPr>
                  <w:tcW w:w="791" w:type="pct"/>
                  <w:vAlign w:val="center"/>
                </w:tcPr>
                <w:p w14:paraId="2B741214">
                  <w:pPr>
                    <w:pStyle w:val="98"/>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本次新增</w:t>
                  </w:r>
                </w:p>
              </w:tc>
            </w:tr>
            <w:tr w14:paraId="0E6E54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98" w:type="pct"/>
                  <w:vMerge w:val="continue"/>
                  <w:vAlign w:val="center"/>
                </w:tcPr>
                <w:p w14:paraId="451451F6">
                  <w:pPr>
                    <w:pStyle w:val="95"/>
                    <w:rPr>
                      <w:rFonts w:eastAsia="宋体"/>
                      <w:color w:val="000000" w:themeColor="text1"/>
                      <w:highlight w:val="none"/>
                      <w14:textFill>
                        <w14:solidFill>
                          <w14:schemeClr w14:val="tx1"/>
                        </w14:solidFill>
                      </w14:textFill>
                    </w:rPr>
                  </w:pPr>
                </w:p>
              </w:tc>
              <w:tc>
                <w:tcPr>
                  <w:tcW w:w="745" w:type="pct"/>
                  <w:vAlign w:val="center"/>
                </w:tcPr>
                <w:p w14:paraId="559C960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3楼</w:t>
                  </w:r>
                </w:p>
              </w:tc>
              <w:tc>
                <w:tcPr>
                  <w:tcW w:w="2764" w:type="pct"/>
                  <w:vAlign w:val="center"/>
                </w:tcPr>
                <w:p w14:paraId="4BCC4CA7">
                  <w:pPr>
                    <w:pStyle w:val="98"/>
                    <w:spacing w:line="240" w:lineRule="auto"/>
                    <w:ind w:firstLine="0" w:firstLineChars="0"/>
                    <w:jc w:val="both"/>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3F主要设打磨区、喷漆区及烘干区</w:t>
                  </w:r>
                </w:p>
              </w:tc>
              <w:tc>
                <w:tcPr>
                  <w:tcW w:w="791" w:type="pct"/>
                  <w:vAlign w:val="center"/>
                </w:tcPr>
                <w:p w14:paraId="0DA7AEB7">
                  <w:pPr>
                    <w:pStyle w:val="98"/>
                    <w:spacing w:line="240" w:lineRule="auto"/>
                    <w:ind w:firstLine="0" w:firstLineChars="0"/>
                    <w:jc w:val="center"/>
                    <w:rPr>
                      <w:rFonts w:hint="eastAsia"/>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本次新增</w:t>
                  </w:r>
                </w:p>
              </w:tc>
            </w:tr>
            <w:tr w14:paraId="6814AF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98" w:type="pct"/>
                  <w:vMerge w:val="restart"/>
                  <w:vAlign w:val="center"/>
                </w:tcPr>
                <w:p w14:paraId="67B991B7">
                  <w:pPr>
                    <w:pStyle w:val="95"/>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辅助</w:t>
                  </w:r>
                  <w:r>
                    <w:rPr>
                      <w:rFonts w:eastAsia="宋体"/>
                      <w:color w:val="000000" w:themeColor="text1"/>
                      <w:highlight w:val="none"/>
                      <w14:textFill>
                        <w14:solidFill>
                          <w14:schemeClr w14:val="tx1"/>
                        </w14:solidFill>
                      </w14:textFill>
                    </w:rPr>
                    <w:t>工程</w:t>
                  </w:r>
                </w:p>
                <w:p w14:paraId="5043DB2E">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公用工程</w:t>
                  </w:r>
                </w:p>
              </w:tc>
              <w:tc>
                <w:tcPr>
                  <w:tcW w:w="745" w:type="pct"/>
                  <w:vAlign w:val="center"/>
                </w:tcPr>
                <w:p w14:paraId="3A113E5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成品仓库</w:t>
                  </w:r>
                </w:p>
              </w:tc>
              <w:tc>
                <w:tcPr>
                  <w:tcW w:w="2764" w:type="pct"/>
                  <w:vAlign w:val="center"/>
                </w:tcPr>
                <w:p w14:paraId="20BA085A">
                  <w:pPr>
                    <w:pStyle w:val="98"/>
                    <w:spacing w:line="240" w:lineRule="auto"/>
                    <w:ind w:firstLine="0" w:firstLineChars="0"/>
                    <w:jc w:val="both"/>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位于3F西侧成品区</w:t>
                  </w:r>
                </w:p>
              </w:tc>
              <w:tc>
                <w:tcPr>
                  <w:tcW w:w="791" w:type="pct"/>
                  <w:vAlign w:val="center"/>
                </w:tcPr>
                <w:p w14:paraId="5662B4BA">
                  <w:pPr>
                    <w:pStyle w:val="98"/>
                    <w:spacing w:line="240" w:lineRule="auto"/>
                    <w:ind w:firstLine="0" w:firstLineChars="0"/>
                    <w:jc w:val="center"/>
                    <w:rPr>
                      <w:rFonts w:hint="eastAsia"/>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本次新增</w:t>
                  </w:r>
                </w:p>
              </w:tc>
            </w:tr>
            <w:tr w14:paraId="61401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698" w:type="pct"/>
                  <w:vMerge w:val="continue"/>
                  <w:vAlign w:val="center"/>
                </w:tcPr>
                <w:p w14:paraId="703AF609">
                  <w:pPr>
                    <w:pStyle w:val="95"/>
                    <w:rPr>
                      <w:rFonts w:eastAsia="宋体"/>
                      <w:color w:val="000000" w:themeColor="text1"/>
                      <w:highlight w:val="none"/>
                      <w14:textFill>
                        <w14:solidFill>
                          <w14:schemeClr w14:val="tx1"/>
                        </w14:solidFill>
                      </w14:textFill>
                    </w:rPr>
                  </w:pPr>
                </w:p>
              </w:tc>
              <w:tc>
                <w:tcPr>
                  <w:tcW w:w="745" w:type="pct"/>
                  <w:vAlign w:val="center"/>
                </w:tcPr>
                <w:p w14:paraId="1D96A63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原料仓库</w:t>
                  </w:r>
                </w:p>
              </w:tc>
              <w:tc>
                <w:tcPr>
                  <w:tcW w:w="2764" w:type="pct"/>
                  <w:vAlign w:val="center"/>
                </w:tcPr>
                <w:p w14:paraId="369B7DBD">
                  <w:pPr>
                    <w:pStyle w:val="98"/>
                    <w:spacing w:line="240" w:lineRule="auto"/>
                    <w:ind w:firstLine="0" w:firstLineChars="0"/>
                    <w:jc w:val="both"/>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位于1F西侧板材备料区</w:t>
                  </w:r>
                </w:p>
              </w:tc>
              <w:tc>
                <w:tcPr>
                  <w:tcW w:w="791" w:type="pct"/>
                  <w:vAlign w:val="center"/>
                </w:tcPr>
                <w:p w14:paraId="0D93FDD8">
                  <w:pPr>
                    <w:pStyle w:val="98"/>
                    <w:spacing w:line="240" w:lineRule="auto"/>
                    <w:ind w:firstLine="0" w:firstLineChars="0"/>
                    <w:jc w:val="center"/>
                    <w:rPr>
                      <w:rFonts w:hint="eastAsia" w:eastAsia="宋体"/>
                      <w:color w:val="000000" w:themeColor="text1"/>
                      <w:kern w:val="2"/>
                      <w:highlight w:val="none"/>
                      <w:lang w:eastAsia="zh-CN"/>
                      <w14:textFill>
                        <w14:solidFill>
                          <w14:schemeClr w14:val="tx1"/>
                        </w14:solidFill>
                      </w14:textFill>
                    </w:rPr>
                  </w:pPr>
                  <w:r>
                    <w:rPr>
                      <w:rFonts w:hint="eastAsia"/>
                      <w:color w:val="000000" w:themeColor="text1"/>
                      <w:kern w:val="2"/>
                      <w:highlight w:val="none"/>
                      <w:lang w:eastAsia="zh-CN"/>
                      <w14:textFill>
                        <w14:solidFill>
                          <w14:schemeClr w14:val="tx1"/>
                        </w14:solidFill>
                      </w14:textFill>
                    </w:rPr>
                    <w:t>依托原有</w:t>
                  </w:r>
                </w:p>
              </w:tc>
            </w:tr>
            <w:tr w14:paraId="0D97D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698" w:type="pct"/>
                  <w:vMerge w:val="continue"/>
                  <w:vAlign w:val="center"/>
                </w:tcPr>
                <w:p w14:paraId="5BAC0986">
                  <w:pPr>
                    <w:pStyle w:val="95"/>
                    <w:rPr>
                      <w:rFonts w:eastAsia="宋体"/>
                      <w:color w:val="000000" w:themeColor="text1"/>
                      <w:highlight w:val="none"/>
                      <w14:textFill>
                        <w14:solidFill>
                          <w14:schemeClr w14:val="tx1"/>
                        </w14:solidFill>
                      </w14:textFill>
                    </w:rPr>
                  </w:pPr>
                </w:p>
              </w:tc>
              <w:tc>
                <w:tcPr>
                  <w:tcW w:w="745" w:type="pct"/>
                  <w:vAlign w:val="center"/>
                </w:tcPr>
                <w:p w14:paraId="1CD5572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危废仓库</w:t>
                  </w:r>
                </w:p>
              </w:tc>
              <w:tc>
                <w:tcPr>
                  <w:tcW w:w="2764" w:type="pct"/>
                  <w:vAlign w:val="center"/>
                </w:tcPr>
                <w:p w14:paraId="3DB46B86">
                  <w:pPr>
                    <w:pStyle w:val="98"/>
                    <w:spacing w:line="240" w:lineRule="auto"/>
                    <w:ind w:firstLine="0" w:firstLineChars="0"/>
                    <w:jc w:val="both"/>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位于1F厂房外西侧</w:t>
                  </w:r>
                </w:p>
              </w:tc>
              <w:tc>
                <w:tcPr>
                  <w:tcW w:w="791" w:type="pct"/>
                  <w:vAlign w:val="center"/>
                </w:tcPr>
                <w:p w14:paraId="78B04E90">
                  <w:pPr>
                    <w:pStyle w:val="98"/>
                    <w:spacing w:line="240" w:lineRule="auto"/>
                    <w:ind w:firstLine="0" w:firstLineChars="0"/>
                    <w:jc w:val="center"/>
                    <w:rPr>
                      <w:rFonts w:hint="eastAsia"/>
                      <w:color w:val="000000" w:themeColor="text1"/>
                      <w:kern w:val="2"/>
                      <w:highlight w:val="none"/>
                      <w14:textFill>
                        <w14:solidFill>
                          <w14:schemeClr w14:val="tx1"/>
                        </w14:solidFill>
                      </w14:textFill>
                    </w:rPr>
                  </w:pPr>
                  <w:r>
                    <w:rPr>
                      <w:rFonts w:hint="eastAsia"/>
                      <w:color w:val="000000" w:themeColor="text1"/>
                      <w:highlight w:val="none"/>
                      <w14:textFill>
                        <w14:solidFill>
                          <w14:schemeClr w14:val="tx1"/>
                        </w14:solidFill>
                      </w14:textFill>
                    </w:rPr>
                    <w:t>本次新增</w:t>
                  </w:r>
                </w:p>
              </w:tc>
            </w:tr>
            <w:tr w14:paraId="295CF0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4" w:hRule="atLeast"/>
                <w:jc w:val="center"/>
              </w:trPr>
              <w:tc>
                <w:tcPr>
                  <w:tcW w:w="698" w:type="pct"/>
                  <w:vMerge w:val="continue"/>
                  <w:vAlign w:val="center"/>
                </w:tcPr>
                <w:p w14:paraId="637EFC21">
                  <w:pPr>
                    <w:pStyle w:val="95"/>
                    <w:rPr>
                      <w:rFonts w:eastAsia="宋体"/>
                      <w:color w:val="000000" w:themeColor="text1"/>
                      <w:highlight w:val="none"/>
                      <w14:textFill>
                        <w14:solidFill>
                          <w14:schemeClr w14:val="tx1"/>
                        </w14:solidFill>
                      </w14:textFill>
                    </w:rPr>
                  </w:pPr>
                </w:p>
              </w:tc>
              <w:tc>
                <w:tcPr>
                  <w:tcW w:w="745" w:type="pct"/>
                  <w:vAlign w:val="center"/>
                </w:tcPr>
                <w:p w14:paraId="4BC4595B">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供电系统</w:t>
                  </w:r>
                </w:p>
              </w:tc>
              <w:tc>
                <w:tcPr>
                  <w:tcW w:w="2764" w:type="pct"/>
                  <w:vAlign w:val="center"/>
                </w:tcPr>
                <w:p w14:paraId="414D1FC1">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依托厂区</w:t>
                  </w:r>
                  <w:r>
                    <w:rPr>
                      <w:color w:val="000000" w:themeColor="text1"/>
                      <w:szCs w:val="21"/>
                      <w:highlight w:val="none"/>
                      <w14:textFill>
                        <w14:solidFill>
                          <w14:schemeClr w14:val="tx1"/>
                        </w14:solidFill>
                      </w14:textFill>
                    </w:rPr>
                    <w:t>现有供电系统，接市政供电系统</w:t>
                  </w:r>
                  <w:r>
                    <w:rPr>
                      <w:rFonts w:hint="eastAsia"/>
                      <w:color w:val="000000" w:themeColor="text1"/>
                      <w:szCs w:val="21"/>
                      <w:highlight w:val="none"/>
                      <w14:textFill>
                        <w14:solidFill>
                          <w14:schemeClr w14:val="tx1"/>
                        </w14:solidFill>
                      </w14:textFill>
                    </w:rPr>
                    <w:t>。</w:t>
                  </w:r>
                </w:p>
              </w:tc>
              <w:tc>
                <w:tcPr>
                  <w:tcW w:w="791" w:type="pct"/>
                  <w:vAlign w:val="center"/>
                </w:tcPr>
                <w:p w14:paraId="67B94C00">
                  <w:pPr>
                    <w:jc w:val="center"/>
                    <w:rPr>
                      <w:rFonts w:hint="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依托出租方</w:t>
                  </w:r>
                </w:p>
              </w:tc>
            </w:tr>
            <w:tr w14:paraId="43C8FE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7" w:hRule="atLeast"/>
                <w:jc w:val="center"/>
              </w:trPr>
              <w:tc>
                <w:tcPr>
                  <w:tcW w:w="698" w:type="pct"/>
                  <w:vMerge w:val="continue"/>
                  <w:vAlign w:val="center"/>
                </w:tcPr>
                <w:p w14:paraId="37FAE8F8">
                  <w:pPr>
                    <w:pStyle w:val="95"/>
                    <w:rPr>
                      <w:rFonts w:eastAsia="宋体"/>
                      <w:color w:val="000000" w:themeColor="text1"/>
                      <w:highlight w:val="none"/>
                      <w14:textFill>
                        <w14:solidFill>
                          <w14:schemeClr w14:val="tx1"/>
                        </w14:solidFill>
                      </w14:textFill>
                    </w:rPr>
                  </w:pPr>
                </w:p>
              </w:tc>
              <w:tc>
                <w:tcPr>
                  <w:tcW w:w="745" w:type="pct"/>
                  <w:vAlign w:val="center"/>
                </w:tcPr>
                <w:p w14:paraId="08038176">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给水系统</w:t>
                  </w:r>
                </w:p>
              </w:tc>
              <w:tc>
                <w:tcPr>
                  <w:tcW w:w="2764" w:type="pct"/>
                  <w:vAlign w:val="center"/>
                </w:tcPr>
                <w:p w14:paraId="633D71D5">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依托厂区</w:t>
                  </w:r>
                  <w:r>
                    <w:rPr>
                      <w:color w:val="000000" w:themeColor="text1"/>
                      <w:szCs w:val="21"/>
                      <w:highlight w:val="none"/>
                      <w14:textFill>
                        <w14:solidFill>
                          <w14:schemeClr w14:val="tx1"/>
                        </w14:solidFill>
                      </w14:textFill>
                    </w:rPr>
                    <w:t>现有</w:t>
                  </w:r>
                  <w:r>
                    <w:rPr>
                      <w:rFonts w:hint="eastAsia"/>
                      <w:color w:val="000000" w:themeColor="text1"/>
                      <w:szCs w:val="21"/>
                      <w:highlight w:val="none"/>
                      <w14:textFill>
                        <w14:solidFill>
                          <w14:schemeClr w14:val="tx1"/>
                        </w14:solidFill>
                      </w14:textFill>
                    </w:rPr>
                    <w:t>给水</w:t>
                  </w:r>
                  <w:r>
                    <w:rPr>
                      <w:color w:val="000000" w:themeColor="text1"/>
                      <w:szCs w:val="21"/>
                      <w:highlight w:val="none"/>
                      <w14:textFill>
                        <w14:solidFill>
                          <w14:schemeClr w14:val="tx1"/>
                        </w14:solidFill>
                      </w14:textFill>
                    </w:rPr>
                    <w:t>系统，市政供水管网统一提供</w:t>
                  </w:r>
                  <w:r>
                    <w:rPr>
                      <w:rFonts w:hint="eastAsia"/>
                      <w:color w:val="000000" w:themeColor="text1"/>
                      <w:szCs w:val="21"/>
                      <w:highlight w:val="none"/>
                      <w14:textFill>
                        <w14:solidFill>
                          <w14:schemeClr w14:val="tx1"/>
                        </w14:solidFill>
                      </w14:textFill>
                    </w:rPr>
                    <w:t>。</w:t>
                  </w:r>
                </w:p>
              </w:tc>
              <w:tc>
                <w:tcPr>
                  <w:tcW w:w="791" w:type="pct"/>
                  <w:vAlign w:val="center"/>
                </w:tcPr>
                <w:p w14:paraId="0D9E00DB">
                  <w:pPr>
                    <w:jc w:val="center"/>
                    <w:rPr>
                      <w:rFonts w:hint="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依托出租方</w:t>
                  </w:r>
                </w:p>
              </w:tc>
            </w:tr>
            <w:tr w14:paraId="2A49B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698" w:type="pct"/>
                  <w:vMerge w:val="continue"/>
                  <w:vAlign w:val="center"/>
                </w:tcPr>
                <w:p w14:paraId="24318E33">
                  <w:pPr>
                    <w:pStyle w:val="95"/>
                    <w:rPr>
                      <w:rFonts w:eastAsia="宋体"/>
                      <w:color w:val="000000" w:themeColor="text1"/>
                      <w:highlight w:val="none"/>
                      <w14:textFill>
                        <w14:solidFill>
                          <w14:schemeClr w14:val="tx1"/>
                        </w14:solidFill>
                      </w14:textFill>
                    </w:rPr>
                  </w:pPr>
                </w:p>
              </w:tc>
              <w:tc>
                <w:tcPr>
                  <w:tcW w:w="745" w:type="pct"/>
                  <w:vAlign w:val="center"/>
                </w:tcPr>
                <w:p w14:paraId="3355DB4E">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排水系统</w:t>
                  </w:r>
                </w:p>
              </w:tc>
              <w:tc>
                <w:tcPr>
                  <w:tcW w:w="2764" w:type="pct"/>
                  <w:vAlign w:val="center"/>
                </w:tcPr>
                <w:p w14:paraId="4ED5308D">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依托厂区</w:t>
                  </w:r>
                  <w:r>
                    <w:rPr>
                      <w:color w:val="000000" w:themeColor="text1"/>
                      <w:szCs w:val="21"/>
                      <w:highlight w:val="none"/>
                      <w14:textFill>
                        <w14:solidFill>
                          <w14:schemeClr w14:val="tx1"/>
                        </w14:solidFill>
                      </w14:textFill>
                    </w:rPr>
                    <w:t>现有排水系统，</w:t>
                  </w:r>
                  <w:r>
                    <w:rPr>
                      <w:rFonts w:hint="eastAsia"/>
                      <w:color w:val="000000" w:themeColor="text1"/>
                      <w:szCs w:val="21"/>
                      <w:highlight w:val="none"/>
                      <w14:textFill>
                        <w14:solidFill>
                          <w14:schemeClr w14:val="tx1"/>
                        </w14:solidFill>
                      </w14:textFill>
                    </w:rPr>
                    <w:t>采用“雨污分流、清污分流”；</w:t>
                  </w:r>
                  <w:r>
                    <w:rPr>
                      <w:color w:val="000000" w:themeColor="text1"/>
                      <w:highlight w:val="none"/>
                      <w14:textFill>
                        <w14:solidFill>
                          <w14:schemeClr w14:val="tx1"/>
                        </w14:solidFill>
                      </w14:textFill>
                    </w:rPr>
                    <w:t>生活污水经出租方已建的化粪池处理达标后接入市政管网</w:t>
                  </w:r>
                  <w:r>
                    <w:rPr>
                      <w:rFonts w:hint="eastAsia"/>
                      <w:color w:val="000000" w:themeColor="text1"/>
                      <w:highlight w:val="none"/>
                      <w14:textFill>
                        <w14:solidFill>
                          <w14:schemeClr w14:val="tx1"/>
                        </w14:solidFill>
                      </w14:textFill>
                    </w:rPr>
                    <w:t>。最终排入福清市融元</w:t>
                  </w:r>
                  <w:r>
                    <w:rPr>
                      <w:color w:val="000000" w:themeColor="text1"/>
                      <w:highlight w:val="none"/>
                      <w14:textFill>
                        <w14:solidFill>
                          <w14:schemeClr w14:val="tx1"/>
                        </w14:solidFill>
                      </w14:textFill>
                    </w:rPr>
                    <w:t>污水处理厂</w:t>
                  </w:r>
                  <w:r>
                    <w:rPr>
                      <w:rFonts w:hint="eastAsia"/>
                      <w:color w:val="000000" w:themeColor="text1"/>
                      <w:highlight w:val="none"/>
                      <w14:textFill>
                        <w14:solidFill>
                          <w14:schemeClr w14:val="tx1"/>
                        </w14:solidFill>
                      </w14:textFill>
                    </w:rPr>
                    <w:t>处理</w:t>
                  </w:r>
                  <w:r>
                    <w:rPr>
                      <w:rFonts w:hint="eastAsia"/>
                      <w:color w:val="000000" w:themeColor="text1"/>
                      <w:szCs w:val="21"/>
                      <w:highlight w:val="none"/>
                      <w14:textFill>
                        <w14:solidFill>
                          <w14:schemeClr w14:val="tx1"/>
                        </w14:solidFill>
                      </w14:textFill>
                    </w:rPr>
                    <w:t>。</w:t>
                  </w:r>
                </w:p>
              </w:tc>
              <w:tc>
                <w:tcPr>
                  <w:tcW w:w="791" w:type="pct"/>
                  <w:vAlign w:val="center"/>
                </w:tcPr>
                <w:p w14:paraId="668FD9BE">
                  <w:pPr>
                    <w:jc w:val="center"/>
                    <w:rPr>
                      <w:rFonts w:hint="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依托出租方</w:t>
                  </w:r>
                </w:p>
              </w:tc>
            </w:tr>
            <w:tr w14:paraId="57013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698" w:type="pct"/>
                  <w:vMerge w:val="restart"/>
                  <w:vAlign w:val="center"/>
                </w:tcPr>
                <w:p w14:paraId="641793D3">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环保工程</w:t>
                  </w:r>
                </w:p>
              </w:tc>
              <w:tc>
                <w:tcPr>
                  <w:tcW w:w="745" w:type="pct"/>
                  <w:vAlign w:val="center"/>
                </w:tcPr>
                <w:p w14:paraId="4F668226">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废水处理</w:t>
                  </w:r>
                </w:p>
              </w:tc>
              <w:tc>
                <w:tcPr>
                  <w:tcW w:w="2764" w:type="pct"/>
                  <w:vAlign w:val="center"/>
                </w:tcPr>
                <w:p w14:paraId="0E984BB3">
                  <w:pPr>
                    <w:pStyle w:val="95"/>
                    <w:jc w:val="both"/>
                    <w:rPr>
                      <w:rFonts w:eastAsia="宋体"/>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项目喷漆水帘柜废水、打磨房喷淋废水、喷淋塔废水经项目配套废水处理设施（混凝压滤）处理后循环使用，不外排；</w:t>
                  </w:r>
                  <w:r>
                    <w:rPr>
                      <w:color w:val="000000" w:themeColor="text1"/>
                      <w:highlight w:val="none"/>
                      <w14:textFill>
                        <w14:solidFill>
                          <w14:schemeClr w14:val="tx1"/>
                        </w14:solidFill>
                      </w14:textFill>
                    </w:rPr>
                    <w:t>生活污水经</w:t>
                  </w:r>
                  <w:r>
                    <w:rPr>
                      <w:rFonts w:hint="eastAsia"/>
                      <w:color w:val="000000" w:themeColor="text1"/>
                      <w:highlight w:val="none"/>
                      <w14:textFill>
                        <w14:solidFill>
                          <w14:schemeClr w14:val="tx1"/>
                        </w14:solidFill>
                      </w14:textFill>
                    </w:rPr>
                    <w:t>厂区</w:t>
                  </w:r>
                  <w:r>
                    <w:rPr>
                      <w:color w:val="000000" w:themeColor="text1"/>
                      <w:highlight w:val="none"/>
                      <w14:textFill>
                        <w14:solidFill>
                          <w14:schemeClr w14:val="tx1"/>
                        </w14:solidFill>
                      </w14:textFill>
                    </w:rPr>
                    <w:t>已建的化粪池</w:t>
                  </w:r>
                  <w:r>
                    <w:rPr>
                      <w:rFonts w:hint="eastAsia"/>
                      <w:color w:val="000000" w:themeColor="text1"/>
                      <w:highlight w:val="none"/>
                      <w14:textFill>
                        <w14:solidFill>
                          <w14:schemeClr w14:val="tx1"/>
                        </w14:solidFill>
                      </w14:textFill>
                    </w:rPr>
                    <w:t>预</w:t>
                  </w:r>
                  <w:r>
                    <w:rPr>
                      <w:color w:val="000000" w:themeColor="text1"/>
                      <w:highlight w:val="none"/>
                      <w14:textFill>
                        <w14:solidFill>
                          <w14:schemeClr w14:val="tx1"/>
                        </w14:solidFill>
                      </w14:textFill>
                    </w:rPr>
                    <w:t>处理达标后接入市政管网</w:t>
                  </w:r>
                  <w:r>
                    <w:rPr>
                      <w:rFonts w:hint="eastAsia"/>
                      <w:color w:val="000000" w:themeColor="text1"/>
                      <w:highlight w:val="none"/>
                      <w14:textFill>
                        <w14:solidFill>
                          <w14:schemeClr w14:val="tx1"/>
                        </w14:solidFill>
                      </w14:textFill>
                    </w:rPr>
                    <w:t>，最终排入福清市融元</w:t>
                  </w:r>
                  <w:r>
                    <w:rPr>
                      <w:color w:val="000000" w:themeColor="text1"/>
                      <w:highlight w:val="none"/>
                      <w14:textFill>
                        <w14:solidFill>
                          <w14:schemeClr w14:val="tx1"/>
                        </w14:solidFill>
                      </w14:textFill>
                    </w:rPr>
                    <w:t>污水处理厂</w:t>
                  </w:r>
                  <w:r>
                    <w:rPr>
                      <w:rFonts w:hint="eastAsia"/>
                      <w:color w:val="000000" w:themeColor="text1"/>
                      <w:highlight w:val="none"/>
                      <w14:textFill>
                        <w14:solidFill>
                          <w14:schemeClr w14:val="tx1"/>
                        </w14:solidFill>
                      </w14:textFill>
                    </w:rPr>
                    <w:t>处理</w:t>
                  </w:r>
                  <w:r>
                    <w:rPr>
                      <w:rFonts w:hint="eastAsia" w:eastAsia="宋体"/>
                      <w:color w:val="000000" w:themeColor="text1"/>
                      <w:highlight w:val="none"/>
                      <w14:textFill>
                        <w14:solidFill>
                          <w14:schemeClr w14:val="tx1"/>
                        </w14:solidFill>
                      </w14:textFill>
                    </w:rPr>
                    <w:t>。</w:t>
                  </w:r>
                </w:p>
              </w:tc>
              <w:tc>
                <w:tcPr>
                  <w:tcW w:w="791" w:type="pct"/>
                  <w:vAlign w:val="center"/>
                </w:tcPr>
                <w:p w14:paraId="513FB4CC">
                  <w:pPr>
                    <w:pStyle w:val="95"/>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本次新增</w:t>
                  </w:r>
                </w:p>
              </w:tc>
            </w:tr>
            <w:tr w14:paraId="6ADD21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5" w:hRule="atLeast"/>
                <w:jc w:val="center"/>
              </w:trPr>
              <w:tc>
                <w:tcPr>
                  <w:tcW w:w="698" w:type="pct"/>
                  <w:vMerge w:val="continue"/>
                  <w:vAlign w:val="center"/>
                </w:tcPr>
                <w:p w14:paraId="413EF1C4">
                  <w:pPr>
                    <w:pStyle w:val="95"/>
                    <w:rPr>
                      <w:rFonts w:eastAsia="宋体"/>
                      <w:color w:val="000000" w:themeColor="text1"/>
                      <w:highlight w:val="none"/>
                      <w14:textFill>
                        <w14:solidFill>
                          <w14:schemeClr w14:val="tx1"/>
                        </w14:solidFill>
                      </w14:textFill>
                    </w:rPr>
                  </w:pPr>
                </w:p>
              </w:tc>
              <w:tc>
                <w:tcPr>
                  <w:tcW w:w="745" w:type="pct"/>
                  <w:vAlign w:val="center"/>
                </w:tcPr>
                <w:p w14:paraId="0D7851ED">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废气处理</w:t>
                  </w:r>
                </w:p>
              </w:tc>
              <w:tc>
                <w:tcPr>
                  <w:tcW w:w="2764" w:type="pct"/>
                  <w:vAlign w:val="center"/>
                </w:tcPr>
                <w:p w14:paraId="382A30E2">
                  <w:pPr>
                    <w:pStyle w:val="95"/>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1、木工区废气：</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拟在1F精锯、砂光等产生粉尘颗粒物的设备上方及3F砂光设备上方</w:t>
                  </w:r>
                  <w:r>
                    <w:rPr>
                      <w:color w:val="000000" w:themeColor="text1"/>
                      <w:highlight w:val="none"/>
                      <w14:textFill>
                        <w14:solidFill>
                          <w14:schemeClr w14:val="tx1"/>
                        </w14:solidFill>
                      </w14:textFill>
                    </w:rPr>
                    <w:t>设置</w:t>
                  </w:r>
                  <w:r>
                    <w:rPr>
                      <w:rFonts w:hint="eastAsia"/>
                      <w:color w:val="000000" w:themeColor="text1"/>
                      <w:highlight w:val="none"/>
                      <w14:textFill>
                        <w14:solidFill>
                          <w14:schemeClr w14:val="tx1"/>
                        </w14:solidFill>
                      </w14:textFill>
                    </w:rPr>
                    <w:t>集气罩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集中收集的木工加工废气通过1套中央除尘器（布袋除尘设施）处理后有组织排放，通过1根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DA001</w:t>
                  </w:r>
                  <w:r>
                    <w:rPr>
                      <w:color w:val="000000" w:themeColor="text1"/>
                      <w:highlight w:val="none"/>
                      <w14:textFill>
                        <w14:solidFill>
                          <w14:schemeClr w14:val="tx1"/>
                        </w14:solidFill>
                      </w14:textFill>
                    </w:rPr>
                    <w:t>）排放。</w:t>
                  </w:r>
                </w:p>
                <w:p w14:paraId="1635E4B4">
                  <w:pPr>
                    <w:pStyle w:val="95"/>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2、调漆喷漆及烘干工序有机废气：项目拟设置相对独立的调漆喷漆及烘干区域，调漆喷漆废气经水帘柜除漆雾后，同烘干工序有机废气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rFonts w:hint="eastAsia"/>
                      <w:color w:val="000000" w:themeColor="text1"/>
                      <w:highlight w:val="none"/>
                      <w14:textFill>
                        <w14:solidFill>
                          <w14:schemeClr w14:val="tx1"/>
                        </w14:solidFill>
                      </w14:textFill>
                    </w:rPr>
                    <w:t>一同经1套“水喷淋+二级活性炭吸附”设备处理后有组织排放，通过1根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DA002</w:t>
                  </w:r>
                  <w:r>
                    <w:rPr>
                      <w:color w:val="000000" w:themeColor="text1"/>
                      <w:highlight w:val="none"/>
                      <w14:textFill>
                        <w14:solidFill>
                          <w14:schemeClr w14:val="tx1"/>
                        </w14:solidFill>
                      </w14:textFill>
                    </w:rPr>
                    <w:t>）排放</w:t>
                  </w:r>
                  <w:r>
                    <w:rPr>
                      <w:rFonts w:hint="eastAsia"/>
                      <w:color w:val="000000" w:themeColor="text1"/>
                      <w:highlight w:val="none"/>
                      <w14:textFill>
                        <w14:solidFill>
                          <w14:schemeClr w14:val="tx1"/>
                        </w14:solidFill>
                      </w14:textFill>
                    </w:rPr>
                    <w:t>。</w:t>
                  </w:r>
                </w:p>
                <w:p w14:paraId="1C2E85A0">
                  <w:pPr>
                    <w:pStyle w:val="95"/>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3、打磨区废气：项目拟设置环保喷淋打磨房，打磨粉尘经密闭打磨房内水除尘系统除尘后在密闭空间内无组织排放。</w:t>
                  </w:r>
                </w:p>
              </w:tc>
              <w:tc>
                <w:tcPr>
                  <w:tcW w:w="791" w:type="pct"/>
                  <w:vAlign w:val="center"/>
                </w:tcPr>
                <w:p w14:paraId="60AA7E8E">
                  <w:pPr>
                    <w:pStyle w:val="95"/>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本次新增</w:t>
                  </w:r>
                </w:p>
              </w:tc>
            </w:tr>
            <w:tr w14:paraId="5ABB7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698" w:type="pct"/>
                  <w:vMerge w:val="continue"/>
                  <w:vAlign w:val="center"/>
                </w:tcPr>
                <w:p w14:paraId="5AA8431F">
                  <w:pPr>
                    <w:pStyle w:val="95"/>
                    <w:rPr>
                      <w:rFonts w:eastAsia="宋体"/>
                      <w:color w:val="000000" w:themeColor="text1"/>
                      <w:highlight w:val="none"/>
                      <w14:textFill>
                        <w14:solidFill>
                          <w14:schemeClr w14:val="tx1"/>
                        </w14:solidFill>
                      </w14:textFill>
                    </w:rPr>
                  </w:pPr>
                </w:p>
              </w:tc>
              <w:tc>
                <w:tcPr>
                  <w:tcW w:w="745" w:type="pct"/>
                  <w:vAlign w:val="center"/>
                </w:tcPr>
                <w:p w14:paraId="35275CFB">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噪声治理</w:t>
                  </w:r>
                </w:p>
              </w:tc>
              <w:tc>
                <w:tcPr>
                  <w:tcW w:w="2764" w:type="pct"/>
                  <w:vAlign w:val="center"/>
                </w:tcPr>
                <w:p w14:paraId="3ED03FF7">
                  <w:pPr>
                    <w:pStyle w:val="95"/>
                    <w:jc w:val="both"/>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选用低噪声设备，设置减振基础、采取车间隔声等降噪措施</w:t>
                  </w:r>
                  <w:r>
                    <w:rPr>
                      <w:rFonts w:hint="eastAsia" w:eastAsia="宋体"/>
                      <w:color w:val="000000" w:themeColor="text1"/>
                      <w:highlight w:val="none"/>
                      <w14:textFill>
                        <w14:solidFill>
                          <w14:schemeClr w14:val="tx1"/>
                        </w14:solidFill>
                      </w14:textFill>
                    </w:rPr>
                    <w:t>。</w:t>
                  </w:r>
                </w:p>
              </w:tc>
              <w:tc>
                <w:tcPr>
                  <w:tcW w:w="791" w:type="pct"/>
                  <w:vAlign w:val="center"/>
                </w:tcPr>
                <w:p w14:paraId="6992BA8A">
                  <w:pPr>
                    <w:pStyle w:val="95"/>
                    <w:jc w:val="center"/>
                    <w:rPr>
                      <w:rFonts w:eastAsia="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本次新增</w:t>
                  </w:r>
                </w:p>
              </w:tc>
            </w:tr>
            <w:tr w14:paraId="23EFC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22" w:hRule="atLeast"/>
                <w:jc w:val="center"/>
              </w:trPr>
              <w:tc>
                <w:tcPr>
                  <w:tcW w:w="698" w:type="pct"/>
                  <w:vMerge w:val="continue"/>
                  <w:vAlign w:val="center"/>
                </w:tcPr>
                <w:p w14:paraId="3B1E5D04">
                  <w:pPr>
                    <w:pStyle w:val="95"/>
                    <w:rPr>
                      <w:rFonts w:eastAsia="宋体"/>
                      <w:color w:val="000000" w:themeColor="text1"/>
                      <w:highlight w:val="none"/>
                      <w14:textFill>
                        <w14:solidFill>
                          <w14:schemeClr w14:val="tx1"/>
                        </w14:solidFill>
                      </w14:textFill>
                    </w:rPr>
                  </w:pPr>
                </w:p>
              </w:tc>
              <w:tc>
                <w:tcPr>
                  <w:tcW w:w="745" w:type="pct"/>
                  <w:vAlign w:val="center"/>
                </w:tcPr>
                <w:p w14:paraId="7CCDDE05">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固废处理</w:t>
                  </w:r>
                </w:p>
              </w:tc>
              <w:tc>
                <w:tcPr>
                  <w:tcW w:w="2764" w:type="pct"/>
                  <w:vAlign w:val="center"/>
                </w:tcPr>
                <w:p w14:paraId="1B72CF41">
                  <w:pPr>
                    <w:pStyle w:val="95"/>
                    <w:jc w:val="both"/>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w:t>
                  </w:r>
                  <w:r>
                    <w:rPr>
                      <w:rFonts w:eastAsia="宋体"/>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工业固废：厂内设固废暂存间、危废暂存间，一般固废经收集后外售给相关企业，危废委托有资质的单位进行处置。</w:t>
                  </w:r>
                </w:p>
                <w:p w14:paraId="7B1BA102">
                  <w:pPr>
                    <w:pStyle w:val="95"/>
                    <w:jc w:val="both"/>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2</w:t>
                  </w:r>
                  <w:r>
                    <w:rPr>
                      <w:rFonts w:eastAsia="宋体"/>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生活</w:t>
                  </w:r>
                  <w:r>
                    <w:rPr>
                      <w:rFonts w:eastAsia="宋体"/>
                      <w:color w:val="000000" w:themeColor="text1"/>
                      <w:highlight w:val="none"/>
                      <w14:textFill>
                        <w14:solidFill>
                          <w14:schemeClr w14:val="tx1"/>
                        </w14:solidFill>
                      </w14:textFill>
                    </w:rPr>
                    <w:t>垃圾：厂区</w:t>
                  </w:r>
                  <w:r>
                    <w:rPr>
                      <w:rFonts w:hint="eastAsia" w:eastAsia="宋体"/>
                      <w:color w:val="000000" w:themeColor="text1"/>
                      <w:highlight w:val="none"/>
                      <w14:textFill>
                        <w14:solidFill>
                          <w14:schemeClr w14:val="tx1"/>
                        </w14:solidFill>
                      </w14:textFill>
                    </w:rPr>
                    <w:t>内</w:t>
                  </w:r>
                  <w:r>
                    <w:rPr>
                      <w:rFonts w:eastAsia="宋体"/>
                      <w:color w:val="000000" w:themeColor="text1"/>
                      <w:highlight w:val="none"/>
                      <w14:textFill>
                        <w14:solidFill>
                          <w14:schemeClr w14:val="tx1"/>
                        </w14:solidFill>
                      </w14:textFill>
                    </w:rPr>
                    <w:t>设置垃圾收集桶，生活垃圾收集后由环卫部门每日统一清运</w:t>
                  </w:r>
                  <w:r>
                    <w:rPr>
                      <w:rFonts w:hint="eastAsia" w:eastAsia="宋体"/>
                      <w:color w:val="000000" w:themeColor="text1"/>
                      <w:highlight w:val="none"/>
                      <w14:textFill>
                        <w14:solidFill>
                          <w14:schemeClr w14:val="tx1"/>
                        </w14:solidFill>
                      </w14:textFill>
                    </w:rPr>
                    <w:t>、</w:t>
                  </w:r>
                  <w:r>
                    <w:rPr>
                      <w:rFonts w:eastAsia="宋体"/>
                      <w:color w:val="000000" w:themeColor="text1"/>
                      <w:highlight w:val="none"/>
                      <w14:textFill>
                        <w14:solidFill>
                          <w14:schemeClr w14:val="tx1"/>
                        </w14:solidFill>
                      </w14:textFill>
                    </w:rPr>
                    <w:t>处置</w:t>
                  </w:r>
                  <w:r>
                    <w:rPr>
                      <w:rFonts w:hint="eastAsia" w:eastAsia="宋体"/>
                      <w:color w:val="000000" w:themeColor="text1"/>
                      <w:highlight w:val="none"/>
                      <w14:textFill>
                        <w14:solidFill>
                          <w14:schemeClr w14:val="tx1"/>
                        </w14:solidFill>
                      </w14:textFill>
                    </w:rPr>
                    <w:t>。</w:t>
                  </w:r>
                </w:p>
              </w:tc>
              <w:tc>
                <w:tcPr>
                  <w:tcW w:w="791" w:type="pct"/>
                  <w:vAlign w:val="center"/>
                </w:tcPr>
                <w:p w14:paraId="1B86FC88">
                  <w:pPr>
                    <w:pStyle w:val="95"/>
                    <w:jc w:val="center"/>
                    <w:rPr>
                      <w:rFonts w:hint="eastAsia" w:eastAsia="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本次新增</w:t>
                  </w:r>
                </w:p>
              </w:tc>
            </w:tr>
          </w:tbl>
          <w:p w14:paraId="52A28E6E">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4项目</w:t>
            </w:r>
            <w:r>
              <w:rPr>
                <w:rFonts w:hint="eastAsia"/>
                <w:b/>
                <w:color w:val="000000" w:themeColor="text1"/>
                <w:sz w:val="30"/>
                <w:szCs w:val="30"/>
                <w:highlight w:val="none"/>
                <w:lang w:eastAsia="zh-CN"/>
                <w14:textFill>
                  <w14:solidFill>
                    <w14:schemeClr w14:val="tx1"/>
                  </w14:solidFill>
                </w14:textFill>
              </w:rPr>
              <w:t>产品方案及</w:t>
            </w:r>
            <w:r>
              <w:rPr>
                <w:b/>
                <w:color w:val="000000" w:themeColor="text1"/>
                <w:sz w:val="30"/>
                <w:szCs w:val="30"/>
                <w:highlight w:val="none"/>
                <w14:textFill>
                  <w14:solidFill>
                    <w14:schemeClr w14:val="tx1"/>
                  </w14:solidFill>
                </w14:textFill>
              </w:rPr>
              <w:t>主要原辅材料</w:t>
            </w:r>
          </w:p>
          <w:p w14:paraId="6FE0A16F">
            <w:pPr>
              <w:pStyle w:val="86"/>
              <w:numPr>
                <w:ilvl w:val="0"/>
                <w:numId w:val="2"/>
              </w:numPr>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项目扩建前后产品方案</w:t>
            </w:r>
          </w:p>
          <w:p w14:paraId="23E80116">
            <w:pPr>
              <w:pStyle w:val="332"/>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红树林（福州）智能家居有限公司</w:t>
            </w:r>
            <w:r>
              <w:rPr>
                <w:rFonts w:hint="default" w:ascii="Times New Roman" w:hAnsi="Times New Roman" w:cs="Times New Roman"/>
                <w:color w:val="000000" w:themeColor="text1"/>
                <w:highlight w:val="none"/>
                <w14:textFill>
                  <w14:solidFill>
                    <w14:schemeClr w14:val="tx1"/>
                  </w14:solidFill>
                </w14:textFill>
              </w:rPr>
              <w:t>主要从事</w:t>
            </w:r>
            <w:r>
              <w:rPr>
                <w:rFonts w:hint="default" w:ascii="Times New Roman" w:hAnsi="Times New Roman" w:cs="Times New Roman"/>
                <w:color w:val="000000" w:themeColor="text1"/>
                <w:highlight w:val="none"/>
                <w:lang w:val="en-US"/>
                <w14:textFill>
                  <w14:solidFill>
                    <w14:schemeClr w14:val="tx1"/>
                  </w14:solidFill>
                </w14:textFill>
              </w:rPr>
              <w:t>木质家具生产</w:t>
            </w:r>
            <w:r>
              <w:rPr>
                <w:rFonts w:hint="default" w:ascii="Times New Roman" w:hAnsi="Times New Roman" w:cs="Times New Roman"/>
                <w:color w:val="000000" w:themeColor="text1"/>
                <w:highlight w:val="none"/>
                <w14:textFill>
                  <w14:solidFill>
                    <w14:schemeClr w14:val="tx1"/>
                  </w14:solidFill>
                </w14:textFill>
              </w:rPr>
              <w:t>，产品方案见表</w:t>
            </w:r>
            <w:r>
              <w:rPr>
                <w:rFonts w:hint="default" w:ascii="Times New Roman" w:hAnsi="Times New Roman" w:cs="Times New Roman"/>
                <w:color w:val="000000" w:themeColor="text1"/>
                <w:highlight w:val="none"/>
                <w:lang w:val="en-US" w:eastAsia="zh-CN"/>
                <w14:textFill>
                  <w14:solidFill>
                    <w14:schemeClr w14:val="tx1"/>
                  </w14:solidFill>
                </w14:textFill>
              </w:rPr>
              <w:t>2.4-1</w:t>
            </w:r>
            <w:r>
              <w:rPr>
                <w:rFonts w:hint="default" w:ascii="Times New Roman" w:hAnsi="Times New Roman" w:cs="Times New Roman"/>
                <w:color w:val="000000" w:themeColor="text1"/>
                <w:highlight w:val="none"/>
                <w14:textFill>
                  <w14:solidFill>
                    <w14:schemeClr w14:val="tx1"/>
                  </w14:solidFill>
                </w14:textFill>
              </w:rPr>
              <w:t>。</w:t>
            </w:r>
          </w:p>
          <w:p w14:paraId="53CBFCEA">
            <w:pPr>
              <w:pStyle w:val="8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表2</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 xml:space="preserve">  项目产品方案说明表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620"/>
              <w:gridCol w:w="1771"/>
              <w:gridCol w:w="1890"/>
              <w:gridCol w:w="2132"/>
            </w:tblGrid>
            <w:tr w14:paraId="182FF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4" w:type="pct"/>
                  <w:tcBorders>
                    <w:tl2br w:val="nil"/>
                    <w:tr2bl w:val="nil"/>
                  </w:tcBorders>
                  <w:noWrap w:val="0"/>
                  <w:vAlign w:val="center"/>
                </w:tcPr>
                <w:p w14:paraId="68217C93">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序号</w:t>
                  </w:r>
                </w:p>
              </w:tc>
              <w:tc>
                <w:tcPr>
                  <w:tcW w:w="969" w:type="pct"/>
                  <w:tcBorders>
                    <w:tl2br w:val="nil"/>
                    <w:tr2bl w:val="nil"/>
                  </w:tcBorders>
                  <w:noWrap w:val="0"/>
                  <w:vAlign w:val="center"/>
                </w:tcPr>
                <w:p w14:paraId="71D81DD2">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主要产品</w:t>
                  </w:r>
                </w:p>
                <w:p w14:paraId="7DB9DC64">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名称</w:t>
                  </w:r>
                </w:p>
              </w:tc>
              <w:tc>
                <w:tcPr>
                  <w:tcW w:w="1059" w:type="pct"/>
                  <w:tcBorders>
                    <w:tl2br w:val="nil"/>
                    <w:tr2bl w:val="nil"/>
                  </w:tcBorders>
                  <w:noWrap w:val="0"/>
                  <w:vAlign w:val="center"/>
                </w:tcPr>
                <w:p w14:paraId="1BFEB45B">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扩建前产品规模</w:t>
                  </w:r>
                </w:p>
              </w:tc>
              <w:tc>
                <w:tcPr>
                  <w:tcW w:w="1130" w:type="pct"/>
                  <w:tcBorders>
                    <w:tl2br w:val="nil"/>
                    <w:tr2bl w:val="nil"/>
                  </w:tcBorders>
                  <w:noWrap w:val="0"/>
                  <w:vAlign w:val="center"/>
                </w:tcPr>
                <w:p w14:paraId="2D4F2272">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扩建项目新增产品规模</w:t>
                  </w:r>
                </w:p>
              </w:tc>
              <w:tc>
                <w:tcPr>
                  <w:tcW w:w="1275" w:type="pct"/>
                  <w:tcBorders>
                    <w:tl2br w:val="nil"/>
                    <w:tr2bl w:val="nil"/>
                  </w:tcBorders>
                  <w:noWrap w:val="0"/>
                  <w:vAlign w:val="center"/>
                </w:tcPr>
                <w:p w14:paraId="48B8232C">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扩建后项目总的产品规模</w:t>
                  </w:r>
                </w:p>
              </w:tc>
            </w:tr>
            <w:tr w14:paraId="6BD09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4" w:type="pct"/>
                  <w:tcBorders>
                    <w:tl2br w:val="nil"/>
                    <w:tr2bl w:val="nil"/>
                  </w:tcBorders>
                  <w:noWrap w:val="0"/>
                  <w:vAlign w:val="center"/>
                </w:tcPr>
                <w:p w14:paraId="235A9FE8">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969" w:type="pct"/>
                  <w:tcBorders>
                    <w:tl2br w:val="nil"/>
                    <w:tr2bl w:val="nil"/>
                  </w:tcBorders>
                  <w:noWrap w:val="0"/>
                  <w:vAlign w:val="center"/>
                </w:tcPr>
                <w:p w14:paraId="67E55122">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木制家具</w:t>
                  </w:r>
                </w:p>
              </w:tc>
              <w:tc>
                <w:tcPr>
                  <w:tcW w:w="1059" w:type="pct"/>
                  <w:tcBorders>
                    <w:tl2br w:val="nil"/>
                    <w:tr2bl w:val="nil"/>
                  </w:tcBorders>
                  <w:noWrap w:val="0"/>
                  <w:vAlign w:val="center"/>
                </w:tcPr>
                <w:p w14:paraId="5C20FC40">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000套/年</w:t>
                  </w:r>
                </w:p>
              </w:tc>
              <w:tc>
                <w:tcPr>
                  <w:tcW w:w="1130" w:type="pct"/>
                  <w:tcBorders>
                    <w:tl2br w:val="nil"/>
                    <w:tr2bl w:val="nil"/>
                  </w:tcBorders>
                  <w:noWrap w:val="0"/>
                  <w:vAlign w:val="center"/>
                </w:tcPr>
                <w:p w14:paraId="3EB2A597">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000套/年</w:t>
                  </w:r>
                </w:p>
              </w:tc>
              <w:tc>
                <w:tcPr>
                  <w:tcW w:w="1275" w:type="pct"/>
                  <w:tcBorders>
                    <w:tl2br w:val="nil"/>
                    <w:tr2bl w:val="nil"/>
                  </w:tcBorders>
                  <w:noWrap w:val="0"/>
                  <w:vAlign w:val="center"/>
                </w:tcPr>
                <w:p w14:paraId="0F8ACA69">
                  <w:pPr>
                    <w:pStyle w:val="33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万套/年</w:t>
                  </w:r>
                </w:p>
              </w:tc>
            </w:tr>
          </w:tbl>
          <w:p w14:paraId="6D255A95">
            <w:pPr>
              <w:pStyle w:val="86"/>
              <w:ind w:firstLine="480"/>
              <w:rPr>
                <w:rFonts w:hint="default" w:ascii="Times New Roman" w:hAnsi="Times New Roman" w:cs="Times New Roman"/>
                <w:color w:val="000000" w:themeColor="text1"/>
                <w:highlight w:val="none"/>
                <w14:textFill>
                  <w14:solidFill>
                    <w14:schemeClr w14:val="tx1"/>
                  </w14:solidFill>
                </w14:textFill>
              </w:rPr>
            </w:pPr>
          </w:p>
          <w:p w14:paraId="42F8091E">
            <w:pPr>
              <w:pStyle w:val="86"/>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）主要原辅材料及能源消耗</w:t>
            </w:r>
          </w:p>
          <w:p w14:paraId="2002AE97">
            <w:pPr>
              <w:pStyle w:val="86"/>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default" w:ascii="Times New Roman" w:hAnsi="Times New Roman" w:cs="Times New Roman"/>
                <w:color w:val="000000" w:themeColor="text1"/>
                <w:highlight w:val="none"/>
                <w:lang w:eastAsia="zh-CN"/>
                <w14:textFill>
                  <w14:solidFill>
                    <w14:schemeClr w14:val="tx1"/>
                  </w14:solidFill>
                </w14:textFill>
              </w:rPr>
              <w:t>扩建后</w:t>
            </w:r>
            <w:r>
              <w:rPr>
                <w:rFonts w:hint="default" w:ascii="Times New Roman" w:hAnsi="Times New Roman" w:cs="Times New Roman"/>
                <w:color w:val="000000" w:themeColor="text1"/>
                <w:highlight w:val="none"/>
                <w14:textFill>
                  <w14:solidFill>
                    <w14:schemeClr w14:val="tx1"/>
                  </w14:solidFill>
                </w14:textFill>
              </w:rPr>
              <w:t>设计规模为年产木质家具1</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万套，运营过程中主要原辅材料及能源消耗情况如下：</w:t>
            </w:r>
          </w:p>
          <w:p w14:paraId="17F6A9C1">
            <w:pPr>
              <w:pStyle w:val="282"/>
              <w:spacing w:line="36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w:t>
            </w:r>
            <w:r>
              <w:rPr>
                <w:rFonts w:hint="default" w:ascii="Times New Roman" w:hAnsi="Times New Roman" w:cs="Times New Roman"/>
                <w:color w:val="000000" w:themeColor="text1"/>
                <w:highlight w:val="none"/>
                <w:lang w:eastAsia="zh-CN"/>
                <w14:textFill>
                  <w14:solidFill>
                    <w14:schemeClr w14:val="tx1"/>
                  </w14:solidFill>
                </w14:textFill>
              </w:rPr>
              <w:t>项目扩建前后未新增</w:t>
            </w:r>
            <w:r>
              <w:rPr>
                <w:rFonts w:hint="default" w:ascii="Times New Roman" w:hAnsi="Times New Roman" w:cs="Times New Roman"/>
                <w:color w:val="000000" w:themeColor="text1"/>
                <w:highlight w:val="none"/>
                <w14:textFill>
                  <w14:solidFill>
                    <w14:schemeClr w14:val="tx1"/>
                  </w14:solidFill>
                </w14:textFill>
              </w:rPr>
              <w:t>职工</w:t>
            </w:r>
            <w:r>
              <w:rPr>
                <w:rFonts w:hint="default" w:ascii="Times New Roman" w:hAnsi="Times New Roman" w:cs="Times New Roman"/>
                <w:color w:val="000000" w:themeColor="text1"/>
                <w:highlight w:val="none"/>
                <w:lang w:eastAsia="zh-CN"/>
                <w14:textFill>
                  <w14:solidFill>
                    <w14:schemeClr w14:val="tx1"/>
                  </w14:solidFill>
                </w14:textFill>
              </w:rPr>
              <w:t>，职工总数</w:t>
            </w:r>
            <w:r>
              <w:rPr>
                <w:rFonts w:hint="default" w:ascii="Times New Roman" w:hAnsi="Times New Roman" w:cs="Times New Roman"/>
                <w:color w:val="000000" w:themeColor="text1"/>
                <w:highlight w:val="none"/>
                <w14:textFill>
                  <w14:solidFill>
                    <w14:schemeClr w14:val="tx1"/>
                  </w14:solidFill>
                </w14:textFill>
              </w:rPr>
              <w:t>共6人，均不在厂区内住宿，根据《室外排水设计规范》（GBJ14-87），不住厂职工生活用水量取50L/d·人，则用水量为0.3t/d，年用水量为78t（按年运营260天计）。项目喷漆水帘柜废水、打磨房喷淋废水、喷淋塔废水经项目配套废水处理设施（混凝压滤）处理后循环使用，不外排；废水处理设施循环水池有效容积为2m³，补充用水量按储水量的10%计，则生产循环冷却水补充新鲜水量为52t/a（0.2t/d）。</w:t>
            </w:r>
            <w:r>
              <w:rPr>
                <w:rFonts w:hint="default" w:ascii="Times New Roman" w:hAnsi="Times New Roman" w:cs="Times New Roman"/>
                <w:color w:val="000000" w:themeColor="text1"/>
                <w:highlight w:val="none"/>
                <w:lang w:eastAsia="zh-CN"/>
                <w14:textFill>
                  <w14:solidFill>
                    <w14:schemeClr w14:val="tx1"/>
                  </w14:solidFill>
                </w14:textFill>
              </w:rPr>
              <w:t>扩建前后</w:t>
            </w:r>
            <w:r>
              <w:rPr>
                <w:rFonts w:hint="default" w:ascii="Times New Roman" w:hAnsi="Times New Roman" w:cs="Times New Roman"/>
                <w:color w:val="000000" w:themeColor="text1"/>
                <w:highlight w:val="none"/>
                <w14:textFill>
                  <w14:solidFill>
                    <w14:schemeClr w14:val="tx1"/>
                  </w14:solidFill>
                </w14:textFill>
              </w:rPr>
              <w:t>项目水平衡图件图2.4-</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p>
          <w:p w14:paraId="1E2099D3">
            <w:pPr>
              <w:pStyle w:val="86"/>
              <w:ind w:left="120" w:hanging="120" w:hangingChars="5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5" o:spt="75" type="#_x0000_t75" style="height:154.3pt;width:337.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14:paraId="29A91B3C">
            <w:pPr>
              <w:pStyle w:val="86"/>
              <w:ind w:left="120" w:hanging="120" w:hangingChars="50"/>
              <w:jc w:val="cente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图2.4-1  </w:t>
            </w:r>
            <w:r>
              <w:rPr>
                <w:rFonts w:hint="eastAsia"/>
                <w:b/>
                <w:bCs/>
                <w:color w:val="000000" w:themeColor="text1"/>
                <w:highlight w:val="none"/>
                <w:lang w:eastAsia="zh-CN"/>
                <w14:textFill>
                  <w14:solidFill>
                    <w14:schemeClr w14:val="tx1"/>
                  </w14:solidFill>
                </w14:textFill>
              </w:rPr>
              <w:t>扩建前后</w:t>
            </w:r>
            <w:r>
              <w:rPr>
                <w:rFonts w:hint="eastAsia"/>
                <w:b/>
                <w:bCs/>
                <w:color w:val="000000" w:themeColor="text1"/>
                <w:highlight w:val="none"/>
                <w14:textFill>
                  <w14:solidFill>
                    <w14:schemeClr w14:val="tx1"/>
                  </w14:solidFill>
                </w14:textFill>
              </w:rPr>
              <w:t>项目水平衡图（单位：t/a）</w:t>
            </w:r>
          </w:p>
          <w:p w14:paraId="3E7194C5">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项目主要原辅材料及能源消耗详见表</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3090C013">
            <w:pPr>
              <w:pStyle w:val="97"/>
              <w:ind w:firstLine="2" w:firstLineChars="1"/>
              <w:jc w:val="center"/>
              <w:rPr>
                <w:rFonts w:hint="eastAsia"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4</w:t>
            </w:r>
            <w:r>
              <w:rPr>
                <w:rFonts w:ascii="Times New Roman" w:hAnsi="Times New Roman"/>
                <w:b/>
                <w:color w:val="000000" w:themeColor="text1"/>
                <w:highlight w:val="none"/>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2 扩建</w:t>
            </w:r>
            <w:r>
              <w:rPr>
                <w:rFonts w:hint="eastAsia" w:ascii="Times New Roman" w:hAnsi="Times New Roman"/>
                <w:b/>
                <w:color w:val="000000" w:themeColor="text1"/>
                <w:highlight w:val="none"/>
                <w14:textFill>
                  <w14:solidFill>
                    <w14:schemeClr w14:val="tx1"/>
                  </w14:solidFill>
                </w14:textFill>
              </w:rPr>
              <w:t>项目主要</w:t>
            </w:r>
            <w:r>
              <w:rPr>
                <w:rFonts w:ascii="Times New Roman" w:hAnsi="Times New Roman"/>
                <w:b/>
                <w:color w:val="000000" w:themeColor="text1"/>
                <w:highlight w:val="none"/>
                <w14:textFill>
                  <w14:solidFill>
                    <w14:schemeClr w14:val="tx1"/>
                  </w14:solidFill>
                </w14:textFill>
              </w:rPr>
              <w:t>原材料</w:t>
            </w:r>
            <w:r>
              <w:rPr>
                <w:rFonts w:hint="eastAsia" w:ascii="Times New Roman" w:hAnsi="Times New Roman"/>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能源消耗情况</w:t>
            </w:r>
            <w:r>
              <w:rPr>
                <w:rFonts w:hint="eastAsia" w:ascii="Times New Roman" w:hAnsi="Times New Roman"/>
                <w:b/>
                <w:color w:val="000000" w:themeColor="text1"/>
                <w:highlight w:val="none"/>
                <w14:textFill>
                  <w14:solidFill>
                    <w14:schemeClr w14:val="tx1"/>
                  </w14:solidFill>
                </w14:textFill>
              </w:rPr>
              <w:t>一览表</w:t>
            </w:r>
          </w:p>
          <w:tbl>
            <w:tblPr>
              <w:tblStyle w:val="37"/>
              <w:tblW w:w="4998" w:type="pct"/>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85"/>
              <w:gridCol w:w="1516"/>
              <w:gridCol w:w="1496"/>
              <w:gridCol w:w="1496"/>
              <w:gridCol w:w="735"/>
              <w:gridCol w:w="735"/>
              <w:gridCol w:w="1193"/>
            </w:tblGrid>
            <w:tr w14:paraId="59024D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0688918A">
                  <w:pPr>
                    <w:pStyle w:val="331"/>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材料名称</w:t>
                  </w:r>
                </w:p>
              </w:tc>
              <w:tc>
                <w:tcPr>
                  <w:tcW w:w="907" w:type="pct"/>
                  <w:tcBorders>
                    <w:tl2br w:val="nil"/>
                    <w:tr2bl w:val="nil"/>
                  </w:tcBorders>
                  <w:noWrap w:val="0"/>
                  <w:tcMar>
                    <w:left w:w="0" w:type="dxa"/>
                    <w:right w:w="0" w:type="dxa"/>
                  </w:tcMar>
                  <w:vAlign w:val="center"/>
                </w:tcPr>
                <w:p w14:paraId="50A073A2">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扩建前用量</w:t>
                  </w:r>
                </w:p>
              </w:tc>
              <w:tc>
                <w:tcPr>
                  <w:tcW w:w="895" w:type="pct"/>
                  <w:tcBorders>
                    <w:tl2br w:val="nil"/>
                    <w:tr2bl w:val="nil"/>
                  </w:tcBorders>
                  <w:noWrap w:val="0"/>
                  <w:tcMar>
                    <w:left w:w="0" w:type="dxa"/>
                    <w:right w:w="0" w:type="dxa"/>
                  </w:tcMar>
                  <w:vAlign w:val="center"/>
                </w:tcPr>
                <w:p w14:paraId="075E3D77">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扩建项目新增量</w:t>
                  </w:r>
                </w:p>
              </w:tc>
              <w:tc>
                <w:tcPr>
                  <w:tcW w:w="895" w:type="pct"/>
                  <w:tcBorders>
                    <w:tl2br w:val="nil"/>
                    <w:tr2bl w:val="nil"/>
                  </w:tcBorders>
                  <w:noWrap w:val="0"/>
                  <w:tcMar>
                    <w:left w:w="0" w:type="dxa"/>
                    <w:right w:w="0" w:type="dxa"/>
                  </w:tcMar>
                  <w:vAlign w:val="center"/>
                </w:tcPr>
                <w:p w14:paraId="764D9FD5">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扩建后总用量</w:t>
                  </w:r>
                </w:p>
              </w:tc>
              <w:tc>
                <w:tcPr>
                  <w:tcW w:w="440" w:type="pct"/>
                  <w:tcBorders>
                    <w:tl2br w:val="nil"/>
                    <w:tr2bl w:val="nil"/>
                  </w:tcBorders>
                  <w:noWrap w:val="0"/>
                  <w:tcMar>
                    <w:left w:w="0" w:type="dxa"/>
                    <w:right w:w="0" w:type="dxa"/>
                  </w:tcMar>
                  <w:vAlign w:val="center"/>
                </w:tcPr>
                <w:p w14:paraId="2659B2DC">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物料形态</w:t>
                  </w:r>
                </w:p>
              </w:tc>
              <w:tc>
                <w:tcPr>
                  <w:tcW w:w="440" w:type="pct"/>
                  <w:tcBorders>
                    <w:tl2br w:val="nil"/>
                    <w:tr2bl w:val="nil"/>
                  </w:tcBorders>
                  <w:noWrap w:val="0"/>
                  <w:tcMar>
                    <w:left w:w="0" w:type="dxa"/>
                    <w:right w:w="0" w:type="dxa"/>
                  </w:tcMar>
                  <w:vAlign w:val="center"/>
                </w:tcPr>
                <w:p w14:paraId="7B2D503E">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包装方式</w:t>
                  </w:r>
                </w:p>
              </w:tc>
              <w:tc>
                <w:tcPr>
                  <w:tcW w:w="710" w:type="pct"/>
                  <w:tcBorders>
                    <w:tl2br w:val="nil"/>
                    <w:tr2bl w:val="nil"/>
                  </w:tcBorders>
                  <w:noWrap w:val="0"/>
                  <w:tcMar>
                    <w:left w:w="0" w:type="dxa"/>
                    <w:right w:w="0" w:type="dxa"/>
                  </w:tcMar>
                  <w:vAlign w:val="center"/>
                </w:tcPr>
                <w:p w14:paraId="58583F88">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存放</w:t>
                  </w:r>
                </w:p>
                <w:p w14:paraId="23BB3AED">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位置</w:t>
                  </w:r>
                </w:p>
              </w:tc>
            </w:tr>
            <w:tr w14:paraId="2E422C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24C3E71F">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多层板</w:t>
                  </w:r>
                </w:p>
              </w:tc>
              <w:tc>
                <w:tcPr>
                  <w:tcW w:w="907" w:type="pct"/>
                  <w:tcBorders>
                    <w:tl2br w:val="nil"/>
                    <w:tr2bl w:val="nil"/>
                  </w:tcBorders>
                  <w:noWrap w:val="0"/>
                  <w:tcMar>
                    <w:left w:w="0" w:type="dxa"/>
                    <w:right w:w="0" w:type="dxa"/>
                  </w:tcMar>
                  <w:vAlign w:val="center"/>
                </w:tcPr>
                <w:p w14:paraId="21C91157">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321999A8">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6FF4D2BB">
                  <w:pPr>
                    <w:pStyle w:val="19"/>
                    <w:ind w:firstLine="0" w:firstLineChars="0"/>
                    <w:jc w:val="center"/>
                    <w:rPr>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5F2DB093">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14:paraId="62572772">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710" w:type="pct"/>
                  <w:tcBorders>
                    <w:tl2br w:val="nil"/>
                    <w:tr2bl w:val="nil"/>
                  </w:tcBorders>
                  <w:noWrap w:val="0"/>
                  <w:tcMar>
                    <w:left w:w="0" w:type="dxa"/>
                    <w:right w:w="0" w:type="dxa"/>
                  </w:tcMar>
                  <w:vAlign w:val="center"/>
                </w:tcPr>
                <w:p w14:paraId="68E79F72">
                  <w:pPr>
                    <w:pStyle w:val="95"/>
                    <w:textAlignment w:val="center"/>
                    <w:rPr>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备料区</w:t>
                  </w:r>
                </w:p>
              </w:tc>
            </w:tr>
            <w:tr w14:paraId="6098A7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66A5E2BB">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欧松板</w:t>
                  </w:r>
                </w:p>
              </w:tc>
              <w:tc>
                <w:tcPr>
                  <w:tcW w:w="907" w:type="pct"/>
                  <w:tcBorders>
                    <w:tl2br w:val="nil"/>
                    <w:tr2bl w:val="nil"/>
                  </w:tcBorders>
                  <w:noWrap w:val="0"/>
                  <w:tcMar>
                    <w:left w:w="0" w:type="dxa"/>
                    <w:right w:w="0" w:type="dxa"/>
                  </w:tcMar>
                  <w:vAlign w:val="center"/>
                </w:tcPr>
                <w:p w14:paraId="7111EB21">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7B426E33">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240AC637">
                  <w:pPr>
                    <w:pStyle w:val="19"/>
                    <w:ind w:firstLine="0" w:firstLineChars="0"/>
                    <w:jc w:val="center"/>
                    <w:rPr>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7F7B8827">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14:paraId="7EBF8D1D">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710" w:type="pct"/>
                  <w:tcBorders>
                    <w:tl2br w:val="nil"/>
                    <w:tr2bl w:val="nil"/>
                  </w:tcBorders>
                  <w:noWrap w:val="0"/>
                  <w:tcMar>
                    <w:left w:w="0" w:type="dxa"/>
                    <w:right w:w="0" w:type="dxa"/>
                  </w:tcMar>
                  <w:vAlign w:val="center"/>
                </w:tcPr>
                <w:p w14:paraId="52A0342F">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备料区</w:t>
                  </w:r>
                </w:p>
              </w:tc>
            </w:tr>
            <w:tr w14:paraId="38E067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76FC77D3">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原木板材</w:t>
                  </w:r>
                </w:p>
              </w:tc>
              <w:tc>
                <w:tcPr>
                  <w:tcW w:w="907" w:type="pct"/>
                  <w:tcBorders>
                    <w:tl2br w:val="nil"/>
                    <w:tr2bl w:val="nil"/>
                  </w:tcBorders>
                  <w:noWrap w:val="0"/>
                  <w:tcMar>
                    <w:left w:w="0" w:type="dxa"/>
                    <w:right w:w="0" w:type="dxa"/>
                  </w:tcMar>
                  <w:vAlign w:val="center"/>
                </w:tcPr>
                <w:p w14:paraId="232D4806">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2072C0EA">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33281AB3">
                  <w:pPr>
                    <w:pStyle w:val="19"/>
                    <w:ind w:firstLine="0" w:firstLineChars="0"/>
                    <w:jc w:val="center"/>
                    <w:rPr>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4E9E4669">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14:paraId="5F2DD5AE">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710" w:type="pct"/>
                  <w:tcBorders>
                    <w:tl2br w:val="nil"/>
                    <w:tr2bl w:val="nil"/>
                  </w:tcBorders>
                  <w:noWrap w:val="0"/>
                  <w:tcMar>
                    <w:left w:w="0" w:type="dxa"/>
                    <w:right w:w="0" w:type="dxa"/>
                  </w:tcMar>
                  <w:vAlign w:val="center"/>
                </w:tcPr>
                <w:p w14:paraId="078A1595">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备料区</w:t>
                  </w:r>
                </w:p>
              </w:tc>
            </w:tr>
            <w:tr w14:paraId="282BFA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9" w:hRule="atLeast"/>
              </w:trPr>
              <w:tc>
                <w:tcPr>
                  <w:tcW w:w="709" w:type="pct"/>
                  <w:tcBorders>
                    <w:tl2br w:val="nil"/>
                    <w:tr2bl w:val="nil"/>
                  </w:tcBorders>
                  <w:noWrap w:val="0"/>
                  <w:tcMar>
                    <w:left w:w="0" w:type="dxa"/>
                    <w:right w:w="0" w:type="dxa"/>
                  </w:tcMar>
                  <w:vAlign w:val="center"/>
                </w:tcPr>
                <w:p w14:paraId="3AF74C08">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封边带</w:t>
                  </w:r>
                </w:p>
              </w:tc>
              <w:tc>
                <w:tcPr>
                  <w:tcW w:w="907" w:type="pct"/>
                  <w:tcBorders>
                    <w:tl2br w:val="nil"/>
                    <w:tr2bl w:val="nil"/>
                  </w:tcBorders>
                  <w:noWrap w:val="0"/>
                  <w:tcMar>
                    <w:left w:w="0" w:type="dxa"/>
                    <w:right w:w="0" w:type="dxa"/>
                  </w:tcMar>
                  <w:vAlign w:val="center"/>
                </w:tcPr>
                <w:p w14:paraId="28B1E7B5">
                  <w:pPr>
                    <w:pStyle w:val="19"/>
                    <w:ind w:firstLine="0" w:firstLineChars="0"/>
                    <w:jc w:val="center"/>
                    <w:rPr>
                      <w:rFonts w:hint="eastAsia"/>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36E98C91">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4A996257">
                  <w:pPr>
                    <w:pStyle w:val="19"/>
                    <w:ind w:firstLine="0" w:firstLineChars="0"/>
                    <w:jc w:val="center"/>
                    <w:rPr>
                      <w:rFonts w:hint="eastAsia"/>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5D2EB57D">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14:paraId="3FACB017">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710" w:type="pct"/>
                  <w:tcBorders>
                    <w:tl2br w:val="nil"/>
                    <w:tr2bl w:val="nil"/>
                  </w:tcBorders>
                  <w:noWrap w:val="0"/>
                  <w:tcMar>
                    <w:left w:w="0" w:type="dxa"/>
                    <w:right w:w="0" w:type="dxa"/>
                  </w:tcMar>
                  <w:vAlign w:val="center"/>
                </w:tcPr>
                <w:p w14:paraId="0A64E315">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14:paraId="284A97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709" w:type="pct"/>
                  <w:tcBorders>
                    <w:tl2br w:val="nil"/>
                    <w:tr2bl w:val="nil"/>
                  </w:tcBorders>
                  <w:noWrap w:val="0"/>
                  <w:tcMar>
                    <w:left w:w="0" w:type="dxa"/>
                    <w:right w:w="0" w:type="dxa"/>
                  </w:tcMar>
                  <w:vAlign w:val="center"/>
                </w:tcPr>
                <w:p w14:paraId="71C22DD3">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PUR封边胶</w:t>
                  </w:r>
                </w:p>
              </w:tc>
              <w:tc>
                <w:tcPr>
                  <w:tcW w:w="907" w:type="pct"/>
                  <w:tcBorders>
                    <w:tl2br w:val="nil"/>
                    <w:tr2bl w:val="nil"/>
                  </w:tcBorders>
                  <w:noWrap w:val="0"/>
                  <w:tcMar>
                    <w:left w:w="0" w:type="dxa"/>
                    <w:right w:w="0" w:type="dxa"/>
                  </w:tcMar>
                  <w:vAlign w:val="center"/>
                </w:tcPr>
                <w:p w14:paraId="473490E6">
                  <w:pPr>
                    <w:pStyle w:val="19"/>
                    <w:ind w:firstLine="0" w:firstLineChars="0"/>
                    <w:jc w:val="center"/>
                    <w:rPr>
                      <w:rFonts w:hint="eastAsia"/>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35B02915">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6CE542D7">
                  <w:pPr>
                    <w:pStyle w:val="19"/>
                    <w:ind w:firstLine="0" w:firstLineChars="0"/>
                    <w:jc w:val="center"/>
                    <w:rPr>
                      <w:rFonts w:hint="eastAsia"/>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79237F46">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14:paraId="31616F28">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710" w:type="pct"/>
                  <w:tcBorders>
                    <w:tl2br w:val="nil"/>
                    <w:tr2bl w:val="nil"/>
                  </w:tcBorders>
                  <w:noWrap w:val="0"/>
                  <w:tcMar>
                    <w:left w:w="0" w:type="dxa"/>
                    <w:right w:w="0" w:type="dxa"/>
                  </w:tcMar>
                  <w:vAlign w:val="center"/>
                </w:tcPr>
                <w:p w14:paraId="3A4D8CBA">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14:paraId="18AF5F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3534E459">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水性色漆</w:t>
                  </w:r>
                </w:p>
              </w:tc>
              <w:tc>
                <w:tcPr>
                  <w:tcW w:w="907" w:type="pct"/>
                  <w:tcBorders>
                    <w:tl2br w:val="nil"/>
                    <w:tr2bl w:val="nil"/>
                  </w:tcBorders>
                  <w:noWrap w:val="0"/>
                  <w:tcMar>
                    <w:left w:w="0" w:type="dxa"/>
                    <w:right w:w="0" w:type="dxa"/>
                  </w:tcMar>
                  <w:vAlign w:val="center"/>
                </w:tcPr>
                <w:p w14:paraId="13A432EE">
                  <w:pPr>
                    <w:pStyle w:val="19"/>
                    <w:ind w:firstLine="0" w:firstLineChars="0"/>
                    <w:jc w:val="center"/>
                    <w:rPr>
                      <w:rFonts w:hint="eastAsia"/>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4EED9C03">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0E2172DC">
                  <w:pPr>
                    <w:pStyle w:val="19"/>
                    <w:ind w:firstLine="0" w:firstLineChars="0"/>
                    <w:jc w:val="center"/>
                    <w:rPr>
                      <w:rFonts w:hint="eastAsia"/>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6222C8E9">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液态</w:t>
                  </w:r>
                </w:p>
              </w:tc>
              <w:tc>
                <w:tcPr>
                  <w:tcW w:w="440" w:type="pct"/>
                  <w:tcBorders>
                    <w:tl2br w:val="nil"/>
                    <w:tr2bl w:val="nil"/>
                  </w:tcBorders>
                  <w:noWrap w:val="0"/>
                  <w:tcMar>
                    <w:left w:w="0" w:type="dxa"/>
                    <w:right w:w="0" w:type="dxa"/>
                  </w:tcMar>
                  <w:vAlign w:val="center"/>
                </w:tcPr>
                <w:p w14:paraId="61D89D08">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桶装</w:t>
                  </w:r>
                </w:p>
              </w:tc>
              <w:tc>
                <w:tcPr>
                  <w:tcW w:w="710" w:type="pct"/>
                  <w:tcBorders>
                    <w:tl2br w:val="nil"/>
                    <w:tr2bl w:val="nil"/>
                  </w:tcBorders>
                  <w:noWrap w:val="0"/>
                  <w:tcMar>
                    <w:left w:w="0" w:type="dxa"/>
                    <w:right w:w="0" w:type="dxa"/>
                  </w:tcMar>
                  <w:vAlign w:val="center"/>
                </w:tcPr>
                <w:p w14:paraId="0490C5AD">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14:paraId="0522D5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742130AD">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w:t>
                  </w:r>
                </w:p>
              </w:tc>
              <w:tc>
                <w:tcPr>
                  <w:tcW w:w="907" w:type="pct"/>
                  <w:tcBorders>
                    <w:tl2br w:val="nil"/>
                    <w:tr2bl w:val="nil"/>
                  </w:tcBorders>
                  <w:noWrap w:val="0"/>
                  <w:tcMar>
                    <w:left w:w="0" w:type="dxa"/>
                    <w:right w:w="0" w:type="dxa"/>
                  </w:tcMar>
                  <w:vAlign w:val="center"/>
                </w:tcPr>
                <w:p w14:paraId="21D88C04">
                  <w:pPr>
                    <w:pStyle w:val="19"/>
                    <w:ind w:firstLine="0" w:firstLineChars="0"/>
                    <w:jc w:val="center"/>
                    <w:rPr>
                      <w:rFonts w:hint="eastAsia" w:ascii="Times New Roman" w:hAnsi="Times New Roman"/>
                      <w:color w:val="000000" w:themeColor="text1"/>
                      <w:szCs w:val="2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39D70D01">
                  <w:pPr>
                    <w:pStyle w:val="19"/>
                    <w:ind w:firstLine="0" w:firstLineChars="0"/>
                    <w:jc w:val="center"/>
                    <w:rPr>
                      <w:rFonts w:hint="eastAsia" w:ascii="Times New Roman" w:hAnsi="Times New Roman"/>
                      <w:color w:val="000000" w:themeColor="text1"/>
                      <w:szCs w:val="2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5CEDC7AC">
                  <w:pPr>
                    <w:pStyle w:val="19"/>
                    <w:ind w:firstLine="0" w:firstLineChars="0"/>
                    <w:jc w:val="center"/>
                    <w:rPr>
                      <w:rFonts w:hint="eastAsia"/>
                      <w:color w:val="000000" w:themeColor="text1"/>
                      <w:highlight w:val="none"/>
                      <w14:textFill>
                        <w14:solidFill>
                          <w14:schemeClr w14:val="tx1"/>
                        </w14:solidFill>
                      </w14:textFill>
                    </w:rPr>
                  </w:pPr>
                </w:p>
              </w:tc>
              <w:tc>
                <w:tcPr>
                  <w:tcW w:w="440" w:type="pct"/>
                  <w:tcBorders>
                    <w:tl2br w:val="nil"/>
                    <w:tr2bl w:val="nil"/>
                  </w:tcBorders>
                  <w:shd w:val="clear" w:color="auto" w:fill="auto"/>
                  <w:noWrap w:val="0"/>
                  <w:tcMar>
                    <w:left w:w="0" w:type="dxa"/>
                    <w:right w:w="0" w:type="dxa"/>
                  </w:tcMar>
                  <w:vAlign w:val="center"/>
                </w:tcPr>
                <w:p w14:paraId="4F7A50C8">
                  <w:pPr>
                    <w:pStyle w:val="331"/>
                    <w:rPr>
                      <w:rFonts w:hint="eastAsia" w:ascii="Times New Roman" w:hAnsi="Times New Roman" w:eastAsia="宋体" w:cs="Times New Roman"/>
                      <w:iCs/>
                      <w:color w:val="000000" w:themeColor="text1"/>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液态</w:t>
                  </w:r>
                </w:p>
              </w:tc>
              <w:tc>
                <w:tcPr>
                  <w:tcW w:w="440" w:type="pct"/>
                  <w:tcBorders>
                    <w:tl2br w:val="nil"/>
                    <w:tr2bl w:val="nil"/>
                  </w:tcBorders>
                  <w:shd w:val="clear" w:color="auto" w:fill="auto"/>
                  <w:noWrap w:val="0"/>
                  <w:tcMar>
                    <w:left w:w="0" w:type="dxa"/>
                    <w:right w:w="0" w:type="dxa"/>
                  </w:tcMar>
                  <w:vAlign w:val="center"/>
                </w:tcPr>
                <w:p w14:paraId="2F7B972F">
                  <w:pPr>
                    <w:pStyle w:val="331"/>
                    <w:rPr>
                      <w:rFonts w:hint="eastAsia" w:ascii="Times New Roman" w:hAnsi="Times New Roman" w:eastAsia="宋体" w:cs="Times New Roman"/>
                      <w:iCs/>
                      <w:color w:val="000000" w:themeColor="text1"/>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桶装</w:t>
                  </w:r>
                </w:p>
              </w:tc>
              <w:tc>
                <w:tcPr>
                  <w:tcW w:w="710" w:type="pct"/>
                  <w:tcBorders>
                    <w:tl2br w:val="nil"/>
                    <w:tr2bl w:val="nil"/>
                  </w:tcBorders>
                  <w:noWrap w:val="0"/>
                  <w:tcMar>
                    <w:left w:w="0" w:type="dxa"/>
                    <w:right w:w="0" w:type="dxa"/>
                  </w:tcMar>
                  <w:vAlign w:val="center"/>
                </w:tcPr>
                <w:p w14:paraId="4CDE543F">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14:paraId="376973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448C2229">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聚氨酯清漆稀释剂</w:t>
                  </w:r>
                </w:p>
              </w:tc>
              <w:tc>
                <w:tcPr>
                  <w:tcW w:w="907" w:type="pct"/>
                  <w:tcBorders>
                    <w:tl2br w:val="nil"/>
                    <w:tr2bl w:val="nil"/>
                  </w:tcBorders>
                  <w:noWrap w:val="0"/>
                  <w:tcMar>
                    <w:left w:w="0" w:type="dxa"/>
                    <w:right w:w="0" w:type="dxa"/>
                  </w:tcMar>
                  <w:vAlign w:val="center"/>
                </w:tcPr>
                <w:p w14:paraId="6126A5FB">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1687C61D">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0002B3C9">
                  <w:pPr>
                    <w:pStyle w:val="19"/>
                    <w:ind w:firstLine="0" w:firstLineChars="0"/>
                    <w:jc w:val="center"/>
                    <w:rPr>
                      <w:rFonts w:hint="eastAsia" w:ascii="Times New Roman" w:hAnsi="Times New Roman" w:eastAsia="宋体" w:cs="Times New Roman"/>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5F84DD56">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液态</w:t>
                  </w:r>
                </w:p>
              </w:tc>
              <w:tc>
                <w:tcPr>
                  <w:tcW w:w="440" w:type="pct"/>
                  <w:tcBorders>
                    <w:tl2br w:val="nil"/>
                    <w:tr2bl w:val="nil"/>
                  </w:tcBorders>
                  <w:noWrap w:val="0"/>
                  <w:tcMar>
                    <w:left w:w="0" w:type="dxa"/>
                    <w:right w:w="0" w:type="dxa"/>
                  </w:tcMar>
                  <w:vAlign w:val="center"/>
                </w:tcPr>
                <w:p w14:paraId="00C29367">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桶装</w:t>
                  </w:r>
                </w:p>
              </w:tc>
              <w:tc>
                <w:tcPr>
                  <w:tcW w:w="710" w:type="pct"/>
                  <w:tcBorders>
                    <w:tl2br w:val="nil"/>
                    <w:tr2bl w:val="nil"/>
                  </w:tcBorders>
                  <w:noWrap w:val="0"/>
                  <w:tcMar>
                    <w:left w:w="0" w:type="dxa"/>
                    <w:right w:w="0" w:type="dxa"/>
                  </w:tcMar>
                  <w:vAlign w:val="center"/>
                </w:tcPr>
                <w:p w14:paraId="4033AD42">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14:paraId="296CCC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3A0B0D3A">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聚氨酯清漆固化剂</w:t>
                  </w:r>
                </w:p>
              </w:tc>
              <w:tc>
                <w:tcPr>
                  <w:tcW w:w="907" w:type="pct"/>
                  <w:tcBorders>
                    <w:tl2br w:val="nil"/>
                    <w:tr2bl w:val="nil"/>
                  </w:tcBorders>
                  <w:noWrap w:val="0"/>
                  <w:tcMar>
                    <w:left w:w="0" w:type="dxa"/>
                    <w:right w:w="0" w:type="dxa"/>
                  </w:tcMar>
                  <w:vAlign w:val="center"/>
                </w:tcPr>
                <w:p w14:paraId="1218A672">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005677AE">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3E50ED29">
                  <w:pPr>
                    <w:pStyle w:val="19"/>
                    <w:ind w:firstLine="0" w:firstLineChars="0"/>
                    <w:jc w:val="center"/>
                    <w:rPr>
                      <w:rFonts w:hint="eastAsia" w:ascii="Times New Roman" w:hAnsi="Times New Roman" w:eastAsia="宋体" w:cs="Times New Roman"/>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38612EDB">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液态</w:t>
                  </w:r>
                </w:p>
              </w:tc>
              <w:tc>
                <w:tcPr>
                  <w:tcW w:w="440" w:type="pct"/>
                  <w:tcBorders>
                    <w:tl2br w:val="nil"/>
                    <w:tr2bl w:val="nil"/>
                  </w:tcBorders>
                  <w:noWrap w:val="0"/>
                  <w:tcMar>
                    <w:left w:w="0" w:type="dxa"/>
                    <w:right w:w="0" w:type="dxa"/>
                  </w:tcMar>
                  <w:vAlign w:val="center"/>
                </w:tcPr>
                <w:p w14:paraId="6E522149">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桶装</w:t>
                  </w:r>
                </w:p>
              </w:tc>
              <w:tc>
                <w:tcPr>
                  <w:tcW w:w="710" w:type="pct"/>
                  <w:tcBorders>
                    <w:tl2br w:val="nil"/>
                    <w:tr2bl w:val="nil"/>
                  </w:tcBorders>
                  <w:noWrap w:val="0"/>
                  <w:tcMar>
                    <w:left w:w="0" w:type="dxa"/>
                    <w:right w:w="0" w:type="dxa"/>
                  </w:tcMar>
                  <w:vAlign w:val="center"/>
                </w:tcPr>
                <w:p w14:paraId="1FD57E40">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14:paraId="352AC9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218764F7">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水</w:t>
                  </w:r>
                </w:p>
              </w:tc>
              <w:tc>
                <w:tcPr>
                  <w:tcW w:w="907" w:type="pct"/>
                  <w:tcBorders>
                    <w:tl2br w:val="nil"/>
                    <w:tr2bl w:val="nil"/>
                  </w:tcBorders>
                  <w:noWrap w:val="0"/>
                  <w:tcMar>
                    <w:left w:w="0" w:type="dxa"/>
                    <w:right w:w="0" w:type="dxa"/>
                  </w:tcMar>
                  <w:vAlign w:val="center"/>
                </w:tcPr>
                <w:p w14:paraId="0A38CE5B">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895" w:type="pct"/>
                  <w:tcBorders>
                    <w:tl2br w:val="nil"/>
                    <w:tr2bl w:val="nil"/>
                  </w:tcBorders>
                  <w:noWrap w:val="0"/>
                  <w:tcMar>
                    <w:left w:w="0" w:type="dxa"/>
                    <w:right w:w="0" w:type="dxa"/>
                  </w:tcMar>
                  <w:vAlign w:val="center"/>
                </w:tcPr>
                <w:p w14:paraId="29FFA00C">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20FB3080">
                  <w:pPr>
                    <w:pStyle w:val="95"/>
                    <w:textAlignment w:val="center"/>
                    <w:rPr>
                      <w:rFonts w:hint="eastAsia" w:ascii="Times New Roman" w:hAnsi="Times New Roman" w:eastAsia="宋体" w:cs="Times New Roman"/>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0FDB659D">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440" w:type="pct"/>
                  <w:tcBorders>
                    <w:tl2br w:val="nil"/>
                    <w:tr2bl w:val="nil"/>
                  </w:tcBorders>
                  <w:noWrap w:val="0"/>
                  <w:tcMar>
                    <w:left w:w="0" w:type="dxa"/>
                    <w:right w:w="0" w:type="dxa"/>
                  </w:tcMar>
                  <w:vAlign w:val="center"/>
                </w:tcPr>
                <w:p w14:paraId="30485B00">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710" w:type="pct"/>
                  <w:vMerge w:val="restart"/>
                  <w:tcBorders>
                    <w:tl2br w:val="nil"/>
                    <w:tr2bl w:val="nil"/>
                  </w:tcBorders>
                  <w:noWrap w:val="0"/>
                  <w:tcMar>
                    <w:left w:w="0" w:type="dxa"/>
                    <w:right w:w="0" w:type="dxa"/>
                  </w:tcMar>
                  <w:vAlign w:val="center"/>
                </w:tcPr>
                <w:p w14:paraId="661BF8DA">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198A57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14:paraId="5B033BC5">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电</w:t>
                  </w:r>
                </w:p>
              </w:tc>
              <w:tc>
                <w:tcPr>
                  <w:tcW w:w="907" w:type="pct"/>
                  <w:tcBorders>
                    <w:tl2br w:val="nil"/>
                    <w:tr2bl w:val="nil"/>
                  </w:tcBorders>
                  <w:noWrap w:val="0"/>
                  <w:tcMar>
                    <w:left w:w="0" w:type="dxa"/>
                    <w:right w:w="0" w:type="dxa"/>
                  </w:tcMar>
                  <w:vAlign w:val="center"/>
                </w:tcPr>
                <w:p w14:paraId="755DC9A5">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5E384BED">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14:paraId="78A9A04D">
                  <w:pPr>
                    <w:pStyle w:val="95"/>
                    <w:textAlignment w:val="center"/>
                    <w:rPr>
                      <w:rFonts w:hint="eastAsia" w:ascii="Times New Roman" w:hAnsi="Times New Roman" w:eastAsia="宋体" w:cs="Times New Roman"/>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14:paraId="4BD1381A">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440" w:type="pct"/>
                  <w:tcBorders>
                    <w:tl2br w:val="nil"/>
                    <w:tr2bl w:val="nil"/>
                  </w:tcBorders>
                  <w:noWrap w:val="0"/>
                  <w:tcMar>
                    <w:left w:w="0" w:type="dxa"/>
                    <w:right w:w="0" w:type="dxa"/>
                  </w:tcMar>
                  <w:vAlign w:val="center"/>
                </w:tcPr>
                <w:p w14:paraId="070147AD">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710" w:type="pct"/>
                  <w:vMerge w:val="continue"/>
                  <w:tcBorders>
                    <w:tl2br w:val="nil"/>
                    <w:tr2bl w:val="nil"/>
                  </w:tcBorders>
                  <w:noWrap w:val="0"/>
                  <w:tcMar>
                    <w:left w:w="0" w:type="dxa"/>
                    <w:right w:w="0" w:type="dxa"/>
                  </w:tcMar>
                  <w:vAlign w:val="center"/>
                </w:tcPr>
                <w:p w14:paraId="06856460">
                  <w:pPr>
                    <w:pStyle w:val="331"/>
                    <w:rPr>
                      <w:rFonts w:hint="eastAsia"/>
                      <w:color w:val="000000" w:themeColor="text1"/>
                      <w:highlight w:val="none"/>
                      <w14:textFill>
                        <w14:solidFill>
                          <w14:schemeClr w14:val="tx1"/>
                        </w14:solidFill>
                      </w14:textFill>
                    </w:rPr>
                  </w:pPr>
                </w:p>
              </w:tc>
            </w:tr>
            <w:tr w14:paraId="1A3421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7"/>
                  <w:tcBorders>
                    <w:tl2br w:val="nil"/>
                    <w:tr2bl w:val="nil"/>
                  </w:tcBorders>
                  <w:noWrap w:val="0"/>
                  <w:tcMar>
                    <w:left w:w="0" w:type="dxa"/>
                    <w:right w:w="0" w:type="dxa"/>
                  </w:tcMar>
                  <w:vAlign w:val="center"/>
                </w:tcPr>
                <w:p w14:paraId="2FA94F8C">
                  <w:pPr>
                    <w:pStyle w:val="331"/>
                    <w:jc w:val="both"/>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注：本次扩建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喷漆、封边、打磨匹配的</w:t>
                  </w:r>
                  <w:r>
                    <w:rPr>
                      <w:rFonts w:hint="eastAsia" w:eastAsia="宋体" w:cs="Times New Roman"/>
                      <w:color w:val="000000" w:themeColor="text1"/>
                      <w:highlight w:val="none"/>
                      <w:lang w:val="en-US" w:eastAsia="zh-CN"/>
                      <w14:textFill>
                        <w14:solidFill>
                          <w14:schemeClr w14:val="tx1"/>
                        </w14:solidFill>
                      </w14:textFill>
                    </w:rPr>
                    <w:t>1.5万套家具/年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产能</w:t>
                  </w:r>
                  <w:r>
                    <w:rPr>
                      <w:rFonts w:hint="eastAsia" w:eastAsia="宋体" w:cs="Times New Roman"/>
                      <w:color w:val="000000" w:themeColor="text1"/>
                      <w:highlight w:val="none"/>
                      <w:lang w:val="en-US" w:eastAsia="zh-CN"/>
                      <w14:textFill>
                        <w14:solidFill>
                          <w14:schemeClr w14:val="tx1"/>
                        </w14:solidFill>
                      </w14:textFill>
                    </w:rPr>
                    <w:t>。</w:t>
                  </w:r>
                </w:p>
              </w:tc>
            </w:tr>
          </w:tbl>
          <w:p w14:paraId="6BFA1962">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）主要</w:t>
            </w:r>
            <w:r>
              <w:rPr>
                <w:color w:val="000000" w:themeColor="text1"/>
                <w:highlight w:val="none"/>
                <w14:textFill>
                  <w14:solidFill>
                    <w14:schemeClr w14:val="tx1"/>
                  </w14:solidFill>
                </w14:textFill>
              </w:rPr>
              <w:t>原辅材料成分及理化性质</w:t>
            </w:r>
          </w:p>
          <w:p w14:paraId="285E33AD">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项目使用的原料主要组成成分详见表2.4-</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p>
          <w:p w14:paraId="67F70FBF">
            <w:pPr>
              <w:pStyle w:val="180"/>
              <w:ind w:firstLine="482"/>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表2.4-</w:t>
            </w:r>
            <w:r>
              <w:rPr>
                <w:rFonts w:hint="eastAsia"/>
                <w:b/>
                <w:color w:val="000000" w:themeColor="text1"/>
                <w:highlight w:val="none"/>
                <w:lang w:val="en-US" w:eastAsia="zh-CN"/>
                <w14:textFill>
                  <w14:solidFill>
                    <w14:schemeClr w14:val="tx1"/>
                  </w14:solidFill>
                </w14:textFill>
              </w:rPr>
              <w:t>3</w:t>
            </w:r>
            <w:r>
              <w:rPr>
                <w:rFonts w:hint="eastAsia"/>
                <w:b/>
                <w:color w:val="000000" w:themeColor="text1"/>
                <w:highlight w:val="none"/>
                <w14:textFill>
                  <w14:solidFill>
                    <w14:schemeClr w14:val="tx1"/>
                  </w14:solidFill>
                </w14:textFill>
              </w:rPr>
              <w:t xml:space="preserve">  </w:t>
            </w:r>
            <w:r>
              <w:rPr>
                <w:rFonts w:hint="eastAsia"/>
                <w:b/>
                <w:color w:val="000000" w:themeColor="text1"/>
                <w:highlight w:val="none"/>
                <w:lang w:eastAsia="zh-CN"/>
                <w14:textFill>
                  <w14:solidFill>
                    <w14:schemeClr w14:val="tx1"/>
                  </w14:solidFill>
                </w14:textFill>
              </w:rPr>
              <w:t>扩建项目</w:t>
            </w:r>
            <w:r>
              <w:rPr>
                <w:rFonts w:hint="eastAsia"/>
                <w:b/>
                <w:color w:val="000000" w:themeColor="text1"/>
                <w:highlight w:val="none"/>
                <w14:textFill>
                  <w14:solidFill>
                    <w14:schemeClr w14:val="tx1"/>
                  </w14:solidFill>
                </w14:textFill>
              </w:rPr>
              <w:t>主要原辅材料性质介绍</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1"/>
              <w:gridCol w:w="6838"/>
            </w:tblGrid>
            <w:tr w14:paraId="4A54F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14:paraId="345E95C5">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原辅材料名称</w:t>
                  </w:r>
                </w:p>
              </w:tc>
              <w:tc>
                <w:tcPr>
                  <w:tcW w:w="4090" w:type="pct"/>
                  <w:vAlign w:val="center"/>
                </w:tcPr>
                <w:p w14:paraId="7BA5C01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理化性质及成分</w:t>
                  </w:r>
                </w:p>
              </w:tc>
            </w:tr>
            <w:tr w14:paraId="12F97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14:paraId="42D9CB35">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PUR封边胶</w:t>
                  </w:r>
                </w:p>
              </w:tc>
              <w:tc>
                <w:tcPr>
                  <w:tcW w:w="4090" w:type="pct"/>
                  <w:vAlign w:val="center"/>
                </w:tcPr>
                <w:p w14:paraId="614EDBDF">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PUR封边胶是一种无任何溶剂/溶液的胶粘剂，不会造成环境污染或者中毒问题。在-40℃至150℃的温度范围内能保持稳定，具有优良的耐水蒸气、耐化学品和耐溶剂性能。</w:t>
                  </w:r>
                </w:p>
                <w:p w14:paraId="33F5A414">
                  <w:pP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操作简便，PUR封边胶在短时间内即可将两粘接物固定，无需烘干，提高工效，节省时间。粘接强度高，相对于传统热熔胶而言，可以提高数倍，尤其是剥离强度提升明显。PUR封边胶在固化以后，具有相对优异的耐水性。PUR封边是一种高性能的封边技术,广泛应用于家具、橱柜、办公家具等木制品的制造和装饰。</w:t>
                  </w:r>
                </w:p>
              </w:tc>
            </w:tr>
            <w:tr w14:paraId="2B206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14:paraId="24947EA3">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水性色漆</w:t>
                  </w:r>
                </w:p>
              </w:tc>
              <w:tc>
                <w:tcPr>
                  <w:tcW w:w="4090" w:type="pct"/>
                  <w:vAlign w:val="center"/>
                </w:tcPr>
                <w:p w14:paraId="4A5AFC6A">
                  <w:pP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根据涂料供应商提供的MSDS，</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项目使用的水性色漆</w:t>
                  </w:r>
                  <w:r>
                    <w:rPr>
                      <w:color w:val="000000" w:themeColor="text1"/>
                      <w:szCs w:val="21"/>
                      <w:highlight w:val="none"/>
                      <w14:textFill>
                        <w14:solidFill>
                          <w14:schemeClr w14:val="tx1"/>
                        </w14:solidFill>
                      </w14:textFill>
                    </w:rPr>
                    <w:t>主要成分为</w:t>
                  </w:r>
                  <w:r>
                    <w:rPr>
                      <w:rFonts w:hint="eastAsia"/>
                      <w:color w:val="000000" w:themeColor="text1"/>
                      <w:szCs w:val="21"/>
                      <w:highlight w:val="none"/>
                      <w14:textFill>
                        <w14:solidFill>
                          <w14:schemeClr w14:val="tx1"/>
                        </w14:solidFill>
                      </w14:textFill>
                    </w:rPr>
                    <w:t>聚氨酯树脂75</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二丙二醇甲醚2%，二丙二醇丁醚2%，聚醚硅氧烷共聚物2.5%，哑粉2%，蜡3%，去离子水15.5%</w:t>
                  </w:r>
                  <w:r>
                    <w:rPr>
                      <w:color w:val="000000" w:themeColor="text1"/>
                      <w:szCs w:val="21"/>
                      <w:highlight w:val="none"/>
                      <w14:textFill>
                        <w14:solidFill>
                          <w14:schemeClr w14:val="tx1"/>
                        </w14:solidFill>
                      </w14:textFill>
                    </w:rPr>
                    <w:t>组成。</w:t>
                  </w:r>
                </w:p>
              </w:tc>
            </w:tr>
            <w:tr w14:paraId="42B46B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14:paraId="24AF7B2B">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w:t>
                  </w:r>
                </w:p>
              </w:tc>
              <w:tc>
                <w:tcPr>
                  <w:tcW w:w="4090" w:type="pct"/>
                  <w:vAlign w:val="center"/>
                </w:tcPr>
                <w:p w14:paraId="7D622CB9">
                  <w:pP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根据涂料供应商提供的MSDS，</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项目使用的聚氨酯清漆</w:t>
                  </w:r>
                  <w:r>
                    <w:rPr>
                      <w:color w:val="000000" w:themeColor="text1"/>
                      <w:szCs w:val="21"/>
                      <w:highlight w:val="none"/>
                      <w14:textFill>
                        <w14:solidFill>
                          <w14:schemeClr w14:val="tx1"/>
                        </w14:solidFill>
                      </w14:textFill>
                    </w:rPr>
                    <w:t>主要成分为</w:t>
                  </w:r>
                  <w:r>
                    <w:rPr>
                      <w:rFonts w:hint="eastAsia"/>
                      <w:color w:val="000000" w:themeColor="text1"/>
                      <w:szCs w:val="21"/>
                      <w:highlight w:val="none"/>
                      <w14:textFill>
                        <w14:solidFill>
                          <w14:schemeClr w14:val="tx1"/>
                        </w14:solidFill>
                      </w14:textFill>
                    </w:rPr>
                    <w:t>醇酸树脂70</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二甲苯5%，醋酸丁酯10%，PMA8%，添加剂2%，粉类5%</w:t>
                  </w:r>
                  <w:r>
                    <w:rPr>
                      <w:color w:val="000000" w:themeColor="text1"/>
                      <w:szCs w:val="21"/>
                      <w:highlight w:val="none"/>
                      <w14:textFill>
                        <w14:solidFill>
                          <w14:schemeClr w14:val="tx1"/>
                        </w14:solidFill>
                      </w14:textFill>
                    </w:rPr>
                    <w:t>组成。</w:t>
                  </w:r>
                </w:p>
              </w:tc>
            </w:tr>
            <w:tr w14:paraId="7F8DC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910" w:type="pct"/>
                  <w:vAlign w:val="center"/>
                </w:tcPr>
                <w:p w14:paraId="0AAB995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聚氨酯清漆稀释剂</w:t>
                  </w:r>
                </w:p>
              </w:tc>
              <w:tc>
                <w:tcPr>
                  <w:tcW w:w="4090" w:type="pct"/>
                  <w:vAlign w:val="center"/>
                </w:tcPr>
                <w:p w14:paraId="35BC90BC">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根据涂料供应商提供的MSDS，</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项目使用的聚氨酯清漆稀释剂</w:t>
                  </w:r>
                  <w:r>
                    <w:rPr>
                      <w:color w:val="000000" w:themeColor="text1"/>
                      <w:szCs w:val="21"/>
                      <w:highlight w:val="none"/>
                      <w14:textFill>
                        <w14:solidFill>
                          <w14:schemeClr w14:val="tx1"/>
                        </w14:solidFill>
                      </w14:textFill>
                    </w:rPr>
                    <w:t>主要成分为</w:t>
                  </w:r>
                  <w:r>
                    <w:rPr>
                      <w:rFonts w:hint="eastAsia"/>
                      <w:color w:val="000000" w:themeColor="text1"/>
                      <w:szCs w:val="21"/>
                      <w:highlight w:val="none"/>
                      <w14:textFill>
                        <w14:solidFill>
                          <w14:schemeClr w14:val="tx1"/>
                        </w14:solidFill>
                      </w14:textFill>
                    </w:rPr>
                    <w:t>二甲苯30%，醋酸丁酯40%，PMA30%</w:t>
                  </w:r>
                  <w:r>
                    <w:rPr>
                      <w:color w:val="000000" w:themeColor="text1"/>
                      <w:szCs w:val="21"/>
                      <w:highlight w:val="none"/>
                      <w14:textFill>
                        <w14:solidFill>
                          <w14:schemeClr w14:val="tx1"/>
                        </w14:solidFill>
                      </w14:textFill>
                    </w:rPr>
                    <w:t>组成。</w:t>
                  </w:r>
                </w:p>
              </w:tc>
            </w:tr>
            <w:tr w14:paraId="6E738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14:paraId="770A74A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聚氨酯清漆固化剂</w:t>
                  </w:r>
                </w:p>
              </w:tc>
              <w:tc>
                <w:tcPr>
                  <w:tcW w:w="4090" w:type="pct"/>
                  <w:vAlign w:val="center"/>
                </w:tcPr>
                <w:p w14:paraId="6EB9669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根据涂料供应商提供的MSDS，</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项目使用的聚氨酯清漆固化剂</w:t>
                  </w:r>
                  <w:r>
                    <w:rPr>
                      <w:color w:val="000000" w:themeColor="text1"/>
                      <w:szCs w:val="21"/>
                      <w:highlight w:val="none"/>
                      <w14:textFill>
                        <w14:solidFill>
                          <w14:schemeClr w14:val="tx1"/>
                        </w14:solidFill>
                      </w14:textFill>
                    </w:rPr>
                    <w:t>主要成分为</w:t>
                  </w:r>
                  <w:r>
                    <w:rPr>
                      <w:rFonts w:hint="eastAsia"/>
                      <w:color w:val="000000" w:themeColor="text1"/>
                      <w:szCs w:val="21"/>
                      <w:highlight w:val="none"/>
                      <w14:textFill>
                        <w14:solidFill>
                          <w14:schemeClr w14:val="tx1"/>
                        </w14:solidFill>
                      </w14:textFill>
                    </w:rPr>
                    <w:t>异氰酸酯预聚物80</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醋酸丁酯20%</w:t>
                  </w:r>
                  <w:r>
                    <w:rPr>
                      <w:color w:val="000000" w:themeColor="text1"/>
                      <w:szCs w:val="21"/>
                      <w:highlight w:val="none"/>
                      <w14:textFill>
                        <w14:solidFill>
                          <w14:schemeClr w14:val="tx1"/>
                        </w14:solidFill>
                      </w14:textFill>
                    </w:rPr>
                    <w:t>组成。</w:t>
                  </w:r>
                </w:p>
              </w:tc>
            </w:tr>
          </w:tbl>
          <w:p w14:paraId="02CC84D4">
            <w:pPr>
              <w:rPr>
                <w:color w:val="000000" w:themeColor="text1"/>
                <w:highlight w:val="none"/>
                <w14:textFill>
                  <w14:solidFill>
                    <w14:schemeClr w14:val="tx1"/>
                  </w14:solidFill>
                </w14:textFill>
              </w:rPr>
            </w:pPr>
          </w:p>
          <w:p w14:paraId="706BC97D">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水性漆的密度为</w:t>
            </w:r>
            <w:r>
              <w:rPr>
                <w:rFonts w:hint="eastAsia"/>
                <w:color w:val="000000" w:themeColor="text1"/>
                <w:highlight w:val="none"/>
                <w:lang w:val="en-US"/>
                <w14:textFill>
                  <w14:solidFill>
                    <w14:schemeClr w14:val="tx1"/>
                  </w14:solidFill>
                </w14:textFill>
              </w:rPr>
              <w:t>1.08</w:t>
            </w:r>
            <w:r>
              <w:rPr>
                <w:rFonts w:hint="eastAsia"/>
                <w:color w:val="000000" w:themeColor="text1"/>
                <w:highlight w:val="none"/>
                <w14:textFill>
                  <w14:solidFill>
                    <w14:schemeClr w14:val="tx1"/>
                  </w14:solidFill>
                </w14:textFill>
              </w:rPr>
              <w:t>kg/L，即1L的水性漆中挥发性的含量为m=ρ×V×水性漆中挥发性有机物的含量=1.</w:t>
            </w:r>
            <w:r>
              <w:rPr>
                <w:rFonts w:hint="eastAsia"/>
                <w:color w:val="000000" w:themeColor="text1"/>
                <w:highlight w:val="none"/>
                <w:lang w:val="en-US"/>
                <w14:textFill>
                  <w14:solidFill>
                    <w14:schemeClr w14:val="tx1"/>
                  </w14:solidFill>
                </w14:textFill>
              </w:rPr>
              <w:t>08</w:t>
            </w:r>
            <w:r>
              <w:rPr>
                <w:rFonts w:hint="eastAsia"/>
                <w:color w:val="000000" w:themeColor="text1"/>
                <w:highlight w:val="none"/>
                <w14:textFill>
                  <w14:solidFill>
                    <w14:schemeClr w14:val="tx1"/>
                  </w14:solidFill>
                </w14:textFill>
              </w:rPr>
              <w:t>×1×</w:t>
            </w:r>
            <w:r>
              <w:rPr>
                <w:rFonts w:hint="eastAsia"/>
                <w:color w:val="000000" w:themeColor="text1"/>
                <w:highlight w:val="none"/>
                <w:lang w:val="en-US"/>
                <w14:textFill>
                  <w14:solidFill>
                    <w14:schemeClr w14:val="tx1"/>
                  </w14:solidFill>
                </w14:textFill>
              </w:rPr>
              <w:t>6.5</w:t>
            </w:r>
            <w:r>
              <w:rPr>
                <w:rFonts w:hint="eastAsia"/>
                <w:color w:val="000000" w:themeColor="text1"/>
                <w:highlight w:val="none"/>
                <w14:textFill>
                  <w14:solidFill>
                    <w14:schemeClr w14:val="tx1"/>
                  </w14:solidFill>
                </w14:textFill>
              </w:rPr>
              <w:t>%×1000=</w:t>
            </w:r>
            <w:r>
              <w:rPr>
                <w:rFonts w:hint="eastAsia"/>
                <w:color w:val="000000" w:themeColor="text1"/>
                <w:highlight w:val="none"/>
                <w:lang w:val="en-US"/>
                <w14:textFill>
                  <w14:solidFill>
                    <w14:schemeClr w14:val="tx1"/>
                  </w14:solidFill>
                </w14:textFill>
              </w:rPr>
              <w:t>70.2</w:t>
            </w:r>
            <w:r>
              <w:rPr>
                <w:rFonts w:hint="eastAsia"/>
                <w:color w:val="000000" w:themeColor="text1"/>
                <w:highlight w:val="none"/>
                <w14:textFill>
                  <w14:solidFill>
                    <w14:schemeClr w14:val="tx1"/>
                  </w14:solidFill>
                </w14:textFill>
              </w:rPr>
              <w:t>g/L。符合《低挥发性有机化合物含量涂料产品技术要求》(GB T38597-2020)中表1水性涂料中木器涂料VOCs含量的要求：最小的限值要求≤220g/L。</w:t>
            </w:r>
          </w:p>
          <w:p w14:paraId="64B11A67">
            <w:pPr>
              <w:pStyle w:val="33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聚氨酯清漆、稀释剂及固化剂的密度分别为</w:t>
            </w:r>
            <w:r>
              <w:rPr>
                <w:rFonts w:hint="eastAsia"/>
                <w:color w:val="000000" w:themeColor="text1"/>
                <w:highlight w:val="none"/>
                <w:lang w:val="en-US"/>
                <w14:textFill>
                  <w14:solidFill>
                    <w14:schemeClr w14:val="tx1"/>
                  </w14:solidFill>
                </w14:textFill>
              </w:rPr>
              <w:t>0.978</w:t>
            </w:r>
            <w:r>
              <w:rPr>
                <w:rFonts w:hint="eastAsia"/>
                <w:color w:val="000000" w:themeColor="text1"/>
                <w:highlight w:val="none"/>
                <w14:textFill>
                  <w14:solidFill>
                    <w14:schemeClr w14:val="tx1"/>
                  </w14:solidFill>
                </w14:textFill>
              </w:rPr>
              <w:t>kg/L、</w:t>
            </w:r>
            <w:r>
              <w:rPr>
                <w:rFonts w:hint="eastAsia"/>
                <w:color w:val="000000" w:themeColor="text1"/>
                <w:highlight w:val="none"/>
                <w:lang w:val="en-US"/>
                <w14:textFill>
                  <w14:solidFill>
                    <w14:schemeClr w14:val="tx1"/>
                  </w14:solidFill>
                </w14:textFill>
              </w:rPr>
              <w:t>0.959</w:t>
            </w:r>
            <w:r>
              <w:rPr>
                <w:rFonts w:hint="eastAsia"/>
                <w:color w:val="000000" w:themeColor="text1"/>
                <w:highlight w:val="none"/>
                <w14:textFill>
                  <w14:solidFill>
                    <w14:schemeClr w14:val="tx1"/>
                  </w14:solidFill>
                </w14:textFill>
              </w:rPr>
              <w:t>kg/L、</w:t>
            </w:r>
            <w:r>
              <w:rPr>
                <w:rFonts w:hint="eastAsia"/>
                <w:color w:val="000000" w:themeColor="text1"/>
                <w:highlight w:val="none"/>
                <w:lang w:val="en-US"/>
                <w14:textFill>
                  <w14:solidFill>
                    <w14:schemeClr w14:val="tx1"/>
                  </w14:solidFill>
                </w14:textFill>
              </w:rPr>
              <w:t>0.983</w:t>
            </w:r>
            <w:r>
              <w:rPr>
                <w:rFonts w:hint="eastAsia"/>
                <w:color w:val="000000" w:themeColor="text1"/>
                <w:highlight w:val="none"/>
                <w14:textFill>
                  <w14:solidFill>
                    <w14:schemeClr w14:val="tx1"/>
                  </w14:solidFill>
                </w14:textFill>
              </w:rPr>
              <w:t>kg/L；即1L的聚氨酯清漆中挥发性的含量为m=ρ×V×水性漆中挥发性有机物的含量=</w:t>
            </w:r>
            <w:r>
              <w:rPr>
                <w:rFonts w:hint="eastAsia"/>
                <w:color w:val="000000" w:themeColor="text1"/>
                <w:highlight w:val="none"/>
                <w:lang w:val="en-US"/>
                <w14:textFill>
                  <w14:solidFill>
                    <w14:schemeClr w14:val="tx1"/>
                  </w14:solidFill>
                </w14:textFill>
              </w:rPr>
              <w:t>0.978</w:t>
            </w:r>
            <w:r>
              <w:rPr>
                <w:rFonts w:hint="eastAsia"/>
                <w:color w:val="000000" w:themeColor="text1"/>
                <w:highlight w:val="none"/>
                <w14:textFill>
                  <w14:solidFill>
                    <w14:schemeClr w14:val="tx1"/>
                  </w14:solidFill>
                </w14:textFill>
              </w:rPr>
              <w:t>×1×2</w:t>
            </w:r>
            <w:r>
              <w:rPr>
                <w:rFonts w:hint="eastAsia"/>
                <w:color w:val="000000" w:themeColor="text1"/>
                <w:highlight w:val="none"/>
                <w:lang w:val="en-US"/>
                <w14:textFill>
                  <w14:solidFill>
                    <w14:schemeClr w14:val="tx1"/>
                  </w14:solidFill>
                </w14:textFill>
              </w:rPr>
              <w:t>5</w:t>
            </w:r>
            <w:r>
              <w:rPr>
                <w:rFonts w:hint="eastAsia"/>
                <w:color w:val="000000" w:themeColor="text1"/>
                <w:highlight w:val="none"/>
                <w14:textFill>
                  <w14:solidFill>
                    <w14:schemeClr w14:val="tx1"/>
                  </w14:solidFill>
                </w14:textFill>
              </w:rPr>
              <w:t>%×1000=</w:t>
            </w:r>
            <w:r>
              <w:rPr>
                <w:rFonts w:hint="eastAsia"/>
                <w:color w:val="000000" w:themeColor="text1"/>
                <w:highlight w:val="none"/>
                <w:lang w:val="en-US"/>
                <w14:textFill>
                  <w14:solidFill>
                    <w14:schemeClr w14:val="tx1"/>
                  </w14:solidFill>
                </w14:textFill>
              </w:rPr>
              <w:t>244.5</w:t>
            </w:r>
            <w:r>
              <w:rPr>
                <w:rFonts w:hint="eastAsia"/>
                <w:color w:val="000000" w:themeColor="text1"/>
                <w:highlight w:val="none"/>
                <w14:textFill>
                  <w14:solidFill>
                    <w14:schemeClr w14:val="tx1"/>
                  </w14:solidFill>
                </w14:textFill>
              </w:rPr>
              <w:t>g/L，1L的聚氨酯清漆稀释剂中挥发性的含量为m=ρ×V×水性漆中挥发性有机物的含量=</w:t>
            </w:r>
            <w:r>
              <w:rPr>
                <w:rFonts w:hint="eastAsia"/>
                <w:color w:val="000000" w:themeColor="text1"/>
                <w:highlight w:val="none"/>
                <w:lang w:val="en-US"/>
                <w14:textFill>
                  <w14:solidFill>
                    <w14:schemeClr w14:val="tx1"/>
                  </w14:solidFill>
                </w14:textFill>
              </w:rPr>
              <w:t>0.959</w:t>
            </w:r>
            <w:r>
              <w:rPr>
                <w:rFonts w:hint="eastAsia"/>
                <w:color w:val="000000" w:themeColor="text1"/>
                <w:highlight w:val="none"/>
                <w14:textFill>
                  <w14:solidFill>
                    <w14:schemeClr w14:val="tx1"/>
                  </w14:solidFill>
                </w14:textFill>
              </w:rPr>
              <w:t>×1×</w:t>
            </w:r>
            <w:r>
              <w:rPr>
                <w:rFonts w:hint="eastAsia"/>
                <w:color w:val="000000" w:themeColor="text1"/>
                <w:highlight w:val="none"/>
                <w:lang w:val="en-US"/>
                <w14:textFill>
                  <w14:solidFill>
                    <w14:schemeClr w14:val="tx1"/>
                  </w14:solidFill>
                </w14:textFill>
              </w:rPr>
              <w:t>100</w:t>
            </w:r>
            <w:r>
              <w:rPr>
                <w:rFonts w:hint="eastAsia"/>
                <w:color w:val="000000" w:themeColor="text1"/>
                <w:highlight w:val="none"/>
                <w14:textFill>
                  <w14:solidFill>
                    <w14:schemeClr w14:val="tx1"/>
                  </w14:solidFill>
                </w14:textFill>
              </w:rPr>
              <w:t>%×1000=</w:t>
            </w:r>
            <w:r>
              <w:rPr>
                <w:rFonts w:hint="eastAsia"/>
                <w:color w:val="000000" w:themeColor="text1"/>
                <w:highlight w:val="none"/>
                <w:lang w:val="en-US"/>
                <w14:textFill>
                  <w14:solidFill>
                    <w14:schemeClr w14:val="tx1"/>
                  </w14:solidFill>
                </w14:textFill>
              </w:rPr>
              <w:t>959</w:t>
            </w:r>
            <w:r>
              <w:rPr>
                <w:rFonts w:hint="eastAsia"/>
                <w:color w:val="000000" w:themeColor="text1"/>
                <w:highlight w:val="none"/>
                <w14:textFill>
                  <w14:solidFill>
                    <w14:schemeClr w14:val="tx1"/>
                  </w14:solidFill>
                </w14:textFill>
              </w:rPr>
              <w:t>g/L，1L的聚氨酯清漆固化剂中挥发性的含量为m=ρ×V×水性漆中挥发性有机物的含量=</w:t>
            </w:r>
            <w:r>
              <w:rPr>
                <w:rFonts w:hint="eastAsia"/>
                <w:color w:val="000000" w:themeColor="text1"/>
                <w:highlight w:val="none"/>
                <w:lang w:val="en-US"/>
                <w14:textFill>
                  <w14:solidFill>
                    <w14:schemeClr w14:val="tx1"/>
                  </w14:solidFill>
                </w14:textFill>
              </w:rPr>
              <w:t>0.983</w:t>
            </w:r>
            <w:r>
              <w:rPr>
                <w:rFonts w:hint="eastAsia"/>
                <w:color w:val="000000" w:themeColor="text1"/>
                <w:highlight w:val="none"/>
                <w14:textFill>
                  <w14:solidFill>
                    <w14:schemeClr w14:val="tx1"/>
                  </w14:solidFill>
                </w14:textFill>
              </w:rPr>
              <w:t>×1×2</w:t>
            </w:r>
            <w:r>
              <w:rPr>
                <w:rFonts w:hint="eastAsia"/>
                <w:color w:val="000000" w:themeColor="text1"/>
                <w:highlight w:val="none"/>
                <w:lang w:val="en-US"/>
                <w14:textFill>
                  <w14:solidFill>
                    <w14:schemeClr w14:val="tx1"/>
                  </w14:solidFill>
                </w14:textFill>
              </w:rPr>
              <w:t>0</w:t>
            </w:r>
            <w:r>
              <w:rPr>
                <w:rFonts w:hint="eastAsia"/>
                <w:color w:val="000000" w:themeColor="text1"/>
                <w:highlight w:val="none"/>
                <w14:textFill>
                  <w14:solidFill>
                    <w14:schemeClr w14:val="tx1"/>
                  </w14:solidFill>
                </w14:textFill>
              </w:rPr>
              <w:t>%×1000=</w:t>
            </w:r>
            <w:r>
              <w:rPr>
                <w:rFonts w:hint="eastAsia"/>
                <w:color w:val="000000" w:themeColor="text1"/>
                <w:highlight w:val="none"/>
                <w:lang w:val="en-US"/>
                <w14:textFill>
                  <w14:solidFill>
                    <w14:schemeClr w14:val="tx1"/>
                  </w14:solidFill>
                </w14:textFill>
              </w:rPr>
              <w:t>196.6</w:t>
            </w:r>
            <w:r>
              <w:rPr>
                <w:rFonts w:hint="eastAsia"/>
                <w:color w:val="000000" w:themeColor="text1"/>
                <w:highlight w:val="none"/>
                <w14:textFill>
                  <w14:solidFill>
                    <w14:schemeClr w14:val="tx1"/>
                  </w14:solidFill>
                </w14:textFill>
              </w:rPr>
              <w:t>g/L。由于上述</w:t>
            </w:r>
            <w:r>
              <w:rPr>
                <w:rFonts w:hint="eastAsia"/>
                <w:color w:val="000000" w:themeColor="text1"/>
                <w:highlight w:val="none"/>
                <w:lang w:val="en-US"/>
                <w14:textFill>
                  <w14:solidFill>
                    <w14:schemeClr w14:val="tx1"/>
                  </w14:solidFill>
                </w14:textFill>
              </w:rPr>
              <w:t>3种涂料需按3:2:5比例调配，项目使用的聚氨酯清漆涂料挥发性有机物含量</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244.5</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0.3+959</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0.2+196.6</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0.5</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363.5</w:t>
            </w:r>
            <w:r>
              <w:rPr>
                <w:rFonts w:hint="eastAsia"/>
                <w:color w:val="000000" w:themeColor="text1"/>
                <w:highlight w:val="none"/>
                <w14:textFill>
                  <w14:solidFill>
                    <w14:schemeClr w14:val="tx1"/>
                  </w14:solidFill>
                </w14:textFill>
              </w:rPr>
              <w:t>g/L。符合《低挥发性有机化合物含量涂料产品技术要求》(GB T38597-2020)中表2溶剂型涂料VOCs含量的要求：最小的限值要求≤420g/L。</w:t>
            </w:r>
          </w:p>
          <w:p w14:paraId="3E86EE81">
            <w:pPr>
              <w:pStyle w:val="33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eastAsia" w:cs="Times New Roman"/>
                <w:color w:val="000000" w:themeColor="text1"/>
                <w:highlight w:val="none"/>
                <w:lang w:val="en-US" w:eastAsia="zh-CN"/>
                <w14:textFill>
                  <w14:solidFill>
                    <w14:schemeClr w14:val="tx1"/>
                  </w14:solidFill>
                </w14:textFill>
              </w:rPr>
              <w:t>扩建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项目运营期使用水性漆及溶剂漆物料平衡图详见图2.4-</w:t>
            </w:r>
            <w:r>
              <w:rPr>
                <w:rFonts w:hint="eastAsia"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及2.4-</w:t>
            </w:r>
            <w:r>
              <w:rPr>
                <w:rFonts w:hint="eastAsia"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291886B2">
            <w:pPr>
              <w:pStyle w:val="332"/>
              <w:numPr>
                <w:ilvl w:val="0"/>
                <w:numId w:val="3"/>
              </w:numPr>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水性漆物料平衡</w:t>
            </w:r>
          </w:p>
          <w:p w14:paraId="44DBB228">
            <w:pPr>
              <w:numPr>
                <w:ilvl w:val="0"/>
                <w:numId w:val="0"/>
              </w:numPr>
              <w:rPr>
                <w:rFonts w:hint="default"/>
                <w:color w:val="000000" w:themeColor="text1"/>
                <w:highlight w:val="none"/>
                <w:lang w:val="en-US" w:eastAsia="zh-CN"/>
                <w14:textFill>
                  <w14:solidFill>
                    <w14:schemeClr w14:val="tx1"/>
                  </w14:solidFill>
                </w14:textFill>
              </w:rPr>
            </w:pPr>
          </w:p>
          <w:p w14:paraId="36C9057E">
            <w:pPr>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6" o:spt="75" type="#_x0000_t75" style="height:218.05pt;width:376.3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14:paraId="06DF73DB">
            <w:pPr>
              <w:pStyle w:val="332"/>
              <w:spacing w:line="360" w:lineRule="auto"/>
              <w:jc w:val="center"/>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图2.4-</w:t>
            </w:r>
            <w:r>
              <w:rPr>
                <w:rFonts w:hint="eastAsia" w:cs="Times New Roman"/>
                <w:b/>
                <w:bCs/>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eastAsia" w:cs="Times New Roman"/>
                <w:b/>
                <w:bCs/>
                <w:color w:val="000000" w:themeColor="text1"/>
                <w:highlight w:val="none"/>
                <w:lang w:val="en-US" w:eastAsia="zh-CN"/>
                <w14:textFill>
                  <w14:solidFill>
                    <w14:schemeClr w14:val="tx1"/>
                  </w14:solidFill>
                </w14:textFill>
              </w:rPr>
              <w:t>扩建</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项目木质家具生产工艺流程及产污环节示意图</w:t>
            </w:r>
          </w:p>
          <w:p w14:paraId="0B98D9A2">
            <w:pPr>
              <w:pStyle w:val="332"/>
              <w:spacing w:line="360" w:lineRule="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（2）溶剂漆物料平衡</w:t>
            </w:r>
          </w:p>
          <w:p w14:paraId="50F78FB5">
            <w:pPr>
              <w:pStyle w:val="332"/>
              <w:spacing w:line="360" w:lineRule="auto"/>
              <w:ind w:left="0" w:leftChars="0" w:firstLine="0" w:firstLineChars="0"/>
              <w:jc w:val="center"/>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object>
                <v:shape id="_x0000_i1027" o:spt="75" type="#_x0000_t75" style="height:212.7pt;width:421.9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图2.4-</w:t>
            </w:r>
            <w:r>
              <w:rPr>
                <w:rFonts w:hint="eastAsia" w:cs="Times New Roman"/>
                <w:b/>
                <w:bCs/>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eastAsia" w:cs="Times New Roman"/>
                <w:b/>
                <w:bCs/>
                <w:color w:val="000000" w:themeColor="text1"/>
                <w:highlight w:val="none"/>
                <w:lang w:val="en-US" w:eastAsia="zh-CN"/>
                <w14:textFill>
                  <w14:solidFill>
                    <w14:schemeClr w14:val="tx1"/>
                  </w14:solidFill>
                </w14:textFill>
              </w:rPr>
              <w:t>扩建</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项目木质家具生产工艺流程及产污环节示意图</w:t>
            </w:r>
          </w:p>
          <w:p w14:paraId="15ECCE85">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5主要生产</w:t>
            </w:r>
            <w:r>
              <w:rPr>
                <w:b/>
                <w:color w:val="000000" w:themeColor="text1"/>
                <w:sz w:val="30"/>
                <w:szCs w:val="30"/>
                <w:highlight w:val="none"/>
                <w14:textFill>
                  <w14:solidFill>
                    <w14:schemeClr w14:val="tx1"/>
                  </w14:solidFill>
                </w14:textFill>
              </w:rPr>
              <w:t>设备</w:t>
            </w:r>
          </w:p>
          <w:p w14:paraId="184C8D50">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项目建成后主要生产设备见下表2.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p>
          <w:p w14:paraId="63DF95C8">
            <w:pPr>
              <w:pStyle w:val="97"/>
              <w:ind w:firstLine="2" w:firstLineChars="1"/>
              <w:jc w:val="center"/>
              <w:rPr>
                <w:rFonts w:ascii="Times New Roman" w:hAnsi="Times New Roman"/>
                <w:b/>
                <w:color w:val="000000" w:themeColor="text1"/>
                <w:highlight w:val="none"/>
                <w14:textFill>
                  <w14:solidFill>
                    <w14:schemeClr w14:val="tx1"/>
                  </w14:solidFill>
                </w14:textFill>
              </w:rPr>
            </w:pPr>
          </w:p>
          <w:p w14:paraId="67D02EB4">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5</w:t>
            </w:r>
            <w:r>
              <w:rPr>
                <w:rFonts w:ascii="Times New Roman" w:hAnsi="Times New Roman"/>
                <w:b/>
                <w:color w:val="000000" w:themeColor="text1"/>
                <w:highlight w:val="none"/>
                <w14:textFill>
                  <w14:solidFill>
                    <w14:schemeClr w14:val="tx1"/>
                  </w14:solidFill>
                </w14:textFill>
              </w:rPr>
              <w:t xml:space="preserve">-1  </w:t>
            </w:r>
            <w:r>
              <w:rPr>
                <w:rFonts w:hint="eastAsia" w:ascii="Times New Roman" w:hAnsi="Times New Roman"/>
                <w:b/>
                <w:color w:val="000000" w:themeColor="text1"/>
                <w:highlight w:val="none"/>
                <w:lang w:eastAsia="zh-CN"/>
                <w14:textFill>
                  <w14:solidFill>
                    <w14:schemeClr w14:val="tx1"/>
                  </w14:solidFill>
                </w14:textFill>
              </w:rPr>
              <w:t>扩建项目</w:t>
            </w:r>
            <w:r>
              <w:rPr>
                <w:rFonts w:ascii="Times New Roman" w:hAnsi="Times New Roman"/>
                <w:b/>
                <w:color w:val="000000" w:themeColor="text1"/>
                <w:highlight w:val="none"/>
                <w14:textFill>
                  <w14:solidFill>
                    <w14:schemeClr w14:val="tx1"/>
                  </w14:solidFill>
                </w14:textFill>
              </w:rPr>
              <w:t>主要设备一览表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862"/>
              <w:gridCol w:w="863"/>
              <w:gridCol w:w="1631"/>
              <w:gridCol w:w="1631"/>
              <w:gridCol w:w="1631"/>
            </w:tblGrid>
            <w:tr w14:paraId="25318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4" w:hRule="exact"/>
                <w:jc w:val="center"/>
              </w:trPr>
              <w:tc>
                <w:tcPr>
                  <w:tcW w:w="442" w:type="pct"/>
                  <w:vAlign w:val="center"/>
                </w:tcPr>
                <w:p w14:paraId="27DDAFC7">
                  <w:pPr>
                    <w:pStyle w:val="67"/>
                    <w:adjustRightInd w:val="0"/>
                    <w:snapToGrid w:val="0"/>
                    <w:spacing w:line="360" w:lineRule="exact"/>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序号</w:t>
                  </w:r>
                </w:p>
              </w:tc>
              <w:tc>
                <w:tcPr>
                  <w:tcW w:w="1113" w:type="pct"/>
                  <w:vAlign w:val="center"/>
                </w:tcPr>
                <w:p w14:paraId="0ED3A7D3">
                  <w:pPr>
                    <w:pStyle w:val="67"/>
                    <w:adjustRightInd w:val="0"/>
                    <w:snapToGrid w:val="0"/>
                    <w:spacing w:line="360" w:lineRule="exact"/>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设备名称</w:t>
                  </w:r>
                </w:p>
              </w:tc>
              <w:tc>
                <w:tcPr>
                  <w:tcW w:w="516" w:type="pct"/>
                  <w:vAlign w:val="center"/>
                </w:tcPr>
                <w:p w14:paraId="0EEE6C68">
                  <w:pPr>
                    <w:pStyle w:val="67"/>
                    <w:adjustRightInd w:val="0"/>
                    <w:snapToGrid w:val="0"/>
                    <w:spacing w:line="360" w:lineRule="exact"/>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型号</w:t>
                  </w:r>
                </w:p>
              </w:tc>
              <w:tc>
                <w:tcPr>
                  <w:tcW w:w="1631" w:type="dxa"/>
                  <w:vAlign w:val="center"/>
                </w:tcPr>
                <w:p w14:paraId="466B5EEC">
                  <w:pPr>
                    <w:pStyle w:val="331"/>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扩建前</w:t>
                  </w:r>
                  <w:r>
                    <w:rPr>
                      <w:b/>
                      <w:bCs/>
                      <w:color w:val="000000" w:themeColor="text1"/>
                      <w:highlight w:val="none"/>
                      <w14:textFill>
                        <w14:solidFill>
                          <w14:schemeClr w14:val="tx1"/>
                        </w14:solidFill>
                      </w14:textFill>
                    </w:rPr>
                    <w:t>数量</w:t>
                  </w:r>
                </w:p>
                <w:p w14:paraId="1A5E8B73">
                  <w:pPr>
                    <w:pStyle w:val="331"/>
                    <w:rPr>
                      <w:rFonts w:hint="eastAsia" w:eastAsia="宋体"/>
                      <w:b/>
                      <w:bCs/>
                      <w:color w:val="000000" w:themeColor="text1"/>
                      <w:szCs w:val="2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（台</w:t>
                  </w:r>
                  <w:r>
                    <w:rPr>
                      <w:rFonts w:hint="eastAsia"/>
                      <w:b/>
                      <w:bCs/>
                      <w:color w:val="000000" w:themeColor="text1"/>
                      <w:highlight w:val="none"/>
                      <w:lang w:val="en-US" w:eastAsia="zh-CN"/>
                      <w14:textFill>
                        <w14:solidFill>
                          <w14:schemeClr w14:val="tx1"/>
                        </w14:solidFill>
                      </w14:textFill>
                    </w:rPr>
                    <w:t>/套</w:t>
                  </w:r>
                  <w:r>
                    <w:rPr>
                      <w:rFonts w:hint="eastAsia"/>
                      <w:b/>
                      <w:bCs/>
                      <w:color w:val="000000" w:themeColor="text1"/>
                      <w:highlight w:val="none"/>
                      <w:lang w:eastAsia="zh-CN"/>
                      <w14:textFill>
                        <w14:solidFill>
                          <w14:schemeClr w14:val="tx1"/>
                        </w14:solidFill>
                      </w14:textFill>
                    </w:rPr>
                    <w:t>）</w:t>
                  </w:r>
                </w:p>
              </w:tc>
              <w:tc>
                <w:tcPr>
                  <w:tcW w:w="1631" w:type="dxa"/>
                  <w:vAlign w:val="center"/>
                </w:tcPr>
                <w:p w14:paraId="2D72C1F1">
                  <w:pPr>
                    <w:pStyle w:val="331"/>
                    <w:rPr>
                      <w:b/>
                      <w:bCs/>
                      <w:color w:val="000000" w:themeColor="text1"/>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扩建项目增减</w:t>
                  </w:r>
                  <w:r>
                    <w:rPr>
                      <w:b/>
                      <w:bCs/>
                      <w:color w:val="000000" w:themeColor="text1"/>
                      <w:highlight w:val="none"/>
                      <w14:textFill>
                        <w14:solidFill>
                          <w14:schemeClr w14:val="tx1"/>
                        </w14:solidFill>
                      </w14:textFill>
                    </w:rPr>
                    <w:t>数量</w:t>
                  </w:r>
                  <w:r>
                    <w:rPr>
                      <w:rFonts w:hint="eastAsia"/>
                      <w:b/>
                      <w:bCs/>
                      <w:color w:val="000000" w:themeColor="text1"/>
                      <w:highlight w:val="none"/>
                      <w:lang w:eastAsia="zh-CN"/>
                      <w14:textFill>
                        <w14:solidFill>
                          <w14:schemeClr w14:val="tx1"/>
                        </w14:solidFill>
                      </w14:textFill>
                    </w:rPr>
                    <w:t>（台</w:t>
                  </w:r>
                  <w:r>
                    <w:rPr>
                      <w:rFonts w:hint="eastAsia"/>
                      <w:b/>
                      <w:bCs/>
                      <w:color w:val="000000" w:themeColor="text1"/>
                      <w:highlight w:val="none"/>
                      <w:lang w:val="en-US" w:eastAsia="zh-CN"/>
                      <w14:textFill>
                        <w14:solidFill>
                          <w14:schemeClr w14:val="tx1"/>
                        </w14:solidFill>
                      </w14:textFill>
                    </w:rPr>
                    <w:t>/套</w:t>
                  </w:r>
                  <w:r>
                    <w:rPr>
                      <w:rFonts w:hint="eastAsia"/>
                      <w:b/>
                      <w:bCs/>
                      <w:color w:val="000000" w:themeColor="text1"/>
                      <w:highlight w:val="none"/>
                      <w:lang w:eastAsia="zh-CN"/>
                      <w14:textFill>
                        <w14:solidFill>
                          <w14:schemeClr w14:val="tx1"/>
                        </w14:solidFill>
                      </w14:textFill>
                    </w:rPr>
                    <w:t>）</w:t>
                  </w:r>
                </w:p>
              </w:tc>
              <w:tc>
                <w:tcPr>
                  <w:tcW w:w="1631" w:type="dxa"/>
                  <w:vAlign w:val="center"/>
                </w:tcPr>
                <w:p w14:paraId="6942C754">
                  <w:pPr>
                    <w:pStyle w:val="331"/>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扩建后</w:t>
                  </w:r>
                  <w:r>
                    <w:rPr>
                      <w:b/>
                      <w:bCs/>
                      <w:color w:val="000000" w:themeColor="text1"/>
                      <w:highlight w:val="none"/>
                      <w14:textFill>
                        <w14:solidFill>
                          <w14:schemeClr w14:val="tx1"/>
                        </w14:solidFill>
                      </w14:textFill>
                    </w:rPr>
                    <w:t>数量</w:t>
                  </w:r>
                </w:p>
                <w:p w14:paraId="7D761FD3">
                  <w:pPr>
                    <w:pStyle w:val="331"/>
                    <w:rPr>
                      <w:b/>
                      <w:bCs/>
                      <w:color w:val="000000" w:themeColor="text1"/>
                      <w:szCs w:val="21"/>
                      <w:highlight w:val="none"/>
                      <w14:textFill>
                        <w14:solidFill>
                          <w14:schemeClr w14:val="tx1"/>
                        </w14:solidFill>
                      </w14:textFill>
                    </w:rPr>
                  </w:pPr>
                  <w:r>
                    <w:rPr>
                      <w:rFonts w:hint="eastAsia"/>
                      <w:b/>
                      <w:bCs/>
                      <w:color w:val="000000" w:themeColor="text1"/>
                      <w:highlight w:val="none"/>
                      <w:lang w:eastAsia="zh-CN"/>
                      <w14:textFill>
                        <w14:solidFill>
                          <w14:schemeClr w14:val="tx1"/>
                        </w14:solidFill>
                      </w14:textFill>
                    </w:rPr>
                    <w:t>（台</w:t>
                  </w:r>
                  <w:r>
                    <w:rPr>
                      <w:rFonts w:hint="eastAsia"/>
                      <w:b/>
                      <w:bCs/>
                      <w:color w:val="000000" w:themeColor="text1"/>
                      <w:highlight w:val="none"/>
                      <w:lang w:val="en-US" w:eastAsia="zh-CN"/>
                      <w14:textFill>
                        <w14:solidFill>
                          <w14:schemeClr w14:val="tx1"/>
                        </w14:solidFill>
                      </w14:textFill>
                    </w:rPr>
                    <w:t>/套</w:t>
                  </w:r>
                  <w:r>
                    <w:rPr>
                      <w:rFonts w:hint="eastAsia"/>
                      <w:b/>
                      <w:bCs/>
                      <w:color w:val="000000" w:themeColor="text1"/>
                      <w:highlight w:val="none"/>
                      <w:lang w:eastAsia="zh-CN"/>
                      <w14:textFill>
                        <w14:solidFill>
                          <w14:schemeClr w14:val="tx1"/>
                        </w14:solidFill>
                      </w14:textFill>
                    </w:rPr>
                    <w:t>）</w:t>
                  </w:r>
                </w:p>
              </w:tc>
            </w:tr>
            <w:tr w14:paraId="09EC0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exact"/>
                <w:jc w:val="center"/>
              </w:trPr>
              <w:tc>
                <w:tcPr>
                  <w:tcW w:w="442" w:type="pct"/>
                  <w:vAlign w:val="center"/>
                </w:tcPr>
                <w:p w14:paraId="06078AE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1113" w:type="pct"/>
                  <w:vAlign w:val="center"/>
                </w:tcPr>
                <w:p w14:paraId="5FBD68B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封边机</w:t>
                  </w:r>
                </w:p>
              </w:tc>
              <w:tc>
                <w:tcPr>
                  <w:tcW w:w="516" w:type="pct"/>
                  <w:vAlign w:val="center"/>
                </w:tcPr>
                <w:p w14:paraId="1488EC5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28A45502">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14:paraId="4EFF5B5F">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14:paraId="0F041156">
                  <w:pPr>
                    <w:jc w:val="center"/>
                    <w:rPr>
                      <w:rFonts w:hint="eastAsia" w:eastAsia="宋体"/>
                      <w:color w:val="000000" w:themeColor="text1"/>
                      <w:szCs w:val="21"/>
                      <w:highlight w:val="none"/>
                      <w:lang w:val="en-US" w:eastAsia="zh-CN"/>
                      <w14:textFill>
                        <w14:solidFill>
                          <w14:schemeClr w14:val="tx1"/>
                        </w14:solidFill>
                      </w14:textFill>
                    </w:rPr>
                  </w:pPr>
                </w:p>
              </w:tc>
            </w:tr>
            <w:tr w14:paraId="307BC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442" w:type="pct"/>
                  <w:vAlign w:val="center"/>
                </w:tcPr>
                <w:p w14:paraId="03A4A0A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1113" w:type="pct"/>
                  <w:vAlign w:val="center"/>
                </w:tcPr>
                <w:p w14:paraId="6EFBACF1">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数控裁板锯</w:t>
                  </w:r>
                </w:p>
                <w:p w14:paraId="692E3DB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（电脑锯）</w:t>
                  </w:r>
                </w:p>
              </w:tc>
              <w:tc>
                <w:tcPr>
                  <w:tcW w:w="516" w:type="pct"/>
                  <w:vAlign w:val="center"/>
                </w:tcPr>
                <w:p w14:paraId="3322673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3D1459FD">
                  <w:pPr>
                    <w:jc w:val="center"/>
                    <w:rPr>
                      <w:color w:val="000000" w:themeColor="text1"/>
                      <w:szCs w:val="21"/>
                      <w:highlight w:val="none"/>
                      <w14:textFill>
                        <w14:solidFill>
                          <w14:schemeClr w14:val="tx1"/>
                        </w14:solidFill>
                      </w14:textFill>
                    </w:rPr>
                  </w:pPr>
                </w:p>
              </w:tc>
              <w:tc>
                <w:tcPr>
                  <w:tcW w:w="975" w:type="pct"/>
                  <w:vAlign w:val="center"/>
                </w:tcPr>
                <w:p w14:paraId="78352C98">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21A2E7E4">
                  <w:pPr>
                    <w:jc w:val="center"/>
                    <w:rPr>
                      <w:rFonts w:hint="eastAsia" w:eastAsia="宋体"/>
                      <w:color w:val="000000" w:themeColor="text1"/>
                      <w:szCs w:val="21"/>
                      <w:highlight w:val="none"/>
                      <w:lang w:val="en-US" w:eastAsia="zh-CN"/>
                      <w14:textFill>
                        <w14:solidFill>
                          <w14:schemeClr w14:val="tx1"/>
                        </w14:solidFill>
                      </w14:textFill>
                    </w:rPr>
                  </w:pPr>
                </w:p>
              </w:tc>
            </w:tr>
            <w:tr w14:paraId="3D9E3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442" w:type="pct"/>
                  <w:vAlign w:val="center"/>
                </w:tcPr>
                <w:p w14:paraId="06D2E29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1113" w:type="pct"/>
                  <w:vAlign w:val="center"/>
                </w:tcPr>
                <w:p w14:paraId="7DF6CC82">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数控六面钻孔</w:t>
                  </w:r>
                </w:p>
                <w:p w14:paraId="6DB9D81A">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数控钻孔中心）</w:t>
                  </w:r>
                </w:p>
              </w:tc>
              <w:tc>
                <w:tcPr>
                  <w:tcW w:w="516" w:type="pct"/>
                  <w:vAlign w:val="center"/>
                </w:tcPr>
                <w:p w14:paraId="6BEEDF0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5D345F39">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14:paraId="25C203EC">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14:paraId="16842758">
                  <w:pPr>
                    <w:jc w:val="center"/>
                    <w:rPr>
                      <w:rFonts w:hint="eastAsia" w:eastAsia="宋体"/>
                      <w:color w:val="000000" w:themeColor="text1"/>
                      <w:szCs w:val="21"/>
                      <w:highlight w:val="none"/>
                      <w:lang w:val="en-US" w:eastAsia="zh-CN"/>
                      <w14:textFill>
                        <w14:solidFill>
                          <w14:schemeClr w14:val="tx1"/>
                        </w14:solidFill>
                      </w14:textFill>
                    </w:rPr>
                  </w:pPr>
                </w:p>
              </w:tc>
            </w:tr>
            <w:tr w14:paraId="4BED1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53DD7AE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1113" w:type="pct"/>
                  <w:vAlign w:val="center"/>
                </w:tcPr>
                <w:p w14:paraId="6AD1D61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排钻</w:t>
                  </w:r>
                </w:p>
              </w:tc>
              <w:tc>
                <w:tcPr>
                  <w:tcW w:w="516" w:type="pct"/>
                  <w:vAlign w:val="center"/>
                </w:tcPr>
                <w:p w14:paraId="375A3BB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17FA3A0C">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14:paraId="2C190098">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14:paraId="29A63DBF">
                  <w:pPr>
                    <w:jc w:val="center"/>
                    <w:rPr>
                      <w:rFonts w:hint="eastAsia" w:eastAsia="宋体"/>
                      <w:color w:val="000000" w:themeColor="text1"/>
                      <w:szCs w:val="21"/>
                      <w:highlight w:val="none"/>
                      <w:lang w:val="en-US" w:eastAsia="zh-CN"/>
                      <w14:textFill>
                        <w14:solidFill>
                          <w14:schemeClr w14:val="tx1"/>
                        </w14:solidFill>
                      </w14:textFill>
                    </w:rPr>
                  </w:pPr>
                </w:p>
              </w:tc>
            </w:tr>
            <w:tr w14:paraId="53C8A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70856E0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1113" w:type="pct"/>
                  <w:vAlign w:val="center"/>
                </w:tcPr>
                <w:p w14:paraId="4821463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台钻</w:t>
                  </w:r>
                </w:p>
              </w:tc>
              <w:tc>
                <w:tcPr>
                  <w:tcW w:w="516" w:type="pct"/>
                  <w:vAlign w:val="center"/>
                </w:tcPr>
                <w:p w14:paraId="620A0DC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7448A658">
                  <w:pPr>
                    <w:jc w:val="center"/>
                    <w:rPr>
                      <w:color w:val="000000" w:themeColor="text1"/>
                      <w:szCs w:val="21"/>
                      <w:highlight w:val="none"/>
                      <w14:textFill>
                        <w14:solidFill>
                          <w14:schemeClr w14:val="tx1"/>
                        </w14:solidFill>
                      </w14:textFill>
                    </w:rPr>
                  </w:pPr>
                </w:p>
              </w:tc>
              <w:tc>
                <w:tcPr>
                  <w:tcW w:w="975" w:type="pct"/>
                  <w:vAlign w:val="center"/>
                </w:tcPr>
                <w:p w14:paraId="24163DC9">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211F4061">
                  <w:pPr>
                    <w:jc w:val="center"/>
                    <w:rPr>
                      <w:rFonts w:hint="eastAsia" w:eastAsia="宋体"/>
                      <w:color w:val="000000" w:themeColor="text1"/>
                      <w:szCs w:val="21"/>
                      <w:highlight w:val="none"/>
                      <w:lang w:val="en-US" w:eastAsia="zh-CN"/>
                      <w14:textFill>
                        <w14:solidFill>
                          <w14:schemeClr w14:val="tx1"/>
                        </w14:solidFill>
                      </w14:textFill>
                    </w:rPr>
                  </w:pPr>
                </w:p>
              </w:tc>
            </w:tr>
            <w:tr w14:paraId="3A627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38515EE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p>
              </w:tc>
              <w:tc>
                <w:tcPr>
                  <w:tcW w:w="1113" w:type="pct"/>
                  <w:vAlign w:val="center"/>
                </w:tcPr>
                <w:p w14:paraId="106BF47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空压机</w:t>
                  </w:r>
                </w:p>
              </w:tc>
              <w:tc>
                <w:tcPr>
                  <w:tcW w:w="516" w:type="pct"/>
                  <w:vAlign w:val="center"/>
                </w:tcPr>
                <w:p w14:paraId="422BC21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119184F7">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14:paraId="27C20280">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14:paraId="4C0B231A">
                  <w:pPr>
                    <w:jc w:val="center"/>
                    <w:rPr>
                      <w:rFonts w:hint="default" w:eastAsia="宋体"/>
                      <w:color w:val="000000" w:themeColor="text1"/>
                      <w:szCs w:val="21"/>
                      <w:highlight w:val="none"/>
                      <w:lang w:val="en-US" w:eastAsia="zh-CN"/>
                      <w14:textFill>
                        <w14:solidFill>
                          <w14:schemeClr w14:val="tx1"/>
                        </w14:solidFill>
                      </w14:textFill>
                    </w:rPr>
                  </w:pPr>
                </w:p>
              </w:tc>
            </w:tr>
            <w:tr w14:paraId="10679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5FB006C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w:t>
                  </w:r>
                </w:p>
              </w:tc>
              <w:tc>
                <w:tcPr>
                  <w:tcW w:w="1113" w:type="pct"/>
                  <w:vAlign w:val="center"/>
                </w:tcPr>
                <w:p w14:paraId="38ABAEF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冷压机</w:t>
                  </w:r>
                </w:p>
              </w:tc>
              <w:tc>
                <w:tcPr>
                  <w:tcW w:w="516" w:type="pct"/>
                  <w:vAlign w:val="center"/>
                </w:tcPr>
                <w:p w14:paraId="11ECCA0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71561FC7">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14:paraId="5757B79C">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14:paraId="5CFEBCF2">
                  <w:pPr>
                    <w:jc w:val="center"/>
                    <w:rPr>
                      <w:rFonts w:hint="eastAsia" w:eastAsia="宋体"/>
                      <w:color w:val="000000" w:themeColor="text1"/>
                      <w:szCs w:val="21"/>
                      <w:highlight w:val="none"/>
                      <w:lang w:val="en-US" w:eastAsia="zh-CN"/>
                      <w14:textFill>
                        <w14:solidFill>
                          <w14:schemeClr w14:val="tx1"/>
                        </w14:solidFill>
                      </w14:textFill>
                    </w:rPr>
                  </w:pPr>
                </w:p>
              </w:tc>
            </w:tr>
            <w:tr w14:paraId="479C8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635F5B9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c>
                <w:tcPr>
                  <w:tcW w:w="1113" w:type="pct"/>
                  <w:vAlign w:val="center"/>
                </w:tcPr>
                <w:p w14:paraId="7C5AD3B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电脑数控雕刻机</w:t>
                  </w:r>
                </w:p>
              </w:tc>
              <w:tc>
                <w:tcPr>
                  <w:tcW w:w="516" w:type="pct"/>
                  <w:vAlign w:val="center"/>
                </w:tcPr>
                <w:p w14:paraId="3D6B1E3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3ABBA6C1">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14:paraId="5AC5C9F0">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14:paraId="0E29CF60">
                  <w:pPr>
                    <w:jc w:val="center"/>
                    <w:rPr>
                      <w:rFonts w:hint="eastAsia" w:eastAsia="宋体"/>
                      <w:color w:val="000000" w:themeColor="text1"/>
                      <w:szCs w:val="21"/>
                      <w:highlight w:val="none"/>
                      <w:lang w:val="en-US" w:eastAsia="zh-CN"/>
                      <w14:textFill>
                        <w14:solidFill>
                          <w14:schemeClr w14:val="tx1"/>
                        </w14:solidFill>
                      </w14:textFill>
                    </w:rPr>
                  </w:pPr>
                </w:p>
              </w:tc>
            </w:tr>
            <w:tr w14:paraId="0A570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281B75D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w:t>
                  </w:r>
                </w:p>
              </w:tc>
              <w:tc>
                <w:tcPr>
                  <w:tcW w:w="1113" w:type="pct"/>
                  <w:vAlign w:val="center"/>
                </w:tcPr>
                <w:p w14:paraId="750DA2B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精锯</w:t>
                  </w:r>
                </w:p>
              </w:tc>
              <w:tc>
                <w:tcPr>
                  <w:tcW w:w="516" w:type="pct"/>
                  <w:vAlign w:val="center"/>
                </w:tcPr>
                <w:p w14:paraId="3CE87E8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145F61EB">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14:paraId="0EBA21A4">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14:paraId="44D6D900">
                  <w:pPr>
                    <w:jc w:val="center"/>
                    <w:rPr>
                      <w:rFonts w:hint="eastAsia" w:eastAsia="宋体"/>
                      <w:color w:val="000000" w:themeColor="text1"/>
                      <w:szCs w:val="21"/>
                      <w:highlight w:val="none"/>
                      <w:lang w:val="en-US" w:eastAsia="zh-CN"/>
                      <w14:textFill>
                        <w14:solidFill>
                          <w14:schemeClr w14:val="tx1"/>
                        </w14:solidFill>
                      </w14:textFill>
                    </w:rPr>
                  </w:pPr>
                </w:p>
              </w:tc>
            </w:tr>
            <w:tr w14:paraId="49C13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4E00E8F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1113" w:type="pct"/>
                  <w:vAlign w:val="center"/>
                </w:tcPr>
                <w:p w14:paraId="29C2598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压刨机</w:t>
                  </w:r>
                </w:p>
              </w:tc>
              <w:tc>
                <w:tcPr>
                  <w:tcW w:w="516" w:type="pct"/>
                  <w:vAlign w:val="center"/>
                </w:tcPr>
                <w:p w14:paraId="785B850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46725C85">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4E7A88C7">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7C37E8B0">
                  <w:pPr>
                    <w:jc w:val="center"/>
                    <w:rPr>
                      <w:rFonts w:hint="eastAsia"/>
                      <w:color w:val="000000" w:themeColor="text1"/>
                      <w:szCs w:val="21"/>
                      <w:highlight w:val="none"/>
                      <w14:textFill>
                        <w14:solidFill>
                          <w14:schemeClr w14:val="tx1"/>
                        </w14:solidFill>
                      </w14:textFill>
                    </w:rPr>
                  </w:pPr>
                </w:p>
              </w:tc>
            </w:tr>
            <w:tr w14:paraId="2CA35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6458707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w:t>
                  </w:r>
                </w:p>
              </w:tc>
              <w:tc>
                <w:tcPr>
                  <w:tcW w:w="1113" w:type="pct"/>
                  <w:vAlign w:val="center"/>
                </w:tcPr>
                <w:p w14:paraId="0E99F7C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平刨机</w:t>
                  </w:r>
                </w:p>
              </w:tc>
              <w:tc>
                <w:tcPr>
                  <w:tcW w:w="516" w:type="pct"/>
                  <w:vAlign w:val="center"/>
                </w:tcPr>
                <w:p w14:paraId="7E3F590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7E640BF9">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0FEE5882">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586B3AE6">
                  <w:pPr>
                    <w:jc w:val="center"/>
                    <w:rPr>
                      <w:rFonts w:hint="eastAsia"/>
                      <w:color w:val="000000" w:themeColor="text1"/>
                      <w:szCs w:val="21"/>
                      <w:highlight w:val="none"/>
                      <w14:textFill>
                        <w14:solidFill>
                          <w14:schemeClr w14:val="tx1"/>
                        </w14:solidFill>
                      </w14:textFill>
                    </w:rPr>
                  </w:pPr>
                </w:p>
              </w:tc>
            </w:tr>
            <w:tr w14:paraId="40347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790C374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w:t>
                  </w:r>
                </w:p>
              </w:tc>
              <w:tc>
                <w:tcPr>
                  <w:tcW w:w="1113" w:type="pct"/>
                  <w:vAlign w:val="center"/>
                </w:tcPr>
                <w:p w14:paraId="4738B6D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双面锯</w:t>
                  </w:r>
                </w:p>
              </w:tc>
              <w:tc>
                <w:tcPr>
                  <w:tcW w:w="516" w:type="pct"/>
                  <w:vAlign w:val="center"/>
                </w:tcPr>
                <w:p w14:paraId="6D27346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204B7D01">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27C0B4FE">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79CB345E">
                  <w:pPr>
                    <w:jc w:val="center"/>
                    <w:rPr>
                      <w:rFonts w:hint="eastAsia"/>
                      <w:color w:val="000000" w:themeColor="text1"/>
                      <w:szCs w:val="21"/>
                      <w:highlight w:val="none"/>
                      <w14:textFill>
                        <w14:solidFill>
                          <w14:schemeClr w14:val="tx1"/>
                        </w14:solidFill>
                      </w14:textFill>
                    </w:rPr>
                  </w:pPr>
                </w:p>
              </w:tc>
            </w:tr>
            <w:tr w14:paraId="561DB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027631C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w:t>
                  </w:r>
                </w:p>
              </w:tc>
              <w:tc>
                <w:tcPr>
                  <w:tcW w:w="1113" w:type="pct"/>
                  <w:vAlign w:val="center"/>
                </w:tcPr>
                <w:p w14:paraId="04A791E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重锯</w:t>
                  </w:r>
                </w:p>
              </w:tc>
              <w:tc>
                <w:tcPr>
                  <w:tcW w:w="516" w:type="pct"/>
                  <w:vAlign w:val="center"/>
                </w:tcPr>
                <w:p w14:paraId="23A05B3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224BC330">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5A1E926F">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41287DD2">
                  <w:pPr>
                    <w:jc w:val="center"/>
                    <w:rPr>
                      <w:rFonts w:hint="eastAsia"/>
                      <w:color w:val="000000" w:themeColor="text1"/>
                      <w:szCs w:val="21"/>
                      <w:highlight w:val="none"/>
                      <w14:textFill>
                        <w14:solidFill>
                          <w14:schemeClr w14:val="tx1"/>
                        </w14:solidFill>
                      </w14:textFill>
                    </w:rPr>
                  </w:pPr>
                </w:p>
              </w:tc>
            </w:tr>
            <w:tr w14:paraId="654A0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4A8C964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14</w:t>
                  </w:r>
                </w:p>
              </w:tc>
              <w:tc>
                <w:tcPr>
                  <w:tcW w:w="1113" w:type="pct"/>
                  <w:vAlign w:val="center"/>
                </w:tcPr>
                <w:p w14:paraId="43F74FB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线条机</w:t>
                  </w:r>
                </w:p>
              </w:tc>
              <w:tc>
                <w:tcPr>
                  <w:tcW w:w="516" w:type="pct"/>
                  <w:vAlign w:val="center"/>
                </w:tcPr>
                <w:p w14:paraId="402C6C0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39C53A41">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68511401">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2C930260">
                  <w:pPr>
                    <w:jc w:val="center"/>
                    <w:rPr>
                      <w:rFonts w:hint="eastAsia"/>
                      <w:color w:val="000000" w:themeColor="text1"/>
                      <w:szCs w:val="21"/>
                      <w:highlight w:val="none"/>
                      <w14:textFill>
                        <w14:solidFill>
                          <w14:schemeClr w14:val="tx1"/>
                        </w14:solidFill>
                      </w14:textFill>
                    </w:rPr>
                  </w:pPr>
                </w:p>
              </w:tc>
            </w:tr>
            <w:tr w14:paraId="5AB13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41A968A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1113" w:type="pct"/>
                  <w:vAlign w:val="center"/>
                </w:tcPr>
                <w:p w14:paraId="529499C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带锯</w:t>
                  </w:r>
                </w:p>
              </w:tc>
              <w:tc>
                <w:tcPr>
                  <w:tcW w:w="516" w:type="pct"/>
                  <w:vAlign w:val="center"/>
                </w:tcPr>
                <w:p w14:paraId="40E1B00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4807FBF3">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46F26F10">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05B07F3C">
                  <w:pPr>
                    <w:jc w:val="center"/>
                    <w:rPr>
                      <w:rFonts w:hint="eastAsia"/>
                      <w:color w:val="000000" w:themeColor="text1"/>
                      <w:szCs w:val="21"/>
                      <w:highlight w:val="none"/>
                      <w14:textFill>
                        <w14:solidFill>
                          <w14:schemeClr w14:val="tx1"/>
                        </w14:solidFill>
                      </w14:textFill>
                    </w:rPr>
                  </w:pPr>
                </w:p>
              </w:tc>
            </w:tr>
            <w:tr w14:paraId="0272E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40526B0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16</w:t>
                  </w:r>
                </w:p>
              </w:tc>
              <w:tc>
                <w:tcPr>
                  <w:tcW w:w="1113" w:type="pct"/>
                  <w:vAlign w:val="center"/>
                </w:tcPr>
                <w:p w14:paraId="16A4120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五叠锯</w:t>
                  </w:r>
                </w:p>
              </w:tc>
              <w:tc>
                <w:tcPr>
                  <w:tcW w:w="516" w:type="pct"/>
                  <w:vAlign w:val="center"/>
                </w:tcPr>
                <w:p w14:paraId="17A2C4D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16E2C9CD">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47A198F8">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550FE98A">
                  <w:pPr>
                    <w:jc w:val="center"/>
                    <w:rPr>
                      <w:rFonts w:hint="eastAsia"/>
                      <w:color w:val="000000" w:themeColor="text1"/>
                      <w:szCs w:val="21"/>
                      <w:highlight w:val="none"/>
                      <w14:textFill>
                        <w14:solidFill>
                          <w14:schemeClr w14:val="tx1"/>
                        </w14:solidFill>
                      </w14:textFill>
                    </w:rPr>
                  </w:pPr>
                </w:p>
              </w:tc>
            </w:tr>
            <w:tr w14:paraId="0E8CE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32F3FD6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w:t>
                  </w:r>
                </w:p>
              </w:tc>
              <w:tc>
                <w:tcPr>
                  <w:tcW w:w="1113" w:type="pct"/>
                  <w:vAlign w:val="center"/>
                </w:tcPr>
                <w:p w14:paraId="44C8A02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立铣</w:t>
                  </w:r>
                </w:p>
              </w:tc>
              <w:tc>
                <w:tcPr>
                  <w:tcW w:w="516" w:type="pct"/>
                  <w:vAlign w:val="center"/>
                </w:tcPr>
                <w:p w14:paraId="3C76062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482E48BB">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1B183A8F">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4D27B3D1">
                  <w:pPr>
                    <w:jc w:val="center"/>
                    <w:rPr>
                      <w:rFonts w:hint="eastAsia"/>
                      <w:color w:val="000000" w:themeColor="text1"/>
                      <w:szCs w:val="21"/>
                      <w:highlight w:val="none"/>
                      <w14:textFill>
                        <w14:solidFill>
                          <w14:schemeClr w14:val="tx1"/>
                        </w14:solidFill>
                      </w14:textFill>
                    </w:rPr>
                  </w:pPr>
                </w:p>
              </w:tc>
            </w:tr>
            <w:tr w14:paraId="44C92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7FED6FA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18</w:t>
                  </w:r>
                </w:p>
              </w:tc>
              <w:tc>
                <w:tcPr>
                  <w:tcW w:w="1113" w:type="pct"/>
                  <w:vAlign w:val="center"/>
                </w:tcPr>
                <w:p w14:paraId="68815F9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打眼机</w:t>
                  </w:r>
                </w:p>
              </w:tc>
              <w:tc>
                <w:tcPr>
                  <w:tcW w:w="516" w:type="pct"/>
                  <w:vAlign w:val="center"/>
                </w:tcPr>
                <w:p w14:paraId="34E16B5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60E6DF06">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3BBA1916">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6A43892A">
                  <w:pPr>
                    <w:jc w:val="center"/>
                    <w:rPr>
                      <w:rFonts w:hint="eastAsia"/>
                      <w:color w:val="000000" w:themeColor="text1"/>
                      <w:szCs w:val="21"/>
                      <w:highlight w:val="none"/>
                      <w14:textFill>
                        <w14:solidFill>
                          <w14:schemeClr w14:val="tx1"/>
                        </w14:solidFill>
                      </w14:textFill>
                    </w:rPr>
                  </w:pPr>
                </w:p>
              </w:tc>
            </w:tr>
            <w:tr w14:paraId="0E2EC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2C00E27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19</w:t>
                  </w:r>
                </w:p>
              </w:tc>
              <w:tc>
                <w:tcPr>
                  <w:tcW w:w="1113" w:type="pct"/>
                  <w:vAlign w:val="center"/>
                </w:tcPr>
                <w:p w14:paraId="3FE3097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侧眼机</w:t>
                  </w:r>
                </w:p>
              </w:tc>
              <w:tc>
                <w:tcPr>
                  <w:tcW w:w="516" w:type="pct"/>
                  <w:vAlign w:val="center"/>
                </w:tcPr>
                <w:p w14:paraId="5D96A96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1B7AD935">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49C0FEA4">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747C6359">
                  <w:pPr>
                    <w:jc w:val="center"/>
                    <w:rPr>
                      <w:rFonts w:hint="eastAsia"/>
                      <w:color w:val="000000" w:themeColor="text1"/>
                      <w:szCs w:val="21"/>
                      <w:highlight w:val="none"/>
                      <w14:textFill>
                        <w14:solidFill>
                          <w14:schemeClr w14:val="tx1"/>
                        </w14:solidFill>
                      </w14:textFill>
                    </w:rPr>
                  </w:pPr>
                </w:p>
              </w:tc>
            </w:tr>
            <w:tr w14:paraId="572BF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2665366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w:t>
                  </w:r>
                </w:p>
              </w:tc>
              <w:tc>
                <w:tcPr>
                  <w:tcW w:w="1113" w:type="pct"/>
                  <w:vAlign w:val="center"/>
                </w:tcPr>
                <w:p w14:paraId="4ADC53F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地锣</w:t>
                  </w:r>
                </w:p>
              </w:tc>
              <w:tc>
                <w:tcPr>
                  <w:tcW w:w="516" w:type="pct"/>
                  <w:vAlign w:val="center"/>
                </w:tcPr>
                <w:p w14:paraId="5196526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0DC90E6A">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49CF5CCE">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3DC292DF">
                  <w:pPr>
                    <w:jc w:val="center"/>
                    <w:rPr>
                      <w:rFonts w:hint="eastAsia"/>
                      <w:color w:val="000000" w:themeColor="text1"/>
                      <w:szCs w:val="21"/>
                      <w:highlight w:val="none"/>
                      <w14:textFill>
                        <w14:solidFill>
                          <w14:schemeClr w14:val="tx1"/>
                        </w14:solidFill>
                      </w14:textFill>
                    </w:rPr>
                  </w:pPr>
                </w:p>
              </w:tc>
            </w:tr>
            <w:tr w14:paraId="799C8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36FBB401">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21</w:t>
                  </w:r>
                </w:p>
              </w:tc>
              <w:tc>
                <w:tcPr>
                  <w:tcW w:w="1113" w:type="pct"/>
                  <w:vAlign w:val="center"/>
                </w:tcPr>
                <w:p w14:paraId="600143B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弧形封边机</w:t>
                  </w:r>
                </w:p>
              </w:tc>
              <w:tc>
                <w:tcPr>
                  <w:tcW w:w="516" w:type="pct"/>
                  <w:vAlign w:val="center"/>
                </w:tcPr>
                <w:p w14:paraId="11117EF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70190069">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6978995B">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19E7ECDD">
                  <w:pPr>
                    <w:jc w:val="center"/>
                    <w:rPr>
                      <w:rFonts w:hint="eastAsia"/>
                      <w:color w:val="000000" w:themeColor="text1"/>
                      <w:szCs w:val="21"/>
                      <w:highlight w:val="none"/>
                      <w14:textFill>
                        <w14:solidFill>
                          <w14:schemeClr w14:val="tx1"/>
                        </w14:solidFill>
                      </w14:textFill>
                    </w:rPr>
                  </w:pPr>
                </w:p>
              </w:tc>
            </w:tr>
            <w:tr w14:paraId="64E9A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7A2DFC4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22</w:t>
                  </w:r>
                </w:p>
              </w:tc>
              <w:tc>
                <w:tcPr>
                  <w:tcW w:w="1113" w:type="pct"/>
                  <w:vAlign w:val="center"/>
                </w:tcPr>
                <w:p w14:paraId="2EF1F4D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倒角机</w:t>
                  </w:r>
                </w:p>
              </w:tc>
              <w:tc>
                <w:tcPr>
                  <w:tcW w:w="516" w:type="pct"/>
                  <w:vAlign w:val="center"/>
                </w:tcPr>
                <w:p w14:paraId="7098D8D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23757B3A">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02CFBAA8">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200D18AC">
                  <w:pPr>
                    <w:jc w:val="center"/>
                    <w:rPr>
                      <w:rFonts w:hint="eastAsia"/>
                      <w:color w:val="000000" w:themeColor="text1"/>
                      <w:szCs w:val="21"/>
                      <w:highlight w:val="none"/>
                      <w14:textFill>
                        <w14:solidFill>
                          <w14:schemeClr w14:val="tx1"/>
                        </w14:solidFill>
                      </w14:textFill>
                    </w:rPr>
                  </w:pPr>
                </w:p>
              </w:tc>
            </w:tr>
            <w:tr w14:paraId="15473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514D477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23</w:t>
                  </w:r>
                </w:p>
              </w:tc>
              <w:tc>
                <w:tcPr>
                  <w:tcW w:w="1113" w:type="pct"/>
                  <w:vAlign w:val="center"/>
                </w:tcPr>
                <w:p w14:paraId="74F9D75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砂光机</w:t>
                  </w:r>
                </w:p>
              </w:tc>
              <w:tc>
                <w:tcPr>
                  <w:tcW w:w="516" w:type="pct"/>
                  <w:vAlign w:val="center"/>
                </w:tcPr>
                <w:p w14:paraId="7F0E852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4BC96E65">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14:paraId="0F89E95E">
                  <w:pPr>
                    <w:jc w:val="center"/>
                    <w:rPr>
                      <w:rFonts w:hint="default"/>
                      <w:color w:val="000000" w:themeColor="text1"/>
                      <w:szCs w:val="21"/>
                      <w:highlight w:val="none"/>
                      <w:lang w:val="en-US" w:eastAsia="zh-CN"/>
                      <w14:textFill>
                        <w14:solidFill>
                          <w14:schemeClr w14:val="tx1"/>
                        </w14:solidFill>
                      </w14:textFill>
                    </w:rPr>
                  </w:pPr>
                </w:p>
              </w:tc>
              <w:tc>
                <w:tcPr>
                  <w:tcW w:w="1631" w:type="dxa"/>
                  <w:vAlign w:val="center"/>
                </w:tcPr>
                <w:p w14:paraId="3F2C77C4">
                  <w:pPr>
                    <w:jc w:val="center"/>
                    <w:rPr>
                      <w:rFonts w:hint="eastAsia"/>
                      <w:color w:val="000000" w:themeColor="text1"/>
                      <w:szCs w:val="21"/>
                      <w:highlight w:val="none"/>
                      <w:lang w:val="en-US" w:eastAsia="zh-CN"/>
                      <w14:textFill>
                        <w14:solidFill>
                          <w14:schemeClr w14:val="tx1"/>
                        </w14:solidFill>
                      </w14:textFill>
                    </w:rPr>
                  </w:pPr>
                </w:p>
              </w:tc>
            </w:tr>
            <w:tr w14:paraId="69C6B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52CB556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24</w:t>
                  </w:r>
                </w:p>
              </w:tc>
              <w:tc>
                <w:tcPr>
                  <w:tcW w:w="1113" w:type="pct"/>
                  <w:vAlign w:val="center"/>
                </w:tcPr>
                <w:p w14:paraId="7CA1AC4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手持打磨机</w:t>
                  </w:r>
                </w:p>
              </w:tc>
              <w:tc>
                <w:tcPr>
                  <w:tcW w:w="516" w:type="pct"/>
                  <w:vAlign w:val="center"/>
                </w:tcPr>
                <w:p w14:paraId="36B35DC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027EBE8C">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14:paraId="4C87966B">
                  <w:pPr>
                    <w:jc w:val="center"/>
                    <w:rPr>
                      <w:rFonts w:hint="default"/>
                      <w:color w:val="000000" w:themeColor="text1"/>
                      <w:szCs w:val="21"/>
                      <w:highlight w:val="none"/>
                      <w:lang w:val="en-US" w:eastAsia="zh-CN"/>
                      <w14:textFill>
                        <w14:solidFill>
                          <w14:schemeClr w14:val="tx1"/>
                        </w14:solidFill>
                      </w14:textFill>
                    </w:rPr>
                  </w:pPr>
                </w:p>
              </w:tc>
              <w:tc>
                <w:tcPr>
                  <w:tcW w:w="1631" w:type="dxa"/>
                  <w:vAlign w:val="center"/>
                </w:tcPr>
                <w:p w14:paraId="0783FAC4">
                  <w:pPr>
                    <w:jc w:val="center"/>
                    <w:rPr>
                      <w:rFonts w:hint="eastAsia"/>
                      <w:color w:val="000000" w:themeColor="text1"/>
                      <w:szCs w:val="21"/>
                      <w:highlight w:val="none"/>
                      <w:lang w:val="en-US" w:eastAsia="zh-CN"/>
                      <w14:textFill>
                        <w14:solidFill>
                          <w14:schemeClr w14:val="tx1"/>
                        </w14:solidFill>
                      </w14:textFill>
                    </w:rPr>
                  </w:pPr>
                </w:p>
              </w:tc>
            </w:tr>
            <w:tr w14:paraId="22DC9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3E6EECA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25</w:t>
                  </w:r>
                </w:p>
              </w:tc>
              <w:tc>
                <w:tcPr>
                  <w:tcW w:w="1113" w:type="pct"/>
                  <w:vAlign w:val="center"/>
                </w:tcPr>
                <w:p w14:paraId="292C1F6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水帘喷漆台</w:t>
                  </w:r>
                </w:p>
              </w:tc>
              <w:tc>
                <w:tcPr>
                  <w:tcW w:w="516" w:type="pct"/>
                  <w:vAlign w:val="center"/>
                </w:tcPr>
                <w:p w14:paraId="0620AE2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261CD288">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1137E798">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0289C05A">
                  <w:pPr>
                    <w:jc w:val="center"/>
                    <w:rPr>
                      <w:rFonts w:hint="eastAsia"/>
                      <w:color w:val="000000" w:themeColor="text1"/>
                      <w:szCs w:val="21"/>
                      <w:highlight w:val="none"/>
                      <w14:textFill>
                        <w14:solidFill>
                          <w14:schemeClr w14:val="tx1"/>
                        </w14:solidFill>
                      </w14:textFill>
                    </w:rPr>
                  </w:pPr>
                </w:p>
              </w:tc>
            </w:tr>
            <w:tr w14:paraId="31063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3593BBD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26</w:t>
                  </w:r>
                </w:p>
              </w:tc>
              <w:tc>
                <w:tcPr>
                  <w:tcW w:w="1113" w:type="pct"/>
                  <w:vAlign w:val="center"/>
                </w:tcPr>
                <w:p w14:paraId="2B8075D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无尘表干房</w:t>
                  </w:r>
                </w:p>
              </w:tc>
              <w:tc>
                <w:tcPr>
                  <w:tcW w:w="516" w:type="pct"/>
                  <w:vAlign w:val="center"/>
                </w:tcPr>
                <w:p w14:paraId="6A48AC6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1918C7D5">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228065E6">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50E9DBAD">
                  <w:pPr>
                    <w:jc w:val="center"/>
                    <w:rPr>
                      <w:rFonts w:hint="eastAsia"/>
                      <w:color w:val="000000" w:themeColor="text1"/>
                      <w:szCs w:val="21"/>
                      <w:highlight w:val="none"/>
                      <w14:textFill>
                        <w14:solidFill>
                          <w14:schemeClr w14:val="tx1"/>
                        </w14:solidFill>
                      </w14:textFill>
                    </w:rPr>
                  </w:pPr>
                </w:p>
              </w:tc>
            </w:tr>
            <w:tr w14:paraId="1A45E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14:paraId="67EBB64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27</w:t>
                  </w:r>
                </w:p>
              </w:tc>
              <w:tc>
                <w:tcPr>
                  <w:tcW w:w="1113" w:type="pct"/>
                  <w:vAlign w:val="center"/>
                </w:tcPr>
                <w:p w14:paraId="56C7B54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水性漆烤房</w:t>
                  </w:r>
                </w:p>
              </w:tc>
              <w:tc>
                <w:tcPr>
                  <w:tcW w:w="516" w:type="pct"/>
                  <w:vAlign w:val="center"/>
                </w:tcPr>
                <w:p w14:paraId="4CE80D0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14:paraId="50224D87">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14:paraId="334F085C">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14:paraId="6A17823E">
                  <w:pPr>
                    <w:jc w:val="center"/>
                    <w:rPr>
                      <w:rFonts w:hint="eastAsia"/>
                      <w:color w:val="000000" w:themeColor="text1"/>
                      <w:szCs w:val="21"/>
                      <w:highlight w:val="none"/>
                      <w14:textFill>
                        <w14:solidFill>
                          <w14:schemeClr w14:val="tx1"/>
                        </w14:solidFill>
                      </w14:textFill>
                    </w:rPr>
                  </w:pPr>
                </w:p>
              </w:tc>
            </w:tr>
          </w:tbl>
          <w:p w14:paraId="251E691A">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6厂区平面</w:t>
            </w:r>
            <w:r>
              <w:rPr>
                <w:b/>
                <w:color w:val="000000" w:themeColor="text1"/>
                <w:sz w:val="30"/>
                <w:szCs w:val="30"/>
                <w:highlight w:val="none"/>
                <w14:textFill>
                  <w14:solidFill>
                    <w14:schemeClr w14:val="tx1"/>
                  </w14:solidFill>
                </w14:textFill>
              </w:rPr>
              <w:t>布置</w:t>
            </w:r>
          </w:p>
          <w:p w14:paraId="05FA83C9">
            <w:pPr>
              <w:pStyle w:val="332"/>
              <w:rPr>
                <w:color w:val="000000" w:themeColor="text1"/>
                <w:highlight w:val="none"/>
                <w14:textFill>
                  <w14:solidFill>
                    <w14:schemeClr w14:val="tx1"/>
                  </w14:solidFill>
                </w14:textFill>
              </w:rPr>
            </w:pPr>
            <w:r>
              <w:rPr>
                <w:rFonts w:hint="eastAsia" w:cs="宋体"/>
                <w:color w:val="000000" w:themeColor="text1"/>
                <w:highlight w:val="none"/>
                <w:lang w:eastAsia="zh-CN"/>
                <w14:textFill>
                  <w14:solidFill>
                    <w14:schemeClr w14:val="tx1"/>
                  </w14:solidFill>
                </w14:textFill>
              </w:rPr>
              <w:t>扩建</w:t>
            </w:r>
            <w:r>
              <w:rPr>
                <w:rFonts w:hint="eastAsia" w:cs="宋体"/>
                <w:color w:val="000000" w:themeColor="text1"/>
                <w:highlight w:val="none"/>
                <w14:textFill>
                  <w14:solidFill>
                    <w14:schemeClr w14:val="tx1"/>
                  </w14:solidFill>
                </w14:textFill>
              </w:rPr>
              <w:t>项目拟建于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s="宋体"/>
                <w:color w:val="000000" w:themeColor="text1"/>
                <w:highlight w:val="none"/>
                <w14:textFill>
                  <w14:solidFill>
                    <w14:schemeClr w14:val="tx1"/>
                  </w14:solidFill>
                </w14:textFill>
              </w:rPr>
              <w:t>生产车间内分布有木工区、</w:t>
            </w:r>
            <w:r>
              <w:rPr>
                <w:rFonts w:hint="eastAsia" w:cs="宋体"/>
                <w:color w:val="000000" w:themeColor="text1"/>
                <w:highlight w:val="none"/>
                <w:lang w:eastAsia="zh-CN"/>
                <w14:textFill>
                  <w14:solidFill>
                    <w14:schemeClr w14:val="tx1"/>
                  </w14:solidFill>
                </w14:textFill>
              </w:rPr>
              <w:t>封边区、</w:t>
            </w:r>
            <w:r>
              <w:rPr>
                <w:rFonts w:hint="eastAsia" w:cs="宋体"/>
                <w:color w:val="000000" w:themeColor="text1"/>
                <w:highlight w:val="none"/>
                <w14:textFill>
                  <w14:solidFill>
                    <w14:schemeClr w14:val="tx1"/>
                  </w14:solidFill>
                </w14:textFill>
              </w:rPr>
              <w:t>打磨区、喷漆区等。平面布置紧凑合理，能够满足生产需求。工程在充分考虑生产工艺特点等基础上，本着生产工艺流畅、布置紧凑、人物分流、环境整洁美观、投资最小化，对周边环境影响最小化等因素布置厂区总平面图，从总体上来看是合理的。</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车间设备布置图见附图</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p>
        </w:tc>
      </w:tr>
    </w:tbl>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41BC5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55" w:type="dxa"/>
            <w:vAlign w:val="center"/>
          </w:tcPr>
          <w:p w14:paraId="43570A8E">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工艺流程和产排污环节</w:t>
            </w:r>
          </w:p>
        </w:tc>
        <w:tc>
          <w:tcPr>
            <w:tcW w:w="8605" w:type="dxa"/>
          </w:tcPr>
          <w:p w14:paraId="3FCF1BF5">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7生产</w:t>
            </w:r>
            <w:r>
              <w:rPr>
                <w:b/>
                <w:color w:val="000000" w:themeColor="text1"/>
                <w:sz w:val="30"/>
                <w:szCs w:val="30"/>
                <w:highlight w:val="none"/>
                <w14:textFill>
                  <w14:solidFill>
                    <w14:schemeClr w14:val="tx1"/>
                  </w14:solidFill>
                </w14:textFill>
              </w:rPr>
              <w:t>工艺流程</w:t>
            </w:r>
          </w:p>
          <w:p w14:paraId="4A2A60C3">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具体生产工艺流程如下：</w:t>
            </w:r>
          </w:p>
          <w:p w14:paraId="180D14D4">
            <w:pPr>
              <w:pStyle w:val="86"/>
              <w:spacing w:line="240" w:lineRule="auto"/>
              <w:ind w:firstLine="0" w:firstLineChars="0"/>
              <w:jc w:val="center"/>
              <w:rPr>
                <w:color w:val="000000" w:themeColor="text1"/>
                <w:highlight w:val="none"/>
                <w14:textFill>
                  <w14:solidFill>
                    <w14:schemeClr w14:val="tx1"/>
                  </w14:solidFill>
                </w14:textFill>
              </w:rPr>
            </w:pPr>
          </w:p>
          <w:p w14:paraId="6B19916F">
            <w:pPr>
              <w:pStyle w:val="86"/>
              <w:spacing w:line="240" w:lineRule="auto"/>
              <w:ind w:firstLine="0" w:firstLineChars="0"/>
              <w:jc w:val="center"/>
              <w:rPr>
                <w:color w:val="000000" w:themeColor="text1"/>
                <w:highlight w:val="none"/>
                <w14:textFill>
                  <w14:solidFill>
                    <w14:schemeClr w14:val="tx1"/>
                  </w14:solidFill>
                </w14:textFill>
              </w:rPr>
            </w:pPr>
          </w:p>
          <w:p w14:paraId="68952A95">
            <w:pPr>
              <w:pStyle w:val="86"/>
              <w:spacing w:line="240" w:lineRule="auto"/>
              <w:ind w:firstLine="0" w:firstLineChars="0"/>
              <w:jc w:val="center"/>
              <w:rPr>
                <w:color w:val="000000" w:themeColor="text1"/>
                <w:highlight w:val="none"/>
                <w14:textFill>
                  <w14:solidFill>
                    <w14:schemeClr w14:val="tx1"/>
                  </w14:solidFill>
                </w14:textFill>
              </w:rPr>
            </w:pPr>
          </w:p>
          <w:p w14:paraId="44E0D412">
            <w:pPr>
              <w:pStyle w:val="86"/>
              <w:spacing w:line="240" w:lineRule="auto"/>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图2.</w:t>
            </w:r>
            <w:r>
              <w:rPr>
                <w:rFonts w:hint="eastAsia"/>
                <w:b/>
                <w:color w:val="000000" w:themeColor="text1"/>
                <w:highlight w:val="none"/>
                <w14:textFill>
                  <w14:solidFill>
                    <w14:schemeClr w14:val="tx1"/>
                  </w14:solidFill>
                </w14:textFill>
              </w:rPr>
              <w:t>7</w:t>
            </w:r>
            <w:r>
              <w:rPr>
                <w:b/>
                <w:color w:val="000000" w:themeColor="text1"/>
                <w:highlight w:val="none"/>
                <w14:textFill>
                  <w14:solidFill>
                    <w14:schemeClr w14:val="tx1"/>
                  </w14:solidFill>
                </w14:textFill>
              </w:rPr>
              <w:t xml:space="preserve">-1  </w:t>
            </w:r>
            <w:r>
              <w:rPr>
                <w:rFonts w:hint="eastAsia"/>
                <w:b/>
                <w:color w:val="000000" w:themeColor="text1"/>
                <w:highlight w:val="none"/>
                <w:lang w:eastAsia="zh-CN"/>
                <w14:textFill>
                  <w14:solidFill>
                    <w14:schemeClr w14:val="tx1"/>
                  </w14:solidFill>
                </w14:textFill>
              </w:rPr>
              <w:t>扩建</w:t>
            </w:r>
            <w:r>
              <w:rPr>
                <w:b/>
                <w:color w:val="000000" w:themeColor="text1"/>
                <w:highlight w:val="none"/>
                <w14:textFill>
                  <w14:solidFill>
                    <w14:schemeClr w14:val="tx1"/>
                  </w14:solidFill>
                </w14:textFill>
              </w:rPr>
              <w:t>项目</w:t>
            </w:r>
            <w:r>
              <w:rPr>
                <w:rFonts w:hint="eastAsia"/>
                <w:b/>
                <w:color w:val="000000" w:themeColor="text1"/>
                <w:highlight w:val="none"/>
                <w14:textFill>
                  <w14:solidFill>
                    <w14:schemeClr w14:val="tx1"/>
                  </w14:solidFill>
                </w14:textFill>
              </w:rPr>
              <w:t>木质家具</w:t>
            </w:r>
            <w:r>
              <w:rPr>
                <w:b/>
                <w:color w:val="000000" w:themeColor="text1"/>
                <w:highlight w:val="none"/>
                <w14:textFill>
                  <w14:solidFill>
                    <w14:schemeClr w14:val="tx1"/>
                  </w14:solidFill>
                </w14:textFill>
              </w:rPr>
              <w:t>生产工艺流程及产污环节示意图</w:t>
            </w:r>
          </w:p>
          <w:p w14:paraId="072F2FD7">
            <w:pPr>
              <w:pStyle w:val="86"/>
              <w:ind w:firstLine="482"/>
              <w:jc w:val="center"/>
              <w:rPr>
                <w:rFonts w:hint="eastAsia" w:eastAsia="宋体"/>
                <w:b/>
                <w:color w:val="000000" w:themeColor="text1"/>
                <w:highlight w:val="none"/>
                <w:lang w:eastAsia="zh-CN"/>
                <w14:textFill>
                  <w14:solidFill>
                    <w14:schemeClr w14:val="tx1"/>
                  </w14:solidFill>
                </w14:textFill>
              </w:rPr>
            </w:pPr>
            <w:r>
              <w:rPr>
                <w:rFonts w:hint="eastAsia"/>
                <w:b/>
                <w:color w:val="000000" w:themeColor="text1"/>
                <w:highlight w:val="none"/>
                <w:lang w:eastAsia="zh-CN"/>
                <w14:textFill>
                  <w14:solidFill>
                    <w14:schemeClr w14:val="tx1"/>
                  </w14:solidFill>
                </w14:textFill>
              </w:rPr>
              <w:t>（红框为扩建新增工序）</w:t>
            </w:r>
          </w:p>
          <w:p w14:paraId="6F7539F5">
            <w:pPr>
              <w:pStyle w:val="86"/>
              <w:ind w:firstLine="4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主要工艺说明</w:t>
            </w:r>
            <w:r>
              <w:rPr>
                <w:rFonts w:hint="eastAsia"/>
                <w:b/>
                <w:color w:val="000000" w:themeColor="text1"/>
                <w:highlight w:val="none"/>
                <w14:textFill>
                  <w14:solidFill>
                    <w14:schemeClr w14:val="tx1"/>
                  </w14:solidFill>
                </w14:textFill>
              </w:rPr>
              <w:t>：</w:t>
            </w:r>
          </w:p>
          <w:p w14:paraId="06030615">
            <w:pPr>
              <w:spacing w:line="360" w:lineRule="auto"/>
              <w:ind w:firstLine="480" w:firstLineChars="200"/>
              <w:rPr>
                <w:color w:val="000000" w:themeColor="text1"/>
                <w:sz w:val="24"/>
                <w:szCs w:val="20"/>
                <w:highlight w:val="none"/>
                <w14:textFill>
                  <w14:solidFill>
                    <w14:schemeClr w14:val="tx1"/>
                  </w14:solidFill>
                </w14:textFill>
              </w:rPr>
            </w:pPr>
            <w:r>
              <w:rPr>
                <w:rFonts w:hint="eastAsia"/>
                <w:color w:val="000000" w:themeColor="text1"/>
                <w:sz w:val="24"/>
                <w:szCs w:val="20"/>
                <w:highlight w:val="none"/>
                <w:lang w:eastAsia="zh-CN"/>
                <w14:textFill>
                  <w14:solidFill>
                    <w14:schemeClr w14:val="tx1"/>
                  </w14:solidFill>
                </w14:textFill>
              </w:rPr>
              <w:t>现有工程主要</w:t>
            </w:r>
            <w:r>
              <w:rPr>
                <w:rFonts w:hint="eastAsia"/>
                <w:color w:val="000000" w:themeColor="text1"/>
                <w:sz w:val="24"/>
                <w:szCs w:val="20"/>
                <w:highlight w:val="none"/>
                <w14:textFill>
                  <w14:solidFill>
                    <w14:schemeClr w14:val="tx1"/>
                  </w14:solidFill>
                </w14:textFill>
              </w:rPr>
              <w:t>根据设计图纸要求选择板材等，对板材进行裁板切割；将切割好的板材利用数控钻孔等设备进行钻孔、拉槽、镂铣、圆角等造型；然后</w:t>
            </w:r>
            <w:r>
              <w:rPr>
                <w:rFonts w:hint="eastAsia"/>
                <w:color w:val="000000" w:themeColor="text1"/>
                <w:sz w:val="24"/>
                <w:szCs w:val="20"/>
                <w:highlight w:val="none"/>
                <w:lang w:eastAsia="zh-CN"/>
                <w14:textFill>
                  <w14:solidFill>
                    <w14:schemeClr w14:val="tx1"/>
                  </w14:solidFill>
                </w14:textFill>
              </w:rPr>
              <w:t>组装入库。</w:t>
            </w:r>
            <w:r>
              <w:rPr>
                <w:rFonts w:hint="eastAsia"/>
                <w:color w:val="000000" w:themeColor="text1"/>
                <w:sz w:val="24"/>
                <w:szCs w:val="20"/>
                <w:highlight w:val="none"/>
                <w14:textFill>
                  <w14:solidFill>
                    <w14:schemeClr w14:val="tx1"/>
                  </w14:solidFill>
                </w14:textFill>
              </w:rPr>
              <w:t>根据</w:t>
            </w:r>
            <w:r>
              <w:rPr>
                <w:rFonts w:hint="eastAsia"/>
                <w:color w:val="000000" w:themeColor="text1"/>
                <w:sz w:val="24"/>
                <w:szCs w:val="20"/>
                <w:highlight w:val="none"/>
                <w:lang w:eastAsia="zh-CN"/>
                <w14:textFill>
                  <w14:solidFill>
                    <w14:schemeClr w14:val="tx1"/>
                  </w14:solidFill>
                </w14:textFill>
              </w:rPr>
              <w:t>部分</w:t>
            </w:r>
            <w:r>
              <w:rPr>
                <w:rFonts w:hint="eastAsia"/>
                <w:color w:val="000000" w:themeColor="text1"/>
                <w:sz w:val="24"/>
                <w:szCs w:val="20"/>
                <w:highlight w:val="none"/>
                <w14:textFill>
                  <w14:solidFill>
                    <w14:schemeClr w14:val="tx1"/>
                  </w14:solidFill>
                </w14:textFill>
              </w:rPr>
              <w:t>客户要求，</w:t>
            </w:r>
            <w:r>
              <w:rPr>
                <w:rFonts w:hint="eastAsia"/>
                <w:color w:val="000000" w:themeColor="text1"/>
                <w:sz w:val="24"/>
                <w:szCs w:val="20"/>
                <w:highlight w:val="none"/>
                <w:lang w:eastAsia="zh-CN"/>
                <w14:textFill>
                  <w14:solidFill>
                    <w14:schemeClr w14:val="tx1"/>
                  </w14:solidFill>
                </w14:textFill>
              </w:rPr>
              <w:t>生产线拟新增</w:t>
            </w:r>
            <w:r>
              <w:rPr>
                <w:rFonts w:hint="eastAsia"/>
                <w:color w:val="000000" w:themeColor="text1"/>
                <w:sz w:val="24"/>
                <w:szCs w:val="20"/>
                <w:highlight w:val="none"/>
                <w:lang w:val="en-US" w:eastAsia="zh-CN"/>
                <w14:textFill>
                  <w14:solidFill>
                    <w14:schemeClr w14:val="tx1"/>
                  </w14:solidFill>
                </w14:textFill>
              </w:rPr>
              <w:t>封边、</w:t>
            </w:r>
            <w:r>
              <w:rPr>
                <w:rFonts w:hint="eastAsia"/>
                <w:color w:val="000000" w:themeColor="text1"/>
                <w:sz w:val="24"/>
                <w:szCs w:val="20"/>
                <w:highlight w:val="none"/>
                <w:lang w:val="en-US"/>
                <w14:textFill>
                  <w14:solidFill>
                    <w14:schemeClr w14:val="tx1"/>
                  </w14:solidFill>
                </w14:textFill>
              </w:rPr>
              <w:t>喷漆及打磨</w:t>
            </w:r>
            <w:r>
              <w:rPr>
                <w:rFonts w:hint="eastAsia"/>
                <w:color w:val="000000" w:themeColor="text1"/>
                <w:sz w:val="24"/>
                <w:szCs w:val="20"/>
                <w:highlight w:val="none"/>
                <w:lang w:val="en-US" w:eastAsia="zh-CN"/>
                <w14:textFill>
                  <w14:solidFill>
                    <w14:schemeClr w14:val="tx1"/>
                  </w14:solidFill>
                </w14:textFill>
              </w:rPr>
              <w:t>等</w:t>
            </w:r>
            <w:r>
              <w:rPr>
                <w:rFonts w:hint="eastAsia"/>
                <w:color w:val="000000" w:themeColor="text1"/>
                <w:sz w:val="24"/>
                <w:szCs w:val="20"/>
                <w:highlight w:val="none"/>
                <w:lang w:val="en-US"/>
                <w14:textFill>
                  <w14:solidFill>
                    <w14:schemeClr w14:val="tx1"/>
                  </w14:solidFill>
                </w14:textFill>
              </w:rPr>
              <w:t>工艺</w:t>
            </w:r>
            <w:r>
              <w:rPr>
                <w:rFonts w:hint="eastAsia"/>
                <w:color w:val="000000" w:themeColor="text1"/>
                <w:sz w:val="24"/>
                <w:szCs w:val="20"/>
                <w:highlight w:val="none"/>
                <w:lang w:eastAsia="zh-CN"/>
                <w14:textFill>
                  <w14:solidFill>
                    <w14:schemeClr w14:val="tx1"/>
                  </w14:solidFill>
                </w14:textFill>
              </w:rPr>
              <w:t>及配套设备，</w:t>
            </w:r>
            <w:r>
              <w:rPr>
                <w:rFonts w:hint="eastAsia"/>
                <w:color w:val="000000" w:themeColor="text1"/>
                <w:sz w:val="24"/>
                <w:szCs w:val="20"/>
                <w:highlight w:val="none"/>
                <w14:textFill>
                  <w14:solidFill>
                    <w14:schemeClr w14:val="tx1"/>
                  </w14:solidFill>
                </w14:textFill>
              </w:rPr>
              <w:t>板材用PUR封边胶进行木板封边，并使用冷压机及手工进行半成品取料跟造型设计</w:t>
            </w:r>
            <w:r>
              <w:rPr>
                <w:rFonts w:hint="eastAsia"/>
                <w:color w:val="000000" w:themeColor="text1"/>
                <w:sz w:val="24"/>
                <w:szCs w:val="20"/>
                <w:highlight w:val="none"/>
                <w:lang w:eastAsia="zh-CN"/>
                <w14:textFill>
                  <w14:solidFill>
                    <w14:schemeClr w14:val="tx1"/>
                  </w14:solidFill>
                </w14:textFill>
              </w:rPr>
              <w:t>；有喷漆补色需求的产品，</w:t>
            </w:r>
            <w:r>
              <w:rPr>
                <w:rFonts w:hint="eastAsia"/>
                <w:color w:val="000000" w:themeColor="text1"/>
                <w:sz w:val="24"/>
                <w:szCs w:val="20"/>
                <w:highlight w:val="none"/>
                <w14:textFill>
                  <w14:solidFill>
                    <w14:schemeClr w14:val="tx1"/>
                  </w14:solidFill>
                </w14:textFill>
              </w:rPr>
              <w:t>在环保打磨房内对板材进行平整打磨处理，打磨平整的半成品送至喷漆区</w:t>
            </w:r>
            <w:r>
              <w:rPr>
                <w:rFonts w:hint="eastAsia"/>
                <w:color w:val="000000" w:themeColor="text1"/>
                <w:sz w:val="24"/>
                <w:szCs w:val="20"/>
                <w:highlight w:val="none"/>
                <w:lang w:eastAsia="zh-CN"/>
                <w14:textFill>
                  <w14:solidFill>
                    <w14:schemeClr w14:val="tx1"/>
                  </w14:solidFill>
                </w14:textFill>
              </w:rPr>
              <w:t>，</w:t>
            </w:r>
            <w:r>
              <w:rPr>
                <w:rFonts w:hint="eastAsia"/>
                <w:color w:val="000000" w:themeColor="text1"/>
                <w:sz w:val="24"/>
                <w:szCs w:val="20"/>
                <w:highlight w:val="none"/>
                <w14:textFill>
                  <w14:solidFill>
                    <w14:schemeClr w14:val="tx1"/>
                  </w14:solidFill>
                </w14:textFill>
              </w:rPr>
              <w:t>根据产品要求分别进行喷漆作业（</w:t>
            </w:r>
            <w:r>
              <w:rPr>
                <w:rFonts w:hint="eastAsia"/>
                <w:color w:val="000000" w:themeColor="text1"/>
                <w:sz w:val="24"/>
                <w:szCs w:val="20"/>
                <w:highlight w:val="none"/>
                <w:lang w:eastAsia="zh-CN"/>
                <w14:textFill>
                  <w14:solidFill>
                    <w14:schemeClr w14:val="tx1"/>
                  </w14:solidFill>
                </w14:textFill>
              </w:rPr>
              <w:t>调漆、</w:t>
            </w:r>
            <w:r>
              <w:rPr>
                <w:rFonts w:hint="eastAsia"/>
                <w:color w:val="000000" w:themeColor="text1"/>
                <w:sz w:val="24"/>
                <w:szCs w:val="20"/>
                <w:highlight w:val="none"/>
                <w14:textFill>
                  <w14:solidFill>
                    <w14:schemeClr w14:val="tx1"/>
                  </w14:solidFill>
                </w14:textFill>
              </w:rPr>
              <w:t>喷底漆、修色、面漆）</w:t>
            </w:r>
            <w:r>
              <w:rPr>
                <w:rFonts w:hint="eastAsia"/>
                <w:color w:val="000000" w:themeColor="text1"/>
                <w:sz w:val="24"/>
                <w:szCs w:val="20"/>
                <w:highlight w:val="none"/>
                <w:lang w:eastAsia="zh-CN"/>
                <w14:textFill>
                  <w14:solidFill>
                    <w14:schemeClr w14:val="tx1"/>
                  </w14:solidFill>
                </w14:textFill>
              </w:rPr>
              <w:t>。</w:t>
            </w:r>
            <w:r>
              <w:rPr>
                <w:rFonts w:hint="eastAsia"/>
                <w:color w:val="000000" w:themeColor="text1"/>
                <w:sz w:val="24"/>
                <w:szCs w:val="20"/>
                <w:highlight w:val="none"/>
                <w14:textFill>
                  <w14:solidFill>
                    <w14:schemeClr w14:val="tx1"/>
                  </w14:solidFill>
                </w14:textFill>
              </w:rPr>
              <w:t>喷漆工序主要使用水性漆，小部分使用聚氨酯漆</w:t>
            </w:r>
            <w:r>
              <w:rPr>
                <w:rFonts w:hint="eastAsia"/>
                <w:color w:val="000000" w:themeColor="text1"/>
                <w:sz w:val="24"/>
                <w:szCs w:val="20"/>
                <w:highlight w:val="none"/>
                <w:lang w:eastAsia="zh-CN"/>
                <w14:textFill>
                  <w14:solidFill>
                    <w14:schemeClr w14:val="tx1"/>
                  </w14:solidFill>
                </w14:textFill>
              </w:rPr>
              <w:t>；项目不设置单独调漆区域，在喷漆工位现调现用</w:t>
            </w:r>
            <w:r>
              <w:rPr>
                <w:rFonts w:hint="eastAsia"/>
                <w:color w:val="000000" w:themeColor="text1"/>
                <w:sz w:val="24"/>
                <w:szCs w:val="20"/>
                <w:highlight w:val="none"/>
                <w14:textFill>
                  <w14:solidFill>
                    <w14:schemeClr w14:val="tx1"/>
                  </w14:solidFill>
                </w14:textFill>
              </w:rPr>
              <w:t>。上漆之后半成品分别进入各种的烘干线</w:t>
            </w:r>
            <w:r>
              <w:rPr>
                <w:rFonts w:hint="eastAsia"/>
                <w:color w:val="000000" w:themeColor="text1"/>
                <w:sz w:val="24"/>
                <w:szCs w:val="20"/>
                <w:highlight w:val="none"/>
                <w:lang w:eastAsia="zh-CN"/>
                <w14:textFill>
                  <w14:solidFill>
                    <w14:schemeClr w14:val="tx1"/>
                  </w14:solidFill>
                </w14:textFill>
              </w:rPr>
              <w:t>（表干房自带电除湿机和电热风机）</w:t>
            </w:r>
            <w:r>
              <w:rPr>
                <w:rFonts w:hint="eastAsia"/>
                <w:color w:val="000000" w:themeColor="text1"/>
                <w:sz w:val="24"/>
                <w:szCs w:val="20"/>
                <w:highlight w:val="none"/>
                <w14:textFill>
                  <w14:solidFill>
                    <w14:schemeClr w14:val="tx1"/>
                  </w14:solidFill>
                </w14:textFill>
              </w:rPr>
              <w:t>进行烘干，烘干后使用珍珠棉、纸箱对成品进行包装，送至成品区暂存，等待交付客户。</w:t>
            </w:r>
          </w:p>
          <w:p w14:paraId="4662D342">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2、根据</w:t>
            </w:r>
            <w:r>
              <w:rPr>
                <w:color w:val="000000" w:themeColor="text1"/>
                <w:highlight w:val="none"/>
                <w14:textFill>
                  <w14:solidFill>
                    <w14:schemeClr w14:val="tx1"/>
                  </w14:solidFill>
                </w14:textFill>
              </w:rPr>
              <w:t>项目生产工艺，项目</w:t>
            </w:r>
            <w:r>
              <w:rPr>
                <w:rFonts w:hint="eastAsia"/>
                <w:color w:val="000000" w:themeColor="text1"/>
                <w:highlight w:val="none"/>
                <w:lang w:eastAsia="zh-CN"/>
                <w14:textFill>
                  <w14:solidFill>
                    <w14:schemeClr w14:val="tx1"/>
                  </w14:solidFill>
                </w14:textFill>
              </w:rPr>
              <w:t>扩建后</w:t>
            </w:r>
            <w:r>
              <w:rPr>
                <w:color w:val="000000" w:themeColor="text1"/>
                <w:highlight w:val="none"/>
                <w14:textFill>
                  <w14:solidFill>
                    <w14:schemeClr w14:val="tx1"/>
                  </w14:solidFill>
                </w14:textFill>
              </w:rPr>
              <w:t>运营期生产产污环节汇总见表2.</w:t>
            </w:r>
            <w:r>
              <w:rPr>
                <w:rFonts w:hint="eastAsia"/>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t>。</w:t>
            </w:r>
          </w:p>
          <w:p w14:paraId="362A3A8D">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7</w:t>
            </w:r>
            <w:r>
              <w:rPr>
                <w:rFonts w:ascii="Times New Roman" w:hAnsi="Times New Roman"/>
                <w:b/>
                <w:color w:val="000000" w:themeColor="text1"/>
                <w:highlight w:val="none"/>
                <w14:textFill>
                  <w14:solidFill>
                    <w14:schemeClr w14:val="tx1"/>
                  </w14:solidFill>
                </w14:textFill>
              </w:rPr>
              <w:t xml:space="preserve">-1 </w:t>
            </w:r>
            <w:r>
              <w:rPr>
                <w:rFonts w:hint="eastAsia" w:ascii="Times New Roman" w:hAnsi="Times New Roman"/>
                <w:b/>
                <w:color w:val="000000" w:themeColor="text1"/>
                <w:highlight w:val="none"/>
                <w:lang w:eastAsia="zh-CN"/>
                <w14:textFill>
                  <w14:solidFill>
                    <w14:schemeClr w14:val="tx1"/>
                  </w14:solidFill>
                </w14:textFill>
              </w:rPr>
              <w:t>扩建</w:t>
            </w:r>
            <w:r>
              <w:rPr>
                <w:rFonts w:ascii="Times New Roman" w:hAnsi="Times New Roman"/>
                <w:b/>
                <w:color w:val="000000" w:themeColor="text1"/>
                <w:highlight w:val="none"/>
                <w14:textFill>
                  <w14:solidFill>
                    <w14:schemeClr w14:val="tx1"/>
                  </w14:solidFill>
                </w14:textFill>
              </w:rPr>
              <w:t>项目运营期生产产污环节汇总表</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562"/>
              <w:gridCol w:w="1416"/>
              <w:gridCol w:w="1919"/>
              <w:gridCol w:w="1712"/>
              <w:gridCol w:w="2746"/>
            </w:tblGrid>
            <w:tr w14:paraId="6330A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336" w:type="pct"/>
                  <w:vAlign w:val="center"/>
                </w:tcPr>
                <w:p w14:paraId="2503D546">
                  <w:pPr>
                    <w:adjustRightInd w:val="0"/>
                    <w:spacing w:line="320" w:lineRule="exact"/>
                    <w:jc w:val="center"/>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类别</w:t>
                  </w:r>
                </w:p>
              </w:tc>
              <w:tc>
                <w:tcPr>
                  <w:tcW w:w="847" w:type="pct"/>
                  <w:vAlign w:val="center"/>
                </w:tcPr>
                <w:p w14:paraId="484C7005">
                  <w:pPr>
                    <w:adjustRightInd w:val="0"/>
                    <w:spacing w:line="320" w:lineRule="exact"/>
                    <w:jc w:val="center"/>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污染源</w:t>
                  </w:r>
                </w:p>
              </w:tc>
              <w:tc>
                <w:tcPr>
                  <w:tcW w:w="1148" w:type="pct"/>
                  <w:vAlign w:val="center"/>
                </w:tcPr>
                <w:p w14:paraId="58A39176">
                  <w:pPr>
                    <w:adjustRightInd w:val="0"/>
                    <w:spacing w:line="320" w:lineRule="exact"/>
                    <w:jc w:val="center"/>
                    <w:textAlignment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产污环节</w:t>
                  </w:r>
                </w:p>
              </w:tc>
              <w:tc>
                <w:tcPr>
                  <w:tcW w:w="1024" w:type="pct"/>
                  <w:vAlign w:val="center"/>
                </w:tcPr>
                <w:p w14:paraId="1B6D5451">
                  <w:pPr>
                    <w:adjustRightInd w:val="0"/>
                    <w:spacing w:line="320" w:lineRule="exact"/>
                    <w:jc w:val="center"/>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w:t>
                  </w:r>
                </w:p>
              </w:tc>
              <w:tc>
                <w:tcPr>
                  <w:tcW w:w="1643" w:type="pct"/>
                  <w:vAlign w:val="center"/>
                </w:tcPr>
                <w:p w14:paraId="71B63545">
                  <w:pPr>
                    <w:adjustRightInd w:val="0"/>
                    <w:spacing w:line="320" w:lineRule="exact"/>
                    <w:jc w:val="center"/>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治理措施</w:t>
                  </w:r>
                </w:p>
              </w:tc>
            </w:tr>
            <w:tr w14:paraId="53ED1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336" w:type="pct"/>
                  <w:vMerge w:val="restart"/>
                  <w:vAlign w:val="center"/>
                </w:tcPr>
                <w:p w14:paraId="56EA34A7">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tc>
              <w:tc>
                <w:tcPr>
                  <w:tcW w:w="847" w:type="pct"/>
                  <w:vAlign w:val="center"/>
                </w:tcPr>
                <w:p w14:paraId="220A32CB">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生活污水</w:t>
                  </w:r>
                </w:p>
              </w:tc>
              <w:tc>
                <w:tcPr>
                  <w:tcW w:w="1148" w:type="pct"/>
                  <w:vAlign w:val="center"/>
                </w:tcPr>
                <w:p w14:paraId="38372A37">
                  <w:pPr>
                    <w:pStyle w:val="331"/>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生活用水</w:t>
                  </w:r>
                </w:p>
              </w:tc>
              <w:tc>
                <w:tcPr>
                  <w:tcW w:w="1024" w:type="pct"/>
                  <w:vAlign w:val="center"/>
                </w:tcPr>
                <w:p w14:paraId="5EA002E2">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pH、COD、BOD</w:t>
                  </w:r>
                  <w:r>
                    <w:rPr>
                      <w:rFonts w:hint="eastAsia"/>
                      <w:color w:val="000000" w:themeColor="text1"/>
                      <w:szCs w:val="21"/>
                      <w:highlight w:val="none"/>
                      <w:vertAlign w:val="subscript"/>
                      <w14:textFill>
                        <w14:solidFill>
                          <w14:schemeClr w14:val="tx1"/>
                        </w14:solidFill>
                      </w14:textFill>
                    </w:rPr>
                    <w:t>5</w:t>
                  </w:r>
                  <w:r>
                    <w:rPr>
                      <w:rFonts w:hint="eastAsia"/>
                      <w:color w:val="000000" w:themeColor="text1"/>
                      <w:szCs w:val="21"/>
                      <w:highlight w:val="none"/>
                      <w14:textFill>
                        <w14:solidFill>
                          <w14:schemeClr w14:val="tx1"/>
                        </w14:solidFill>
                      </w14:textFill>
                    </w:rPr>
                    <w:t>、</w:t>
                  </w:r>
                  <w:bookmarkStart w:id="2" w:name="OLE_LINK18"/>
                  <w:bookmarkStart w:id="3" w:name="OLE_LINK19"/>
                  <w:r>
                    <w:rPr>
                      <w:rFonts w:hint="eastAsia"/>
                      <w:color w:val="000000" w:themeColor="text1"/>
                      <w:szCs w:val="21"/>
                      <w:highlight w:val="none"/>
                      <w14:textFill>
                        <w14:solidFill>
                          <w14:schemeClr w14:val="tx1"/>
                        </w14:solidFill>
                      </w14:textFill>
                    </w:rPr>
                    <w:t>SS、氨氮等</w:t>
                  </w:r>
                  <w:bookmarkEnd w:id="2"/>
                  <w:bookmarkEnd w:id="3"/>
                </w:p>
              </w:tc>
              <w:tc>
                <w:tcPr>
                  <w:tcW w:w="1643" w:type="pct"/>
                  <w:vAlign w:val="center"/>
                </w:tcPr>
                <w:p w14:paraId="7C423144">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经厂区化粪池预处理后，接入市政污水管网，最终纳入福清市融元污水处理厂处理</w:t>
                  </w:r>
                </w:p>
              </w:tc>
            </w:tr>
            <w:tr w14:paraId="4FDDC1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68" w:hRule="atLeast"/>
              </w:trPr>
              <w:tc>
                <w:tcPr>
                  <w:tcW w:w="336" w:type="pct"/>
                  <w:vMerge w:val="continue"/>
                  <w:vAlign w:val="center"/>
                </w:tcPr>
                <w:p w14:paraId="545F7792">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14:paraId="4745FBF1">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生产废水</w:t>
                  </w:r>
                </w:p>
              </w:tc>
              <w:tc>
                <w:tcPr>
                  <w:tcW w:w="1148" w:type="pct"/>
                  <w:vAlign w:val="center"/>
                </w:tcPr>
                <w:p w14:paraId="6651FCF9">
                  <w:pPr>
                    <w:pStyle w:val="331"/>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喷漆水帘柜废水、打磨房喷淋废水、喷淋塔废水</w:t>
                  </w:r>
                </w:p>
              </w:tc>
              <w:tc>
                <w:tcPr>
                  <w:tcW w:w="1024" w:type="pct"/>
                  <w:vAlign w:val="center"/>
                </w:tcPr>
                <w:p w14:paraId="7A13DCE9">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SS</w:t>
                  </w:r>
                </w:p>
              </w:tc>
              <w:tc>
                <w:tcPr>
                  <w:tcW w:w="1643" w:type="pct"/>
                  <w:vAlign w:val="center"/>
                </w:tcPr>
                <w:p w14:paraId="32591E1E">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经配套废水处理设施（混凝压滤工艺）处理后循环使用，不外排</w:t>
                  </w:r>
                </w:p>
              </w:tc>
            </w:tr>
            <w:tr w14:paraId="033FE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restart"/>
                  <w:vAlign w:val="center"/>
                </w:tcPr>
                <w:p w14:paraId="22DB0868">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w:t>
                  </w:r>
                </w:p>
              </w:tc>
              <w:tc>
                <w:tcPr>
                  <w:tcW w:w="847" w:type="pct"/>
                  <w:vAlign w:val="center"/>
                </w:tcPr>
                <w:p w14:paraId="0ADCECF1">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木工区废气</w:t>
                  </w:r>
                </w:p>
              </w:tc>
              <w:tc>
                <w:tcPr>
                  <w:tcW w:w="1148" w:type="pct"/>
                  <w:vAlign w:val="center"/>
                </w:tcPr>
                <w:p w14:paraId="137D1A2B">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钻孔、拉槽、镂铣、圆角、砂光等工序</w:t>
                  </w:r>
                </w:p>
              </w:tc>
              <w:tc>
                <w:tcPr>
                  <w:tcW w:w="1024" w:type="pct"/>
                  <w:vAlign w:val="center"/>
                </w:tcPr>
                <w:p w14:paraId="6E050FA5">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颗粒物</w:t>
                  </w:r>
                </w:p>
              </w:tc>
              <w:tc>
                <w:tcPr>
                  <w:tcW w:w="1643" w:type="pct"/>
                  <w:vAlign w:val="center"/>
                </w:tcPr>
                <w:p w14:paraId="6C101DED">
                  <w:pPr>
                    <w:pStyle w:val="9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在1F精锯、砂光等产生粉尘颗粒物的设备上方及3F砂光设备上方</w:t>
                  </w:r>
                  <w:r>
                    <w:rPr>
                      <w:color w:val="000000" w:themeColor="text1"/>
                      <w:highlight w:val="none"/>
                      <w14:textFill>
                        <w14:solidFill>
                          <w14:schemeClr w14:val="tx1"/>
                        </w14:solidFill>
                      </w14:textFill>
                    </w:rPr>
                    <w:t>设置</w:t>
                  </w:r>
                  <w:r>
                    <w:rPr>
                      <w:rFonts w:hint="eastAsia"/>
                      <w:color w:val="000000" w:themeColor="text1"/>
                      <w:highlight w:val="none"/>
                      <w14:textFill>
                        <w14:solidFill>
                          <w14:schemeClr w14:val="tx1"/>
                        </w14:solidFill>
                      </w14:textFill>
                    </w:rPr>
                    <w:t>集气罩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集中收集的木工</w:t>
                  </w:r>
                  <w:r>
                    <w:rPr>
                      <w:rFonts w:hint="eastAsia"/>
                      <w:color w:val="000000" w:themeColor="text1"/>
                      <w:highlight w:val="none"/>
                      <w:lang w:eastAsia="zh-CN"/>
                      <w14:textFill>
                        <w14:solidFill>
                          <w14:schemeClr w14:val="tx1"/>
                        </w14:solidFill>
                      </w14:textFill>
                    </w:rPr>
                    <w:t>区</w:t>
                  </w:r>
                  <w:r>
                    <w:rPr>
                      <w:rFonts w:hint="eastAsia"/>
                      <w:color w:val="000000" w:themeColor="text1"/>
                      <w:highlight w:val="none"/>
                      <w14:textFill>
                        <w14:solidFill>
                          <w14:schemeClr w14:val="tx1"/>
                        </w14:solidFill>
                      </w14:textFill>
                    </w:rPr>
                    <w:t>废气通过1套中央除尘器（布袋除尘设施）处理后有组织排放，通过1根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DA001</w:t>
                  </w:r>
                  <w:r>
                    <w:rPr>
                      <w:color w:val="000000" w:themeColor="text1"/>
                      <w:highlight w:val="none"/>
                      <w14:textFill>
                        <w14:solidFill>
                          <w14:schemeClr w14:val="tx1"/>
                        </w14:solidFill>
                      </w14:textFill>
                    </w:rPr>
                    <w:t>）排放</w:t>
                  </w:r>
                </w:p>
              </w:tc>
            </w:tr>
            <w:tr w14:paraId="3A9EE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continue"/>
                  <w:vAlign w:val="center"/>
                </w:tcPr>
                <w:p w14:paraId="5D2CD28D">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14:paraId="0B99B623">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调漆喷漆及烘干工序有机废气</w:t>
                  </w:r>
                </w:p>
              </w:tc>
              <w:tc>
                <w:tcPr>
                  <w:tcW w:w="1148" w:type="pct"/>
                  <w:vAlign w:val="center"/>
                </w:tcPr>
                <w:p w14:paraId="7EEF6375">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调漆、静电喷漆及烘干等工序</w:t>
                  </w:r>
                </w:p>
              </w:tc>
              <w:tc>
                <w:tcPr>
                  <w:tcW w:w="1024" w:type="pct"/>
                  <w:vAlign w:val="center"/>
                </w:tcPr>
                <w:p w14:paraId="2FB6CB13">
                  <w:pPr>
                    <w:adjustRightInd w:val="0"/>
                    <w:spacing w:line="320" w:lineRule="exact"/>
                    <w:jc w:val="center"/>
                    <w:textAlignment w:val="center"/>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非甲烷总烃</w:t>
                  </w:r>
                  <w:r>
                    <w:rPr>
                      <w:rFonts w:hint="eastAsia" w:hAnsi="宋体"/>
                      <w:bCs/>
                      <w:color w:val="000000" w:themeColor="text1"/>
                      <w:szCs w:val="21"/>
                      <w:highlight w:val="none"/>
                      <w14:textFill>
                        <w14:solidFill>
                          <w14:schemeClr w14:val="tx1"/>
                        </w14:solidFill>
                      </w14:textFill>
                    </w:rPr>
                    <w:t>、二甲苯、颗粒物</w:t>
                  </w:r>
                </w:p>
              </w:tc>
              <w:tc>
                <w:tcPr>
                  <w:tcW w:w="1643" w:type="pct"/>
                  <w:vAlign w:val="center"/>
                </w:tcPr>
                <w:p w14:paraId="6A5CF66C">
                  <w:pPr>
                    <w:pStyle w:val="9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设置相对独立的调漆喷漆及烘干区域，调漆喷漆废气经水帘柜除漆雾后，同烘干工序有机废气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rFonts w:hint="eastAsia"/>
                      <w:color w:val="000000" w:themeColor="text1"/>
                      <w:highlight w:val="none"/>
                      <w14:textFill>
                        <w14:solidFill>
                          <w14:schemeClr w14:val="tx1"/>
                        </w14:solidFill>
                      </w14:textFill>
                    </w:rPr>
                    <w:t>一同经1套“水喷淋+二级活性炭吸附”设备处理后有组织排放，通过1根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DA002</w:t>
                  </w:r>
                  <w:r>
                    <w:rPr>
                      <w:color w:val="000000" w:themeColor="text1"/>
                      <w:highlight w:val="none"/>
                      <w14:textFill>
                        <w14:solidFill>
                          <w14:schemeClr w14:val="tx1"/>
                        </w14:solidFill>
                      </w14:textFill>
                    </w:rPr>
                    <w:t>）排放</w:t>
                  </w:r>
                </w:p>
              </w:tc>
            </w:tr>
            <w:tr w14:paraId="08DB0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continue"/>
                  <w:vAlign w:val="center"/>
                </w:tcPr>
                <w:p w14:paraId="3CA556B7">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14:paraId="72C21326">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打磨区废气</w:t>
                  </w:r>
                </w:p>
              </w:tc>
              <w:tc>
                <w:tcPr>
                  <w:tcW w:w="1148" w:type="pct"/>
                  <w:vAlign w:val="center"/>
                </w:tcPr>
                <w:p w14:paraId="11DB5AE4">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打磨工序</w:t>
                  </w:r>
                </w:p>
              </w:tc>
              <w:tc>
                <w:tcPr>
                  <w:tcW w:w="1024" w:type="pct"/>
                  <w:vAlign w:val="center"/>
                </w:tcPr>
                <w:p w14:paraId="5B57C94B">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颗粒物</w:t>
                  </w:r>
                </w:p>
              </w:tc>
              <w:tc>
                <w:tcPr>
                  <w:tcW w:w="1643" w:type="pct"/>
                  <w:vAlign w:val="center"/>
                </w:tcPr>
                <w:p w14:paraId="347718D0">
                  <w:pPr>
                    <w:pStyle w:val="95"/>
                    <w:rPr>
                      <w:color w:val="000000" w:themeColor="text1"/>
                      <w:highlight w:val="none"/>
                      <w:lang w:val="en-GB"/>
                      <w14:textFill>
                        <w14:solidFill>
                          <w14:schemeClr w14:val="tx1"/>
                        </w14:solidFill>
                      </w14:textFill>
                    </w:rPr>
                  </w:pPr>
                  <w:r>
                    <w:rPr>
                      <w:rFonts w:hint="eastAsia"/>
                      <w:color w:val="000000" w:themeColor="text1"/>
                      <w:highlight w:val="none"/>
                      <w14:textFill>
                        <w14:solidFill>
                          <w14:schemeClr w14:val="tx1"/>
                        </w14:solidFill>
                      </w14:textFill>
                    </w:rPr>
                    <w:t>设置环保喷淋打磨房，打磨粉尘经密闭打磨房内水除尘系统除尘后，少量颗粒物在车间内无组织排放</w:t>
                  </w:r>
                </w:p>
              </w:tc>
            </w:tr>
            <w:tr w14:paraId="4F0D2C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0" w:hRule="atLeast"/>
              </w:trPr>
              <w:tc>
                <w:tcPr>
                  <w:tcW w:w="336" w:type="pct"/>
                  <w:vAlign w:val="center"/>
                </w:tcPr>
                <w:p w14:paraId="1EAE51AF">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噪声</w:t>
                  </w:r>
                </w:p>
              </w:tc>
              <w:tc>
                <w:tcPr>
                  <w:tcW w:w="847" w:type="pct"/>
                  <w:vAlign w:val="center"/>
                </w:tcPr>
                <w:p w14:paraId="099416D5">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w:t>
                  </w:r>
                  <w:r>
                    <w:rPr>
                      <w:color w:val="000000" w:themeColor="text1"/>
                      <w:szCs w:val="21"/>
                      <w:highlight w:val="none"/>
                      <w14:textFill>
                        <w14:solidFill>
                          <w14:schemeClr w14:val="tx1"/>
                        </w14:solidFill>
                      </w14:textFill>
                    </w:rPr>
                    <w:t>设备</w:t>
                  </w:r>
                </w:p>
              </w:tc>
              <w:tc>
                <w:tcPr>
                  <w:tcW w:w="1148" w:type="pct"/>
                  <w:vAlign w:val="center"/>
                </w:tcPr>
                <w:p w14:paraId="4826C461">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设备运行</w:t>
                  </w:r>
                </w:p>
              </w:tc>
              <w:tc>
                <w:tcPr>
                  <w:tcW w:w="1024" w:type="pct"/>
                  <w:vAlign w:val="center"/>
                </w:tcPr>
                <w:p w14:paraId="62E484D5">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Leq</w:t>
                  </w:r>
                </w:p>
              </w:tc>
              <w:tc>
                <w:tcPr>
                  <w:tcW w:w="1643" w:type="pct"/>
                  <w:vAlign w:val="center"/>
                </w:tcPr>
                <w:p w14:paraId="647AD167">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厂房隔声、设备基础减振等综合降噪措施</w:t>
                  </w:r>
                </w:p>
              </w:tc>
            </w:tr>
            <w:tr w14:paraId="791637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restart"/>
                  <w:vAlign w:val="center"/>
                </w:tcPr>
                <w:p w14:paraId="66A53ECB">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固废</w:t>
                  </w:r>
                </w:p>
              </w:tc>
              <w:tc>
                <w:tcPr>
                  <w:tcW w:w="847" w:type="pct"/>
                  <w:vAlign w:val="center"/>
                </w:tcPr>
                <w:p w14:paraId="7E48855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一般固废</w:t>
                  </w:r>
                </w:p>
              </w:tc>
              <w:tc>
                <w:tcPr>
                  <w:tcW w:w="1148" w:type="pct"/>
                  <w:vAlign w:val="center"/>
                </w:tcPr>
                <w:p w14:paraId="1020DEC6">
                  <w:pPr>
                    <w:pStyle w:val="331"/>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生产过程、废气治理过程</w:t>
                  </w:r>
                </w:p>
              </w:tc>
              <w:tc>
                <w:tcPr>
                  <w:tcW w:w="1024" w:type="pct"/>
                  <w:vAlign w:val="center"/>
                </w:tcPr>
                <w:p w14:paraId="29A1E30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废边角料、</w:t>
                  </w:r>
                  <w:r>
                    <w:rPr>
                      <w:color w:val="000000" w:themeColor="text1"/>
                      <w:szCs w:val="21"/>
                      <w:highlight w:val="none"/>
                      <w14:textFill>
                        <w14:solidFill>
                          <w14:schemeClr w14:val="tx1"/>
                        </w14:solidFill>
                      </w14:textFill>
                    </w:rPr>
                    <w:t>布袋除尘收集</w:t>
                  </w:r>
                  <w:r>
                    <w:rPr>
                      <w:rFonts w:hint="eastAsia"/>
                      <w:color w:val="000000" w:themeColor="text1"/>
                      <w:szCs w:val="21"/>
                      <w:highlight w:val="none"/>
                      <w14:textFill>
                        <w14:solidFill>
                          <w14:schemeClr w14:val="tx1"/>
                        </w14:solidFill>
                      </w14:textFill>
                    </w:rPr>
                    <w:t>颗粒物</w:t>
                  </w:r>
                </w:p>
              </w:tc>
              <w:tc>
                <w:tcPr>
                  <w:tcW w:w="1643" w:type="pct"/>
                  <w:vAlign w:val="center"/>
                </w:tcPr>
                <w:p w14:paraId="23FEE566">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w:t>
                  </w:r>
                  <w:r>
                    <w:rPr>
                      <w:color w:val="000000" w:themeColor="text1"/>
                      <w:szCs w:val="21"/>
                      <w:highlight w:val="none"/>
                      <w14:textFill>
                        <w14:solidFill>
                          <w14:schemeClr w14:val="tx1"/>
                        </w14:solidFill>
                      </w14:textFill>
                    </w:rPr>
                    <w:t>收集</w:t>
                  </w:r>
                  <w:r>
                    <w:rPr>
                      <w:rFonts w:hint="eastAsia"/>
                      <w:color w:val="000000" w:themeColor="text1"/>
                      <w:szCs w:val="21"/>
                      <w:highlight w:val="none"/>
                      <w14:textFill>
                        <w14:solidFill>
                          <w14:schemeClr w14:val="tx1"/>
                        </w14:solidFill>
                      </w14:textFill>
                    </w:rPr>
                    <w:t>定期外售给相关企业综合利用</w:t>
                  </w:r>
                </w:p>
              </w:tc>
            </w:tr>
            <w:tr w14:paraId="34F97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continue"/>
                  <w:vAlign w:val="center"/>
                </w:tcPr>
                <w:p w14:paraId="45A77F32">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14:paraId="42CC360E">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危险废物</w:t>
                  </w:r>
                </w:p>
              </w:tc>
              <w:tc>
                <w:tcPr>
                  <w:tcW w:w="1148" w:type="pct"/>
                  <w:vAlign w:val="center"/>
                </w:tcPr>
                <w:p w14:paraId="51F1BCF7">
                  <w:pPr>
                    <w:pStyle w:val="331"/>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生产过程、废气处理设备、废水处理设备</w:t>
                  </w:r>
                </w:p>
              </w:tc>
              <w:tc>
                <w:tcPr>
                  <w:tcW w:w="1024" w:type="pct"/>
                  <w:vAlign w:val="center"/>
                </w:tcPr>
                <w:p w14:paraId="34B15558">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涂料废包装、废吸附介质（废活性炭）、废漆渣、废水处理污泥</w:t>
                  </w:r>
                </w:p>
              </w:tc>
              <w:tc>
                <w:tcPr>
                  <w:tcW w:w="1643" w:type="pct"/>
                  <w:vAlign w:val="center"/>
                </w:tcPr>
                <w:p w14:paraId="77C5E4C0">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分类收集后储存于危废暂存间，委托具有资质的单位进行处理</w:t>
                  </w:r>
                </w:p>
              </w:tc>
            </w:tr>
            <w:tr w14:paraId="6A5D5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38" w:hRule="atLeast"/>
              </w:trPr>
              <w:tc>
                <w:tcPr>
                  <w:tcW w:w="336" w:type="pct"/>
                  <w:vMerge w:val="continue"/>
                  <w:vAlign w:val="center"/>
                </w:tcPr>
                <w:p w14:paraId="46A963D5">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14:paraId="09291175">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生活垃圾</w:t>
                  </w:r>
                </w:p>
              </w:tc>
              <w:tc>
                <w:tcPr>
                  <w:tcW w:w="1148" w:type="pct"/>
                  <w:vAlign w:val="center"/>
                </w:tcPr>
                <w:p w14:paraId="1B60DC8B">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职工生活</w:t>
                  </w:r>
                </w:p>
              </w:tc>
              <w:tc>
                <w:tcPr>
                  <w:tcW w:w="1024" w:type="pct"/>
                  <w:vAlign w:val="center"/>
                </w:tcPr>
                <w:p w14:paraId="05E7B976">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生活垃圾等</w:t>
                  </w:r>
                </w:p>
              </w:tc>
              <w:tc>
                <w:tcPr>
                  <w:tcW w:w="1643" w:type="pct"/>
                  <w:vAlign w:val="center"/>
                </w:tcPr>
                <w:p w14:paraId="79F7EABB">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分类收集，定期委托</w:t>
                  </w:r>
                  <w:r>
                    <w:rPr>
                      <w:color w:val="000000" w:themeColor="text1"/>
                      <w:szCs w:val="21"/>
                      <w:highlight w:val="none"/>
                      <w14:textFill>
                        <w14:solidFill>
                          <w14:schemeClr w14:val="tx1"/>
                        </w14:solidFill>
                      </w14:textFill>
                    </w:rPr>
                    <w:t>环卫部门处理</w:t>
                  </w:r>
                </w:p>
              </w:tc>
            </w:tr>
          </w:tbl>
          <w:p w14:paraId="4AF2DC21">
            <w:pPr>
              <w:spacing w:before="120" w:beforeLines="50" w:line="360" w:lineRule="auto"/>
              <w:outlineLvl w:val="1"/>
              <w:rPr>
                <w:b/>
                <w:color w:val="000000" w:themeColor="text1"/>
                <w:sz w:val="30"/>
                <w:szCs w:val="30"/>
                <w:highlight w:val="none"/>
                <w14:textFill>
                  <w14:solidFill>
                    <w14:schemeClr w14:val="tx1"/>
                  </w14:solidFill>
                </w14:textFill>
              </w:rPr>
            </w:pPr>
          </w:p>
        </w:tc>
      </w:tr>
      <w:tr w14:paraId="01F18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6" w:hRule="atLeast"/>
          <w:jc w:val="center"/>
        </w:trPr>
        <w:tc>
          <w:tcPr>
            <w:tcW w:w="455" w:type="dxa"/>
            <w:vAlign w:val="center"/>
          </w:tcPr>
          <w:p w14:paraId="2FC5D270">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bCs/>
                <w:color w:val="000000" w:themeColor="text1"/>
                <w:kern w:val="2"/>
                <w:szCs w:val="24"/>
                <w:highlight w:val="none"/>
                <w14:textFill>
                  <w14:solidFill>
                    <w14:schemeClr w14:val="tx1"/>
                  </w14:solidFill>
                </w14:textFill>
              </w:rPr>
              <w:t>与项目有关的原有环境污染问题</w:t>
            </w:r>
          </w:p>
        </w:tc>
        <w:tc>
          <w:tcPr>
            <w:tcW w:w="8605" w:type="dxa"/>
            <w:vAlign w:val="center"/>
          </w:tcPr>
          <w:p w14:paraId="4AF6004F">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2.7</w:t>
            </w:r>
            <w:r>
              <w:rPr>
                <w:rFonts w:hint="eastAsia"/>
                <w:b/>
                <w:color w:val="000000" w:themeColor="text1"/>
                <w:sz w:val="30"/>
                <w:szCs w:val="30"/>
                <w:highlight w:val="none"/>
                <w14:textFill>
                  <w14:solidFill>
                    <w14:schemeClr w14:val="tx1"/>
                  </w14:solidFill>
                </w14:textFill>
              </w:rPr>
              <w:t>现有</w:t>
            </w:r>
            <w:r>
              <w:rPr>
                <w:b/>
                <w:color w:val="000000" w:themeColor="text1"/>
                <w:sz w:val="30"/>
                <w:szCs w:val="30"/>
                <w:highlight w:val="none"/>
                <w14:textFill>
                  <w14:solidFill>
                    <w14:schemeClr w14:val="tx1"/>
                  </w14:solidFill>
                </w14:textFill>
              </w:rPr>
              <w:t>工程回顾</w:t>
            </w:r>
          </w:p>
          <w:p w14:paraId="6C8BFB58">
            <w:pPr>
              <w:pStyle w:val="89"/>
              <w:spacing w:before="120" w:beforeLines="50"/>
              <w:textAlignment w:val="center"/>
              <w:rPr>
                <w:rFonts w:hint="eastAsia" w:eastAsia="宋体"/>
                <w:color w:val="000000" w:themeColor="text1"/>
                <w:sz w:val="28"/>
                <w:szCs w:val="28"/>
                <w:highlight w:val="none"/>
                <w:lang w:eastAsia="zh-CN"/>
                <w14:textFill>
                  <w14:solidFill>
                    <w14:schemeClr w14:val="tx1"/>
                  </w14:solidFill>
                </w14:textFill>
              </w:rPr>
            </w:pPr>
            <w:r>
              <w:rPr>
                <w:rFonts w:hint="eastAsia"/>
                <w:color w:val="000000" w:themeColor="text1"/>
                <w:sz w:val="28"/>
                <w:szCs w:val="28"/>
                <w:highlight w:val="none"/>
                <w14:textFill>
                  <w14:solidFill>
                    <w14:schemeClr w14:val="tx1"/>
                  </w14:solidFill>
                </w14:textFill>
              </w:rPr>
              <w:t>2.7.1现有工程</w:t>
            </w:r>
            <w:r>
              <w:rPr>
                <w:color w:val="000000" w:themeColor="text1"/>
                <w:sz w:val="28"/>
                <w:szCs w:val="28"/>
                <w:highlight w:val="none"/>
                <w14:textFill>
                  <w14:solidFill>
                    <w14:schemeClr w14:val="tx1"/>
                  </w14:solidFill>
                </w14:textFill>
              </w:rPr>
              <w:t>基本概况</w:t>
            </w:r>
            <w:r>
              <w:rPr>
                <w:rFonts w:hint="eastAsia"/>
                <w:color w:val="000000" w:themeColor="text1"/>
                <w:sz w:val="28"/>
                <w:szCs w:val="28"/>
                <w:highlight w:val="none"/>
                <w:lang w:eastAsia="zh-CN"/>
                <w14:textFill>
                  <w14:solidFill>
                    <w14:schemeClr w14:val="tx1"/>
                  </w14:solidFill>
                </w14:textFill>
              </w:rPr>
              <w:t>及环保手续履行情况</w:t>
            </w:r>
          </w:p>
          <w:p w14:paraId="47705E94">
            <w:pPr>
              <w:pStyle w:val="282"/>
              <w:spacing w:line="360" w:lineRule="auto"/>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红树林（福州）智能家居有限公司</w:t>
            </w:r>
            <w:r>
              <w:rPr>
                <w:rFonts w:hint="eastAsia"/>
                <w:color w:val="000000" w:themeColor="text1"/>
                <w:highlight w:val="none"/>
                <w:lang w:val="en-US" w:eastAsia="zh-CN"/>
                <w14:textFill>
                  <w14:solidFill>
                    <w14:schemeClr w14:val="tx1"/>
                  </w14:solidFill>
                </w14:textFill>
              </w:rPr>
              <w:t>（原福清市红树林木业有限公司）</w:t>
            </w:r>
            <w:r>
              <w:rPr>
                <w:rFonts w:hint="eastAsia"/>
                <w:color w:val="000000" w:themeColor="text1"/>
                <w:highlight w:val="none"/>
                <w:lang w:val="en-US"/>
                <w14:textFill>
                  <w14:solidFill>
                    <w14:schemeClr w14:val="tx1"/>
                  </w14:solidFill>
                </w14:textFill>
              </w:rPr>
              <w:t>成立于2014年，2025年7月将经营场所变更至福建省福州市福清市阳下街道新局村福建乐翔服饰制造有限公司内</w:t>
            </w:r>
            <w:r>
              <w:rPr>
                <w:rFonts w:hint="eastAsia"/>
                <w:color w:val="000000" w:themeColor="text1"/>
                <w:highlight w:val="none"/>
                <w:lang w:val="en-US" w:eastAsia="zh-CN"/>
                <w14:textFill>
                  <w14:solidFill>
                    <w14:schemeClr w14:val="tx1"/>
                  </w14:solidFill>
                </w14:textFill>
              </w:rPr>
              <w:t>，公司名称变更登记通知书及营业制造详见附件1</w:t>
            </w:r>
            <w:r>
              <w:rPr>
                <w:rFonts w:hint="eastAsia"/>
                <w:color w:val="000000" w:themeColor="text1"/>
                <w:highlight w:val="none"/>
                <w:lang w:val="en-US"/>
                <w14:textFill>
                  <w14:solidFill>
                    <w14:schemeClr w14:val="tx1"/>
                  </w14:solidFill>
                </w14:textFill>
              </w:rPr>
              <w:t>。</w:t>
            </w:r>
          </w:p>
          <w:p w14:paraId="66D31EAB">
            <w:pPr>
              <w:pStyle w:val="33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红树林（福州）智能家居有限公司</w:t>
            </w:r>
            <w:r>
              <w:rPr>
                <w:rFonts w:hint="eastAsia"/>
                <w:color w:val="000000" w:themeColor="text1"/>
                <w:highlight w:val="none"/>
                <w:lang w:val="en-US" w:eastAsia="zh-CN"/>
                <w14:textFill>
                  <w14:solidFill>
                    <w14:schemeClr w14:val="tx1"/>
                  </w14:solidFill>
                </w14:textFill>
              </w:rPr>
              <w:t>（原福清市红树林木业有限公司）原位于福清市阳下街道玉岭村28-1号，主要从事木质家具生产，生产工艺主要为木料切割及家具组装。根据</w:t>
            </w:r>
            <w:r>
              <w:rPr>
                <w:color w:val="000000" w:themeColor="text1"/>
                <w:highlight w:val="none"/>
                <w14:textFill>
                  <w14:solidFill>
                    <w14:schemeClr w14:val="tx1"/>
                  </w14:solidFill>
                </w14:textFill>
              </w:rPr>
              <w:t>《建设项目环境影响评价分类管理名录》(2021年版)规定，</w:t>
            </w:r>
            <w:r>
              <w:rPr>
                <w:rFonts w:hint="eastAsia"/>
                <w:color w:val="000000" w:themeColor="text1"/>
                <w:highlight w:val="none"/>
                <w:lang w:eastAsia="zh-CN"/>
                <w14:textFill>
                  <w14:solidFill>
                    <w14:schemeClr w14:val="tx1"/>
                  </w14:solidFill>
                </w14:textFill>
              </w:rPr>
              <w:t>现有工程</w:t>
            </w:r>
            <w:r>
              <w:rPr>
                <w:rFonts w:hint="eastAsia"/>
                <w:color w:val="000000" w:themeColor="text1"/>
                <w:highlight w:val="none"/>
                <w14:textFill>
                  <w14:solidFill>
                    <w14:schemeClr w14:val="tx1"/>
                  </w14:solidFill>
                </w14:textFill>
              </w:rPr>
              <w:t>属于十八、家具制造业21</w:t>
            </w:r>
            <w:r>
              <w:rPr>
                <w:rFonts w:hint="eastAsia"/>
                <w:color w:val="000000" w:themeColor="text1"/>
                <w:highlight w:val="none"/>
                <w:lang w:val="en-US"/>
                <w14:textFill>
                  <w14:solidFill>
                    <w14:schemeClr w14:val="tx1"/>
                  </w14:solidFill>
                </w14:textFill>
              </w:rPr>
              <w:t>-</w:t>
            </w:r>
            <w:r>
              <w:rPr>
                <w:rFonts w:hint="eastAsia"/>
                <w:color w:val="000000" w:themeColor="text1"/>
                <w:highlight w:val="none"/>
                <w14:textFill>
                  <w14:solidFill>
                    <w14:schemeClr w14:val="tx1"/>
                  </w14:solidFill>
                </w14:textFill>
              </w:rPr>
              <w:t>木质家具制造211*中的</w:t>
            </w:r>
            <w:r>
              <w:rPr>
                <w:rFonts w:hint="eastAsia"/>
                <w:color w:val="000000" w:themeColor="text1"/>
                <w:highlight w:val="none"/>
                <w:lang w:eastAsia="zh-CN"/>
                <w14:textFill>
                  <w14:solidFill>
                    <w14:schemeClr w14:val="tx1"/>
                  </w14:solidFill>
                </w14:textFill>
              </w:rPr>
              <w:t>其他除外类别（仅分割、组装），不需要办理环评审批手续。另</w:t>
            </w:r>
            <w:r>
              <w:rPr>
                <w:color w:val="000000" w:themeColor="text1"/>
                <w:highlight w:val="none"/>
                <w14:textFill>
                  <w14:solidFill>
                    <w14:schemeClr w14:val="tx1"/>
                  </w14:solidFill>
                </w14:textFill>
              </w:rPr>
              <w:t>根据《固定污染源排污许可分类管理名录（2019年版）》，属于</w:t>
            </w:r>
            <w:r>
              <w:rPr>
                <w:rFonts w:hint="eastAsia"/>
                <w:color w:val="000000" w:themeColor="text1"/>
                <w:highlight w:val="none"/>
                <w14:textFill>
                  <w14:solidFill>
                    <w14:schemeClr w14:val="tx1"/>
                  </w14:solidFill>
                </w14:textFill>
              </w:rPr>
              <w:t>木质家具制造211</w:t>
            </w:r>
            <w:r>
              <w:rPr>
                <w:color w:val="000000" w:themeColor="text1"/>
                <w:highlight w:val="none"/>
                <w14:textFill>
                  <w14:solidFill>
                    <w14:schemeClr w14:val="tx1"/>
                  </w14:solidFill>
                </w14:textFill>
              </w:rPr>
              <w:t>的管理行业</w:t>
            </w:r>
            <w:r>
              <w:rPr>
                <w:rFonts w:hint="eastAsia"/>
                <w:color w:val="000000" w:themeColor="text1"/>
                <w:highlight w:val="none"/>
                <w:lang w:eastAsia="zh-CN"/>
                <w14:textFill>
                  <w14:solidFill>
                    <w14:schemeClr w14:val="tx1"/>
                  </w14:solidFill>
                </w14:textFill>
              </w:rPr>
              <w:t>中其他类别</w:t>
            </w:r>
            <w:r>
              <w:rPr>
                <w:color w:val="000000" w:themeColor="text1"/>
                <w:highlight w:val="none"/>
                <w14:textFill>
                  <w14:solidFill>
                    <w14:schemeClr w14:val="tx1"/>
                  </w14:solidFill>
                </w14:textFill>
              </w:rPr>
              <w:t>，排污许可</w:t>
            </w:r>
            <w:r>
              <w:rPr>
                <w:rFonts w:hint="eastAsia"/>
                <w:color w:val="000000" w:themeColor="text1"/>
                <w:highlight w:val="none"/>
                <w:lang w:eastAsia="zh-CN"/>
                <w14:textFill>
                  <w14:solidFill>
                    <w14:schemeClr w14:val="tx1"/>
                  </w14:solidFill>
                </w14:textFill>
              </w:rPr>
              <w:t>管理</w:t>
            </w:r>
            <w:r>
              <w:rPr>
                <w:rFonts w:hint="eastAsia"/>
                <w:color w:val="000000" w:themeColor="text1"/>
                <w:highlight w:val="none"/>
                <w14:textFill>
                  <w14:solidFill>
                    <w14:schemeClr w14:val="tx1"/>
                  </w14:solidFill>
                </w14:textFill>
              </w:rPr>
              <w:t>属于登记管理类别</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现有工程</w:t>
            </w:r>
            <w:r>
              <w:rPr>
                <w:rFonts w:hint="eastAsia"/>
                <w:color w:val="000000" w:themeColor="text1"/>
                <w:highlight w:val="none"/>
                <w:lang w:val="en-US"/>
                <w14:textFill>
                  <w14:solidFill>
                    <w14:schemeClr w14:val="tx1"/>
                  </w14:solidFill>
                </w14:textFill>
              </w:rPr>
              <w:t>建设单位已于2</w:t>
            </w:r>
            <w:r>
              <w:rPr>
                <w:rFonts w:hint="eastAsia"/>
                <w:color w:val="000000" w:themeColor="text1"/>
                <w:highlight w:val="none"/>
                <w:lang w:val="en-US" w:eastAsia="zh-CN"/>
                <w14:textFill>
                  <w14:solidFill>
                    <w14:schemeClr w14:val="tx1"/>
                  </w14:solidFill>
                </w14:textFill>
              </w:rPr>
              <w:t>020</w:t>
            </w:r>
            <w:r>
              <w:rPr>
                <w:rFonts w:hint="eastAsia"/>
                <w:color w:val="000000" w:themeColor="text1"/>
                <w:highlight w:val="none"/>
                <w:lang w:val="en-US"/>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val="en-US"/>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16</w:t>
            </w:r>
            <w:r>
              <w:rPr>
                <w:rFonts w:hint="eastAsia"/>
                <w:color w:val="000000" w:themeColor="text1"/>
                <w:highlight w:val="none"/>
                <w:lang w:val="en-US"/>
                <w14:textFill>
                  <w14:solidFill>
                    <w14:schemeClr w14:val="tx1"/>
                  </w14:solidFill>
                </w14:textFill>
              </w:rPr>
              <w:t>日在全国排污许可证管理信用平台进行固定污染源排污登记，</w:t>
            </w:r>
            <w:r>
              <w:rPr>
                <w:rFonts w:hint="eastAsia"/>
                <w:color w:val="000000" w:themeColor="text1"/>
                <w:highlight w:val="none"/>
                <w:lang w:val="en-US" w:eastAsia="zh-CN"/>
                <w14:textFill>
                  <w14:solidFill>
                    <w14:schemeClr w14:val="tx1"/>
                  </w14:solidFill>
                </w14:textFill>
              </w:rPr>
              <w:t>登记</w:t>
            </w:r>
            <w:r>
              <w:rPr>
                <w:rFonts w:hint="eastAsia"/>
                <w:color w:val="000000" w:themeColor="text1"/>
                <w:highlight w:val="none"/>
                <w:lang w:val="en-US"/>
                <w14:textFill>
                  <w14:solidFill>
                    <w14:schemeClr w14:val="tx1"/>
                  </w14:solidFill>
                </w14:textFill>
              </w:rPr>
              <w:t>编号：</w:t>
            </w:r>
            <w:r>
              <w:rPr>
                <w:color w:val="000000" w:themeColor="text1"/>
                <w:highlight w:val="none"/>
                <w:lang w:val="en-US"/>
                <w14:textFill>
                  <w14:solidFill>
                    <w14:schemeClr w14:val="tx1"/>
                  </w14:solidFill>
                </w14:textFill>
              </w:rPr>
              <w:t>9135018131553930XY00</w:t>
            </w:r>
            <w:r>
              <w:rPr>
                <w:rFonts w:hint="eastAsia"/>
                <w:color w:val="000000" w:themeColor="text1"/>
                <w:highlight w:val="none"/>
                <w:lang w:val="en-US" w:eastAsia="zh-CN"/>
                <w14:textFill>
                  <w14:solidFill>
                    <w14:schemeClr w14:val="tx1"/>
                  </w14:solidFill>
                </w14:textFill>
              </w:rPr>
              <w:t>1</w:t>
            </w:r>
            <w:r>
              <w:rPr>
                <w:color w:val="000000" w:themeColor="text1"/>
                <w:highlight w:val="none"/>
                <w:lang w:val="en-US"/>
                <w14:textFill>
                  <w14:solidFill>
                    <w14:schemeClr w14:val="tx1"/>
                  </w14:solidFill>
                </w14:textFill>
              </w:rPr>
              <w:t>Z</w:t>
            </w:r>
            <w:r>
              <w:rPr>
                <w:rFonts w:hint="eastAsia"/>
                <w:color w:val="000000" w:themeColor="text1"/>
                <w:highlight w:val="none"/>
                <w:lang w:val="en-US"/>
                <w14:textFill>
                  <w14:solidFill>
                    <w14:schemeClr w14:val="tx1"/>
                  </w14:solidFill>
                </w14:textFill>
              </w:rPr>
              <w:t>。</w:t>
            </w:r>
          </w:p>
          <w:p w14:paraId="599F131D">
            <w:pPr>
              <w:pStyle w:val="33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2025年公司重新选址，</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color w:val="000000" w:themeColor="text1"/>
                <w:sz w:val="24"/>
                <w:highlight w:val="none"/>
                <w:lang w:val="en-US" w:eastAsia="zh-CN"/>
                <w14:textFill>
                  <w14:solidFill>
                    <w14:schemeClr w14:val="tx1"/>
                  </w14:solidFill>
                </w14:textFill>
              </w:rPr>
              <w:t>，2025年8月，</w:t>
            </w:r>
            <w:r>
              <w:rPr>
                <w:rFonts w:hint="eastAsia"/>
                <w:color w:val="000000" w:themeColor="text1"/>
                <w:highlight w:val="none"/>
                <w:lang w:val="en-US" w:eastAsia="zh-CN"/>
                <w14:textFill>
                  <w14:solidFill>
                    <w14:schemeClr w14:val="tx1"/>
                  </w14:solidFill>
                </w14:textFill>
              </w:rPr>
              <w:t>建设单位将现有项目切割及组装设备搬至新厂区，由于原排污登记表未及时延续已失效，建设单位于2025年9月19日</w:t>
            </w:r>
            <w:r>
              <w:rPr>
                <w:rFonts w:hint="eastAsia"/>
                <w:color w:val="000000" w:themeColor="text1"/>
                <w:highlight w:val="none"/>
                <w:lang w:val="en-US"/>
                <w14:textFill>
                  <w14:solidFill>
                    <w14:schemeClr w14:val="tx1"/>
                  </w14:solidFill>
                </w14:textFill>
              </w:rPr>
              <w:t>进行固定污染源排污登记</w:t>
            </w:r>
            <w:r>
              <w:rPr>
                <w:rFonts w:hint="eastAsia"/>
                <w:color w:val="000000" w:themeColor="text1"/>
                <w:highlight w:val="none"/>
                <w:lang w:val="en-US" w:eastAsia="zh-CN"/>
                <w14:textFill>
                  <w14:solidFill>
                    <w14:schemeClr w14:val="tx1"/>
                  </w14:solidFill>
                </w14:textFill>
              </w:rPr>
              <w:t>重新申请及变更，登记</w:t>
            </w:r>
            <w:r>
              <w:rPr>
                <w:rFonts w:hint="eastAsia"/>
                <w:color w:val="000000" w:themeColor="text1"/>
                <w:highlight w:val="none"/>
                <w:lang w:val="en-US"/>
                <w14:textFill>
                  <w14:solidFill>
                    <w14:schemeClr w14:val="tx1"/>
                  </w14:solidFill>
                </w14:textFill>
              </w:rPr>
              <w:t>编号：</w:t>
            </w:r>
            <w:r>
              <w:rPr>
                <w:color w:val="000000" w:themeColor="text1"/>
                <w:highlight w:val="none"/>
                <w:lang w:val="en-US"/>
                <w14:textFill>
                  <w14:solidFill>
                    <w14:schemeClr w14:val="tx1"/>
                  </w14:solidFill>
                </w14:textFill>
              </w:rPr>
              <w:t>9135018131553930XY002Z</w:t>
            </w:r>
            <w:r>
              <w:rPr>
                <w:rFonts w:hint="eastAsia"/>
                <w:color w:val="000000" w:themeColor="text1"/>
                <w:highlight w:val="none"/>
                <w:lang w:val="en-US"/>
                <w14:textFill>
                  <w14:solidFill>
                    <w14:schemeClr w14:val="tx1"/>
                  </w14:solidFill>
                </w14:textFill>
              </w:rPr>
              <w:t>。</w:t>
            </w:r>
          </w:p>
          <w:p w14:paraId="34E5053F">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2.7.</w:t>
            </w:r>
            <w:r>
              <w:rPr>
                <w:rFonts w:hint="eastAsia"/>
                <w:color w:val="000000" w:themeColor="text1"/>
                <w:sz w:val="28"/>
                <w:szCs w:val="28"/>
                <w:highlight w:val="none"/>
                <w:lang w:val="en-US" w:eastAsia="zh-CN"/>
                <w14:textFill>
                  <w14:solidFill>
                    <w14:schemeClr w14:val="tx1"/>
                  </w14:solidFill>
                </w14:textFill>
              </w:rPr>
              <w:t>2</w:t>
            </w:r>
            <w:r>
              <w:rPr>
                <w:color w:val="000000" w:themeColor="text1"/>
                <w:sz w:val="28"/>
                <w:szCs w:val="28"/>
                <w:highlight w:val="none"/>
                <w14:textFill>
                  <w14:solidFill>
                    <w14:schemeClr w14:val="tx1"/>
                  </w14:solidFill>
                </w14:textFill>
              </w:rPr>
              <w:t>现有工程污染物产排情况</w:t>
            </w:r>
          </w:p>
          <w:p w14:paraId="057D820C">
            <w:pPr>
              <w:pStyle w:val="16"/>
              <w:spacing w:after="0" w:line="360" w:lineRule="auto"/>
              <w:ind w:left="0" w:leftChars="0" w:firstLine="48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现有工程</w:t>
            </w:r>
            <w:r>
              <w:rPr>
                <w:rFonts w:hint="eastAsia"/>
                <w:color w:val="000000" w:themeColor="text1"/>
                <w:highlight w:val="none"/>
                <w14:textFill>
                  <w14:solidFill>
                    <w14:schemeClr w14:val="tx1"/>
                  </w14:solidFill>
                </w14:textFill>
              </w:rPr>
              <w:t>雕刻机、</w:t>
            </w:r>
            <w:r>
              <w:rPr>
                <w:rFonts w:hint="eastAsia"/>
                <w:color w:val="000000" w:themeColor="text1"/>
                <w:highlight w:val="none"/>
                <w:lang w:val="en-US"/>
                <w14:textFill>
                  <w14:solidFill>
                    <w14:schemeClr w14:val="tx1"/>
                  </w14:solidFill>
                </w14:textFill>
              </w:rPr>
              <w:t>精锯、砂光等</w:t>
            </w:r>
            <w:r>
              <w:rPr>
                <w:rFonts w:hint="eastAsia"/>
                <w:color w:val="000000" w:themeColor="text1"/>
                <w:highlight w:val="none"/>
                <w14:textFill>
                  <w14:solidFill>
                    <w14:schemeClr w14:val="tx1"/>
                  </w14:solidFill>
                </w14:textFill>
              </w:rPr>
              <w:t>木工加工设备会产生一定量的木质颗粒物。</w:t>
            </w:r>
            <w:r>
              <w:rPr>
                <w:rFonts w:hint="eastAsia"/>
                <w:color w:val="000000" w:themeColor="text1"/>
                <w:highlight w:val="none"/>
                <w:lang w:eastAsia="zh-CN"/>
                <w14:textFill>
                  <w14:solidFill>
                    <w14:schemeClr w14:val="tx1"/>
                  </w14:solidFill>
                </w14:textFill>
              </w:rPr>
              <w:t>由于现有工程仅登记备案，未进行现状产排污核算及污染源监测，本评价在扩建项目主要环境影响废气章节根据扩建后生产规模进行污染源强核算。</w:t>
            </w:r>
          </w:p>
          <w:p w14:paraId="23A03654">
            <w:pPr>
              <w:pStyle w:val="237"/>
              <w:ind w:firstLine="0" w:firstLineChars="0"/>
              <w:rPr>
                <w:b/>
                <w:color w:val="000000" w:themeColor="text1"/>
                <w:sz w:val="28"/>
                <w:szCs w:val="28"/>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t>2.7.</w:t>
            </w:r>
            <w:r>
              <w:rPr>
                <w:rFonts w:hint="eastAsia"/>
                <w:b/>
                <w:color w:val="000000" w:themeColor="text1"/>
                <w:sz w:val="28"/>
                <w:szCs w:val="28"/>
                <w:highlight w:val="none"/>
                <w:lang w:val="en-US" w:eastAsia="zh-CN"/>
                <w14:textFill>
                  <w14:solidFill>
                    <w14:schemeClr w14:val="tx1"/>
                  </w14:solidFill>
                </w14:textFill>
              </w:rPr>
              <w:t>3</w:t>
            </w:r>
            <w:r>
              <w:rPr>
                <w:rFonts w:hint="eastAsia"/>
                <w:b/>
                <w:color w:val="000000" w:themeColor="text1"/>
                <w:sz w:val="28"/>
                <w:szCs w:val="28"/>
                <w:highlight w:val="none"/>
                <w14:textFill>
                  <w14:solidFill>
                    <w14:schemeClr w14:val="tx1"/>
                  </w14:solidFill>
                </w14:textFill>
              </w:rPr>
              <w:t>现有工程环境问题及整改措施</w:t>
            </w:r>
          </w:p>
          <w:p w14:paraId="26DD4D76">
            <w:pPr>
              <w:pStyle w:val="16"/>
              <w:spacing w:after="0" w:line="360" w:lineRule="auto"/>
              <w:ind w:left="0" w:leftChars="0" w:firstLine="480" w:firstLineChars="20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现有工程木工区原设置移动式集</w:t>
            </w:r>
            <w:r>
              <w:rPr>
                <w:rFonts w:hint="eastAsia" w:cs="Times New Roman"/>
                <w:color w:val="000000" w:themeColor="text1"/>
                <w:highlight w:val="none"/>
                <w:lang w:eastAsia="zh-CN"/>
                <w14:textFill>
                  <w14:solidFill>
                    <w14:schemeClr w14:val="tx1"/>
                  </w14:solidFill>
                </w14:textFill>
              </w:rPr>
              <w:t>尘</w:t>
            </w:r>
            <w:r>
              <w:rPr>
                <w:rFonts w:hint="eastAsia" w:ascii="Times New Roman" w:hAnsi="Times New Roman" w:eastAsia="宋体" w:cs="Times New Roman"/>
                <w:color w:val="000000" w:themeColor="text1"/>
                <w:highlight w:val="none"/>
                <w:lang w:eastAsia="zh-CN"/>
                <w14:textFill>
                  <w14:solidFill>
                    <w14:schemeClr w14:val="tx1"/>
                  </w14:solidFill>
                </w14:textFill>
              </w:rPr>
              <w:t>设施，由于项</w:t>
            </w:r>
            <w:r>
              <w:rPr>
                <w:rFonts w:hint="eastAsia" w:cs="Times New Roman"/>
                <w:color w:val="000000" w:themeColor="text1"/>
                <w:highlight w:val="none"/>
                <w:lang w:eastAsia="zh-CN"/>
                <w14:textFill>
                  <w14:solidFill>
                    <w14:schemeClr w14:val="tx1"/>
                  </w14:solidFill>
                </w14:textFill>
              </w:rPr>
              <w:t>目扩建</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拟在</w:t>
            </w:r>
            <w:r>
              <w:rPr>
                <w:rFonts w:hint="eastAsia" w:ascii="Times New Roman" w:hAnsi="Times New Roman" w:eastAsia="宋体" w:cs="Times New Roman"/>
                <w:color w:val="000000" w:themeColor="text1"/>
                <w:highlight w:val="none"/>
                <w:lang w:val="en-US"/>
                <w14:textFill>
                  <w14:solidFill>
                    <w14:schemeClr w14:val="tx1"/>
                  </w14:solidFill>
                </w14:textFill>
              </w:rPr>
              <w:t>1F</w:t>
            </w:r>
            <w:r>
              <w:rPr>
                <w:rFonts w:hint="eastAsia" w:ascii="Times New Roman" w:hAnsi="Times New Roman" w:eastAsia="宋体" w:cs="Times New Roman"/>
                <w:color w:val="000000" w:themeColor="text1"/>
                <w:highlight w:val="none"/>
                <w14:textFill>
                  <w14:solidFill>
                    <w14:schemeClr w14:val="tx1"/>
                  </w14:solidFill>
                </w14:textFill>
              </w:rPr>
              <w:t>雕刻机、</w:t>
            </w:r>
            <w:r>
              <w:rPr>
                <w:rFonts w:hint="eastAsia" w:ascii="Times New Roman" w:hAnsi="Times New Roman" w:eastAsia="宋体" w:cs="Times New Roman"/>
                <w:color w:val="000000" w:themeColor="text1"/>
                <w:highlight w:val="none"/>
                <w:lang w:val="en-US"/>
                <w14:textFill>
                  <w14:solidFill>
                    <w14:schemeClr w14:val="tx1"/>
                  </w14:solidFill>
                </w14:textFill>
              </w:rPr>
              <w:t>精锯、砂光等产生粉尘颗粒物的</w:t>
            </w:r>
            <w:r>
              <w:rPr>
                <w:rFonts w:hint="eastAsia" w:ascii="Times New Roman" w:hAnsi="Times New Roman" w:eastAsia="宋体" w:cs="Times New Roman"/>
                <w:color w:val="000000" w:themeColor="text1"/>
                <w:highlight w:val="none"/>
                <w14:textFill>
                  <w14:solidFill>
                    <w14:schemeClr w14:val="tx1"/>
                  </w14:solidFill>
                </w14:textFill>
              </w:rPr>
              <w:t>设备上方及</w:t>
            </w:r>
            <w:r>
              <w:rPr>
                <w:rFonts w:hint="eastAsia" w:ascii="Times New Roman" w:hAnsi="Times New Roman" w:eastAsia="宋体" w:cs="Times New Roman"/>
                <w:color w:val="000000" w:themeColor="text1"/>
                <w:highlight w:val="none"/>
                <w:lang w:val="en-US"/>
                <w14:textFill>
                  <w14:solidFill>
                    <w14:schemeClr w14:val="tx1"/>
                  </w14:solidFill>
                </w14:textFill>
              </w:rPr>
              <w:t>3F砂光设备上方</w:t>
            </w:r>
            <w:r>
              <w:rPr>
                <w:rFonts w:hint="eastAsia" w:cs="Times New Roman"/>
                <w:color w:val="000000" w:themeColor="text1"/>
                <w:highlight w:val="none"/>
                <w:lang w:val="en-US" w:eastAsia="zh-CN"/>
                <w14:textFill>
                  <w14:solidFill>
                    <w14:schemeClr w14:val="tx1"/>
                  </w14:solidFill>
                </w14:textFill>
              </w:rPr>
              <w:t>新增</w:t>
            </w:r>
            <w:r>
              <w:rPr>
                <w:rFonts w:hint="eastAsia" w:ascii="Times New Roman" w:hAnsi="Times New Roman" w:eastAsia="宋体" w:cs="Times New Roman"/>
                <w:color w:val="000000" w:themeColor="text1"/>
                <w:highlight w:val="none"/>
                <w14:textFill>
                  <w14:solidFill>
                    <w14:schemeClr w14:val="tx1"/>
                  </w14:solidFill>
                </w14:textFill>
              </w:rPr>
              <w:t>集气罩，集中收集的木工</w:t>
            </w:r>
            <w:r>
              <w:rPr>
                <w:rFonts w:hint="eastAsia" w:ascii="Times New Roman" w:hAnsi="Times New Roman" w:eastAsia="宋体" w:cs="Times New Roman"/>
                <w:color w:val="000000" w:themeColor="text1"/>
                <w:highlight w:val="none"/>
                <w:lang w:eastAsia="zh-CN"/>
                <w14:textFill>
                  <w14:solidFill>
                    <w14:schemeClr w14:val="tx1"/>
                  </w14:solidFill>
                </w14:textFill>
              </w:rPr>
              <w:t>区</w:t>
            </w:r>
            <w:r>
              <w:rPr>
                <w:rFonts w:hint="eastAsia" w:ascii="Times New Roman" w:hAnsi="Times New Roman" w:eastAsia="宋体" w:cs="Times New Roman"/>
                <w:color w:val="000000" w:themeColor="text1"/>
                <w:highlight w:val="none"/>
                <w14:textFill>
                  <w14:solidFill>
                    <w14:schemeClr w14:val="tx1"/>
                  </w14:solidFill>
                </w14:textFill>
              </w:rPr>
              <w:t>废气通过1套中央除尘器（布袋除尘设施）处理后有组织排放，通过1根15m高排气筒（DA001）排放。</w:t>
            </w:r>
          </w:p>
          <w:p w14:paraId="13F283D3">
            <w:pPr>
              <w:pStyle w:val="16"/>
              <w:spacing w:after="0" w:line="360" w:lineRule="auto"/>
              <w:ind w:left="0" w:leftChars="0" w:firstLine="480" w:firstLineChars="200"/>
              <w:rPr>
                <w:rFonts w:hint="eastAsia"/>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综上，</w:t>
            </w:r>
            <w:r>
              <w:rPr>
                <w:rFonts w:hint="eastAsia" w:cs="Times New Roman"/>
                <w:color w:val="000000" w:themeColor="text1"/>
                <w:highlight w:val="none"/>
                <w:lang w:eastAsia="zh-CN"/>
                <w14:textFill>
                  <w14:solidFill>
                    <w14:schemeClr w14:val="tx1"/>
                  </w14:solidFill>
                </w14:textFill>
              </w:rPr>
              <w:t>项目扩建完成</w:t>
            </w:r>
            <w:r>
              <w:rPr>
                <w:rFonts w:hint="eastAsia" w:ascii="Times New Roman" w:hAnsi="Times New Roman" w:eastAsia="宋体" w:cs="Times New Roman"/>
                <w:color w:val="000000" w:themeColor="text1"/>
                <w:highlight w:val="none"/>
                <w:lang w:eastAsia="zh-CN"/>
                <w14:textFill>
                  <w14:solidFill>
                    <w14:schemeClr w14:val="tx1"/>
                  </w14:solidFill>
                </w14:textFill>
              </w:rPr>
              <w:t>后</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现有工程</w:t>
            </w:r>
            <w:r>
              <w:rPr>
                <w:rFonts w:hint="eastAsia" w:ascii="Times New Roman" w:hAnsi="Times New Roman" w:eastAsia="宋体" w:cs="Times New Roman"/>
                <w:color w:val="000000" w:themeColor="text1"/>
                <w:highlight w:val="none"/>
                <w14:textFill>
                  <w14:solidFill>
                    <w14:schemeClr w14:val="tx1"/>
                  </w14:solidFill>
                </w14:textFill>
              </w:rPr>
              <w:t>雕刻机、</w:t>
            </w:r>
            <w:r>
              <w:rPr>
                <w:rFonts w:hint="eastAsia" w:ascii="Times New Roman" w:hAnsi="Times New Roman" w:eastAsia="宋体" w:cs="Times New Roman"/>
                <w:color w:val="000000" w:themeColor="text1"/>
                <w:highlight w:val="none"/>
                <w:lang w:val="en-US"/>
                <w14:textFill>
                  <w14:solidFill>
                    <w14:schemeClr w14:val="tx1"/>
                  </w14:solidFill>
                </w14:textFill>
              </w:rPr>
              <w:t>精锯、砂光等产生</w:t>
            </w:r>
            <w:r>
              <w:rPr>
                <w:rFonts w:hint="eastAsia" w:cs="Times New Roman"/>
                <w:color w:val="000000" w:themeColor="text1"/>
                <w:highlight w:val="none"/>
                <w:lang w:val="en-US" w:eastAsia="zh-CN"/>
                <w14:textFill>
                  <w14:solidFill>
                    <w14:schemeClr w14:val="tx1"/>
                  </w14:solidFill>
                </w14:textFill>
              </w:rPr>
              <w:t>的</w:t>
            </w:r>
            <w:r>
              <w:rPr>
                <w:rFonts w:hint="eastAsia" w:ascii="Times New Roman" w:hAnsi="Times New Roman" w:eastAsia="宋体" w:cs="Times New Roman"/>
                <w:color w:val="000000" w:themeColor="text1"/>
                <w:highlight w:val="none"/>
                <w:lang w:val="en-US"/>
                <w14:textFill>
                  <w14:solidFill>
                    <w14:schemeClr w14:val="tx1"/>
                  </w14:solidFill>
                </w14:textFill>
              </w:rPr>
              <w:t>粉尘颗粒物</w:t>
            </w:r>
            <w:r>
              <w:rPr>
                <w:rFonts w:hint="eastAsia" w:cs="Times New Roman"/>
                <w:color w:val="000000" w:themeColor="text1"/>
                <w:highlight w:val="none"/>
                <w:lang w:val="en-US" w:eastAsia="zh-CN"/>
                <w14:textFill>
                  <w14:solidFill>
                    <w14:schemeClr w14:val="tx1"/>
                  </w14:solidFill>
                </w14:textFill>
              </w:rPr>
              <w:t>由移动式集尘设施处理无组织排放，优化为经</w:t>
            </w:r>
            <w:r>
              <w:rPr>
                <w:rFonts w:hint="eastAsia" w:ascii="Times New Roman" w:hAnsi="Times New Roman" w:eastAsia="宋体" w:cs="Times New Roman"/>
                <w:color w:val="000000" w:themeColor="text1"/>
                <w:highlight w:val="none"/>
                <w:lang w:val="en-US"/>
                <w14:textFill>
                  <w14:solidFill>
                    <w14:schemeClr w14:val="tx1"/>
                  </w14:solidFill>
                </w14:textFill>
              </w:rPr>
              <w:t>设备上方</w:t>
            </w:r>
            <w:r>
              <w:rPr>
                <w:rFonts w:hint="eastAsia" w:ascii="Times New Roman" w:hAnsi="Times New Roman" w:eastAsia="宋体" w:cs="Times New Roman"/>
                <w:color w:val="000000" w:themeColor="text1"/>
                <w:highlight w:val="none"/>
                <w14:textFill>
                  <w14:solidFill>
                    <w14:schemeClr w14:val="tx1"/>
                  </w14:solidFill>
                </w14:textFill>
              </w:rPr>
              <w:t>集气罩</w:t>
            </w:r>
            <w:r>
              <w:rPr>
                <w:rFonts w:hint="eastAsia" w:cs="Times New Roman"/>
                <w:color w:val="000000" w:themeColor="text1"/>
                <w:highlight w:val="none"/>
                <w:lang w:eastAsia="zh-CN"/>
                <w14:textFill>
                  <w14:solidFill>
                    <w14:schemeClr w14:val="tx1"/>
                  </w14:solidFill>
                </w14:textFill>
              </w:rPr>
              <w:t>收集</w:t>
            </w:r>
            <w:r>
              <w:rPr>
                <w:rFonts w:hint="eastAsia" w:ascii="Times New Roman" w:hAnsi="Times New Roman" w:eastAsia="宋体" w:cs="Times New Roman"/>
                <w:color w:val="000000" w:themeColor="text1"/>
                <w:highlight w:val="none"/>
                <w14:textFill>
                  <w14:solidFill>
                    <w14:schemeClr w14:val="tx1"/>
                  </w14:solidFill>
                </w14:textFill>
              </w:rPr>
              <w:t>处理</w:t>
            </w:r>
            <w:r>
              <w:rPr>
                <w:rFonts w:hint="eastAsia" w:cs="Times New Roman"/>
                <w:color w:val="000000" w:themeColor="text1"/>
                <w:highlight w:val="none"/>
                <w:lang w:eastAsia="zh-CN"/>
                <w14:textFill>
                  <w14:solidFill>
                    <w14:schemeClr w14:val="tx1"/>
                  </w14:solidFill>
                </w14:textFill>
              </w:rPr>
              <w:t>后有组织排放。</w:t>
            </w:r>
            <w:r>
              <w:rPr>
                <w:rFonts w:hint="eastAsia" w:ascii="Times New Roman" w:hAnsi="Times New Roman" w:eastAsia="宋体" w:cs="Times New Roman"/>
                <w:color w:val="000000" w:themeColor="text1"/>
                <w:highlight w:val="none"/>
                <w:lang w:eastAsia="zh-CN"/>
                <w14:textFill>
                  <w14:solidFill>
                    <w14:schemeClr w14:val="tx1"/>
                  </w14:solidFill>
                </w14:textFill>
              </w:rPr>
              <w:t>现有工程木工区产生的废气将得到有效治理，</w:t>
            </w:r>
            <w:r>
              <w:rPr>
                <w:rFonts w:hint="eastAsia" w:cs="Times New Roman"/>
                <w:color w:val="000000" w:themeColor="text1"/>
                <w:highlight w:val="none"/>
                <w:lang w:eastAsia="zh-CN"/>
                <w14:textFill>
                  <w14:solidFill>
                    <w14:schemeClr w14:val="tx1"/>
                  </w14:solidFill>
                </w14:textFill>
              </w:rPr>
              <w:t>污染物排放量减小，</w:t>
            </w:r>
            <w:r>
              <w:rPr>
                <w:rFonts w:hint="eastAsia" w:ascii="Times New Roman" w:hAnsi="Times New Roman" w:eastAsia="宋体" w:cs="Times New Roman"/>
                <w:color w:val="000000" w:themeColor="text1"/>
                <w:highlight w:val="none"/>
                <w:lang w:eastAsia="zh-CN"/>
                <w14:textFill>
                  <w14:solidFill>
                    <w14:schemeClr w14:val="tx1"/>
                  </w14:solidFill>
                </w14:textFill>
              </w:rPr>
              <w:t>环境问题改善。</w:t>
            </w:r>
          </w:p>
        </w:tc>
      </w:tr>
    </w:tbl>
    <w:p w14:paraId="5B9416FD">
      <w:pPr>
        <w:rPr>
          <w:color w:val="000000" w:themeColor="text1"/>
          <w:highlight w:val="none"/>
          <w14:textFill>
            <w14:solidFill>
              <w14:schemeClr w14:val="tx1"/>
            </w14:solidFill>
          </w14:textFill>
        </w:rPr>
      </w:pPr>
    </w:p>
    <w:p w14:paraId="30D5FEB3">
      <w:pPr>
        <w:rPr>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87A6DC3">
      <w:pPr>
        <w:pStyle w:val="24"/>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8816"/>
      </w:tblGrid>
      <w:tr w14:paraId="1FA79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471" w:type="dxa"/>
            <w:vAlign w:val="center"/>
          </w:tcPr>
          <w:p w14:paraId="618D9901">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区域</w:t>
            </w:r>
          </w:p>
          <w:p w14:paraId="0004EC60">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w:t>
            </w:r>
          </w:p>
          <w:p w14:paraId="2D39DF12">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质量</w:t>
            </w:r>
          </w:p>
          <w:p w14:paraId="69364148">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现状</w:t>
            </w:r>
          </w:p>
        </w:tc>
        <w:tc>
          <w:tcPr>
            <w:tcW w:w="8816" w:type="dxa"/>
            <w:vAlign w:val="center"/>
          </w:tcPr>
          <w:p w14:paraId="76AE71AF">
            <w:pPr>
              <w:spacing w:before="120" w:beforeLines="50" w:line="360" w:lineRule="auto"/>
              <w:outlineLvl w:val="1"/>
              <w:rPr>
                <w:color w:val="000000" w:themeColor="text1"/>
                <w:sz w:val="28"/>
                <w:szCs w:val="28"/>
                <w:highlight w:val="none"/>
                <w14:textFill>
                  <w14:solidFill>
                    <w14:schemeClr w14:val="tx1"/>
                  </w14:solidFill>
                </w14:textFill>
              </w:rPr>
            </w:pPr>
            <w:bookmarkStart w:id="4" w:name="_Toc11698"/>
            <w:bookmarkStart w:id="5" w:name="_Toc3802"/>
            <w:bookmarkStart w:id="6" w:name="_Toc66217059"/>
            <w:r>
              <w:rPr>
                <w:b/>
                <w:color w:val="000000" w:themeColor="text1"/>
                <w:sz w:val="30"/>
                <w:szCs w:val="30"/>
                <w:highlight w:val="none"/>
                <w14:textFill>
                  <w14:solidFill>
                    <w14:schemeClr w14:val="tx1"/>
                  </w14:solidFill>
                </w14:textFill>
              </w:rPr>
              <w:t>3.1环境质量现状</w:t>
            </w:r>
            <w:bookmarkEnd w:id="4"/>
            <w:bookmarkEnd w:id="5"/>
            <w:bookmarkEnd w:id="6"/>
          </w:p>
          <w:p w14:paraId="00E9FA9B">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3.1.1地表水环境质量现状</w:t>
            </w:r>
          </w:p>
          <w:p w14:paraId="2B9F9FB0">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生产废水经处理后循环使用，</w:t>
            </w:r>
            <w:r>
              <w:rPr>
                <w:color w:val="000000" w:themeColor="text1"/>
                <w:highlight w:val="none"/>
                <w14:textFill>
                  <w14:solidFill>
                    <w14:schemeClr w14:val="tx1"/>
                  </w14:solidFill>
                </w14:textFill>
              </w:rPr>
              <w:t>无生产废水</w:t>
            </w:r>
            <w:r>
              <w:rPr>
                <w:rFonts w:hint="eastAsia"/>
                <w:color w:val="000000" w:themeColor="text1"/>
                <w:highlight w:val="none"/>
                <w14:textFill>
                  <w14:solidFill>
                    <w14:schemeClr w14:val="tx1"/>
                  </w14:solidFill>
                </w14:textFill>
              </w:rPr>
              <w:t>外排</w:t>
            </w:r>
            <w:r>
              <w:rPr>
                <w:color w:val="000000" w:themeColor="text1"/>
                <w:highlight w:val="none"/>
                <w14:textFill>
                  <w14:solidFill>
                    <w14:schemeClr w14:val="tx1"/>
                  </w14:solidFill>
                </w14:textFill>
              </w:rPr>
              <w:t>。生活污水经厂内化粪池处理后，排入市政污水管网接入福清市融元污水处理厂统一处理，污水厂尾水排入龙江。根据福州市水功能区划批复（榕政综[2019]316号）批准的《福州市水功能区划》，该断面水体主要功能为该断面水体主要功能为农业、工业、景观用水，环境功能类别为Ⅴ类。</w:t>
            </w:r>
          </w:p>
          <w:p w14:paraId="0805263C">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为了解项目纳污水域地表水环境质量现状，根据福建省生态环境厅发布的《</w:t>
            </w:r>
            <w:r>
              <w:rPr>
                <w:rFonts w:hint="eastAsia"/>
                <w:color w:val="000000" w:themeColor="text1"/>
                <w:highlight w:val="none"/>
                <w14:textFill>
                  <w14:solidFill>
                    <w14:schemeClr w14:val="tx1"/>
                  </w14:solidFill>
                </w14:textFill>
              </w:rPr>
              <w:t>福建省流域水环境质量状况（2023年1-12月）</w:t>
            </w:r>
            <w:r>
              <w:rPr>
                <w:color w:val="000000" w:themeColor="text1"/>
                <w:highlight w:val="none"/>
                <w14:textFill>
                  <w14:solidFill>
                    <w14:schemeClr w14:val="tx1"/>
                  </w14:solidFill>
                </w14:textFill>
              </w:rPr>
              <w:t>》内容：2023年1―12月，全省主要流域总体水质为优，国控断面Ⅰ～Ⅲ类水质比例99.0％,Ⅰ～Ⅱ类水质比例68.6％；国控及省控断面Ⅰ～Ⅲ类水质比例99.5％，其中Ⅰ～Ⅱ类水质比例65.3％，各类水质比例如下：Ⅰ类占1.9%，Ⅱ类占63.5%，Ⅲ类占34.1%，Ⅳ类占0.5%，无Ⅴ类和劣Ⅴ类水。所有断面水质均达到</w:t>
            </w:r>
            <w:r>
              <w:rPr>
                <w:rFonts w:hint="eastAsia"/>
                <w:color w:val="000000" w:themeColor="text1"/>
                <w:highlight w:val="none"/>
                <w14:textFill>
                  <w14:solidFill>
                    <w14:schemeClr w14:val="tx1"/>
                  </w14:solidFill>
                </w14:textFill>
              </w:rPr>
              <w:t>Ⅳ</w:t>
            </w:r>
            <w:r>
              <w:rPr>
                <w:color w:val="000000" w:themeColor="text1"/>
                <w:highlight w:val="none"/>
                <w14:textFill>
                  <w14:solidFill>
                    <w14:schemeClr w14:val="tx1"/>
                  </w14:solidFill>
                </w14:textFill>
              </w:rPr>
              <w:t>类</w:t>
            </w:r>
            <w:r>
              <w:rPr>
                <w:rFonts w:hint="eastAsia"/>
                <w:color w:val="000000" w:themeColor="text1"/>
                <w:highlight w:val="none"/>
                <w14:textFill>
                  <w14:solidFill>
                    <w14:schemeClr w14:val="tx1"/>
                  </w14:solidFill>
                </w14:textFill>
              </w:rPr>
              <w:t>及以上</w:t>
            </w:r>
            <w:r>
              <w:rPr>
                <w:color w:val="000000" w:themeColor="text1"/>
                <w:highlight w:val="none"/>
                <w14:textFill>
                  <w14:solidFill>
                    <w14:schemeClr w14:val="tx1"/>
                  </w14:solidFill>
                </w14:textFill>
              </w:rPr>
              <w:t>水质标准。综上，项目所在区域水质状况良好，属于达标区。</w:t>
            </w:r>
            <w:r>
              <w:rPr>
                <w:rFonts w:hint="eastAsia"/>
                <w:color w:val="000000" w:themeColor="text1"/>
                <w:highlight w:val="none"/>
                <w14:textFill>
                  <w14:solidFill>
                    <w14:schemeClr w14:val="tx1"/>
                  </w14:solidFill>
                </w14:textFill>
              </w:rPr>
              <w:drawing>
                <wp:inline distT="0" distB="0" distL="114300" distR="114300">
                  <wp:extent cx="5205095" cy="3469005"/>
                  <wp:effectExtent l="0" t="0" r="14605" b="17145"/>
                  <wp:docPr id="7" name="图片 7" descr="0b2e5f43-e43e-448b-b96d-006b9e8be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2e5f43-e43e-448b-b96d-006b9e8bee3f"/>
                          <pic:cNvPicPr>
                            <a:picLocks noChangeAspect="1"/>
                          </pic:cNvPicPr>
                        </pic:nvPicPr>
                        <pic:blipFill>
                          <a:blip r:embed="rId18"/>
                          <a:stretch>
                            <a:fillRect/>
                          </a:stretch>
                        </pic:blipFill>
                        <pic:spPr>
                          <a:xfrm>
                            <a:off x="0" y="0"/>
                            <a:ext cx="5205095" cy="3469005"/>
                          </a:xfrm>
                          <a:prstGeom prst="rect">
                            <a:avLst/>
                          </a:prstGeom>
                        </pic:spPr>
                      </pic:pic>
                    </a:graphicData>
                  </a:graphic>
                </wp:inline>
              </w:drawing>
            </w:r>
          </w:p>
          <w:p w14:paraId="0A4C9D06">
            <w:pPr>
              <w:spacing w:line="360" w:lineRule="auto"/>
              <w:ind w:firstLine="198" w:firstLineChars="82"/>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图</w:t>
            </w:r>
            <w:r>
              <w:rPr>
                <w:rFonts w:hint="eastAsia"/>
                <w:b/>
                <w:color w:val="000000" w:themeColor="text1"/>
                <w:sz w:val="24"/>
                <w:highlight w:val="none"/>
                <w14:textFill>
                  <w14:solidFill>
                    <w14:schemeClr w14:val="tx1"/>
                  </w14:solidFill>
                </w14:textFill>
              </w:rPr>
              <w:t>3.1-1</w:t>
            </w:r>
            <w:r>
              <w:rPr>
                <w:b/>
                <w:bCs/>
                <w:color w:val="000000" w:themeColor="text1"/>
                <w:sz w:val="24"/>
                <w:szCs w:val="32"/>
                <w:highlight w:val="none"/>
                <w14:textFill>
                  <w14:solidFill>
                    <w14:schemeClr w14:val="tx1"/>
                  </w14:solidFill>
                </w14:textFill>
              </w:rPr>
              <w:t>福建省流域水环境质量状况（202</w:t>
            </w:r>
            <w:r>
              <w:rPr>
                <w:rFonts w:hint="eastAsia"/>
                <w:b/>
                <w:bCs/>
                <w:color w:val="000000" w:themeColor="text1"/>
                <w:sz w:val="24"/>
                <w:szCs w:val="32"/>
                <w:highlight w:val="none"/>
                <w14:textFill>
                  <w14:solidFill>
                    <w14:schemeClr w14:val="tx1"/>
                  </w14:solidFill>
                </w14:textFill>
              </w:rPr>
              <w:t>3</w:t>
            </w:r>
            <w:r>
              <w:rPr>
                <w:b/>
                <w:bCs/>
                <w:color w:val="000000" w:themeColor="text1"/>
                <w:sz w:val="24"/>
                <w:szCs w:val="32"/>
                <w:highlight w:val="none"/>
                <w14:textFill>
                  <w14:solidFill>
                    <w14:schemeClr w14:val="tx1"/>
                  </w14:solidFill>
                </w14:textFill>
              </w:rPr>
              <w:t>年1-1</w:t>
            </w:r>
            <w:r>
              <w:rPr>
                <w:rFonts w:hint="eastAsia"/>
                <w:b/>
                <w:bCs/>
                <w:color w:val="000000" w:themeColor="text1"/>
                <w:sz w:val="24"/>
                <w:szCs w:val="32"/>
                <w:highlight w:val="none"/>
                <w14:textFill>
                  <w14:solidFill>
                    <w14:schemeClr w14:val="tx1"/>
                  </w14:solidFill>
                </w14:textFill>
              </w:rPr>
              <w:t>2</w:t>
            </w:r>
            <w:r>
              <w:rPr>
                <w:b/>
                <w:bCs/>
                <w:color w:val="000000" w:themeColor="text1"/>
                <w:sz w:val="24"/>
                <w:szCs w:val="32"/>
                <w:highlight w:val="none"/>
                <w14:textFill>
                  <w14:solidFill>
                    <w14:schemeClr w14:val="tx1"/>
                  </w14:solidFill>
                </w14:textFill>
              </w:rPr>
              <w:t>月）截图</w:t>
            </w:r>
          </w:p>
          <w:p w14:paraId="3D331B5E">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3.1.2</w:t>
            </w:r>
            <w:r>
              <w:rPr>
                <w:rFonts w:hint="eastAsia"/>
                <w:color w:val="000000" w:themeColor="text1"/>
                <w:sz w:val="28"/>
                <w:szCs w:val="28"/>
                <w:highlight w:val="none"/>
                <w14:textFill>
                  <w14:solidFill>
                    <w14:schemeClr w14:val="tx1"/>
                  </w14:solidFill>
                </w14:textFill>
              </w:rPr>
              <w:t>大气</w:t>
            </w:r>
            <w:r>
              <w:rPr>
                <w:color w:val="000000" w:themeColor="text1"/>
                <w:sz w:val="28"/>
                <w:szCs w:val="28"/>
                <w:highlight w:val="none"/>
                <w14:textFill>
                  <w14:solidFill>
                    <w14:schemeClr w14:val="tx1"/>
                  </w14:solidFill>
                </w14:textFill>
              </w:rPr>
              <w:t>环境质量现状</w:t>
            </w:r>
          </w:p>
          <w:p w14:paraId="09C29FF2">
            <w:pPr>
              <w:spacing w:line="360" w:lineRule="auto"/>
              <w:ind w:firstLine="480"/>
              <w:rPr>
                <w:rFonts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区域达标判定</w:t>
            </w:r>
          </w:p>
          <w:p w14:paraId="62B7FCB5">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按《环境影响评价技术导则大气环境》（HJ2.2-2018）要求，城市环境空气质量达标情况评价指标为SO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10</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、CO 和O</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，六项污染物全部达标即为城市环境空气质量达标。项目所在区域达标判定，优先采用国家或地方生态环境主管部门公开公布的评价基准年环境质量公告或环境质量报告中的数据或结论。</w:t>
            </w:r>
          </w:p>
          <w:p w14:paraId="6E25907C">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根据福清市发布的202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年1月~202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年12月份福清市环境空气质量月报，202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年连续1年的大气常规因子环境空气质量监测数据如下</w:t>
            </w:r>
            <w:r>
              <w:rPr>
                <w:rFonts w:hint="eastAsia"/>
                <w:color w:val="000000" w:themeColor="text1"/>
                <w:highlight w:val="none"/>
                <w14:textFill>
                  <w14:solidFill>
                    <w14:schemeClr w14:val="tx1"/>
                  </w14:solidFill>
                </w14:textFill>
              </w:rPr>
              <w:t>:</w:t>
            </w:r>
          </w:p>
          <w:p w14:paraId="0CE1EDCF">
            <w:pPr>
              <w:pStyle w:val="86"/>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w:t>
            </w:r>
            <w:r>
              <w:rPr>
                <w:rFonts w:hint="eastAsia"/>
                <w:b/>
                <w:color w:val="000000" w:themeColor="text1"/>
                <w:highlight w:val="none"/>
                <w14:textFill>
                  <w14:solidFill>
                    <w14:schemeClr w14:val="tx1"/>
                  </w14:solidFill>
                </w14:textFill>
              </w:rPr>
              <w:t>3.1-1</w:t>
            </w:r>
            <w:r>
              <w:rPr>
                <w:b/>
                <w:color w:val="000000" w:themeColor="text1"/>
                <w:highlight w:val="none"/>
                <w14:textFill>
                  <w14:solidFill>
                    <w14:schemeClr w14:val="tx1"/>
                  </w14:solidFill>
                </w14:textFill>
              </w:rPr>
              <w:t>福清市202</w:t>
            </w:r>
            <w:r>
              <w:rPr>
                <w:rFonts w:hint="eastAsia"/>
                <w:b/>
                <w:color w:val="000000" w:themeColor="text1"/>
                <w:highlight w:val="none"/>
                <w14:textFill>
                  <w14:solidFill>
                    <w14:schemeClr w14:val="tx1"/>
                  </w14:solidFill>
                </w14:textFill>
              </w:rPr>
              <w:t>4</w:t>
            </w:r>
            <w:r>
              <w:rPr>
                <w:b/>
                <w:color w:val="000000" w:themeColor="text1"/>
                <w:highlight w:val="none"/>
                <w14:textFill>
                  <w14:solidFill>
                    <w14:schemeClr w14:val="tx1"/>
                  </w14:solidFill>
                </w14:textFill>
              </w:rPr>
              <w:t>年1月份~202</w:t>
            </w:r>
            <w:r>
              <w:rPr>
                <w:rFonts w:hint="eastAsia"/>
                <w:b/>
                <w:color w:val="000000" w:themeColor="text1"/>
                <w:highlight w:val="none"/>
                <w14:textFill>
                  <w14:solidFill>
                    <w14:schemeClr w14:val="tx1"/>
                  </w14:solidFill>
                </w14:textFill>
              </w:rPr>
              <w:t>4</w:t>
            </w:r>
            <w:r>
              <w:rPr>
                <w:b/>
                <w:color w:val="000000" w:themeColor="text1"/>
                <w:highlight w:val="none"/>
                <w14:textFill>
                  <w14:solidFill>
                    <w14:schemeClr w14:val="tx1"/>
                  </w14:solidFill>
                </w14:textFill>
              </w:rPr>
              <w:t>年12月份环境空气质量统计（单位：mg/m³）</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640"/>
              <w:gridCol w:w="1063"/>
              <w:gridCol w:w="1138"/>
              <w:gridCol w:w="1138"/>
              <w:gridCol w:w="1150"/>
              <w:gridCol w:w="1262"/>
              <w:gridCol w:w="1179"/>
            </w:tblGrid>
            <w:tr w14:paraId="557CC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12" w:space="0"/>
                    <w:left w:val="single" w:color="auto" w:sz="12" w:space="0"/>
                    <w:bottom w:val="single" w:color="auto" w:sz="4" w:space="0"/>
                    <w:right w:val="single" w:color="auto" w:sz="4" w:space="0"/>
                  </w:tcBorders>
                  <w:vAlign w:val="center"/>
                </w:tcPr>
                <w:p w14:paraId="39EC158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时间</w:t>
                  </w:r>
                </w:p>
              </w:tc>
              <w:tc>
                <w:tcPr>
                  <w:tcW w:w="620" w:type="pct"/>
                  <w:tcBorders>
                    <w:top w:val="single" w:color="auto" w:sz="12" w:space="0"/>
                    <w:left w:val="single" w:color="auto" w:sz="4" w:space="0"/>
                    <w:bottom w:val="single" w:color="auto" w:sz="4" w:space="0"/>
                    <w:right w:val="single" w:color="auto" w:sz="4" w:space="0"/>
                  </w:tcBorders>
                  <w:vAlign w:val="center"/>
                </w:tcPr>
                <w:p w14:paraId="7CE5BCC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SO</w:t>
                  </w:r>
                  <w:r>
                    <w:rPr>
                      <w:color w:val="000000" w:themeColor="text1"/>
                      <w:highlight w:val="none"/>
                      <w:vertAlign w:val="subscript"/>
                      <w14:textFill>
                        <w14:solidFill>
                          <w14:schemeClr w14:val="tx1"/>
                        </w14:solidFill>
                      </w14:textFill>
                    </w:rPr>
                    <w:t>2</w:t>
                  </w:r>
                </w:p>
              </w:tc>
              <w:tc>
                <w:tcPr>
                  <w:tcW w:w="664" w:type="pct"/>
                  <w:tcBorders>
                    <w:top w:val="single" w:color="auto" w:sz="12" w:space="0"/>
                    <w:left w:val="single" w:color="auto" w:sz="4" w:space="0"/>
                    <w:bottom w:val="single" w:color="auto" w:sz="4" w:space="0"/>
                    <w:right w:val="single" w:color="auto" w:sz="4" w:space="0"/>
                  </w:tcBorders>
                  <w:vAlign w:val="center"/>
                </w:tcPr>
                <w:p w14:paraId="7186BFB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2</w:t>
                  </w:r>
                </w:p>
              </w:tc>
              <w:tc>
                <w:tcPr>
                  <w:tcW w:w="664" w:type="pct"/>
                  <w:tcBorders>
                    <w:top w:val="single" w:color="auto" w:sz="12" w:space="0"/>
                    <w:left w:val="single" w:color="auto" w:sz="4" w:space="0"/>
                    <w:bottom w:val="single" w:color="auto" w:sz="4" w:space="0"/>
                    <w:right w:val="single" w:color="auto" w:sz="4" w:space="0"/>
                  </w:tcBorders>
                  <w:vAlign w:val="center"/>
                </w:tcPr>
                <w:p w14:paraId="0F24EC7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10</w:t>
                  </w:r>
                </w:p>
              </w:tc>
              <w:tc>
                <w:tcPr>
                  <w:tcW w:w="671" w:type="pct"/>
                  <w:tcBorders>
                    <w:top w:val="single" w:color="auto" w:sz="12" w:space="0"/>
                    <w:left w:val="single" w:color="auto" w:sz="4" w:space="0"/>
                    <w:bottom w:val="single" w:color="auto" w:sz="4" w:space="0"/>
                    <w:right w:val="single" w:color="auto" w:sz="4" w:space="0"/>
                  </w:tcBorders>
                  <w:vAlign w:val="center"/>
                </w:tcPr>
                <w:p w14:paraId="5485F55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2.5</w:t>
                  </w:r>
                </w:p>
              </w:tc>
              <w:tc>
                <w:tcPr>
                  <w:tcW w:w="736" w:type="pct"/>
                  <w:tcBorders>
                    <w:top w:val="single" w:color="auto" w:sz="12" w:space="0"/>
                    <w:left w:val="single" w:color="auto" w:sz="4" w:space="0"/>
                    <w:bottom w:val="single" w:color="auto" w:sz="4" w:space="0"/>
                    <w:right w:val="single" w:color="auto" w:sz="4" w:space="0"/>
                  </w:tcBorders>
                  <w:vAlign w:val="center"/>
                </w:tcPr>
                <w:p w14:paraId="36EC481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w:t>
                  </w:r>
                </w:p>
              </w:tc>
              <w:tc>
                <w:tcPr>
                  <w:tcW w:w="688" w:type="pct"/>
                  <w:tcBorders>
                    <w:top w:val="single" w:color="auto" w:sz="12" w:space="0"/>
                    <w:left w:val="single" w:color="auto" w:sz="4" w:space="0"/>
                    <w:bottom w:val="single" w:color="auto" w:sz="4" w:space="0"/>
                    <w:right w:val="single" w:color="auto" w:sz="12" w:space="0"/>
                  </w:tcBorders>
                  <w:vAlign w:val="center"/>
                </w:tcPr>
                <w:p w14:paraId="0D3DBC2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O</w:t>
                  </w:r>
                  <w:r>
                    <w:rPr>
                      <w:color w:val="000000" w:themeColor="text1"/>
                      <w:highlight w:val="none"/>
                      <w:vertAlign w:val="subscript"/>
                      <w14:textFill>
                        <w14:solidFill>
                          <w14:schemeClr w14:val="tx1"/>
                        </w14:solidFill>
                      </w14:textFill>
                    </w:rPr>
                    <w:t>3</w:t>
                  </w:r>
                </w:p>
              </w:tc>
            </w:tr>
            <w:tr w14:paraId="02E71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5A12569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年1月</w:t>
                  </w:r>
                </w:p>
              </w:tc>
              <w:tc>
                <w:tcPr>
                  <w:tcW w:w="620" w:type="pct"/>
                  <w:tcBorders>
                    <w:top w:val="single" w:color="auto" w:sz="4" w:space="0"/>
                    <w:left w:val="single" w:color="auto" w:sz="4" w:space="0"/>
                    <w:bottom w:val="single" w:color="auto" w:sz="4" w:space="0"/>
                    <w:right w:val="single" w:color="auto" w:sz="4" w:space="0"/>
                  </w:tcBorders>
                  <w:vAlign w:val="center"/>
                </w:tcPr>
                <w:p w14:paraId="48B654F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0.003</w:t>
                  </w:r>
                </w:p>
              </w:tc>
              <w:tc>
                <w:tcPr>
                  <w:tcW w:w="664" w:type="pct"/>
                  <w:tcBorders>
                    <w:top w:val="single" w:color="auto" w:sz="4" w:space="0"/>
                    <w:left w:val="single" w:color="auto" w:sz="4" w:space="0"/>
                    <w:bottom w:val="single" w:color="auto" w:sz="4" w:space="0"/>
                    <w:right w:val="single" w:color="auto" w:sz="4" w:space="0"/>
                  </w:tcBorders>
                  <w:vAlign w:val="center"/>
                </w:tcPr>
                <w:p w14:paraId="419E331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0.022</w:t>
                  </w:r>
                </w:p>
              </w:tc>
              <w:tc>
                <w:tcPr>
                  <w:tcW w:w="664" w:type="pct"/>
                  <w:tcBorders>
                    <w:top w:val="single" w:color="auto" w:sz="4" w:space="0"/>
                    <w:left w:val="single" w:color="auto" w:sz="4" w:space="0"/>
                    <w:bottom w:val="single" w:color="auto" w:sz="4" w:space="0"/>
                    <w:right w:val="single" w:color="auto" w:sz="4" w:space="0"/>
                  </w:tcBorders>
                  <w:vAlign w:val="center"/>
                </w:tcPr>
                <w:p w14:paraId="49904DE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0.048</w:t>
                  </w:r>
                </w:p>
              </w:tc>
              <w:tc>
                <w:tcPr>
                  <w:tcW w:w="671" w:type="pct"/>
                  <w:tcBorders>
                    <w:top w:val="single" w:color="auto" w:sz="4" w:space="0"/>
                    <w:left w:val="single" w:color="auto" w:sz="4" w:space="0"/>
                    <w:bottom w:val="single" w:color="auto" w:sz="4" w:space="0"/>
                    <w:right w:val="single" w:color="auto" w:sz="4" w:space="0"/>
                  </w:tcBorders>
                  <w:vAlign w:val="center"/>
                </w:tcPr>
                <w:p w14:paraId="4514E76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0.030</w:t>
                  </w:r>
                </w:p>
              </w:tc>
              <w:tc>
                <w:tcPr>
                  <w:tcW w:w="736" w:type="pct"/>
                  <w:tcBorders>
                    <w:top w:val="single" w:color="auto" w:sz="4" w:space="0"/>
                    <w:left w:val="single" w:color="auto" w:sz="4" w:space="0"/>
                    <w:bottom w:val="single" w:color="auto" w:sz="4" w:space="0"/>
                    <w:right w:val="single" w:color="auto" w:sz="4" w:space="0"/>
                  </w:tcBorders>
                  <w:vAlign w:val="center"/>
                </w:tcPr>
                <w:p w14:paraId="1635ECC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0.9</w:t>
                  </w:r>
                </w:p>
              </w:tc>
              <w:tc>
                <w:tcPr>
                  <w:tcW w:w="688" w:type="pct"/>
                  <w:tcBorders>
                    <w:top w:val="single" w:color="auto" w:sz="4" w:space="0"/>
                    <w:left w:val="single" w:color="auto" w:sz="4" w:space="0"/>
                    <w:bottom w:val="single" w:color="auto" w:sz="4" w:space="0"/>
                    <w:right w:val="single" w:color="auto" w:sz="12" w:space="0"/>
                  </w:tcBorders>
                  <w:vAlign w:val="center"/>
                </w:tcPr>
                <w:p w14:paraId="2AC16F9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0.110</w:t>
                  </w:r>
                </w:p>
              </w:tc>
            </w:tr>
            <w:tr w14:paraId="26B2E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101C107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年2月</w:t>
                  </w:r>
                </w:p>
              </w:tc>
              <w:tc>
                <w:tcPr>
                  <w:tcW w:w="620" w:type="pct"/>
                  <w:tcBorders>
                    <w:top w:val="single" w:color="auto" w:sz="4" w:space="0"/>
                    <w:left w:val="single" w:color="auto" w:sz="4" w:space="0"/>
                    <w:bottom w:val="single" w:color="auto" w:sz="4" w:space="0"/>
                    <w:right w:val="single" w:color="auto" w:sz="4" w:space="0"/>
                  </w:tcBorders>
                  <w:vAlign w:val="center"/>
                </w:tcPr>
                <w:p w14:paraId="5385939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0.003</w:t>
                  </w:r>
                </w:p>
              </w:tc>
              <w:tc>
                <w:tcPr>
                  <w:tcW w:w="664" w:type="pct"/>
                  <w:tcBorders>
                    <w:top w:val="single" w:color="auto" w:sz="4" w:space="0"/>
                    <w:left w:val="single" w:color="auto" w:sz="4" w:space="0"/>
                    <w:bottom w:val="single" w:color="auto" w:sz="4" w:space="0"/>
                    <w:right w:val="single" w:color="auto" w:sz="4" w:space="0"/>
                  </w:tcBorders>
                  <w:vAlign w:val="center"/>
                </w:tcPr>
                <w:p w14:paraId="5C8C28C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0.009</w:t>
                  </w:r>
                </w:p>
              </w:tc>
              <w:tc>
                <w:tcPr>
                  <w:tcW w:w="664" w:type="pct"/>
                  <w:tcBorders>
                    <w:top w:val="single" w:color="auto" w:sz="4" w:space="0"/>
                    <w:left w:val="single" w:color="auto" w:sz="4" w:space="0"/>
                    <w:bottom w:val="single" w:color="auto" w:sz="4" w:space="0"/>
                    <w:right w:val="single" w:color="auto" w:sz="4" w:space="0"/>
                  </w:tcBorders>
                  <w:vAlign w:val="center"/>
                </w:tcPr>
                <w:p w14:paraId="2F7BAAF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0.038</w:t>
                  </w:r>
                </w:p>
              </w:tc>
              <w:tc>
                <w:tcPr>
                  <w:tcW w:w="671" w:type="pct"/>
                  <w:tcBorders>
                    <w:top w:val="single" w:color="auto" w:sz="4" w:space="0"/>
                    <w:left w:val="single" w:color="auto" w:sz="4" w:space="0"/>
                    <w:bottom w:val="single" w:color="auto" w:sz="4" w:space="0"/>
                    <w:right w:val="single" w:color="auto" w:sz="4" w:space="0"/>
                  </w:tcBorders>
                  <w:vAlign w:val="center"/>
                </w:tcPr>
                <w:p w14:paraId="36F95CEA">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0.023</w:t>
                  </w:r>
                </w:p>
              </w:tc>
              <w:tc>
                <w:tcPr>
                  <w:tcW w:w="736" w:type="pct"/>
                  <w:tcBorders>
                    <w:top w:val="single" w:color="auto" w:sz="4" w:space="0"/>
                    <w:left w:val="single" w:color="auto" w:sz="4" w:space="0"/>
                    <w:bottom w:val="single" w:color="auto" w:sz="4" w:space="0"/>
                    <w:right w:val="single" w:color="auto" w:sz="4" w:space="0"/>
                  </w:tcBorders>
                  <w:vAlign w:val="center"/>
                </w:tcPr>
                <w:p w14:paraId="02FD7DA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688" w:type="pct"/>
                  <w:tcBorders>
                    <w:top w:val="single" w:color="auto" w:sz="4" w:space="0"/>
                    <w:left w:val="single" w:color="auto" w:sz="4" w:space="0"/>
                    <w:bottom w:val="single" w:color="auto" w:sz="4" w:space="0"/>
                    <w:right w:val="single" w:color="auto" w:sz="12" w:space="0"/>
                  </w:tcBorders>
                  <w:vAlign w:val="center"/>
                </w:tcPr>
                <w:p w14:paraId="722ABC1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0.112</w:t>
                  </w:r>
                </w:p>
              </w:tc>
            </w:tr>
            <w:tr w14:paraId="38529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3DBC519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年3月</w:t>
                  </w:r>
                </w:p>
              </w:tc>
              <w:tc>
                <w:tcPr>
                  <w:tcW w:w="620" w:type="pct"/>
                  <w:tcBorders>
                    <w:top w:val="single" w:color="auto" w:sz="4" w:space="0"/>
                    <w:left w:val="single" w:color="auto" w:sz="4" w:space="0"/>
                    <w:bottom w:val="single" w:color="auto" w:sz="4" w:space="0"/>
                    <w:right w:val="single" w:color="auto" w:sz="4" w:space="0"/>
                  </w:tcBorders>
                  <w:vAlign w:val="center"/>
                </w:tcPr>
                <w:p w14:paraId="1FF7EE1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14:paraId="0EABC0E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0.018</w:t>
                  </w:r>
                </w:p>
              </w:tc>
              <w:tc>
                <w:tcPr>
                  <w:tcW w:w="664" w:type="pct"/>
                  <w:tcBorders>
                    <w:top w:val="single" w:color="auto" w:sz="4" w:space="0"/>
                    <w:left w:val="single" w:color="auto" w:sz="4" w:space="0"/>
                    <w:bottom w:val="single" w:color="auto" w:sz="4" w:space="0"/>
                    <w:right w:val="single" w:color="auto" w:sz="4" w:space="0"/>
                  </w:tcBorders>
                  <w:vAlign w:val="center"/>
                </w:tcPr>
                <w:p w14:paraId="7AE6542A">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0.050</w:t>
                  </w:r>
                </w:p>
              </w:tc>
              <w:tc>
                <w:tcPr>
                  <w:tcW w:w="671" w:type="pct"/>
                  <w:tcBorders>
                    <w:top w:val="single" w:color="auto" w:sz="4" w:space="0"/>
                    <w:left w:val="single" w:color="auto" w:sz="4" w:space="0"/>
                    <w:bottom w:val="single" w:color="auto" w:sz="4" w:space="0"/>
                    <w:right w:val="single" w:color="auto" w:sz="4" w:space="0"/>
                  </w:tcBorders>
                  <w:vAlign w:val="center"/>
                </w:tcPr>
                <w:p w14:paraId="5EBC130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0.023</w:t>
                  </w:r>
                </w:p>
              </w:tc>
              <w:tc>
                <w:tcPr>
                  <w:tcW w:w="736" w:type="pct"/>
                  <w:tcBorders>
                    <w:top w:val="single" w:color="auto" w:sz="4" w:space="0"/>
                    <w:left w:val="single" w:color="auto" w:sz="4" w:space="0"/>
                    <w:bottom w:val="single" w:color="auto" w:sz="4" w:space="0"/>
                    <w:right w:val="single" w:color="auto" w:sz="4" w:space="0"/>
                  </w:tcBorders>
                  <w:vAlign w:val="center"/>
                </w:tcPr>
                <w:p w14:paraId="39A94F2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688" w:type="pct"/>
                  <w:tcBorders>
                    <w:top w:val="single" w:color="auto" w:sz="4" w:space="0"/>
                    <w:left w:val="single" w:color="auto" w:sz="4" w:space="0"/>
                    <w:bottom w:val="single" w:color="auto" w:sz="4" w:space="0"/>
                    <w:right w:val="single" w:color="auto" w:sz="12" w:space="0"/>
                  </w:tcBorders>
                  <w:vAlign w:val="center"/>
                </w:tcPr>
                <w:p w14:paraId="433E6DA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0.121</w:t>
                  </w:r>
                </w:p>
              </w:tc>
            </w:tr>
            <w:tr w14:paraId="631EA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49DF37E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年4月</w:t>
                  </w:r>
                </w:p>
              </w:tc>
              <w:tc>
                <w:tcPr>
                  <w:tcW w:w="620" w:type="pct"/>
                  <w:tcBorders>
                    <w:top w:val="single" w:color="auto" w:sz="4" w:space="0"/>
                    <w:left w:val="single" w:color="auto" w:sz="4" w:space="0"/>
                    <w:bottom w:val="single" w:color="auto" w:sz="4" w:space="0"/>
                    <w:right w:val="single" w:color="auto" w:sz="4" w:space="0"/>
                  </w:tcBorders>
                  <w:vAlign w:val="center"/>
                </w:tcPr>
                <w:p w14:paraId="0155E49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0.003</w:t>
                  </w:r>
                </w:p>
              </w:tc>
              <w:tc>
                <w:tcPr>
                  <w:tcW w:w="664" w:type="pct"/>
                  <w:tcBorders>
                    <w:top w:val="single" w:color="auto" w:sz="4" w:space="0"/>
                    <w:left w:val="single" w:color="auto" w:sz="4" w:space="0"/>
                    <w:bottom w:val="single" w:color="auto" w:sz="4" w:space="0"/>
                    <w:right w:val="single" w:color="auto" w:sz="4" w:space="0"/>
                  </w:tcBorders>
                  <w:vAlign w:val="center"/>
                </w:tcPr>
                <w:p w14:paraId="62F9748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0.016</w:t>
                  </w:r>
                </w:p>
              </w:tc>
              <w:tc>
                <w:tcPr>
                  <w:tcW w:w="664" w:type="pct"/>
                  <w:tcBorders>
                    <w:top w:val="single" w:color="auto" w:sz="4" w:space="0"/>
                    <w:left w:val="single" w:color="auto" w:sz="4" w:space="0"/>
                    <w:bottom w:val="single" w:color="auto" w:sz="4" w:space="0"/>
                    <w:right w:val="single" w:color="auto" w:sz="4" w:space="0"/>
                  </w:tcBorders>
                  <w:vAlign w:val="center"/>
                </w:tcPr>
                <w:p w14:paraId="69FC3D8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0.041</w:t>
                  </w:r>
                </w:p>
              </w:tc>
              <w:tc>
                <w:tcPr>
                  <w:tcW w:w="671" w:type="pct"/>
                  <w:tcBorders>
                    <w:top w:val="single" w:color="auto" w:sz="4" w:space="0"/>
                    <w:left w:val="single" w:color="auto" w:sz="4" w:space="0"/>
                    <w:bottom w:val="single" w:color="auto" w:sz="4" w:space="0"/>
                    <w:right w:val="single" w:color="auto" w:sz="4" w:space="0"/>
                  </w:tcBorders>
                  <w:vAlign w:val="center"/>
                </w:tcPr>
                <w:p w14:paraId="51213E4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0.020</w:t>
                  </w:r>
                </w:p>
              </w:tc>
              <w:tc>
                <w:tcPr>
                  <w:tcW w:w="736" w:type="pct"/>
                  <w:tcBorders>
                    <w:top w:val="single" w:color="auto" w:sz="4" w:space="0"/>
                    <w:left w:val="single" w:color="auto" w:sz="4" w:space="0"/>
                    <w:bottom w:val="single" w:color="auto" w:sz="4" w:space="0"/>
                    <w:right w:val="single" w:color="auto" w:sz="4" w:space="0"/>
                  </w:tcBorders>
                  <w:vAlign w:val="center"/>
                </w:tcPr>
                <w:p w14:paraId="56F2BAE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0.8</w:t>
                  </w:r>
                </w:p>
              </w:tc>
              <w:tc>
                <w:tcPr>
                  <w:tcW w:w="688" w:type="pct"/>
                  <w:tcBorders>
                    <w:top w:val="single" w:color="auto" w:sz="4" w:space="0"/>
                    <w:left w:val="single" w:color="auto" w:sz="4" w:space="0"/>
                    <w:bottom w:val="single" w:color="auto" w:sz="4" w:space="0"/>
                    <w:right w:val="single" w:color="auto" w:sz="12" w:space="0"/>
                  </w:tcBorders>
                  <w:vAlign w:val="center"/>
                </w:tcPr>
                <w:p w14:paraId="303B3A6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0.122</w:t>
                  </w:r>
                </w:p>
              </w:tc>
            </w:tr>
            <w:tr w14:paraId="7126C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42022E8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年5月</w:t>
                  </w:r>
                </w:p>
              </w:tc>
              <w:tc>
                <w:tcPr>
                  <w:tcW w:w="620" w:type="pct"/>
                  <w:tcBorders>
                    <w:top w:val="single" w:color="auto" w:sz="4" w:space="0"/>
                    <w:left w:val="single" w:color="auto" w:sz="4" w:space="0"/>
                    <w:bottom w:val="single" w:color="auto" w:sz="4" w:space="0"/>
                    <w:right w:val="single" w:color="auto" w:sz="4" w:space="0"/>
                  </w:tcBorders>
                  <w:vAlign w:val="center"/>
                </w:tcPr>
                <w:p w14:paraId="2D766E1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14:paraId="621C3D6A">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0.011</w:t>
                  </w:r>
                </w:p>
              </w:tc>
              <w:tc>
                <w:tcPr>
                  <w:tcW w:w="664" w:type="pct"/>
                  <w:tcBorders>
                    <w:top w:val="single" w:color="auto" w:sz="4" w:space="0"/>
                    <w:left w:val="single" w:color="auto" w:sz="4" w:space="0"/>
                    <w:bottom w:val="single" w:color="auto" w:sz="4" w:space="0"/>
                    <w:right w:val="single" w:color="auto" w:sz="4" w:space="0"/>
                  </w:tcBorders>
                  <w:vAlign w:val="center"/>
                </w:tcPr>
                <w:p w14:paraId="2C189CA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0.028</w:t>
                  </w:r>
                </w:p>
              </w:tc>
              <w:tc>
                <w:tcPr>
                  <w:tcW w:w="671" w:type="pct"/>
                  <w:tcBorders>
                    <w:top w:val="single" w:color="auto" w:sz="4" w:space="0"/>
                    <w:left w:val="single" w:color="auto" w:sz="4" w:space="0"/>
                    <w:bottom w:val="single" w:color="auto" w:sz="4" w:space="0"/>
                    <w:right w:val="single" w:color="auto" w:sz="4" w:space="0"/>
                  </w:tcBorders>
                  <w:vAlign w:val="center"/>
                </w:tcPr>
                <w:p w14:paraId="18CFC9C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0.013</w:t>
                  </w:r>
                </w:p>
              </w:tc>
              <w:tc>
                <w:tcPr>
                  <w:tcW w:w="736" w:type="pct"/>
                  <w:tcBorders>
                    <w:top w:val="single" w:color="auto" w:sz="4" w:space="0"/>
                    <w:left w:val="single" w:color="auto" w:sz="4" w:space="0"/>
                    <w:bottom w:val="single" w:color="auto" w:sz="4" w:space="0"/>
                    <w:right w:val="single" w:color="auto" w:sz="4" w:space="0"/>
                  </w:tcBorders>
                  <w:vAlign w:val="center"/>
                </w:tcPr>
                <w:p w14:paraId="79D209E0">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0.6</w:t>
                  </w:r>
                </w:p>
              </w:tc>
              <w:tc>
                <w:tcPr>
                  <w:tcW w:w="688" w:type="pct"/>
                  <w:tcBorders>
                    <w:top w:val="single" w:color="auto" w:sz="4" w:space="0"/>
                    <w:left w:val="single" w:color="auto" w:sz="4" w:space="0"/>
                    <w:bottom w:val="single" w:color="auto" w:sz="4" w:space="0"/>
                    <w:right w:val="single" w:color="auto" w:sz="12" w:space="0"/>
                  </w:tcBorders>
                  <w:vAlign w:val="center"/>
                </w:tcPr>
                <w:p w14:paraId="662AC4C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0.130</w:t>
                  </w:r>
                </w:p>
              </w:tc>
            </w:tr>
            <w:tr w14:paraId="2F00A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4AAA6DB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年6月</w:t>
                  </w:r>
                </w:p>
              </w:tc>
              <w:tc>
                <w:tcPr>
                  <w:tcW w:w="620" w:type="pct"/>
                  <w:tcBorders>
                    <w:top w:val="single" w:color="auto" w:sz="4" w:space="0"/>
                    <w:left w:val="single" w:color="auto" w:sz="4" w:space="0"/>
                    <w:bottom w:val="single" w:color="auto" w:sz="4" w:space="0"/>
                    <w:right w:val="single" w:color="auto" w:sz="4" w:space="0"/>
                  </w:tcBorders>
                  <w:vAlign w:val="center"/>
                </w:tcPr>
                <w:p w14:paraId="0E69719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14:paraId="655AB53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0.010</w:t>
                  </w:r>
                </w:p>
              </w:tc>
              <w:tc>
                <w:tcPr>
                  <w:tcW w:w="664" w:type="pct"/>
                  <w:tcBorders>
                    <w:top w:val="single" w:color="auto" w:sz="4" w:space="0"/>
                    <w:left w:val="single" w:color="auto" w:sz="4" w:space="0"/>
                    <w:bottom w:val="single" w:color="auto" w:sz="4" w:space="0"/>
                    <w:right w:val="single" w:color="auto" w:sz="4" w:space="0"/>
                  </w:tcBorders>
                  <w:vAlign w:val="center"/>
                </w:tcPr>
                <w:p w14:paraId="078027A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0.022</w:t>
                  </w:r>
                </w:p>
              </w:tc>
              <w:tc>
                <w:tcPr>
                  <w:tcW w:w="671" w:type="pct"/>
                  <w:tcBorders>
                    <w:top w:val="single" w:color="auto" w:sz="4" w:space="0"/>
                    <w:left w:val="single" w:color="auto" w:sz="4" w:space="0"/>
                    <w:bottom w:val="single" w:color="auto" w:sz="4" w:space="0"/>
                    <w:right w:val="single" w:color="auto" w:sz="4" w:space="0"/>
                  </w:tcBorders>
                  <w:vAlign w:val="center"/>
                </w:tcPr>
                <w:p w14:paraId="65DEB72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0.010</w:t>
                  </w:r>
                </w:p>
              </w:tc>
              <w:tc>
                <w:tcPr>
                  <w:tcW w:w="736" w:type="pct"/>
                  <w:tcBorders>
                    <w:top w:val="single" w:color="auto" w:sz="4" w:space="0"/>
                    <w:left w:val="single" w:color="auto" w:sz="4" w:space="0"/>
                    <w:bottom w:val="single" w:color="auto" w:sz="4" w:space="0"/>
                    <w:right w:val="single" w:color="auto" w:sz="4" w:space="0"/>
                  </w:tcBorders>
                  <w:vAlign w:val="center"/>
                </w:tcPr>
                <w:p w14:paraId="0707177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0.6</w:t>
                  </w:r>
                </w:p>
              </w:tc>
              <w:tc>
                <w:tcPr>
                  <w:tcW w:w="688" w:type="pct"/>
                  <w:tcBorders>
                    <w:top w:val="single" w:color="auto" w:sz="4" w:space="0"/>
                    <w:left w:val="single" w:color="auto" w:sz="4" w:space="0"/>
                    <w:bottom w:val="single" w:color="auto" w:sz="4" w:space="0"/>
                    <w:right w:val="single" w:color="auto" w:sz="12" w:space="0"/>
                  </w:tcBorders>
                  <w:vAlign w:val="center"/>
                </w:tcPr>
                <w:p w14:paraId="4BADB80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0.112</w:t>
                  </w:r>
                </w:p>
              </w:tc>
            </w:tr>
            <w:tr w14:paraId="33FFC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611D0C0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年7月</w:t>
                  </w:r>
                </w:p>
              </w:tc>
              <w:tc>
                <w:tcPr>
                  <w:tcW w:w="620" w:type="pct"/>
                  <w:tcBorders>
                    <w:top w:val="single" w:color="auto" w:sz="4" w:space="0"/>
                    <w:left w:val="single" w:color="auto" w:sz="4" w:space="0"/>
                    <w:bottom w:val="single" w:color="auto" w:sz="4" w:space="0"/>
                    <w:right w:val="single" w:color="auto" w:sz="4" w:space="0"/>
                  </w:tcBorders>
                  <w:vAlign w:val="center"/>
                </w:tcPr>
                <w:p w14:paraId="0126A710">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14:paraId="099C0A8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0.008</w:t>
                  </w:r>
                </w:p>
              </w:tc>
              <w:tc>
                <w:tcPr>
                  <w:tcW w:w="664" w:type="pct"/>
                  <w:tcBorders>
                    <w:top w:val="single" w:color="auto" w:sz="4" w:space="0"/>
                    <w:left w:val="single" w:color="auto" w:sz="4" w:space="0"/>
                    <w:bottom w:val="single" w:color="auto" w:sz="4" w:space="0"/>
                    <w:right w:val="single" w:color="auto" w:sz="4" w:space="0"/>
                  </w:tcBorders>
                  <w:vAlign w:val="center"/>
                </w:tcPr>
                <w:p w14:paraId="1DB3F8F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0.020</w:t>
                  </w:r>
                </w:p>
              </w:tc>
              <w:tc>
                <w:tcPr>
                  <w:tcW w:w="671" w:type="pct"/>
                  <w:tcBorders>
                    <w:top w:val="single" w:color="auto" w:sz="4" w:space="0"/>
                    <w:left w:val="single" w:color="auto" w:sz="4" w:space="0"/>
                    <w:bottom w:val="single" w:color="auto" w:sz="4" w:space="0"/>
                    <w:right w:val="single" w:color="auto" w:sz="4" w:space="0"/>
                  </w:tcBorders>
                  <w:vAlign w:val="center"/>
                </w:tcPr>
                <w:p w14:paraId="4892021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0.009</w:t>
                  </w:r>
                </w:p>
              </w:tc>
              <w:tc>
                <w:tcPr>
                  <w:tcW w:w="736" w:type="pct"/>
                  <w:tcBorders>
                    <w:top w:val="single" w:color="auto" w:sz="4" w:space="0"/>
                    <w:left w:val="single" w:color="auto" w:sz="4" w:space="0"/>
                    <w:bottom w:val="single" w:color="auto" w:sz="4" w:space="0"/>
                    <w:right w:val="single" w:color="auto" w:sz="4" w:space="0"/>
                  </w:tcBorders>
                  <w:vAlign w:val="center"/>
                </w:tcPr>
                <w:p w14:paraId="3C0B14A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0.4</w:t>
                  </w:r>
                </w:p>
              </w:tc>
              <w:tc>
                <w:tcPr>
                  <w:tcW w:w="688" w:type="pct"/>
                  <w:tcBorders>
                    <w:top w:val="single" w:color="auto" w:sz="4" w:space="0"/>
                    <w:left w:val="single" w:color="auto" w:sz="4" w:space="0"/>
                    <w:bottom w:val="single" w:color="auto" w:sz="4" w:space="0"/>
                    <w:right w:val="single" w:color="auto" w:sz="12" w:space="0"/>
                  </w:tcBorders>
                  <w:vAlign w:val="center"/>
                </w:tcPr>
                <w:p w14:paraId="5E8BCE5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0.108</w:t>
                  </w:r>
                </w:p>
              </w:tc>
            </w:tr>
            <w:tr w14:paraId="3E182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6DBC2D4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年8月</w:t>
                  </w:r>
                </w:p>
              </w:tc>
              <w:tc>
                <w:tcPr>
                  <w:tcW w:w="620" w:type="pct"/>
                  <w:tcBorders>
                    <w:top w:val="single" w:color="auto" w:sz="4" w:space="0"/>
                    <w:left w:val="single" w:color="auto" w:sz="4" w:space="0"/>
                    <w:bottom w:val="single" w:color="auto" w:sz="4" w:space="0"/>
                    <w:right w:val="single" w:color="auto" w:sz="4" w:space="0"/>
                  </w:tcBorders>
                  <w:vAlign w:val="center"/>
                </w:tcPr>
                <w:p w14:paraId="2B386DC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0.004</w:t>
                  </w:r>
                </w:p>
              </w:tc>
              <w:tc>
                <w:tcPr>
                  <w:tcW w:w="664" w:type="pct"/>
                  <w:tcBorders>
                    <w:top w:val="single" w:color="auto" w:sz="4" w:space="0"/>
                    <w:left w:val="single" w:color="auto" w:sz="4" w:space="0"/>
                    <w:bottom w:val="single" w:color="auto" w:sz="4" w:space="0"/>
                    <w:right w:val="single" w:color="auto" w:sz="4" w:space="0"/>
                  </w:tcBorders>
                  <w:vAlign w:val="center"/>
                </w:tcPr>
                <w:p w14:paraId="5C3DA56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0.009</w:t>
                  </w:r>
                </w:p>
              </w:tc>
              <w:tc>
                <w:tcPr>
                  <w:tcW w:w="664" w:type="pct"/>
                  <w:tcBorders>
                    <w:top w:val="single" w:color="auto" w:sz="4" w:space="0"/>
                    <w:left w:val="single" w:color="auto" w:sz="4" w:space="0"/>
                    <w:bottom w:val="single" w:color="auto" w:sz="4" w:space="0"/>
                    <w:right w:val="single" w:color="auto" w:sz="4" w:space="0"/>
                  </w:tcBorders>
                  <w:vAlign w:val="center"/>
                </w:tcPr>
                <w:p w14:paraId="670A2CA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0.032</w:t>
                  </w:r>
                </w:p>
              </w:tc>
              <w:tc>
                <w:tcPr>
                  <w:tcW w:w="671" w:type="pct"/>
                  <w:tcBorders>
                    <w:top w:val="single" w:color="auto" w:sz="4" w:space="0"/>
                    <w:left w:val="single" w:color="auto" w:sz="4" w:space="0"/>
                    <w:bottom w:val="single" w:color="auto" w:sz="4" w:space="0"/>
                    <w:right w:val="single" w:color="auto" w:sz="4" w:space="0"/>
                  </w:tcBorders>
                  <w:vAlign w:val="center"/>
                </w:tcPr>
                <w:p w14:paraId="3E12B46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0.017</w:t>
                  </w:r>
                </w:p>
              </w:tc>
              <w:tc>
                <w:tcPr>
                  <w:tcW w:w="736" w:type="pct"/>
                  <w:tcBorders>
                    <w:top w:val="single" w:color="auto" w:sz="4" w:space="0"/>
                    <w:left w:val="single" w:color="auto" w:sz="4" w:space="0"/>
                    <w:bottom w:val="single" w:color="auto" w:sz="4" w:space="0"/>
                    <w:right w:val="single" w:color="auto" w:sz="4" w:space="0"/>
                  </w:tcBorders>
                  <w:vAlign w:val="center"/>
                </w:tcPr>
                <w:p w14:paraId="4DEA7C7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0.5</w:t>
                  </w:r>
                </w:p>
              </w:tc>
              <w:tc>
                <w:tcPr>
                  <w:tcW w:w="688" w:type="pct"/>
                  <w:tcBorders>
                    <w:top w:val="single" w:color="auto" w:sz="4" w:space="0"/>
                    <w:left w:val="single" w:color="auto" w:sz="4" w:space="0"/>
                    <w:bottom w:val="single" w:color="auto" w:sz="4" w:space="0"/>
                    <w:right w:val="single" w:color="auto" w:sz="12" w:space="0"/>
                  </w:tcBorders>
                  <w:vAlign w:val="center"/>
                </w:tcPr>
                <w:p w14:paraId="60C788C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0.144</w:t>
                  </w:r>
                </w:p>
              </w:tc>
            </w:tr>
            <w:tr w14:paraId="08E90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55E2DB6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年9月</w:t>
                  </w:r>
                </w:p>
              </w:tc>
              <w:tc>
                <w:tcPr>
                  <w:tcW w:w="620" w:type="pct"/>
                  <w:tcBorders>
                    <w:top w:val="single" w:color="auto" w:sz="4" w:space="0"/>
                    <w:left w:val="single" w:color="auto" w:sz="4" w:space="0"/>
                    <w:bottom w:val="single" w:color="auto" w:sz="4" w:space="0"/>
                    <w:right w:val="single" w:color="auto" w:sz="4" w:space="0"/>
                  </w:tcBorders>
                  <w:vAlign w:val="center"/>
                </w:tcPr>
                <w:p w14:paraId="6BEAF23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14:paraId="79A3015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0.007</w:t>
                  </w:r>
                </w:p>
              </w:tc>
              <w:tc>
                <w:tcPr>
                  <w:tcW w:w="664" w:type="pct"/>
                  <w:tcBorders>
                    <w:top w:val="single" w:color="auto" w:sz="4" w:space="0"/>
                    <w:left w:val="single" w:color="auto" w:sz="4" w:space="0"/>
                    <w:bottom w:val="single" w:color="auto" w:sz="4" w:space="0"/>
                    <w:right w:val="single" w:color="auto" w:sz="4" w:space="0"/>
                  </w:tcBorders>
                  <w:vAlign w:val="center"/>
                </w:tcPr>
                <w:p w14:paraId="41A43A4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0.020</w:t>
                  </w:r>
                </w:p>
              </w:tc>
              <w:tc>
                <w:tcPr>
                  <w:tcW w:w="671" w:type="pct"/>
                  <w:tcBorders>
                    <w:top w:val="single" w:color="auto" w:sz="4" w:space="0"/>
                    <w:left w:val="single" w:color="auto" w:sz="4" w:space="0"/>
                    <w:bottom w:val="single" w:color="auto" w:sz="4" w:space="0"/>
                    <w:right w:val="single" w:color="auto" w:sz="4" w:space="0"/>
                  </w:tcBorders>
                  <w:vAlign w:val="center"/>
                </w:tcPr>
                <w:p w14:paraId="2EA3C2E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0.010</w:t>
                  </w:r>
                </w:p>
              </w:tc>
              <w:tc>
                <w:tcPr>
                  <w:tcW w:w="736" w:type="pct"/>
                  <w:tcBorders>
                    <w:top w:val="single" w:color="auto" w:sz="4" w:space="0"/>
                    <w:left w:val="single" w:color="auto" w:sz="4" w:space="0"/>
                    <w:bottom w:val="single" w:color="auto" w:sz="4" w:space="0"/>
                    <w:right w:val="single" w:color="auto" w:sz="4" w:space="0"/>
                  </w:tcBorders>
                  <w:vAlign w:val="center"/>
                </w:tcPr>
                <w:p w14:paraId="341EA1C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0.4</w:t>
                  </w:r>
                </w:p>
              </w:tc>
              <w:tc>
                <w:tcPr>
                  <w:tcW w:w="688" w:type="pct"/>
                  <w:tcBorders>
                    <w:top w:val="single" w:color="auto" w:sz="4" w:space="0"/>
                    <w:left w:val="single" w:color="auto" w:sz="4" w:space="0"/>
                    <w:bottom w:val="single" w:color="auto" w:sz="4" w:space="0"/>
                    <w:right w:val="single" w:color="auto" w:sz="12" w:space="0"/>
                  </w:tcBorders>
                  <w:vAlign w:val="center"/>
                </w:tcPr>
                <w:p w14:paraId="4DBE091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0.090</w:t>
                  </w:r>
                </w:p>
              </w:tc>
            </w:tr>
            <w:tr w14:paraId="5B8EB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2B342DD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年10月</w:t>
                  </w:r>
                </w:p>
              </w:tc>
              <w:tc>
                <w:tcPr>
                  <w:tcW w:w="620" w:type="pct"/>
                  <w:tcBorders>
                    <w:top w:val="single" w:color="auto" w:sz="4" w:space="0"/>
                    <w:left w:val="single" w:color="auto" w:sz="4" w:space="0"/>
                    <w:bottom w:val="single" w:color="auto" w:sz="4" w:space="0"/>
                    <w:right w:val="single" w:color="auto" w:sz="4" w:space="0"/>
                  </w:tcBorders>
                  <w:vAlign w:val="center"/>
                </w:tcPr>
                <w:p w14:paraId="45458FA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14:paraId="2FA981F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0.005</w:t>
                  </w:r>
                </w:p>
              </w:tc>
              <w:tc>
                <w:tcPr>
                  <w:tcW w:w="664" w:type="pct"/>
                  <w:tcBorders>
                    <w:top w:val="single" w:color="auto" w:sz="4" w:space="0"/>
                    <w:left w:val="single" w:color="auto" w:sz="4" w:space="0"/>
                    <w:bottom w:val="single" w:color="auto" w:sz="4" w:space="0"/>
                    <w:right w:val="single" w:color="auto" w:sz="4" w:space="0"/>
                  </w:tcBorders>
                  <w:vAlign w:val="center"/>
                </w:tcPr>
                <w:p w14:paraId="4ECB6CD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0.022</w:t>
                  </w:r>
                </w:p>
              </w:tc>
              <w:tc>
                <w:tcPr>
                  <w:tcW w:w="671" w:type="pct"/>
                  <w:tcBorders>
                    <w:top w:val="single" w:color="auto" w:sz="4" w:space="0"/>
                    <w:left w:val="single" w:color="auto" w:sz="4" w:space="0"/>
                    <w:bottom w:val="single" w:color="auto" w:sz="4" w:space="0"/>
                    <w:right w:val="single" w:color="auto" w:sz="4" w:space="0"/>
                  </w:tcBorders>
                  <w:vAlign w:val="center"/>
                </w:tcPr>
                <w:p w14:paraId="0B15B6D0">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0.013</w:t>
                  </w:r>
                </w:p>
              </w:tc>
              <w:tc>
                <w:tcPr>
                  <w:tcW w:w="736" w:type="pct"/>
                  <w:tcBorders>
                    <w:top w:val="single" w:color="auto" w:sz="4" w:space="0"/>
                    <w:left w:val="single" w:color="auto" w:sz="4" w:space="0"/>
                    <w:bottom w:val="single" w:color="auto" w:sz="4" w:space="0"/>
                    <w:right w:val="single" w:color="auto" w:sz="4" w:space="0"/>
                  </w:tcBorders>
                  <w:vAlign w:val="center"/>
                </w:tcPr>
                <w:p w14:paraId="0B7A46E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0.4</w:t>
                  </w:r>
                </w:p>
              </w:tc>
              <w:tc>
                <w:tcPr>
                  <w:tcW w:w="688" w:type="pct"/>
                  <w:tcBorders>
                    <w:top w:val="single" w:color="auto" w:sz="4" w:space="0"/>
                    <w:left w:val="single" w:color="auto" w:sz="4" w:space="0"/>
                    <w:bottom w:val="single" w:color="auto" w:sz="4" w:space="0"/>
                    <w:right w:val="single" w:color="auto" w:sz="12" w:space="0"/>
                  </w:tcBorders>
                  <w:vAlign w:val="center"/>
                </w:tcPr>
                <w:p w14:paraId="763BEA6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0.106</w:t>
                  </w:r>
                </w:p>
              </w:tc>
            </w:tr>
            <w:tr w14:paraId="36973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25D86A0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年11月</w:t>
                  </w:r>
                </w:p>
              </w:tc>
              <w:tc>
                <w:tcPr>
                  <w:tcW w:w="620" w:type="pct"/>
                  <w:tcBorders>
                    <w:top w:val="single" w:color="auto" w:sz="4" w:space="0"/>
                    <w:left w:val="single" w:color="auto" w:sz="4" w:space="0"/>
                    <w:bottom w:val="single" w:color="auto" w:sz="4" w:space="0"/>
                    <w:right w:val="single" w:color="auto" w:sz="4" w:space="0"/>
                  </w:tcBorders>
                  <w:vAlign w:val="center"/>
                </w:tcPr>
                <w:p w14:paraId="008754D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14:paraId="5E43804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0.008</w:t>
                  </w:r>
                </w:p>
              </w:tc>
              <w:tc>
                <w:tcPr>
                  <w:tcW w:w="664" w:type="pct"/>
                  <w:tcBorders>
                    <w:top w:val="single" w:color="auto" w:sz="4" w:space="0"/>
                    <w:left w:val="single" w:color="auto" w:sz="4" w:space="0"/>
                    <w:bottom w:val="single" w:color="auto" w:sz="4" w:space="0"/>
                    <w:right w:val="single" w:color="auto" w:sz="4" w:space="0"/>
                  </w:tcBorders>
                  <w:vAlign w:val="center"/>
                </w:tcPr>
                <w:p w14:paraId="7A33441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0.023</w:t>
                  </w:r>
                </w:p>
              </w:tc>
              <w:tc>
                <w:tcPr>
                  <w:tcW w:w="671" w:type="pct"/>
                  <w:tcBorders>
                    <w:top w:val="single" w:color="auto" w:sz="4" w:space="0"/>
                    <w:left w:val="single" w:color="auto" w:sz="4" w:space="0"/>
                    <w:bottom w:val="single" w:color="auto" w:sz="4" w:space="0"/>
                    <w:right w:val="single" w:color="auto" w:sz="4" w:space="0"/>
                  </w:tcBorders>
                  <w:vAlign w:val="center"/>
                </w:tcPr>
                <w:p w14:paraId="663C3D0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0.012</w:t>
                  </w:r>
                </w:p>
              </w:tc>
              <w:tc>
                <w:tcPr>
                  <w:tcW w:w="736" w:type="pct"/>
                  <w:tcBorders>
                    <w:top w:val="single" w:color="auto" w:sz="4" w:space="0"/>
                    <w:left w:val="single" w:color="auto" w:sz="4" w:space="0"/>
                    <w:bottom w:val="single" w:color="auto" w:sz="4" w:space="0"/>
                    <w:right w:val="single" w:color="auto" w:sz="4" w:space="0"/>
                  </w:tcBorders>
                  <w:vAlign w:val="center"/>
                </w:tcPr>
                <w:p w14:paraId="23B0463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0.4</w:t>
                  </w:r>
                </w:p>
              </w:tc>
              <w:tc>
                <w:tcPr>
                  <w:tcW w:w="688" w:type="pct"/>
                  <w:tcBorders>
                    <w:top w:val="single" w:color="auto" w:sz="4" w:space="0"/>
                    <w:left w:val="single" w:color="auto" w:sz="4" w:space="0"/>
                    <w:bottom w:val="single" w:color="auto" w:sz="4" w:space="0"/>
                    <w:right w:val="single" w:color="auto" w:sz="12" w:space="0"/>
                  </w:tcBorders>
                  <w:vAlign w:val="center"/>
                </w:tcPr>
                <w:p w14:paraId="5D1C0C8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0.100</w:t>
                  </w:r>
                </w:p>
              </w:tc>
            </w:tr>
            <w:tr w14:paraId="7025E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40C637C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年12月</w:t>
                  </w:r>
                </w:p>
              </w:tc>
              <w:tc>
                <w:tcPr>
                  <w:tcW w:w="620" w:type="pct"/>
                  <w:tcBorders>
                    <w:top w:val="single" w:color="auto" w:sz="4" w:space="0"/>
                    <w:left w:val="single" w:color="auto" w:sz="4" w:space="0"/>
                    <w:bottom w:val="single" w:color="auto" w:sz="4" w:space="0"/>
                    <w:right w:val="single" w:color="auto" w:sz="4" w:space="0"/>
                  </w:tcBorders>
                  <w:vAlign w:val="center"/>
                </w:tcPr>
                <w:p w14:paraId="7645E44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14:paraId="253D7E7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0.014</w:t>
                  </w:r>
                </w:p>
              </w:tc>
              <w:tc>
                <w:tcPr>
                  <w:tcW w:w="664" w:type="pct"/>
                  <w:tcBorders>
                    <w:top w:val="single" w:color="auto" w:sz="4" w:space="0"/>
                    <w:left w:val="single" w:color="auto" w:sz="4" w:space="0"/>
                    <w:bottom w:val="single" w:color="auto" w:sz="4" w:space="0"/>
                    <w:right w:val="single" w:color="auto" w:sz="4" w:space="0"/>
                  </w:tcBorders>
                  <w:vAlign w:val="center"/>
                </w:tcPr>
                <w:p w14:paraId="410339C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0.036</w:t>
                  </w:r>
                </w:p>
              </w:tc>
              <w:tc>
                <w:tcPr>
                  <w:tcW w:w="671" w:type="pct"/>
                  <w:tcBorders>
                    <w:top w:val="single" w:color="auto" w:sz="4" w:space="0"/>
                    <w:left w:val="single" w:color="auto" w:sz="4" w:space="0"/>
                    <w:bottom w:val="single" w:color="auto" w:sz="4" w:space="0"/>
                    <w:right w:val="single" w:color="auto" w:sz="4" w:space="0"/>
                  </w:tcBorders>
                  <w:vAlign w:val="center"/>
                </w:tcPr>
                <w:p w14:paraId="0CD1AFF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0.019</w:t>
                  </w:r>
                </w:p>
              </w:tc>
              <w:tc>
                <w:tcPr>
                  <w:tcW w:w="736" w:type="pct"/>
                  <w:tcBorders>
                    <w:top w:val="single" w:color="auto" w:sz="4" w:space="0"/>
                    <w:left w:val="single" w:color="auto" w:sz="4" w:space="0"/>
                    <w:bottom w:val="single" w:color="auto" w:sz="4" w:space="0"/>
                    <w:right w:val="single" w:color="auto" w:sz="4" w:space="0"/>
                  </w:tcBorders>
                  <w:vAlign w:val="center"/>
                </w:tcPr>
                <w:p w14:paraId="4D54B18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0.6</w:t>
                  </w:r>
                </w:p>
              </w:tc>
              <w:tc>
                <w:tcPr>
                  <w:tcW w:w="688" w:type="pct"/>
                  <w:tcBorders>
                    <w:top w:val="single" w:color="auto" w:sz="4" w:space="0"/>
                    <w:left w:val="single" w:color="auto" w:sz="4" w:space="0"/>
                    <w:bottom w:val="single" w:color="auto" w:sz="4" w:space="0"/>
                    <w:right w:val="single" w:color="auto" w:sz="12" w:space="0"/>
                  </w:tcBorders>
                  <w:vAlign w:val="center"/>
                </w:tcPr>
                <w:p w14:paraId="294931B0">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0.104</w:t>
                  </w:r>
                </w:p>
              </w:tc>
            </w:tr>
            <w:tr w14:paraId="21424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4540FA0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平均值</w:t>
                  </w:r>
                </w:p>
              </w:tc>
              <w:tc>
                <w:tcPr>
                  <w:tcW w:w="1064" w:type="dxa"/>
                  <w:tcBorders>
                    <w:top w:val="single" w:color="auto" w:sz="4" w:space="0"/>
                    <w:left w:val="single" w:color="auto" w:sz="4" w:space="0"/>
                    <w:bottom w:val="single" w:color="auto" w:sz="4" w:space="0"/>
                    <w:right w:val="single" w:color="auto" w:sz="4" w:space="0"/>
                  </w:tcBorders>
                  <w:vAlign w:val="center"/>
                </w:tcPr>
                <w:p w14:paraId="6BA7EA5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0.002 </w:t>
                  </w:r>
                </w:p>
              </w:tc>
              <w:tc>
                <w:tcPr>
                  <w:tcW w:w="1139" w:type="dxa"/>
                  <w:tcBorders>
                    <w:top w:val="single" w:color="auto" w:sz="4" w:space="0"/>
                    <w:left w:val="single" w:color="auto" w:sz="4" w:space="0"/>
                    <w:bottom w:val="single" w:color="auto" w:sz="4" w:space="0"/>
                    <w:right w:val="single" w:color="auto" w:sz="4" w:space="0"/>
                  </w:tcBorders>
                  <w:vAlign w:val="center"/>
                </w:tcPr>
                <w:p w14:paraId="7E0995D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0.011 </w:t>
                  </w:r>
                </w:p>
              </w:tc>
              <w:tc>
                <w:tcPr>
                  <w:tcW w:w="1139" w:type="dxa"/>
                  <w:tcBorders>
                    <w:top w:val="single" w:color="auto" w:sz="4" w:space="0"/>
                    <w:left w:val="single" w:color="auto" w:sz="4" w:space="0"/>
                    <w:bottom w:val="single" w:color="auto" w:sz="4" w:space="0"/>
                    <w:right w:val="single" w:color="auto" w:sz="4" w:space="0"/>
                  </w:tcBorders>
                  <w:vAlign w:val="center"/>
                </w:tcPr>
                <w:p w14:paraId="0FF3E78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0.032 </w:t>
                  </w:r>
                </w:p>
              </w:tc>
              <w:tc>
                <w:tcPr>
                  <w:tcW w:w="1151" w:type="dxa"/>
                  <w:tcBorders>
                    <w:top w:val="single" w:color="auto" w:sz="4" w:space="0"/>
                    <w:left w:val="single" w:color="auto" w:sz="4" w:space="0"/>
                    <w:bottom w:val="single" w:color="auto" w:sz="4" w:space="0"/>
                    <w:right w:val="single" w:color="auto" w:sz="4" w:space="0"/>
                  </w:tcBorders>
                  <w:vAlign w:val="center"/>
                </w:tcPr>
                <w:p w14:paraId="030BA20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0.017 </w:t>
                  </w:r>
                </w:p>
              </w:tc>
              <w:tc>
                <w:tcPr>
                  <w:tcW w:w="1263" w:type="dxa"/>
                  <w:tcBorders>
                    <w:top w:val="single" w:color="auto" w:sz="4" w:space="0"/>
                    <w:left w:val="single" w:color="auto" w:sz="4" w:space="0"/>
                    <w:bottom w:val="single" w:color="auto" w:sz="4" w:space="0"/>
                    <w:right w:val="single" w:color="auto" w:sz="4" w:space="0"/>
                  </w:tcBorders>
                  <w:vAlign w:val="center"/>
                </w:tcPr>
                <w:p w14:paraId="1AC9F06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0.650 </w:t>
                  </w:r>
                </w:p>
              </w:tc>
              <w:tc>
                <w:tcPr>
                  <w:tcW w:w="1182" w:type="dxa"/>
                  <w:tcBorders>
                    <w:top w:val="single" w:color="auto" w:sz="4" w:space="0"/>
                    <w:left w:val="single" w:color="auto" w:sz="4" w:space="0"/>
                    <w:bottom w:val="single" w:color="auto" w:sz="4" w:space="0"/>
                    <w:right w:val="single" w:color="auto" w:sz="12" w:space="0"/>
                  </w:tcBorders>
                  <w:vAlign w:val="center"/>
                </w:tcPr>
                <w:p w14:paraId="4FB6C18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0.113 </w:t>
                  </w:r>
                </w:p>
              </w:tc>
            </w:tr>
            <w:tr w14:paraId="59D31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58BA623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国家二级标准</w:t>
                  </w:r>
                </w:p>
              </w:tc>
              <w:tc>
                <w:tcPr>
                  <w:tcW w:w="620" w:type="pct"/>
                  <w:tcBorders>
                    <w:top w:val="single" w:color="auto" w:sz="4" w:space="0"/>
                    <w:left w:val="single" w:color="auto" w:sz="4" w:space="0"/>
                    <w:bottom w:val="single" w:color="auto" w:sz="4" w:space="0"/>
                    <w:right w:val="single" w:color="auto" w:sz="4" w:space="0"/>
                  </w:tcBorders>
                  <w:vAlign w:val="center"/>
                </w:tcPr>
                <w:p w14:paraId="11B6BCB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0.06</w:t>
                  </w:r>
                </w:p>
              </w:tc>
              <w:tc>
                <w:tcPr>
                  <w:tcW w:w="664" w:type="pct"/>
                  <w:tcBorders>
                    <w:top w:val="single" w:color="auto" w:sz="4" w:space="0"/>
                    <w:left w:val="single" w:color="auto" w:sz="4" w:space="0"/>
                    <w:bottom w:val="single" w:color="auto" w:sz="4" w:space="0"/>
                    <w:right w:val="single" w:color="auto" w:sz="4" w:space="0"/>
                  </w:tcBorders>
                  <w:vAlign w:val="center"/>
                </w:tcPr>
                <w:p w14:paraId="537DFA0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0.04</w:t>
                  </w:r>
                </w:p>
              </w:tc>
              <w:tc>
                <w:tcPr>
                  <w:tcW w:w="664" w:type="pct"/>
                  <w:tcBorders>
                    <w:top w:val="single" w:color="auto" w:sz="4" w:space="0"/>
                    <w:left w:val="single" w:color="auto" w:sz="4" w:space="0"/>
                    <w:bottom w:val="single" w:color="auto" w:sz="4" w:space="0"/>
                    <w:right w:val="single" w:color="auto" w:sz="4" w:space="0"/>
                  </w:tcBorders>
                  <w:vAlign w:val="center"/>
                </w:tcPr>
                <w:p w14:paraId="487B06A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0.07</w:t>
                  </w:r>
                </w:p>
              </w:tc>
              <w:tc>
                <w:tcPr>
                  <w:tcW w:w="671" w:type="pct"/>
                  <w:tcBorders>
                    <w:top w:val="single" w:color="auto" w:sz="4" w:space="0"/>
                    <w:left w:val="single" w:color="auto" w:sz="4" w:space="0"/>
                    <w:bottom w:val="single" w:color="auto" w:sz="4" w:space="0"/>
                    <w:right w:val="single" w:color="auto" w:sz="4" w:space="0"/>
                  </w:tcBorders>
                  <w:vAlign w:val="center"/>
                </w:tcPr>
                <w:p w14:paraId="172BA47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0.035</w:t>
                  </w:r>
                </w:p>
              </w:tc>
              <w:tc>
                <w:tcPr>
                  <w:tcW w:w="736" w:type="pct"/>
                  <w:tcBorders>
                    <w:top w:val="single" w:color="auto" w:sz="4" w:space="0"/>
                    <w:left w:val="single" w:color="auto" w:sz="4" w:space="0"/>
                    <w:bottom w:val="single" w:color="auto" w:sz="4" w:space="0"/>
                    <w:right w:val="single" w:color="auto" w:sz="4" w:space="0"/>
                  </w:tcBorders>
                  <w:vAlign w:val="center"/>
                </w:tcPr>
                <w:p w14:paraId="60B07038">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688" w:type="pct"/>
                  <w:tcBorders>
                    <w:top w:val="single" w:color="auto" w:sz="4" w:space="0"/>
                    <w:left w:val="single" w:color="auto" w:sz="4" w:space="0"/>
                    <w:bottom w:val="single" w:color="auto" w:sz="4" w:space="0"/>
                    <w:right w:val="single" w:color="auto" w:sz="12" w:space="0"/>
                  </w:tcBorders>
                  <w:vAlign w:val="center"/>
                </w:tcPr>
                <w:p w14:paraId="6E9D8FA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0.16</w:t>
                  </w:r>
                </w:p>
              </w:tc>
            </w:tr>
            <w:tr w14:paraId="1CFCC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14:paraId="1A5B2A2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达标情况</w:t>
                  </w:r>
                </w:p>
              </w:tc>
              <w:tc>
                <w:tcPr>
                  <w:tcW w:w="4043" w:type="pct"/>
                  <w:gridSpan w:val="6"/>
                  <w:tcBorders>
                    <w:top w:val="single" w:color="auto" w:sz="4" w:space="0"/>
                    <w:left w:val="single" w:color="auto" w:sz="4" w:space="0"/>
                    <w:bottom w:val="single" w:color="auto" w:sz="4" w:space="0"/>
                    <w:right w:val="single" w:color="auto" w:sz="12" w:space="0"/>
                  </w:tcBorders>
                  <w:vAlign w:val="center"/>
                </w:tcPr>
                <w:p w14:paraId="406CB01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14:paraId="3B3FB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5000" w:type="pct"/>
                  <w:gridSpan w:val="7"/>
                  <w:tcBorders>
                    <w:top w:val="single" w:color="auto" w:sz="4" w:space="0"/>
                    <w:left w:val="single" w:color="auto" w:sz="12" w:space="0"/>
                    <w:bottom w:val="single" w:color="auto" w:sz="12" w:space="0"/>
                    <w:right w:val="single" w:color="auto" w:sz="12" w:space="0"/>
                  </w:tcBorders>
                  <w:vAlign w:val="center"/>
                </w:tcPr>
                <w:p w14:paraId="08BA062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注：CO为日均值第95百分位数，O3为日最大8小时值第90百分位数。</w:t>
                  </w:r>
                </w:p>
              </w:tc>
            </w:tr>
          </w:tbl>
          <w:p w14:paraId="10B37068">
            <w:pPr>
              <w:widowControl w:val="0"/>
              <w:snapToGrid w:val="0"/>
              <w:spacing w:before="120" w:beforeLines="50"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由上表可知，福清市</w:t>
            </w:r>
            <w:r>
              <w:rPr>
                <w:rFonts w:hint="eastAsia"/>
                <w:color w:val="000000" w:themeColor="text1"/>
                <w:sz w:val="24"/>
                <w:highlight w:val="none"/>
                <w14:textFill>
                  <w14:solidFill>
                    <w14:schemeClr w14:val="tx1"/>
                  </w14:solidFill>
                </w14:textFill>
              </w:rPr>
              <w:t>2024</w:t>
            </w:r>
            <w:r>
              <w:rPr>
                <w:color w:val="000000" w:themeColor="text1"/>
                <w:sz w:val="24"/>
                <w:highlight w:val="none"/>
                <w14:textFill>
                  <w14:solidFill>
                    <w14:schemeClr w14:val="tx1"/>
                  </w14:solidFill>
                </w14:textFill>
              </w:rPr>
              <w:t>年1月~</w:t>
            </w:r>
            <w:r>
              <w:rPr>
                <w:rFonts w:hint="eastAsia"/>
                <w:color w:val="000000" w:themeColor="text1"/>
                <w:sz w:val="24"/>
                <w:highlight w:val="none"/>
                <w14:textFill>
                  <w14:solidFill>
                    <w14:schemeClr w14:val="tx1"/>
                  </w14:solidFill>
                </w14:textFill>
              </w:rPr>
              <w:t>2024</w:t>
            </w:r>
            <w:r>
              <w:rPr>
                <w:color w:val="000000" w:themeColor="text1"/>
                <w:sz w:val="24"/>
                <w:highlight w:val="none"/>
                <w14:textFill>
                  <w14:solidFill>
                    <w14:schemeClr w14:val="tx1"/>
                  </w14:solidFill>
                </w14:textFill>
              </w:rPr>
              <w:t>年12月份，空气环境中SO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、NO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10</w:t>
            </w:r>
            <w:r>
              <w:rPr>
                <w:color w:val="000000" w:themeColor="text1"/>
                <w:sz w:val="24"/>
                <w:highlight w:val="none"/>
                <w14:textFill>
                  <w14:solidFill>
                    <w14:schemeClr w14:val="tx1"/>
                  </w14:solidFill>
                </w14:textFill>
              </w:rPr>
              <w:t>和PM</w:t>
            </w:r>
            <w:r>
              <w:rPr>
                <w:color w:val="000000" w:themeColor="text1"/>
                <w:sz w:val="24"/>
                <w:highlight w:val="none"/>
                <w:vertAlign w:val="subscript"/>
                <w14:textFill>
                  <w14:solidFill>
                    <w14:schemeClr w14:val="tx1"/>
                  </w14:solidFill>
                </w14:textFill>
              </w:rPr>
              <w:t>2.5</w:t>
            </w:r>
            <w:r>
              <w:rPr>
                <w:color w:val="000000" w:themeColor="text1"/>
                <w:sz w:val="24"/>
                <w:highlight w:val="none"/>
                <w14:textFill>
                  <w14:solidFill>
                    <w14:schemeClr w14:val="tx1"/>
                  </w14:solidFill>
                </w14:textFill>
              </w:rPr>
              <w:t>均未超过国家二级标准，CO日均值第95百分数和O</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最大8小时值第90百分数未超过国家二级标准；因此福清市环境空气质量属于达标区。</w:t>
            </w:r>
          </w:p>
          <w:p w14:paraId="1C2390F6">
            <w:pPr>
              <w:widowControl w:val="0"/>
              <w:snapToGrid w:val="0"/>
              <w:spacing w:before="120" w:beforeLines="50"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（2）监测情况</w:t>
            </w:r>
          </w:p>
          <w:p w14:paraId="35284C9E">
            <w:pPr>
              <w:pStyle w:val="86"/>
              <w:ind w:firstLine="480"/>
              <w:rPr>
                <w:rFonts w:hint="eastAsia"/>
                <w:color w:val="000000" w:themeColor="text1"/>
                <w:szCs w:val="24"/>
                <w:highlight w:val="none"/>
                <w14:textFill>
                  <w14:solidFill>
                    <w14:schemeClr w14:val="tx1"/>
                  </w14:solidFill>
                </w14:textFill>
              </w:rPr>
            </w:pPr>
            <w:r>
              <w:rPr>
                <w:rFonts w:hint="eastAsia"/>
                <w:color w:val="000000" w:themeColor="text1"/>
                <w:szCs w:val="24"/>
                <w:highlight w:val="none"/>
                <w:lang w:eastAsia="zh-CN"/>
                <w14:textFill>
                  <w14:solidFill>
                    <w14:schemeClr w14:val="tx1"/>
                  </w14:solidFill>
                </w14:textFill>
              </w:rPr>
              <w:t>扩建</w:t>
            </w:r>
            <w:r>
              <w:rPr>
                <w:rFonts w:hint="eastAsia"/>
                <w:color w:val="000000" w:themeColor="text1"/>
                <w:szCs w:val="24"/>
                <w:highlight w:val="none"/>
                <w14:textFill>
                  <w14:solidFill>
                    <w14:schemeClr w14:val="tx1"/>
                  </w14:solidFill>
                </w14:textFill>
              </w:rPr>
              <w:t>项目特征因子为</w:t>
            </w:r>
            <w:r>
              <w:rPr>
                <w:rFonts w:hint="eastAsia"/>
                <w:color w:val="000000" w:themeColor="text1"/>
                <w:szCs w:val="24"/>
                <w:highlight w:val="none"/>
                <w:lang w:eastAsia="zh-CN"/>
                <w14:textFill>
                  <w14:solidFill>
                    <w14:schemeClr w14:val="tx1"/>
                  </w14:solidFill>
                </w14:textFill>
              </w:rPr>
              <w:t>颗粒物，</w:t>
            </w:r>
            <w:r>
              <w:rPr>
                <w:rFonts w:hint="eastAsia"/>
                <w:color w:val="000000" w:themeColor="text1"/>
                <w:szCs w:val="24"/>
                <w:highlight w:val="none"/>
                <w14:textFill>
                  <w14:solidFill>
                    <w14:schemeClr w14:val="tx1"/>
                  </w14:solidFill>
                </w14:textFill>
              </w:rPr>
              <w:t>非甲烷总烃</w:t>
            </w:r>
            <w:r>
              <w:rPr>
                <w:rFonts w:hint="eastAsia"/>
                <w:color w:val="000000" w:themeColor="text1"/>
                <w:szCs w:val="24"/>
                <w:highlight w:val="none"/>
                <w:lang w:eastAsia="zh-CN"/>
                <w14:textFill>
                  <w14:solidFill>
                    <w14:schemeClr w14:val="tx1"/>
                  </w14:solidFill>
                </w14:textFill>
              </w:rPr>
              <w:t>及二甲苯</w:t>
            </w:r>
            <w:r>
              <w:rPr>
                <w:rFonts w:hint="eastAsia"/>
                <w:color w:val="000000" w:themeColor="text1"/>
                <w:szCs w:val="24"/>
                <w:highlight w:val="none"/>
                <w14:textFill>
                  <w14:solidFill>
                    <w14:schemeClr w14:val="tx1"/>
                  </w14:solidFill>
                </w14:textFill>
              </w:rPr>
              <w:t>，</w:t>
            </w:r>
            <w:r>
              <w:rPr>
                <w:rFonts w:hint="eastAsia"/>
                <w:color w:val="000000" w:themeColor="text1"/>
                <w:szCs w:val="24"/>
                <w:highlight w:val="none"/>
                <w:lang w:eastAsia="zh-CN"/>
                <w14:textFill>
                  <w14:solidFill>
                    <w14:schemeClr w14:val="tx1"/>
                  </w14:solidFill>
                </w14:textFill>
              </w:rPr>
              <w:t>其中非甲烷总烃及二甲苯</w:t>
            </w:r>
            <w:r>
              <w:rPr>
                <w:rFonts w:hint="eastAsia"/>
                <w:color w:val="000000" w:themeColor="text1"/>
                <w:szCs w:val="24"/>
                <w:highlight w:val="none"/>
                <w14:textFill>
                  <w14:solidFill>
                    <w14:schemeClr w14:val="tx1"/>
                  </w14:solidFill>
                </w14:textFill>
              </w:rPr>
              <w:t>不属于国家、地方环境空气质量标准中有标准限值的特征污染物，无需开展现状补充监测。</w:t>
            </w:r>
          </w:p>
          <w:p w14:paraId="2D3536AD">
            <w:pPr>
              <w:pStyle w:val="86"/>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为进一步了解项目周边大气环境现状，建设单位委托福建益准检测技术有限公司于2025年9月1日至9月</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日对项目周边环境空气中TSP进行了环境现状监测，监测期间气象参数见表</w:t>
            </w:r>
            <w:r>
              <w:rPr>
                <w:color w:val="000000" w:themeColor="text1"/>
                <w:highlight w:val="none"/>
                <w14:textFill>
                  <w14:solidFill>
                    <w14:schemeClr w14:val="tx1"/>
                  </w14:solidFill>
                </w14:textFill>
              </w:rPr>
              <w:t>3.1-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，监测结果见表</w:t>
            </w:r>
            <w:r>
              <w:rPr>
                <w:color w:val="000000" w:themeColor="text1"/>
                <w:highlight w:val="none"/>
                <w14:textFill>
                  <w14:solidFill>
                    <w14:schemeClr w14:val="tx1"/>
                  </w14:solidFill>
                </w14:textFill>
              </w:rPr>
              <w:t>3.1-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监测点位图见图</w:t>
            </w:r>
            <w:r>
              <w:rPr>
                <w:rFonts w:hint="eastAsia"/>
                <w:color w:val="000000" w:themeColor="text1"/>
                <w:highlight w:val="none"/>
                <w:lang w:val="en-US" w:eastAsia="zh-CN"/>
                <w14:textFill>
                  <w14:solidFill>
                    <w14:schemeClr w14:val="tx1"/>
                  </w14:solidFill>
                </w14:textFill>
              </w:rPr>
              <w:t>3.1-2。</w:t>
            </w:r>
          </w:p>
          <w:p w14:paraId="3CAB7E3B">
            <w:pPr>
              <w:pStyle w:val="63"/>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表</w:t>
            </w:r>
            <w:r>
              <w:rPr>
                <w:color w:val="000000" w:themeColor="text1"/>
                <w:kern w:val="2"/>
                <w:highlight w:val="none"/>
                <w14:textFill>
                  <w14:solidFill>
                    <w14:schemeClr w14:val="tx1"/>
                  </w14:solidFill>
                </w14:textFill>
              </w:rPr>
              <w:t>3.1-</w:t>
            </w:r>
            <w:r>
              <w:rPr>
                <w:rFonts w:hint="eastAsia"/>
                <w:color w:val="000000" w:themeColor="text1"/>
                <w:kern w:val="2"/>
                <w:highlight w:val="none"/>
                <w:lang w:val="en-US" w:eastAsia="zh-CN"/>
                <w14:textFill>
                  <w14:solidFill>
                    <w14:schemeClr w14:val="tx1"/>
                  </w14:solidFill>
                </w14:textFill>
              </w:rPr>
              <w:t>2</w:t>
            </w:r>
            <w:r>
              <w:rPr>
                <w:rFonts w:hint="eastAsia"/>
                <w:color w:val="000000" w:themeColor="text1"/>
                <w:kern w:val="2"/>
                <w:highlight w:val="none"/>
                <w14:textFill>
                  <w14:solidFill>
                    <w14:schemeClr w14:val="tx1"/>
                  </w14:solidFill>
                </w14:textFill>
              </w:rPr>
              <w:t xml:space="preserve"> 监测期间气象参数</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898"/>
              <w:gridCol w:w="1884"/>
              <w:gridCol w:w="1892"/>
              <w:gridCol w:w="1893"/>
            </w:tblGrid>
            <w:tr w14:paraId="67AE6A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691" w:type="pct"/>
                  <w:tcBorders>
                    <w:tl2br w:val="nil"/>
                    <w:tr2bl w:val="nil"/>
                  </w:tcBorders>
                  <w:vAlign w:val="center"/>
                </w:tcPr>
                <w:p w14:paraId="6B7BE767">
                  <w:pPr>
                    <w:spacing w:line="0" w:lineRule="atLeast"/>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采样日期</w:t>
                  </w:r>
                </w:p>
              </w:tc>
              <w:tc>
                <w:tcPr>
                  <w:tcW w:w="1886" w:type="dxa"/>
                  <w:tcBorders>
                    <w:tl2br w:val="nil"/>
                    <w:tr2bl w:val="nil"/>
                  </w:tcBorders>
                  <w:vAlign w:val="center"/>
                </w:tcPr>
                <w:p w14:paraId="09DFB6E9">
                  <w:pPr>
                    <w:spacing w:line="0" w:lineRule="atLeast"/>
                    <w:jc w:val="center"/>
                    <w:rPr>
                      <w:b/>
                      <w:bCs/>
                      <w:snapToGrid w:val="0"/>
                      <w:color w:val="000000" w:themeColor="text1"/>
                      <w:kern w:val="18"/>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气温</w:t>
                  </w:r>
                  <w:r>
                    <w:rPr>
                      <w:b/>
                      <w:bCs/>
                      <w:color w:val="000000" w:themeColor="text1"/>
                      <w:szCs w:val="21"/>
                      <w:highlight w:val="none"/>
                      <w14:textFill>
                        <w14:solidFill>
                          <w14:schemeClr w14:val="tx1"/>
                        </w14:solidFill>
                      </w14:textFill>
                    </w:rPr>
                    <w:t>℃</w:t>
                  </w:r>
                </w:p>
              </w:tc>
              <w:tc>
                <w:tcPr>
                  <w:tcW w:w="1894" w:type="dxa"/>
                  <w:tcBorders>
                    <w:tl2br w:val="nil"/>
                    <w:tr2bl w:val="nil"/>
                  </w:tcBorders>
                  <w:vAlign w:val="center"/>
                </w:tcPr>
                <w:p w14:paraId="1222463E">
                  <w:pPr>
                    <w:spacing w:line="0" w:lineRule="atLeast"/>
                    <w:jc w:val="center"/>
                    <w:rPr>
                      <w:b/>
                      <w:bCs/>
                      <w:snapToGrid w:val="0"/>
                      <w:color w:val="000000" w:themeColor="text1"/>
                      <w:kern w:val="18"/>
                      <w:highlight w:val="none"/>
                      <w14:textFill>
                        <w14:solidFill>
                          <w14:schemeClr w14:val="tx1"/>
                        </w14:solidFill>
                      </w14:textFill>
                    </w:rPr>
                  </w:pPr>
                  <w:r>
                    <w:rPr>
                      <w:b/>
                      <w:bCs/>
                      <w:color w:val="000000" w:themeColor="text1"/>
                      <w:szCs w:val="21"/>
                      <w:highlight w:val="none"/>
                      <w14:textFill>
                        <w14:solidFill>
                          <w14:schemeClr w14:val="tx1"/>
                        </w14:solidFill>
                      </w14:textFill>
                    </w:rPr>
                    <w:t>气压kPa</w:t>
                  </w:r>
                </w:p>
              </w:tc>
              <w:tc>
                <w:tcPr>
                  <w:tcW w:w="1895" w:type="dxa"/>
                  <w:tcBorders>
                    <w:tl2br w:val="nil"/>
                    <w:tr2bl w:val="nil"/>
                  </w:tcBorders>
                  <w:vAlign w:val="center"/>
                </w:tcPr>
                <w:p w14:paraId="47FF2EE3">
                  <w:pPr>
                    <w:spacing w:line="0" w:lineRule="atLeast"/>
                    <w:ind w:left="-105" w:leftChars="-50" w:right="-105" w:rightChars="-50"/>
                    <w:jc w:val="center"/>
                    <w:rPr>
                      <w:b/>
                      <w:bCs/>
                      <w:snapToGrid w:val="0"/>
                      <w:color w:val="000000" w:themeColor="text1"/>
                      <w:kern w:val="18"/>
                      <w:highlight w:val="none"/>
                      <w14:textFill>
                        <w14:solidFill>
                          <w14:schemeClr w14:val="tx1"/>
                        </w14:solidFill>
                      </w14:textFill>
                    </w:rPr>
                  </w:pPr>
                  <w:r>
                    <w:rPr>
                      <w:b/>
                      <w:bCs/>
                      <w:color w:val="000000" w:themeColor="text1"/>
                      <w:szCs w:val="21"/>
                      <w:highlight w:val="none"/>
                      <w14:textFill>
                        <w14:solidFill>
                          <w14:schemeClr w14:val="tx1"/>
                        </w14:solidFill>
                      </w14:textFill>
                    </w:rPr>
                    <w:t>相对湿度%</w:t>
                  </w:r>
                </w:p>
              </w:tc>
            </w:tr>
            <w:tr w14:paraId="489B4B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691" w:type="pct"/>
                  <w:tcBorders>
                    <w:tl2br w:val="nil"/>
                    <w:tr2bl w:val="nil"/>
                  </w:tcBorders>
                  <w:vAlign w:val="center"/>
                </w:tcPr>
                <w:p w14:paraId="39DB5318">
                  <w:pPr>
                    <w:ind w:left="-105" w:leftChars="-50" w:right="-105" w:rightChars="-50"/>
                    <w:jc w:val="center"/>
                    <w:textAlignment w:val="center"/>
                    <w:rPr>
                      <w:snapToGrid w:val="0"/>
                      <w:color w:val="000000" w:themeColor="text1"/>
                      <w:kern w:val="18"/>
                      <w:highlight w:val="none"/>
                      <w14:textFill>
                        <w14:solidFill>
                          <w14:schemeClr w14:val="tx1"/>
                        </w14:solidFill>
                      </w14:textFill>
                    </w:rPr>
                  </w:pPr>
                </w:p>
              </w:tc>
              <w:tc>
                <w:tcPr>
                  <w:tcW w:w="1886" w:type="dxa"/>
                  <w:tcBorders>
                    <w:tl2br w:val="nil"/>
                    <w:tr2bl w:val="nil"/>
                  </w:tcBorders>
                  <w:vAlign w:val="center"/>
                </w:tcPr>
                <w:p w14:paraId="0C429066">
                  <w:pPr>
                    <w:spacing w:line="0" w:lineRule="atLeast"/>
                    <w:jc w:val="center"/>
                    <w:rPr>
                      <w:snapToGrid w:val="0"/>
                      <w:color w:val="000000" w:themeColor="text1"/>
                      <w:kern w:val="18"/>
                      <w:highlight w:val="none"/>
                      <w14:textFill>
                        <w14:solidFill>
                          <w14:schemeClr w14:val="tx1"/>
                        </w14:solidFill>
                      </w14:textFill>
                    </w:rPr>
                  </w:pPr>
                </w:p>
              </w:tc>
              <w:tc>
                <w:tcPr>
                  <w:tcW w:w="1894" w:type="dxa"/>
                  <w:tcBorders>
                    <w:tl2br w:val="nil"/>
                    <w:tr2bl w:val="nil"/>
                  </w:tcBorders>
                  <w:vAlign w:val="center"/>
                </w:tcPr>
                <w:p w14:paraId="75A3D4A2">
                  <w:pPr>
                    <w:spacing w:line="0" w:lineRule="atLeast"/>
                    <w:jc w:val="center"/>
                    <w:rPr>
                      <w:snapToGrid w:val="0"/>
                      <w:color w:val="000000" w:themeColor="text1"/>
                      <w:kern w:val="18"/>
                      <w:highlight w:val="none"/>
                      <w14:textFill>
                        <w14:solidFill>
                          <w14:schemeClr w14:val="tx1"/>
                        </w14:solidFill>
                      </w14:textFill>
                    </w:rPr>
                  </w:pPr>
                </w:p>
              </w:tc>
              <w:tc>
                <w:tcPr>
                  <w:tcW w:w="1895" w:type="dxa"/>
                  <w:tcBorders>
                    <w:tl2br w:val="nil"/>
                    <w:tr2bl w:val="nil"/>
                  </w:tcBorders>
                  <w:vAlign w:val="center"/>
                </w:tcPr>
                <w:p w14:paraId="103DEF5A">
                  <w:pPr>
                    <w:spacing w:line="0" w:lineRule="atLeast"/>
                    <w:jc w:val="center"/>
                    <w:rPr>
                      <w:snapToGrid w:val="0"/>
                      <w:color w:val="000000" w:themeColor="text1"/>
                      <w:kern w:val="18"/>
                      <w:highlight w:val="none"/>
                      <w14:textFill>
                        <w14:solidFill>
                          <w14:schemeClr w14:val="tx1"/>
                        </w14:solidFill>
                      </w14:textFill>
                    </w:rPr>
                  </w:pPr>
                </w:p>
              </w:tc>
            </w:tr>
            <w:tr w14:paraId="4EEE16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691" w:type="pct"/>
                  <w:tcBorders>
                    <w:tl2br w:val="nil"/>
                    <w:tr2bl w:val="nil"/>
                  </w:tcBorders>
                  <w:vAlign w:val="center"/>
                </w:tcPr>
                <w:p w14:paraId="3CFDE445">
                  <w:pPr>
                    <w:ind w:left="-105" w:leftChars="-50" w:right="-105" w:rightChars="-50"/>
                    <w:jc w:val="center"/>
                    <w:textAlignment w:val="center"/>
                    <w:rPr>
                      <w:snapToGrid w:val="0"/>
                      <w:color w:val="000000" w:themeColor="text1"/>
                      <w:kern w:val="18"/>
                      <w:highlight w:val="none"/>
                      <w14:textFill>
                        <w14:solidFill>
                          <w14:schemeClr w14:val="tx1"/>
                        </w14:solidFill>
                      </w14:textFill>
                    </w:rPr>
                  </w:pPr>
                </w:p>
              </w:tc>
              <w:tc>
                <w:tcPr>
                  <w:tcW w:w="1886" w:type="dxa"/>
                  <w:tcBorders>
                    <w:tl2br w:val="nil"/>
                    <w:tr2bl w:val="nil"/>
                  </w:tcBorders>
                  <w:vAlign w:val="center"/>
                </w:tcPr>
                <w:p w14:paraId="52830619">
                  <w:pPr>
                    <w:spacing w:line="0" w:lineRule="atLeast"/>
                    <w:jc w:val="center"/>
                    <w:rPr>
                      <w:snapToGrid w:val="0"/>
                      <w:color w:val="000000" w:themeColor="text1"/>
                      <w:kern w:val="18"/>
                      <w:highlight w:val="none"/>
                      <w14:textFill>
                        <w14:solidFill>
                          <w14:schemeClr w14:val="tx1"/>
                        </w14:solidFill>
                      </w14:textFill>
                    </w:rPr>
                  </w:pPr>
                </w:p>
              </w:tc>
              <w:tc>
                <w:tcPr>
                  <w:tcW w:w="1894" w:type="dxa"/>
                  <w:tcBorders>
                    <w:tl2br w:val="nil"/>
                    <w:tr2bl w:val="nil"/>
                  </w:tcBorders>
                  <w:vAlign w:val="center"/>
                </w:tcPr>
                <w:p w14:paraId="4268EFB0">
                  <w:pPr>
                    <w:spacing w:line="0" w:lineRule="atLeast"/>
                    <w:jc w:val="center"/>
                    <w:rPr>
                      <w:snapToGrid w:val="0"/>
                      <w:color w:val="000000" w:themeColor="text1"/>
                      <w:kern w:val="18"/>
                      <w:highlight w:val="none"/>
                      <w14:textFill>
                        <w14:solidFill>
                          <w14:schemeClr w14:val="tx1"/>
                        </w14:solidFill>
                      </w14:textFill>
                    </w:rPr>
                  </w:pPr>
                </w:p>
              </w:tc>
              <w:tc>
                <w:tcPr>
                  <w:tcW w:w="1895" w:type="dxa"/>
                  <w:tcBorders>
                    <w:tl2br w:val="nil"/>
                    <w:tr2bl w:val="nil"/>
                  </w:tcBorders>
                  <w:vAlign w:val="center"/>
                </w:tcPr>
                <w:p w14:paraId="79A87B77">
                  <w:pPr>
                    <w:spacing w:line="0" w:lineRule="atLeast"/>
                    <w:jc w:val="center"/>
                    <w:rPr>
                      <w:snapToGrid w:val="0"/>
                      <w:color w:val="000000" w:themeColor="text1"/>
                      <w:kern w:val="18"/>
                      <w:highlight w:val="none"/>
                      <w14:textFill>
                        <w14:solidFill>
                          <w14:schemeClr w14:val="tx1"/>
                        </w14:solidFill>
                      </w14:textFill>
                    </w:rPr>
                  </w:pPr>
                </w:p>
              </w:tc>
            </w:tr>
            <w:tr w14:paraId="736FAE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691" w:type="pct"/>
                  <w:tcBorders>
                    <w:tl2br w:val="nil"/>
                    <w:tr2bl w:val="nil"/>
                  </w:tcBorders>
                  <w:vAlign w:val="center"/>
                </w:tcPr>
                <w:p w14:paraId="12A29EE3">
                  <w:pPr>
                    <w:ind w:left="-105" w:leftChars="-50" w:right="-105" w:rightChars="-50"/>
                    <w:jc w:val="center"/>
                    <w:textAlignment w:val="center"/>
                    <w:rPr>
                      <w:snapToGrid w:val="0"/>
                      <w:color w:val="000000" w:themeColor="text1"/>
                      <w:kern w:val="18"/>
                      <w:highlight w:val="none"/>
                      <w14:textFill>
                        <w14:solidFill>
                          <w14:schemeClr w14:val="tx1"/>
                        </w14:solidFill>
                      </w14:textFill>
                    </w:rPr>
                  </w:pPr>
                </w:p>
              </w:tc>
              <w:tc>
                <w:tcPr>
                  <w:tcW w:w="1886" w:type="dxa"/>
                  <w:tcBorders>
                    <w:tl2br w:val="nil"/>
                    <w:tr2bl w:val="nil"/>
                  </w:tcBorders>
                  <w:vAlign w:val="center"/>
                </w:tcPr>
                <w:p w14:paraId="3F4E0FE6">
                  <w:pPr>
                    <w:spacing w:line="0" w:lineRule="atLeast"/>
                    <w:jc w:val="center"/>
                    <w:rPr>
                      <w:snapToGrid w:val="0"/>
                      <w:color w:val="000000" w:themeColor="text1"/>
                      <w:kern w:val="18"/>
                      <w:highlight w:val="none"/>
                      <w14:textFill>
                        <w14:solidFill>
                          <w14:schemeClr w14:val="tx1"/>
                        </w14:solidFill>
                      </w14:textFill>
                    </w:rPr>
                  </w:pPr>
                </w:p>
              </w:tc>
              <w:tc>
                <w:tcPr>
                  <w:tcW w:w="1894" w:type="dxa"/>
                  <w:tcBorders>
                    <w:tl2br w:val="nil"/>
                    <w:tr2bl w:val="nil"/>
                  </w:tcBorders>
                  <w:vAlign w:val="center"/>
                </w:tcPr>
                <w:p w14:paraId="4FD71D4C">
                  <w:pPr>
                    <w:spacing w:line="0" w:lineRule="atLeast"/>
                    <w:jc w:val="center"/>
                    <w:rPr>
                      <w:snapToGrid w:val="0"/>
                      <w:color w:val="000000" w:themeColor="text1"/>
                      <w:kern w:val="18"/>
                      <w:highlight w:val="none"/>
                      <w14:textFill>
                        <w14:solidFill>
                          <w14:schemeClr w14:val="tx1"/>
                        </w14:solidFill>
                      </w14:textFill>
                    </w:rPr>
                  </w:pPr>
                </w:p>
              </w:tc>
              <w:tc>
                <w:tcPr>
                  <w:tcW w:w="1895" w:type="dxa"/>
                  <w:tcBorders>
                    <w:tl2br w:val="nil"/>
                    <w:tr2bl w:val="nil"/>
                  </w:tcBorders>
                  <w:vAlign w:val="center"/>
                </w:tcPr>
                <w:p w14:paraId="196407E4">
                  <w:pPr>
                    <w:spacing w:line="0" w:lineRule="atLeast"/>
                    <w:jc w:val="center"/>
                    <w:rPr>
                      <w:snapToGrid w:val="0"/>
                      <w:color w:val="000000" w:themeColor="text1"/>
                      <w:kern w:val="18"/>
                      <w:highlight w:val="none"/>
                      <w14:textFill>
                        <w14:solidFill>
                          <w14:schemeClr w14:val="tx1"/>
                        </w14:solidFill>
                      </w14:textFill>
                    </w:rPr>
                  </w:pPr>
                </w:p>
              </w:tc>
            </w:tr>
          </w:tbl>
          <w:p w14:paraId="233A257E">
            <w:pPr>
              <w:pStyle w:val="63"/>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表</w:t>
            </w:r>
            <w:r>
              <w:rPr>
                <w:color w:val="000000" w:themeColor="text1"/>
                <w:kern w:val="2"/>
                <w:highlight w:val="none"/>
                <w14:textFill>
                  <w14:solidFill>
                    <w14:schemeClr w14:val="tx1"/>
                  </w14:solidFill>
                </w14:textFill>
              </w:rPr>
              <w:t>3.1-</w:t>
            </w:r>
            <w:r>
              <w:rPr>
                <w:rFonts w:hint="eastAsia"/>
                <w:color w:val="000000" w:themeColor="text1"/>
                <w:kern w:val="2"/>
                <w:highlight w:val="none"/>
                <w:lang w:val="en-US" w:eastAsia="zh-CN"/>
                <w14:textFill>
                  <w14:solidFill>
                    <w14:schemeClr w14:val="tx1"/>
                  </w14:solidFill>
                </w14:textFill>
              </w:rPr>
              <w:t>3</w:t>
            </w:r>
            <w:r>
              <w:rPr>
                <w:color w:val="000000" w:themeColor="text1"/>
                <w:kern w:val="2"/>
                <w:highlight w:val="none"/>
                <w14:textFill>
                  <w14:solidFill>
                    <w14:schemeClr w14:val="tx1"/>
                  </w14:solidFill>
                </w14:textFill>
              </w:rPr>
              <w:t xml:space="preserve"> </w:t>
            </w:r>
            <w:r>
              <w:rPr>
                <w:rFonts w:hint="eastAsia"/>
                <w:color w:val="000000" w:themeColor="text1"/>
                <w:kern w:val="2"/>
                <w:highlight w:val="none"/>
                <w14:textFill>
                  <w14:solidFill>
                    <w14:schemeClr w14:val="tx1"/>
                  </w14:solidFill>
                </w14:textFill>
              </w:rPr>
              <w:t>环境空气检测结果</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108" w:type="dxa"/>
                <w:bottom w:w="0" w:type="dxa"/>
                <w:right w:w="108" w:type="dxa"/>
              </w:tblCellMar>
            </w:tblPr>
            <w:tblGrid>
              <w:gridCol w:w="2308"/>
              <w:gridCol w:w="1634"/>
              <w:gridCol w:w="1702"/>
              <w:gridCol w:w="2926"/>
            </w:tblGrid>
            <w:tr w14:paraId="63C630B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vMerge w:val="restart"/>
                  <w:tcBorders>
                    <w:tl2br w:val="nil"/>
                    <w:tr2bl w:val="nil"/>
                  </w:tcBorders>
                  <w:vAlign w:val="center"/>
                </w:tcPr>
                <w:p w14:paraId="39F3897C">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采样日期</w:t>
                  </w:r>
                </w:p>
              </w:tc>
              <w:tc>
                <w:tcPr>
                  <w:tcW w:w="953" w:type="pct"/>
                  <w:vMerge w:val="restart"/>
                  <w:tcBorders>
                    <w:tl2br w:val="nil"/>
                    <w:tr2bl w:val="nil"/>
                  </w:tcBorders>
                  <w:vAlign w:val="center"/>
                </w:tcPr>
                <w:p w14:paraId="03759448">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采样点位</w:t>
                  </w:r>
                </w:p>
              </w:tc>
              <w:tc>
                <w:tcPr>
                  <w:tcW w:w="992" w:type="pct"/>
                  <w:vMerge w:val="restart"/>
                  <w:tcBorders>
                    <w:tl2br w:val="nil"/>
                    <w:tr2bl w:val="nil"/>
                  </w:tcBorders>
                  <w:vAlign w:val="center"/>
                </w:tcPr>
                <w:p w14:paraId="608A05DA">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采样频次</w:t>
                  </w:r>
                </w:p>
              </w:tc>
              <w:tc>
                <w:tcPr>
                  <w:tcW w:w="1707" w:type="pct"/>
                  <w:tcBorders>
                    <w:tl2br w:val="nil"/>
                    <w:tr2bl w:val="nil"/>
                  </w:tcBorders>
                  <w:vAlign w:val="center"/>
                </w:tcPr>
                <w:p w14:paraId="25B3E3B2">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检测结果</w:t>
                  </w:r>
                </w:p>
              </w:tc>
            </w:tr>
            <w:tr w14:paraId="521C8F74">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vMerge w:val="continue"/>
                  <w:tcBorders>
                    <w:tl2br w:val="nil"/>
                    <w:tr2bl w:val="nil"/>
                  </w:tcBorders>
                  <w:vAlign w:val="center"/>
                </w:tcPr>
                <w:p w14:paraId="5A4EC796">
                  <w:pPr>
                    <w:pStyle w:val="67"/>
                    <w:rPr>
                      <w:color w:val="000000" w:themeColor="text1"/>
                      <w:highlight w:val="none"/>
                      <w14:textFill>
                        <w14:solidFill>
                          <w14:schemeClr w14:val="tx1"/>
                        </w14:solidFill>
                      </w14:textFill>
                    </w:rPr>
                  </w:pPr>
                </w:p>
              </w:tc>
              <w:tc>
                <w:tcPr>
                  <w:tcW w:w="953" w:type="pct"/>
                  <w:vMerge w:val="continue"/>
                  <w:tcBorders>
                    <w:tl2br w:val="nil"/>
                    <w:tr2bl w:val="nil"/>
                  </w:tcBorders>
                  <w:vAlign w:val="center"/>
                </w:tcPr>
                <w:p w14:paraId="69B266F4">
                  <w:pPr>
                    <w:pStyle w:val="67"/>
                    <w:rPr>
                      <w:color w:val="000000" w:themeColor="text1"/>
                      <w:highlight w:val="none"/>
                      <w14:textFill>
                        <w14:solidFill>
                          <w14:schemeClr w14:val="tx1"/>
                        </w14:solidFill>
                      </w14:textFill>
                    </w:rPr>
                  </w:pPr>
                </w:p>
              </w:tc>
              <w:tc>
                <w:tcPr>
                  <w:tcW w:w="992" w:type="pct"/>
                  <w:vMerge w:val="continue"/>
                  <w:tcBorders>
                    <w:tl2br w:val="nil"/>
                    <w:tr2bl w:val="nil"/>
                  </w:tcBorders>
                  <w:vAlign w:val="center"/>
                </w:tcPr>
                <w:p w14:paraId="72D63000">
                  <w:pPr>
                    <w:pStyle w:val="67"/>
                    <w:rPr>
                      <w:color w:val="000000" w:themeColor="text1"/>
                      <w:highlight w:val="none"/>
                      <w14:textFill>
                        <w14:solidFill>
                          <w14:schemeClr w14:val="tx1"/>
                        </w14:solidFill>
                      </w14:textFill>
                    </w:rPr>
                  </w:pPr>
                </w:p>
              </w:tc>
              <w:tc>
                <w:tcPr>
                  <w:tcW w:w="1707" w:type="pct"/>
                  <w:tcBorders>
                    <w:tl2br w:val="nil"/>
                    <w:tr2bl w:val="nil"/>
                  </w:tcBorders>
                  <w:vAlign w:val="center"/>
                </w:tcPr>
                <w:p w14:paraId="5B09C568">
                  <w:pPr>
                    <w:pStyle w:val="67"/>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总悬浮颗粒物</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TSP</w:t>
                  </w:r>
                  <w:r>
                    <w:rPr>
                      <w:rFonts w:hint="eastAsia"/>
                      <w:color w:val="000000" w:themeColor="text1"/>
                      <w:szCs w:val="21"/>
                      <w:highlight w:val="none"/>
                      <w:lang w:eastAsia="zh-CN"/>
                      <w14:textFill>
                        <w14:solidFill>
                          <w14:schemeClr w14:val="tx1"/>
                        </w14:solidFill>
                      </w14:textFill>
                    </w:rPr>
                    <w:t>）</w:t>
                  </w:r>
                </w:p>
                <w:p w14:paraId="38BFDE41">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μ</w:t>
                  </w:r>
                  <w:r>
                    <w:rPr>
                      <w:rFonts w:hint="eastAsia"/>
                      <w:color w:val="000000" w:themeColor="text1"/>
                      <w:highlight w:val="none"/>
                      <w:lang w:val="en-US" w:eastAsia="zh-CN"/>
                      <w14:textFill>
                        <w14:solidFill>
                          <w14:schemeClr w14:val="tx1"/>
                        </w14:solidFill>
                      </w14:textFill>
                    </w:rPr>
                    <w:t>g</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tc>
            </w:tr>
            <w:tr w14:paraId="66F30BBD">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tcBorders>
                    <w:tl2br w:val="nil"/>
                    <w:tr2bl w:val="nil"/>
                  </w:tcBorders>
                  <w:vAlign w:val="center"/>
                </w:tcPr>
                <w:p w14:paraId="189F6320">
                  <w:pPr>
                    <w:ind w:left="-105" w:leftChars="-50" w:right="-105" w:rightChars="-50"/>
                    <w:jc w:val="center"/>
                    <w:textAlignment w:val="center"/>
                    <w:rPr>
                      <w:color w:val="000000" w:themeColor="text1"/>
                      <w:highlight w:val="none"/>
                      <w14:textFill>
                        <w14:solidFill>
                          <w14:schemeClr w14:val="tx1"/>
                        </w14:solidFill>
                      </w14:textFill>
                    </w:rPr>
                  </w:pPr>
                </w:p>
              </w:tc>
              <w:tc>
                <w:tcPr>
                  <w:tcW w:w="953" w:type="pct"/>
                  <w:vMerge w:val="restart"/>
                  <w:tcBorders>
                    <w:tl2br w:val="nil"/>
                    <w:tr2bl w:val="nil"/>
                  </w:tcBorders>
                  <w:vAlign w:val="center"/>
                </w:tcPr>
                <w:p w14:paraId="7988B76B">
                  <w:pPr>
                    <w:pStyle w:val="67"/>
                    <w:rPr>
                      <w:color w:val="000000" w:themeColor="text1"/>
                      <w:highlight w:val="none"/>
                      <w14:textFill>
                        <w14:solidFill>
                          <w14:schemeClr w14:val="tx1"/>
                        </w14:solidFill>
                      </w14:textFill>
                    </w:rPr>
                  </w:pPr>
                </w:p>
              </w:tc>
              <w:tc>
                <w:tcPr>
                  <w:tcW w:w="992" w:type="pct"/>
                  <w:tcBorders>
                    <w:tl2br w:val="nil"/>
                    <w:tr2bl w:val="nil"/>
                  </w:tcBorders>
                  <w:vAlign w:val="center"/>
                </w:tcPr>
                <w:p w14:paraId="02DEF3B8">
                  <w:pPr>
                    <w:pStyle w:val="67"/>
                    <w:rPr>
                      <w:rFonts w:hint="eastAsia" w:eastAsia="宋体"/>
                      <w:color w:val="000000" w:themeColor="text1"/>
                      <w:highlight w:val="none"/>
                      <w:lang w:eastAsia="zh-CN"/>
                      <w14:textFill>
                        <w14:solidFill>
                          <w14:schemeClr w14:val="tx1"/>
                        </w14:solidFill>
                      </w14:textFill>
                    </w:rPr>
                  </w:pPr>
                </w:p>
              </w:tc>
              <w:tc>
                <w:tcPr>
                  <w:tcW w:w="1707" w:type="pct"/>
                  <w:tcBorders>
                    <w:tl2br w:val="nil"/>
                    <w:tr2bl w:val="nil"/>
                  </w:tcBorders>
                  <w:vAlign w:val="center"/>
                </w:tcPr>
                <w:p w14:paraId="1CB28124">
                  <w:pPr>
                    <w:jc w:val="center"/>
                    <w:rPr>
                      <w:color w:val="000000" w:themeColor="text1"/>
                      <w:highlight w:val="none"/>
                      <w14:textFill>
                        <w14:solidFill>
                          <w14:schemeClr w14:val="tx1"/>
                        </w14:solidFill>
                      </w14:textFill>
                    </w:rPr>
                  </w:pPr>
                </w:p>
              </w:tc>
            </w:tr>
            <w:tr w14:paraId="4FBE644E">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trHeight w:val="283" w:hRule="atLeast"/>
                <w:jc w:val="center"/>
              </w:trPr>
              <w:tc>
                <w:tcPr>
                  <w:tcW w:w="1346" w:type="pct"/>
                  <w:tcBorders>
                    <w:tl2br w:val="nil"/>
                    <w:tr2bl w:val="nil"/>
                  </w:tcBorders>
                  <w:vAlign w:val="center"/>
                </w:tcPr>
                <w:p w14:paraId="77983212">
                  <w:pPr>
                    <w:ind w:left="-105" w:leftChars="-50" w:right="-105" w:rightChars="-50"/>
                    <w:jc w:val="center"/>
                    <w:textAlignment w:val="center"/>
                    <w:rPr>
                      <w:color w:val="000000" w:themeColor="text1"/>
                      <w:highlight w:val="none"/>
                      <w14:textFill>
                        <w14:solidFill>
                          <w14:schemeClr w14:val="tx1"/>
                        </w14:solidFill>
                      </w14:textFill>
                    </w:rPr>
                  </w:pPr>
                </w:p>
              </w:tc>
              <w:tc>
                <w:tcPr>
                  <w:tcW w:w="953" w:type="pct"/>
                  <w:vMerge w:val="continue"/>
                  <w:tcBorders>
                    <w:tl2br w:val="nil"/>
                    <w:tr2bl w:val="nil"/>
                  </w:tcBorders>
                  <w:vAlign w:val="center"/>
                </w:tcPr>
                <w:p w14:paraId="74AE6B6F">
                  <w:pPr>
                    <w:pStyle w:val="67"/>
                    <w:rPr>
                      <w:color w:val="000000" w:themeColor="text1"/>
                      <w:highlight w:val="none"/>
                      <w14:textFill>
                        <w14:solidFill>
                          <w14:schemeClr w14:val="tx1"/>
                        </w14:solidFill>
                      </w14:textFill>
                    </w:rPr>
                  </w:pPr>
                </w:p>
              </w:tc>
              <w:tc>
                <w:tcPr>
                  <w:tcW w:w="992" w:type="pct"/>
                  <w:tcBorders>
                    <w:tl2br w:val="nil"/>
                    <w:tr2bl w:val="nil"/>
                  </w:tcBorders>
                  <w:vAlign w:val="center"/>
                </w:tcPr>
                <w:p w14:paraId="3BD21EE0">
                  <w:pPr>
                    <w:pStyle w:val="67"/>
                    <w:rPr>
                      <w:rFonts w:hint="eastAsia" w:eastAsia="宋体"/>
                      <w:color w:val="000000" w:themeColor="text1"/>
                      <w:highlight w:val="none"/>
                      <w:lang w:eastAsia="zh-CN"/>
                      <w14:textFill>
                        <w14:solidFill>
                          <w14:schemeClr w14:val="tx1"/>
                        </w14:solidFill>
                      </w14:textFill>
                    </w:rPr>
                  </w:pPr>
                </w:p>
              </w:tc>
              <w:tc>
                <w:tcPr>
                  <w:tcW w:w="1707" w:type="pct"/>
                  <w:tcBorders>
                    <w:tl2br w:val="nil"/>
                    <w:tr2bl w:val="nil"/>
                  </w:tcBorders>
                  <w:vAlign w:val="center"/>
                </w:tcPr>
                <w:p w14:paraId="68E3F687">
                  <w:pPr>
                    <w:jc w:val="center"/>
                    <w:rPr>
                      <w:color w:val="000000" w:themeColor="text1"/>
                      <w:highlight w:val="none"/>
                      <w14:textFill>
                        <w14:solidFill>
                          <w14:schemeClr w14:val="tx1"/>
                        </w14:solidFill>
                      </w14:textFill>
                    </w:rPr>
                  </w:pPr>
                </w:p>
              </w:tc>
            </w:tr>
            <w:tr w14:paraId="0202F75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tcBorders>
                    <w:tl2br w:val="nil"/>
                    <w:tr2bl w:val="nil"/>
                  </w:tcBorders>
                  <w:vAlign w:val="center"/>
                </w:tcPr>
                <w:p w14:paraId="30D91906">
                  <w:pPr>
                    <w:ind w:left="-105" w:leftChars="-50" w:right="-105" w:rightChars="-50"/>
                    <w:jc w:val="center"/>
                    <w:textAlignment w:val="center"/>
                    <w:rPr>
                      <w:color w:val="000000" w:themeColor="text1"/>
                      <w:highlight w:val="none"/>
                      <w14:textFill>
                        <w14:solidFill>
                          <w14:schemeClr w14:val="tx1"/>
                        </w14:solidFill>
                      </w14:textFill>
                    </w:rPr>
                  </w:pPr>
                </w:p>
              </w:tc>
              <w:tc>
                <w:tcPr>
                  <w:tcW w:w="953" w:type="pct"/>
                  <w:vMerge w:val="continue"/>
                  <w:tcBorders>
                    <w:tl2br w:val="nil"/>
                    <w:tr2bl w:val="nil"/>
                  </w:tcBorders>
                  <w:vAlign w:val="center"/>
                </w:tcPr>
                <w:p w14:paraId="2F831998">
                  <w:pPr>
                    <w:pStyle w:val="67"/>
                    <w:rPr>
                      <w:color w:val="000000" w:themeColor="text1"/>
                      <w:highlight w:val="none"/>
                      <w14:textFill>
                        <w14:solidFill>
                          <w14:schemeClr w14:val="tx1"/>
                        </w14:solidFill>
                      </w14:textFill>
                    </w:rPr>
                  </w:pPr>
                </w:p>
              </w:tc>
              <w:tc>
                <w:tcPr>
                  <w:tcW w:w="992" w:type="pct"/>
                  <w:tcBorders>
                    <w:tl2br w:val="nil"/>
                    <w:tr2bl w:val="nil"/>
                  </w:tcBorders>
                  <w:vAlign w:val="center"/>
                </w:tcPr>
                <w:p w14:paraId="5C908299">
                  <w:pPr>
                    <w:pStyle w:val="67"/>
                    <w:rPr>
                      <w:rFonts w:hint="eastAsia" w:eastAsia="宋体"/>
                      <w:color w:val="000000" w:themeColor="text1"/>
                      <w:highlight w:val="none"/>
                      <w:lang w:eastAsia="zh-CN"/>
                      <w14:textFill>
                        <w14:solidFill>
                          <w14:schemeClr w14:val="tx1"/>
                        </w14:solidFill>
                      </w14:textFill>
                    </w:rPr>
                  </w:pPr>
                </w:p>
              </w:tc>
              <w:tc>
                <w:tcPr>
                  <w:tcW w:w="1707" w:type="pct"/>
                  <w:tcBorders>
                    <w:tl2br w:val="nil"/>
                    <w:tr2bl w:val="nil"/>
                  </w:tcBorders>
                  <w:vAlign w:val="center"/>
                </w:tcPr>
                <w:p w14:paraId="0C42C972">
                  <w:pPr>
                    <w:jc w:val="center"/>
                    <w:rPr>
                      <w:color w:val="000000" w:themeColor="text1"/>
                      <w:highlight w:val="none"/>
                      <w14:textFill>
                        <w14:solidFill>
                          <w14:schemeClr w14:val="tx1"/>
                        </w14:solidFill>
                      </w14:textFill>
                    </w:rPr>
                  </w:pPr>
                </w:p>
              </w:tc>
            </w:tr>
            <w:tr w14:paraId="0F67C0B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trHeight w:val="283" w:hRule="atLeast"/>
                <w:jc w:val="center"/>
              </w:trPr>
              <w:tc>
                <w:tcPr>
                  <w:tcW w:w="3292" w:type="pct"/>
                  <w:gridSpan w:val="3"/>
                  <w:tcBorders>
                    <w:tl2br w:val="nil"/>
                    <w:tr2bl w:val="nil"/>
                  </w:tcBorders>
                  <w:vAlign w:val="center"/>
                </w:tcPr>
                <w:p w14:paraId="1B12197D">
                  <w:pPr>
                    <w:pStyle w:val="67"/>
                    <w:rPr>
                      <w:rFonts w:hint="default"/>
                      <w:color w:val="000000" w:themeColor="text1"/>
                      <w:highlight w:val="none"/>
                      <w:lang w:val="en-US" w:eastAsia="zh-CN"/>
                      <w14:textFill>
                        <w14:solidFill>
                          <w14:schemeClr w14:val="tx1"/>
                        </w14:solidFill>
                      </w14:textFill>
                    </w:rPr>
                  </w:pPr>
                </w:p>
              </w:tc>
              <w:tc>
                <w:tcPr>
                  <w:tcW w:w="1707" w:type="pct"/>
                  <w:tcBorders>
                    <w:tl2br w:val="nil"/>
                    <w:tr2bl w:val="nil"/>
                  </w:tcBorders>
                  <w:vAlign w:val="center"/>
                </w:tcPr>
                <w:p w14:paraId="4C86FDAB">
                  <w:pPr>
                    <w:pStyle w:val="67"/>
                    <w:rPr>
                      <w:rFonts w:hint="default" w:eastAsia="宋体"/>
                      <w:color w:val="000000" w:themeColor="text1"/>
                      <w:highlight w:val="none"/>
                      <w:lang w:val="en-US" w:eastAsia="zh-CN"/>
                      <w14:textFill>
                        <w14:solidFill>
                          <w14:schemeClr w14:val="tx1"/>
                        </w14:solidFill>
                      </w14:textFill>
                    </w:rPr>
                  </w:pPr>
                </w:p>
              </w:tc>
            </w:tr>
            <w:tr w14:paraId="25BF29C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3292" w:type="pct"/>
                  <w:gridSpan w:val="3"/>
                  <w:tcBorders>
                    <w:tl2br w:val="nil"/>
                    <w:tr2bl w:val="nil"/>
                  </w:tcBorders>
                  <w:vAlign w:val="center"/>
                </w:tcPr>
                <w:p w14:paraId="6BCC707D">
                  <w:pPr>
                    <w:pStyle w:val="67"/>
                    <w:rPr>
                      <w:rFonts w:hint="eastAsia"/>
                      <w:color w:val="000000" w:themeColor="text1"/>
                      <w:highlight w:val="none"/>
                      <w:lang w:eastAsia="zh-CN"/>
                      <w14:textFill>
                        <w14:solidFill>
                          <w14:schemeClr w14:val="tx1"/>
                        </w14:solidFill>
                      </w14:textFill>
                    </w:rPr>
                  </w:pPr>
                </w:p>
              </w:tc>
              <w:tc>
                <w:tcPr>
                  <w:tcW w:w="1707" w:type="pct"/>
                  <w:tcBorders>
                    <w:tl2br w:val="nil"/>
                    <w:tr2bl w:val="nil"/>
                  </w:tcBorders>
                  <w:vAlign w:val="center"/>
                </w:tcPr>
                <w:p w14:paraId="0E786718">
                  <w:pPr>
                    <w:pStyle w:val="67"/>
                    <w:rPr>
                      <w:rFonts w:hint="eastAsia" w:eastAsia="宋体"/>
                      <w:color w:val="000000" w:themeColor="text1"/>
                      <w:highlight w:val="none"/>
                      <w:lang w:eastAsia="zh-CN"/>
                      <w14:textFill>
                        <w14:solidFill>
                          <w14:schemeClr w14:val="tx1"/>
                        </w14:solidFill>
                      </w14:textFill>
                    </w:rPr>
                  </w:pPr>
                </w:p>
              </w:tc>
            </w:tr>
            <w:tr w14:paraId="7025BE50">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tcBorders>
                    <w:tl2br w:val="nil"/>
                    <w:tr2bl w:val="nil"/>
                  </w:tcBorders>
                  <w:vAlign w:val="center"/>
                </w:tcPr>
                <w:p w14:paraId="732193E8">
                  <w:pPr>
                    <w:pStyle w:val="67"/>
                    <w:rPr>
                      <w:color w:val="000000" w:themeColor="text1"/>
                      <w:highlight w:val="none"/>
                      <w14:textFill>
                        <w14:solidFill>
                          <w14:schemeClr w14:val="tx1"/>
                        </w14:solidFill>
                      </w14:textFill>
                    </w:rPr>
                  </w:pPr>
                </w:p>
              </w:tc>
              <w:tc>
                <w:tcPr>
                  <w:tcW w:w="3653" w:type="pct"/>
                  <w:gridSpan w:val="3"/>
                  <w:tcBorders>
                    <w:tl2br w:val="nil"/>
                    <w:tr2bl w:val="nil"/>
                  </w:tcBorders>
                  <w:vAlign w:val="center"/>
                </w:tcPr>
                <w:p w14:paraId="1FA81F78">
                  <w:pPr>
                    <w:pStyle w:val="67"/>
                    <w:jc w:val="left"/>
                    <w:rPr>
                      <w:color w:val="000000" w:themeColor="text1"/>
                      <w:highlight w:val="none"/>
                      <w14:textFill>
                        <w14:solidFill>
                          <w14:schemeClr w14:val="tx1"/>
                        </w14:solidFill>
                      </w14:textFill>
                    </w:rPr>
                  </w:pPr>
                </w:p>
              </w:tc>
            </w:tr>
          </w:tbl>
          <w:p w14:paraId="10AC324D">
            <w:pPr>
              <w:spacing w:line="360" w:lineRule="auto"/>
              <w:ind w:firstLine="198" w:firstLineChars="82"/>
              <w:jc w:val="center"/>
              <w:rPr>
                <w:b/>
                <w:color w:val="000000" w:themeColor="text1"/>
                <w:sz w:val="24"/>
                <w:highlight w:val="none"/>
                <w14:textFill>
                  <w14:solidFill>
                    <w14:schemeClr w14:val="tx1"/>
                  </w14:solidFill>
                </w14:textFill>
              </w:rPr>
            </w:pPr>
          </w:p>
          <w:p w14:paraId="0D676B02">
            <w:pPr>
              <w:spacing w:line="360" w:lineRule="auto"/>
              <w:ind w:firstLine="198" w:firstLineChars="82"/>
              <w:jc w:val="center"/>
              <w:rPr>
                <w:rFonts w:hint="default" w:eastAsia="宋体"/>
                <w:b/>
                <w:color w:val="000000" w:themeColor="text1"/>
                <w:sz w:val="24"/>
                <w:highlight w:val="none"/>
                <w:lang w:val="en-US" w:eastAsia="zh-CN"/>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w:t>
            </w:r>
          </w:p>
          <w:p w14:paraId="65B2A6E3">
            <w:pPr>
              <w:spacing w:line="360" w:lineRule="auto"/>
              <w:ind w:firstLine="198" w:firstLineChars="82"/>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图</w:t>
            </w:r>
            <w:r>
              <w:rPr>
                <w:rFonts w:hint="eastAsia"/>
                <w:b/>
                <w:color w:val="000000" w:themeColor="text1"/>
                <w:sz w:val="24"/>
                <w:highlight w:val="none"/>
                <w14:textFill>
                  <w14:solidFill>
                    <w14:schemeClr w14:val="tx1"/>
                  </w14:solidFill>
                </w14:textFill>
              </w:rPr>
              <w:t>3.1-</w:t>
            </w:r>
            <w:r>
              <w:rPr>
                <w:rFonts w:hint="eastAsia"/>
                <w:b/>
                <w:color w:val="000000" w:themeColor="text1"/>
                <w:sz w:val="24"/>
                <w:highlight w:val="none"/>
                <w:lang w:val="en-US" w:eastAsia="zh-CN"/>
                <w14:textFill>
                  <w14:solidFill>
                    <w14:schemeClr w14:val="tx1"/>
                  </w14:solidFill>
                </w14:textFill>
              </w:rPr>
              <w:t>2</w:t>
            </w:r>
            <w:r>
              <w:rPr>
                <w:rFonts w:hint="eastAsia"/>
                <w:b/>
                <w:bCs/>
                <w:color w:val="000000" w:themeColor="text1"/>
                <w:sz w:val="24"/>
                <w:szCs w:val="32"/>
                <w:highlight w:val="none"/>
                <w:lang w:eastAsia="zh-CN"/>
                <w14:textFill>
                  <w14:solidFill>
                    <w14:schemeClr w14:val="tx1"/>
                  </w14:solidFill>
                </w14:textFill>
              </w:rPr>
              <w:t>补充监测点位</w:t>
            </w:r>
            <w:r>
              <w:rPr>
                <w:b/>
                <w:bCs/>
                <w:color w:val="000000" w:themeColor="text1"/>
                <w:sz w:val="24"/>
                <w:szCs w:val="32"/>
                <w:highlight w:val="none"/>
                <w14:textFill>
                  <w14:solidFill>
                    <w14:schemeClr w14:val="tx1"/>
                  </w14:solidFill>
                </w14:textFill>
              </w:rPr>
              <w:t>图</w:t>
            </w:r>
          </w:p>
          <w:p w14:paraId="2C4FA396">
            <w:pPr>
              <w:pStyle w:val="86"/>
              <w:ind w:firstLine="480"/>
              <w:rPr>
                <w:rFonts w:hint="eastAsia"/>
                <w:color w:val="000000" w:themeColor="text1"/>
                <w:sz w:val="24"/>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由</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3.1-2</w:t>
            </w:r>
            <w:r>
              <w:rPr>
                <w:rFonts w:hint="eastAsia"/>
                <w:color w:val="000000" w:themeColor="text1"/>
                <w:highlight w:val="none"/>
                <w14:textFill>
                  <w14:solidFill>
                    <w14:schemeClr w14:val="tx1"/>
                  </w14:solidFill>
                </w14:textFill>
              </w:rPr>
              <w:t>可知，监测点位</w:t>
            </w:r>
            <w:r>
              <w:rPr>
                <w:rFonts w:hint="eastAsia"/>
                <w:color w:val="000000" w:themeColor="text1"/>
                <w:highlight w:val="none"/>
                <w:lang w:val="en-US" w:eastAsia="zh-CN"/>
                <w14:textFill>
                  <w14:solidFill>
                    <w14:schemeClr w14:val="tx1"/>
                  </w14:solidFill>
                </w14:textFill>
              </w:rPr>
              <w:t>TSP</w:t>
            </w:r>
            <w:r>
              <w:rPr>
                <w:rFonts w:hint="eastAsia"/>
                <w:color w:val="000000" w:themeColor="text1"/>
                <w:highlight w:val="none"/>
                <w14:textFill>
                  <w14:solidFill>
                    <w14:schemeClr w14:val="tx1"/>
                  </w14:solidFill>
                </w14:textFill>
              </w:rPr>
              <w:t>可满足</w:t>
            </w:r>
            <w:r>
              <w:rPr>
                <w:color w:val="000000" w:themeColor="text1"/>
                <w:highlight w:val="none"/>
                <w14:textFill>
                  <w14:solidFill>
                    <w14:schemeClr w14:val="tx1"/>
                  </w14:solidFill>
                </w14:textFill>
              </w:rPr>
              <w:t>《环境空气质量标准》（GB3095-2012）中的二级浓度限值要求</w:t>
            </w:r>
            <w:r>
              <w:rPr>
                <w:rFonts w:hint="eastAsia"/>
                <w:color w:val="000000" w:themeColor="text1"/>
                <w:highlight w:val="none"/>
                <w14:textFill>
                  <w14:solidFill>
                    <w14:schemeClr w14:val="tx1"/>
                  </w14:solidFill>
                </w14:textFill>
              </w:rPr>
              <w:t>，大气环境质量现状好。</w:t>
            </w:r>
          </w:p>
          <w:p w14:paraId="56312605">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3.1.3</w:t>
            </w:r>
            <w:r>
              <w:rPr>
                <w:rFonts w:hint="eastAsia"/>
                <w:color w:val="000000" w:themeColor="text1"/>
                <w:sz w:val="28"/>
                <w:szCs w:val="28"/>
                <w:highlight w:val="none"/>
                <w14:textFill>
                  <w14:solidFill>
                    <w14:schemeClr w14:val="tx1"/>
                  </w14:solidFill>
                </w14:textFill>
              </w:rPr>
              <w:t>声</w:t>
            </w:r>
            <w:r>
              <w:rPr>
                <w:color w:val="000000" w:themeColor="text1"/>
                <w:sz w:val="28"/>
                <w:szCs w:val="28"/>
                <w:highlight w:val="none"/>
                <w14:textFill>
                  <w14:solidFill>
                    <w14:schemeClr w14:val="tx1"/>
                  </w14:solidFill>
                </w14:textFill>
              </w:rPr>
              <w:t>环境质量现状</w:t>
            </w:r>
          </w:p>
          <w:p w14:paraId="05B2DE6D">
            <w:pPr>
              <w:pStyle w:val="186"/>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根据生态环境部环境工程评估中心</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《建设项目环境影响报告表》内容、格式及编制技术指南常见问题解答</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厂界外周边50米范围内存在声环境保护目标的建设项目，应监测声环境质量现状，监测点位为声环境保护目标处。厂界外周边50米范围内无声环境保护目标的建设项目，不再要求提供声环境质量现状监测数据。</w:t>
            </w:r>
            <w:r>
              <w:rPr>
                <w:rFonts w:hint="eastAsia"/>
                <w:color w:val="000000" w:themeColor="text1"/>
                <w:szCs w:val="24"/>
                <w:highlight w:val="none"/>
                <w14:textFill>
                  <w14:solidFill>
                    <w14:schemeClr w14:val="tx1"/>
                  </w14:solidFill>
                </w14:textFill>
              </w:rPr>
              <w:t>”</w:t>
            </w:r>
          </w:p>
          <w:p w14:paraId="00DA206A">
            <w:pPr>
              <w:pStyle w:val="186"/>
              <w:ind w:firstLine="480"/>
              <w:rPr>
                <w:color w:val="000000" w:themeColor="text1"/>
                <w:highlight w:val="none"/>
                <w14:textFill>
                  <w14:solidFill>
                    <w14:schemeClr w14:val="tx1"/>
                  </w14:solidFill>
                </w14:textFill>
              </w:rPr>
            </w:pPr>
            <w:r>
              <w:rPr>
                <w:color w:val="000000" w:themeColor="text1"/>
                <w:szCs w:val="24"/>
                <w:highlight w:val="none"/>
                <w14:textFill>
                  <w14:solidFill>
                    <w14:schemeClr w14:val="tx1"/>
                  </w14:solidFill>
                </w14:textFill>
              </w:rPr>
              <w:t>根据现场踏勘可知，项目周边50米范围内无声环境保护目标，可不进行声环境质量现状的监测。</w:t>
            </w:r>
          </w:p>
          <w:p w14:paraId="0E7E5DE4">
            <w:pPr>
              <w:pStyle w:val="89"/>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3.1.4地下水、土壤现状</w:t>
            </w:r>
            <w:r>
              <w:rPr>
                <w:color w:val="000000" w:themeColor="text1"/>
                <w:sz w:val="28"/>
                <w:szCs w:val="28"/>
                <w:highlight w:val="none"/>
                <w14:textFill>
                  <w14:solidFill>
                    <w14:schemeClr w14:val="tx1"/>
                  </w14:solidFill>
                </w14:textFill>
              </w:rPr>
              <w:t>评价说明</w:t>
            </w:r>
          </w:p>
          <w:p w14:paraId="24121CEE">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（1）地下水环境影响分析</w:t>
            </w:r>
          </w:p>
          <w:p w14:paraId="3DBCD967">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对照《环境影响评价技术导则 地下水环境》（HJ610-2016）附录A中</w:t>
            </w:r>
            <w:r>
              <w:rPr>
                <w:rFonts w:hint="eastAsia"/>
                <w:color w:val="000000" w:themeColor="text1"/>
                <w:highlight w:val="none"/>
                <w14:textFill>
                  <w14:solidFill>
                    <w14:schemeClr w14:val="tx1"/>
                  </w14:solidFill>
                </w14:textFill>
              </w:rPr>
              <w:t>“109、锯材、木片加工、家具制造—其他”</w:t>
            </w:r>
            <w:r>
              <w:rPr>
                <w:color w:val="000000" w:themeColor="text1"/>
                <w:highlight w:val="none"/>
                <w14:textFill>
                  <w14:solidFill>
                    <w14:schemeClr w14:val="tx1"/>
                  </w14:solidFill>
                </w14:textFill>
              </w:rPr>
              <w:t>，报告表类别属于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IV类项目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，可不进行地下水环境影响评价</w:t>
            </w:r>
            <w:r>
              <w:rPr>
                <w:rFonts w:hint="eastAsia"/>
                <w:color w:val="000000" w:themeColor="text1"/>
                <w:highlight w:val="none"/>
                <w14:textFill>
                  <w14:solidFill>
                    <w14:schemeClr w14:val="tx1"/>
                  </w14:solidFill>
                </w14:textFill>
              </w:rPr>
              <w:t>。</w:t>
            </w:r>
          </w:p>
          <w:p w14:paraId="35CB34F1">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（2）土壤环境影响分析</w:t>
            </w:r>
          </w:p>
          <w:p w14:paraId="152E4495">
            <w:pPr>
              <w:pStyle w:val="189"/>
              <w:ind w:firstLine="480"/>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土壤环境</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试行</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HJ964-2018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附录A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土壤环境影响评价项目类别表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项目土壤环境影响评价类别属于</w:t>
            </w:r>
            <w:r>
              <w:rPr>
                <w:rFonts w:hint="eastAsia"/>
                <w:color w:val="000000" w:themeColor="text1"/>
                <w:highlight w:val="none"/>
                <w14:textFill>
                  <w14:solidFill>
                    <w14:schemeClr w14:val="tx1"/>
                  </w14:solidFill>
                </w14:textFill>
              </w:rPr>
              <w:t>“其他行</w:t>
            </w:r>
            <w:r>
              <w:rPr>
                <w:color w:val="000000" w:themeColor="text1"/>
                <w:highlight w:val="none"/>
                <w14:textFill>
                  <w14:solidFill>
                    <w14:schemeClr w14:val="tx1"/>
                  </w14:solidFill>
                </w14:textFill>
              </w:rPr>
              <w:t>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项目属于IV类建设项目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根据导则项目不开展土壤环境影响评价，不进行土壤环境现状调查。</w:t>
            </w:r>
          </w:p>
        </w:tc>
      </w:tr>
      <w:tr w14:paraId="30B4B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1" w:type="dxa"/>
            <w:vAlign w:val="center"/>
          </w:tcPr>
          <w:p w14:paraId="6F20EDC2">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w:t>
            </w:r>
          </w:p>
          <w:p w14:paraId="353D497B">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保护</w:t>
            </w:r>
          </w:p>
          <w:p w14:paraId="5EB5A473">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目标</w:t>
            </w:r>
          </w:p>
        </w:tc>
        <w:tc>
          <w:tcPr>
            <w:tcW w:w="8816" w:type="dxa"/>
          </w:tcPr>
          <w:p w14:paraId="0D8874A6">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3.2</w:t>
            </w:r>
            <w:r>
              <w:rPr>
                <w:rFonts w:hint="eastAsia"/>
                <w:b/>
                <w:color w:val="000000" w:themeColor="text1"/>
                <w:sz w:val="30"/>
                <w:szCs w:val="30"/>
                <w:highlight w:val="none"/>
                <w14:textFill>
                  <w14:solidFill>
                    <w14:schemeClr w14:val="tx1"/>
                  </w14:solidFill>
                </w14:textFill>
              </w:rPr>
              <w:t>环境保护</w:t>
            </w:r>
            <w:r>
              <w:rPr>
                <w:b/>
                <w:color w:val="000000" w:themeColor="text1"/>
                <w:sz w:val="30"/>
                <w:szCs w:val="30"/>
                <w:highlight w:val="none"/>
                <w14:textFill>
                  <w14:solidFill>
                    <w14:schemeClr w14:val="tx1"/>
                  </w14:solidFill>
                </w14:textFill>
              </w:rPr>
              <w:t>目标</w:t>
            </w:r>
          </w:p>
          <w:p w14:paraId="45DA1E18">
            <w:pPr>
              <w:pStyle w:val="189"/>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环境保护目标详见表</w:t>
            </w:r>
            <w:r>
              <w:rPr>
                <w:rFonts w:hint="eastAsia"/>
                <w:color w:val="000000" w:themeColor="text1"/>
                <w:highlight w:val="none"/>
                <w14:textFill>
                  <w14:solidFill>
                    <w14:schemeClr w14:val="tx1"/>
                  </w14:solidFill>
                </w14:textFill>
              </w:rPr>
              <w:t>3.2-1</w:t>
            </w:r>
            <w:r>
              <w:rPr>
                <w:color w:val="000000" w:themeColor="text1"/>
                <w:highlight w:val="none"/>
                <w14:textFill>
                  <w14:solidFill>
                    <w14:schemeClr w14:val="tx1"/>
                  </w14:solidFill>
                </w14:textFill>
              </w:rPr>
              <w:t>。</w:t>
            </w:r>
          </w:p>
          <w:p w14:paraId="6A091C15">
            <w:pPr>
              <w:pStyle w:val="180"/>
              <w:ind w:firstLine="482"/>
              <w:rPr>
                <w:rFonts w:eastAsia="宋体"/>
                <w:b/>
                <w:color w:val="000000" w:themeColor="text1"/>
                <w:kern w:val="2"/>
                <w:highlight w:val="none"/>
                <w14:textFill>
                  <w14:solidFill>
                    <w14:schemeClr w14:val="tx1"/>
                  </w14:solidFill>
                </w14:textFill>
              </w:rPr>
            </w:pPr>
            <w:r>
              <w:rPr>
                <w:rFonts w:eastAsia="宋体"/>
                <w:b/>
                <w:color w:val="000000" w:themeColor="text1"/>
                <w:kern w:val="2"/>
                <w:highlight w:val="none"/>
                <w14:textFill>
                  <w14:solidFill>
                    <w14:schemeClr w14:val="tx1"/>
                  </w14:solidFill>
                </w14:textFill>
              </w:rPr>
              <w:t>表3.2-1 项目环境保护目标</w:t>
            </w:r>
          </w:p>
          <w:tbl>
            <w:tblPr>
              <w:tblStyle w:val="37"/>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304"/>
              <w:gridCol w:w="1072"/>
              <w:gridCol w:w="1347"/>
              <w:gridCol w:w="1141"/>
              <w:gridCol w:w="2436"/>
            </w:tblGrid>
            <w:tr w14:paraId="785371D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6" w:type="pct"/>
                  <w:vMerge w:val="restart"/>
                  <w:tcBorders>
                    <w:top w:val="single" w:color="auto" w:sz="12" w:space="0"/>
                    <w:left w:val="single" w:color="auto" w:sz="12" w:space="0"/>
                    <w:bottom w:val="single" w:color="auto" w:sz="4" w:space="0"/>
                    <w:right w:val="single" w:color="auto" w:sz="4" w:space="0"/>
                  </w:tcBorders>
                  <w:vAlign w:val="center"/>
                </w:tcPr>
                <w:p w14:paraId="3C0E957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污染因素</w:t>
                  </w:r>
                </w:p>
              </w:tc>
              <w:tc>
                <w:tcPr>
                  <w:tcW w:w="758" w:type="pct"/>
                  <w:tcBorders>
                    <w:top w:val="single" w:color="auto" w:sz="12" w:space="0"/>
                    <w:left w:val="nil"/>
                    <w:bottom w:val="single" w:color="auto" w:sz="4" w:space="0"/>
                    <w:right w:val="single" w:color="auto" w:sz="4" w:space="0"/>
                  </w:tcBorders>
                  <w:vAlign w:val="center"/>
                </w:tcPr>
                <w:p w14:paraId="00C81CD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环境保护目标</w:t>
                  </w:r>
                </w:p>
              </w:tc>
              <w:tc>
                <w:tcPr>
                  <w:tcW w:w="623" w:type="pct"/>
                  <w:vMerge w:val="restart"/>
                  <w:tcBorders>
                    <w:top w:val="single" w:color="auto" w:sz="12" w:space="0"/>
                    <w:left w:val="nil"/>
                    <w:bottom w:val="single" w:color="auto" w:sz="4" w:space="0"/>
                    <w:right w:val="single" w:color="auto" w:sz="4" w:space="0"/>
                  </w:tcBorders>
                  <w:vAlign w:val="center"/>
                </w:tcPr>
                <w:p w14:paraId="22A7D34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相对方位</w:t>
                  </w:r>
                </w:p>
              </w:tc>
              <w:tc>
                <w:tcPr>
                  <w:tcW w:w="783" w:type="pct"/>
                  <w:vMerge w:val="restart"/>
                  <w:tcBorders>
                    <w:top w:val="single" w:color="auto" w:sz="12" w:space="0"/>
                    <w:left w:val="nil"/>
                    <w:bottom w:val="single" w:color="auto" w:sz="4" w:space="0"/>
                    <w:right w:val="single" w:color="auto" w:sz="4" w:space="0"/>
                  </w:tcBorders>
                  <w:vAlign w:val="center"/>
                </w:tcPr>
                <w:p w14:paraId="5117890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与项目场界距离（m）</w:t>
                  </w:r>
                </w:p>
              </w:tc>
              <w:tc>
                <w:tcPr>
                  <w:tcW w:w="663" w:type="pct"/>
                  <w:vMerge w:val="restart"/>
                  <w:tcBorders>
                    <w:top w:val="single" w:color="auto" w:sz="12" w:space="0"/>
                    <w:left w:val="nil"/>
                    <w:bottom w:val="single" w:color="auto" w:sz="4" w:space="0"/>
                    <w:right w:val="single" w:color="auto" w:sz="4" w:space="0"/>
                  </w:tcBorders>
                  <w:vAlign w:val="center"/>
                </w:tcPr>
                <w:p w14:paraId="3FCDC15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受影响规模/人</w:t>
                  </w:r>
                </w:p>
              </w:tc>
              <w:tc>
                <w:tcPr>
                  <w:tcW w:w="1415" w:type="pct"/>
                  <w:vMerge w:val="restart"/>
                  <w:tcBorders>
                    <w:top w:val="single" w:color="auto" w:sz="12" w:space="0"/>
                    <w:left w:val="nil"/>
                    <w:bottom w:val="single" w:color="auto" w:sz="4" w:space="0"/>
                    <w:right w:val="single" w:color="auto" w:sz="12" w:space="0"/>
                  </w:tcBorders>
                  <w:vAlign w:val="center"/>
                </w:tcPr>
                <w:p w14:paraId="36A561C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环境功能及保护要求</w:t>
                  </w:r>
                </w:p>
              </w:tc>
            </w:tr>
            <w:tr w14:paraId="7DB8975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0" w:type="auto"/>
                  <w:vMerge w:val="continue"/>
                  <w:tcBorders>
                    <w:top w:val="single" w:color="auto" w:sz="12" w:space="0"/>
                    <w:left w:val="single" w:color="auto" w:sz="12" w:space="0"/>
                    <w:bottom w:val="single" w:color="auto" w:sz="4" w:space="0"/>
                    <w:right w:val="single" w:color="auto" w:sz="4" w:space="0"/>
                  </w:tcBorders>
                  <w:vAlign w:val="center"/>
                </w:tcPr>
                <w:p w14:paraId="56F6A792">
                  <w:pPr>
                    <w:jc w:val="center"/>
                    <w:rPr>
                      <w:color w:val="000000" w:themeColor="text1"/>
                      <w:highlight w:val="none"/>
                      <w14:textFill>
                        <w14:solidFill>
                          <w14:schemeClr w14:val="tx1"/>
                        </w14:solidFill>
                      </w14:textFill>
                    </w:rPr>
                  </w:pPr>
                </w:p>
              </w:tc>
              <w:tc>
                <w:tcPr>
                  <w:tcW w:w="758" w:type="pct"/>
                  <w:tcBorders>
                    <w:top w:val="single" w:color="auto" w:sz="4" w:space="0"/>
                    <w:left w:val="nil"/>
                    <w:bottom w:val="single" w:color="auto" w:sz="4" w:space="0"/>
                    <w:right w:val="single" w:color="auto" w:sz="4" w:space="0"/>
                  </w:tcBorders>
                  <w:vAlign w:val="center"/>
                </w:tcPr>
                <w:p w14:paraId="066EE2B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行政村</w:t>
                  </w:r>
                </w:p>
              </w:tc>
              <w:tc>
                <w:tcPr>
                  <w:tcW w:w="623" w:type="pct"/>
                  <w:vMerge w:val="continue"/>
                  <w:tcBorders>
                    <w:top w:val="single" w:color="auto" w:sz="12" w:space="0"/>
                    <w:left w:val="nil"/>
                    <w:bottom w:val="single" w:color="auto" w:sz="4" w:space="0"/>
                    <w:right w:val="single" w:color="auto" w:sz="4" w:space="0"/>
                  </w:tcBorders>
                  <w:vAlign w:val="center"/>
                </w:tcPr>
                <w:p w14:paraId="119A7D22">
                  <w:pPr>
                    <w:jc w:val="center"/>
                    <w:rPr>
                      <w:color w:val="000000" w:themeColor="text1"/>
                      <w:highlight w:val="none"/>
                      <w14:textFill>
                        <w14:solidFill>
                          <w14:schemeClr w14:val="tx1"/>
                        </w14:solidFill>
                      </w14:textFill>
                    </w:rPr>
                  </w:pPr>
                </w:p>
              </w:tc>
              <w:tc>
                <w:tcPr>
                  <w:tcW w:w="0" w:type="auto"/>
                  <w:vMerge w:val="continue"/>
                  <w:tcBorders>
                    <w:top w:val="single" w:color="auto" w:sz="12" w:space="0"/>
                    <w:left w:val="nil"/>
                    <w:bottom w:val="single" w:color="auto" w:sz="4" w:space="0"/>
                    <w:right w:val="single" w:color="auto" w:sz="4" w:space="0"/>
                  </w:tcBorders>
                  <w:vAlign w:val="center"/>
                </w:tcPr>
                <w:p w14:paraId="47D0D2CF">
                  <w:pPr>
                    <w:jc w:val="center"/>
                    <w:rPr>
                      <w:color w:val="000000" w:themeColor="text1"/>
                      <w:highlight w:val="none"/>
                      <w14:textFill>
                        <w14:solidFill>
                          <w14:schemeClr w14:val="tx1"/>
                        </w14:solidFill>
                      </w14:textFill>
                    </w:rPr>
                  </w:pPr>
                </w:p>
              </w:tc>
              <w:tc>
                <w:tcPr>
                  <w:tcW w:w="0" w:type="auto"/>
                  <w:vMerge w:val="continue"/>
                  <w:tcBorders>
                    <w:top w:val="single" w:color="auto" w:sz="12" w:space="0"/>
                    <w:left w:val="nil"/>
                    <w:bottom w:val="single" w:color="auto" w:sz="4" w:space="0"/>
                    <w:right w:val="single" w:color="auto" w:sz="4" w:space="0"/>
                  </w:tcBorders>
                  <w:vAlign w:val="center"/>
                </w:tcPr>
                <w:p w14:paraId="5664330E">
                  <w:pPr>
                    <w:jc w:val="center"/>
                    <w:rPr>
                      <w:color w:val="000000" w:themeColor="text1"/>
                      <w:highlight w:val="none"/>
                      <w14:textFill>
                        <w14:solidFill>
                          <w14:schemeClr w14:val="tx1"/>
                        </w14:solidFill>
                      </w14:textFill>
                    </w:rPr>
                  </w:pPr>
                </w:p>
              </w:tc>
              <w:tc>
                <w:tcPr>
                  <w:tcW w:w="0" w:type="auto"/>
                  <w:vMerge w:val="continue"/>
                  <w:tcBorders>
                    <w:top w:val="single" w:color="auto" w:sz="12" w:space="0"/>
                    <w:left w:val="nil"/>
                    <w:bottom w:val="single" w:color="auto" w:sz="4" w:space="0"/>
                    <w:right w:val="single" w:color="auto" w:sz="12" w:space="0"/>
                  </w:tcBorders>
                  <w:vAlign w:val="center"/>
                </w:tcPr>
                <w:p w14:paraId="1751DFDA">
                  <w:pPr>
                    <w:jc w:val="center"/>
                    <w:rPr>
                      <w:color w:val="000000" w:themeColor="text1"/>
                      <w:highlight w:val="none"/>
                      <w14:textFill>
                        <w14:solidFill>
                          <w14:schemeClr w14:val="tx1"/>
                        </w14:solidFill>
                      </w14:textFill>
                    </w:rPr>
                  </w:pPr>
                </w:p>
              </w:tc>
            </w:tr>
            <w:tr w14:paraId="3EA5E5B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tcBorders>
                    <w:top w:val="nil"/>
                    <w:left w:val="single" w:color="auto" w:sz="12" w:space="0"/>
                    <w:right w:val="single" w:color="auto" w:sz="4" w:space="0"/>
                  </w:tcBorders>
                  <w:vAlign w:val="center"/>
                </w:tcPr>
                <w:p w14:paraId="1B5AEC3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大气环境</w:t>
                  </w:r>
                </w:p>
              </w:tc>
              <w:tc>
                <w:tcPr>
                  <w:tcW w:w="758" w:type="pct"/>
                  <w:tcBorders>
                    <w:top w:val="single" w:color="auto" w:sz="4" w:space="0"/>
                    <w:left w:val="nil"/>
                    <w:bottom w:val="single" w:color="auto" w:sz="4" w:space="0"/>
                    <w:right w:val="single" w:color="auto" w:sz="4" w:space="0"/>
                  </w:tcBorders>
                  <w:vAlign w:val="center"/>
                </w:tcPr>
                <w:p w14:paraId="366941CC">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溪头村</w:t>
                  </w:r>
                </w:p>
              </w:tc>
              <w:tc>
                <w:tcPr>
                  <w:tcW w:w="623" w:type="pct"/>
                  <w:tcBorders>
                    <w:top w:val="single" w:color="auto" w:sz="4" w:space="0"/>
                    <w:left w:val="nil"/>
                    <w:bottom w:val="single" w:color="auto" w:sz="4" w:space="0"/>
                    <w:right w:val="single" w:color="auto" w:sz="4" w:space="0"/>
                  </w:tcBorders>
                  <w:vAlign w:val="center"/>
                </w:tcPr>
                <w:p w14:paraId="7D994495">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E</w:t>
                  </w:r>
                </w:p>
              </w:tc>
              <w:tc>
                <w:tcPr>
                  <w:tcW w:w="783" w:type="pct"/>
                  <w:tcBorders>
                    <w:top w:val="single" w:color="auto" w:sz="4" w:space="0"/>
                    <w:left w:val="nil"/>
                    <w:bottom w:val="single" w:color="auto" w:sz="4" w:space="0"/>
                    <w:right w:val="single" w:color="auto" w:sz="4" w:space="0"/>
                  </w:tcBorders>
                  <w:vAlign w:val="center"/>
                </w:tcPr>
                <w:p w14:paraId="0FB61BF6">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m</w:t>
                  </w:r>
                </w:p>
              </w:tc>
              <w:tc>
                <w:tcPr>
                  <w:tcW w:w="663" w:type="pct"/>
                  <w:tcBorders>
                    <w:top w:val="single" w:color="auto" w:sz="4" w:space="0"/>
                    <w:left w:val="nil"/>
                    <w:bottom w:val="single" w:color="auto" w:sz="4" w:space="0"/>
                    <w:right w:val="single" w:color="auto" w:sz="4" w:space="0"/>
                  </w:tcBorders>
                  <w:vAlign w:val="center"/>
                </w:tcPr>
                <w:p w14:paraId="155D2DD4">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2600</w:t>
                  </w:r>
                  <w:r>
                    <w:rPr>
                      <w:color w:val="000000" w:themeColor="text1"/>
                      <w:highlight w:val="none"/>
                      <w14:textFill>
                        <w14:solidFill>
                          <w14:schemeClr w14:val="tx1"/>
                        </w14:solidFill>
                      </w14:textFill>
                    </w:rPr>
                    <w:t>人</w:t>
                  </w:r>
                </w:p>
              </w:tc>
              <w:tc>
                <w:tcPr>
                  <w:tcW w:w="1415" w:type="pct"/>
                  <w:vMerge w:val="restart"/>
                  <w:tcBorders>
                    <w:top w:val="nil"/>
                    <w:left w:val="nil"/>
                    <w:right w:val="single" w:color="auto" w:sz="12" w:space="0"/>
                  </w:tcBorders>
                  <w:vAlign w:val="center"/>
                </w:tcPr>
                <w:p w14:paraId="6A7E85D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《环境空气质量标准》(GB3095-2012)二级标准</w:t>
                  </w:r>
                </w:p>
              </w:tc>
            </w:tr>
            <w:tr w14:paraId="3529770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tcBorders>
                    <w:left w:val="single" w:color="auto" w:sz="12" w:space="0"/>
                    <w:right w:val="single" w:color="auto" w:sz="4" w:space="0"/>
                  </w:tcBorders>
                  <w:vAlign w:val="center"/>
                </w:tcPr>
                <w:p w14:paraId="4A422A00">
                  <w:pPr>
                    <w:jc w:val="center"/>
                    <w:rPr>
                      <w:color w:val="000000" w:themeColor="text1"/>
                      <w:highlight w:val="none"/>
                      <w14:textFill>
                        <w14:solidFill>
                          <w14:schemeClr w14:val="tx1"/>
                        </w14:solidFill>
                      </w14:textFill>
                    </w:rPr>
                  </w:pPr>
                </w:p>
              </w:tc>
              <w:tc>
                <w:tcPr>
                  <w:tcW w:w="758" w:type="pct"/>
                  <w:tcBorders>
                    <w:top w:val="single" w:color="auto" w:sz="4" w:space="0"/>
                    <w:left w:val="nil"/>
                    <w:bottom w:val="single" w:color="auto" w:sz="4" w:space="0"/>
                    <w:right w:val="single" w:color="auto" w:sz="4" w:space="0"/>
                  </w:tcBorders>
                  <w:vAlign w:val="center"/>
                </w:tcPr>
                <w:p w14:paraId="7ABBB337">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溪东</w:t>
                  </w:r>
                  <w:r>
                    <w:rPr>
                      <w:color w:val="000000" w:themeColor="text1"/>
                      <w:highlight w:val="none"/>
                      <w14:textFill>
                        <w14:solidFill>
                          <w14:schemeClr w14:val="tx1"/>
                        </w14:solidFill>
                      </w14:textFill>
                    </w:rPr>
                    <w:t>村</w:t>
                  </w:r>
                </w:p>
              </w:tc>
              <w:tc>
                <w:tcPr>
                  <w:tcW w:w="623" w:type="pct"/>
                  <w:tcBorders>
                    <w:top w:val="single" w:color="auto" w:sz="4" w:space="0"/>
                    <w:left w:val="nil"/>
                    <w:bottom w:val="single" w:color="auto" w:sz="4" w:space="0"/>
                    <w:right w:val="single" w:color="auto" w:sz="4" w:space="0"/>
                  </w:tcBorders>
                  <w:vAlign w:val="center"/>
                </w:tcPr>
                <w:p w14:paraId="2A98E8CA">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S</w:t>
                  </w:r>
                </w:p>
              </w:tc>
              <w:tc>
                <w:tcPr>
                  <w:tcW w:w="783" w:type="pct"/>
                  <w:tcBorders>
                    <w:top w:val="single" w:color="auto" w:sz="4" w:space="0"/>
                    <w:left w:val="nil"/>
                    <w:bottom w:val="single" w:color="auto" w:sz="4" w:space="0"/>
                    <w:right w:val="single" w:color="auto" w:sz="4" w:space="0"/>
                  </w:tcBorders>
                  <w:vAlign w:val="center"/>
                </w:tcPr>
                <w:p w14:paraId="61929CB3">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102m</w:t>
                  </w:r>
                </w:p>
              </w:tc>
              <w:tc>
                <w:tcPr>
                  <w:tcW w:w="663" w:type="pct"/>
                  <w:tcBorders>
                    <w:top w:val="single" w:color="auto" w:sz="4" w:space="0"/>
                    <w:left w:val="nil"/>
                    <w:bottom w:val="single" w:color="auto" w:sz="4" w:space="0"/>
                    <w:right w:val="single" w:color="auto" w:sz="4" w:space="0"/>
                  </w:tcBorders>
                  <w:vAlign w:val="center"/>
                </w:tcPr>
                <w:p w14:paraId="008D7CD8">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850</w:t>
                  </w:r>
                  <w:r>
                    <w:rPr>
                      <w:color w:val="000000" w:themeColor="text1"/>
                      <w:highlight w:val="none"/>
                      <w14:textFill>
                        <w14:solidFill>
                          <w14:schemeClr w14:val="tx1"/>
                        </w14:solidFill>
                      </w14:textFill>
                    </w:rPr>
                    <w:t>人</w:t>
                  </w:r>
                </w:p>
              </w:tc>
              <w:tc>
                <w:tcPr>
                  <w:tcW w:w="1415" w:type="pct"/>
                  <w:vMerge w:val="continue"/>
                  <w:tcBorders>
                    <w:left w:val="nil"/>
                    <w:right w:val="single" w:color="auto" w:sz="12" w:space="0"/>
                  </w:tcBorders>
                  <w:vAlign w:val="center"/>
                </w:tcPr>
                <w:p w14:paraId="5E79C042">
                  <w:pPr>
                    <w:jc w:val="center"/>
                    <w:rPr>
                      <w:color w:val="000000" w:themeColor="text1"/>
                      <w:highlight w:val="none"/>
                      <w14:textFill>
                        <w14:solidFill>
                          <w14:schemeClr w14:val="tx1"/>
                        </w14:solidFill>
                      </w14:textFill>
                    </w:rPr>
                  </w:pPr>
                </w:p>
              </w:tc>
            </w:tr>
            <w:tr w14:paraId="774C2DF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tcBorders>
                    <w:left w:val="single" w:color="auto" w:sz="12" w:space="0"/>
                    <w:right w:val="single" w:color="auto" w:sz="4" w:space="0"/>
                  </w:tcBorders>
                  <w:vAlign w:val="center"/>
                </w:tcPr>
                <w:p w14:paraId="4FF8DE6D">
                  <w:pPr>
                    <w:jc w:val="center"/>
                    <w:rPr>
                      <w:color w:val="000000" w:themeColor="text1"/>
                      <w:highlight w:val="none"/>
                      <w14:textFill>
                        <w14:solidFill>
                          <w14:schemeClr w14:val="tx1"/>
                        </w14:solidFill>
                      </w14:textFill>
                    </w:rPr>
                  </w:pPr>
                </w:p>
              </w:tc>
              <w:tc>
                <w:tcPr>
                  <w:tcW w:w="758" w:type="pct"/>
                  <w:tcBorders>
                    <w:top w:val="single" w:color="auto" w:sz="4" w:space="0"/>
                    <w:left w:val="nil"/>
                    <w:bottom w:val="single" w:color="auto" w:sz="4" w:space="0"/>
                    <w:right w:val="single" w:color="auto" w:sz="4" w:space="0"/>
                  </w:tcBorders>
                  <w:vAlign w:val="center"/>
                </w:tcPr>
                <w:p w14:paraId="79F933C1">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溪西村</w:t>
                  </w:r>
                </w:p>
              </w:tc>
              <w:tc>
                <w:tcPr>
                  <w:tcW w:w="623" w:type="pct"/>
                  <w:tcBorders>
                    <w:top w:val="single" w:color="auto" w:sz="4" w:space="0"/>
                    <w:left w:val="nil"/>
                    <w:bottom w:val="single" w:color="auto" w:sz="4" w:space="0"/>
                    <w:right w:val="single" w:color="auto" w:sz="4" w:space="0"/>
                  </w:tcBorders>
                  <w:vAlign w:val="center"/>
                </w:tcPr>
                <w:p w14:paraId="52CDBBFE">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WS</w:t>
                  </w:r>
                </w:p>
              </w:tc>
              <w:tc>
                <w:tcPr>
                  <w:tcW w:w="783" w:type="pct"/>
                  <w:tcBorders>
                    <w:top w:val="single" w:color="auto" w:sz="4" w:space="0"/>
                    <w:left w:val="nil"/>
                    <w:bottom w:val="single" w:color="auto" w:sz="4" w:space="0"/>
                    <w:right w:val="single" w:color="auto" w:sz="4" w:space="0"/>
                  </w:tcBorders>
                  <w:vAlign w:val="center"/>
                </w:tcPr>
                <w:p w14:paraId="4B968E54">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427m</w:t>
                  </w:r>
                </w:p>
              </w:tc>
              <w:tc>
                <w:tcPr>
                  <w:tcW w:w="663" w:type="pct"/>
                  <w:tcBorders>
                    <w:top w:val="single" w:color="auto" w:sz="4" w:space="0"/>
                    <w:left w:val="nil"/>
                    <w:bottom w:val="single" w:color="auto" w:sz="4" w:space="0"/>
                    <w:right w:val="single" w:color="auto" w:sz="4" w:space="0"/>
                  </w:tcBorders>
                  <w:vAlign w:val="center"/>
                </w:tcPr>
                <w:p w14:paraId="1676F207">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800</w:t>
                  </w:r>
                  <w:r>
                    <w:rPr>
                      <w:color w:val="000000" w:themeColor="text1"/>
                      <w:highlight w:val="none"/>
                      <w14:textFill>
                        <w14:solidFill>
                          <w14:schemeClr w14:val="tx1"/>
                        </w14:solidFill>
                      </w14:textFill>
                    </w:rPr>
                    <w:t>人</w:t>
                  </w:r>
                </w:p>
              </w:tc>
              <w:tc>
                <w:tcPr>
                  <w:tcW w:w="1415" w:type="pct"/>
                  <w:vMerge w:val="continue"/>
                  <w:tcBorders>
                    <w:left w:val="nil"/>
                    <w:right w:val="single" w:color="auto" w:sz="12" w:space="0"/>
                  </w:tcBorders>
                  <w:vAlign w:val="center"/>
                </w:tcPr>
                <w:p w14:paraId="0AEE4337">
                  <w:pPr>
                    <w:jc w:val="center"/>
                    <w:rPr>
                      <w:color w:val="000000" w:themeColor="text1"/>
                      <w:highlight w:val="none"/>
                      <w14:textFill>
                        <w14:solidFill>
                          <w14:schemeClr w14:val="tx1"/>
                        </w14:solidFill>
                      </w14:textFill>
                    </w:rPr>
                  </w:pPr>
                </w:p>
              </w:tc>
            </w:tr>
            <w:tr w14:paraId="38341BF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tcBorders>
                    <w:left w:val="single" w:color="auto" w:sz="12" w:space="0"/>
                    <w:right w:val="single" w:color="auto" w:sz="4" w:space="0"/>
                  </w:tcBorders>
                  <w:vAlign w:val="center"/>
                </w:tcPr>
                <w:p w14:paraId="6152576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w:t>
                  </w:r>
                </w:p>
              </w:tc>
              <w:tc>
                <w:tcPr>
                  <w:tcW w:w="758" w:type="pct"/>
                  <w:tcBorders>
                    <w:top w:val="single" w:color="auto" w:sz="4" w:space="0"/>
                    <w:left w:val="nil"/>
                    <w:bottom w:val="single" w:color="auto" w:sz="4" w:space="0"/>
                    <w:right w:val="single" w:color="auto" w:sz="4" w:space="0"/>
                  </w:tcBorders>
                  <w:vAlign w:val="center"/>
                </w:tcPr>
                <w:p w14:paraId="65BD2530">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大北溪</w:t>
                  </w:r>
                </w:p>
              </w:tc>
              <w:tc>
                <w:tcPr>
                  <w:tcW w:w="623" w:type="pct"/>
                  <w:tcBorders>
                    <w:top w:val="single" w:color="auto" w:sz="4" w:space="0"/>
                    <w:left w:val="nil"/>
                    <w:bottom w:val="single" w:color="auto" w:sz="4" w:space="0"/>
                    <w:right w:val="single" w:color="auto" w:sz="4" w:space="0"/>
                  </w:tcBorders>
                  <w:vAlign w:val="center"/>
                </w:tcPr>
                <w:p w14:paraId="79165ABB">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E</w:t>
                  </w:r>
                </w:p>
              </w:tc>
              <w:tc>
                <w:tcPr>
                  <w:tcW w:w="783" w:type="pct"/>
                  <w:tcBorders>
                    <w:top w:val="single" w:color="auto" w:sz="4" w:space="0"/>
                    <w:left w:val="nil"/>
                    <w:bottom w:val="single" w:color="auto" w:sz="4" w:space="0"/>
                    <w:right w:val="single" w:color="auto" w:sz="4" w:space="0"/>
                  </w:tcBorders>
                  <w:vAlign w:val="center"/>
                </w:tcPr>
                <w:p w14:paraId="56D3F082">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675m</w:t>
                  </w:r>
                </w:p>
              </w:tc>
              <w:tc>
                <w:tcPr>
                  <w:tcW w:w="663" w:type="pct"/>
                  <w:tcBorders>
                    <w:top w:val="single" w:color="auto" w:sz="4" w:space="0"/>
                    <w:left w:val="nil"/>
                    <w:bottom w:val="single" w:color="auto" w:sz="4" w:space="0"/>
                    <w:right w:val="single" w:color="auto" w:sz="4" w:space="0"/>
                  </w:tcBorders>
                  <w:vAlign w:val="center"/>
                </w:tcPr>
                <w:p w14:paraId="71B26B66">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一般景观用水</w:t>
                  </w:r>
                </w:p>
              </w:tc>
              <w:tc>
                <w:tcPr>
                  <w:tcW w:w="1415" w:type="pct"/>
                  <w:tcBorders>
                    <w:left w:val="nil"/>
                    <w:right w:val="single" w:color="auto" w:sz="12" w:space="0"/>
                  </w:tcBorders>
                  <w:vAlign w:val="center"/>
                </w:tcPr>
                <w:p w14:paraId="064FD453">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《地表水环境质量标准》(GB3838-2002)Ⅳ类标准</w:t>
                  </w:r>
                </w:p>
              </w:tc>
            </w:tr>
            <w:tr w14:paraId="3B080B2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tcBorders>
                    <w:left w:val="single" w:color="auto" w:sz="12" w:space="0"/>
                    <w:bottom w:val="single" w:color="auto" w:sz="4" w:space="0"/>
                    <w:right w:val="single" w:color="auto" w:sz="4" w:space="0"/>
                  </w:tcBorders>
                  <w:vAlign w:val="center"/>
                </w:tcPr>
                <w:p w14:paraId="7F51AC44">
                  <w:pPr>
                    <w:jc w:val="center"/>
                    <w:rPr>
                      <w:color w:val="000000" w:themeColor="text1"/>
                      <w:highlight w:val="none"/>
                      <w14:textFill>
                        <w14:solidFill>
                          <w14:schemeClr w14:val="tx1"/>
                        </w14:solidFill>
                      </w14:textFill>
                    </w:rPr>
                  </w:pPr>
                </w:p>
              </w:tc>
              <w:tc>
                <w:tcPr>
                  <w:tcW w:w="758" w:type="pct"/>
                  <w:tcBorders>
                    <w:top w:val="single" w:color="auto" w:sz="4" w:space="0"/>
                    <w:left w:val="nil"/>
                    <w:bottom w:val="single" w:color="auto" w:sz="4" w:space="0"/>
                    <w:right w:val="single" w:color="auto" w:sz="4" w:space="0"/>
                  </w:tcBorders>
                  <w:vAlign w:val="center"/>
                </w:tcPr>
                <w:p w14:paraId="762D4B35">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阳下新局调节水库</w:t>
                  </w:r>
                </w:p>
              </w:tc>
              <w:tc>
                <w:tcPr>
                  <w:tcW w:w="623" w:type="pct"/>
                  <w:tcBorders>
                    <w:top w:val="single" w:color="auto" w:sz="4" w:space="0"/>
                    <w:left w:val="nil"/>
                    <w:bottom w:val="single" w:color="auto" w:sz="4" w:space="0"/>
                    <w:right w:val="single" w:color="auto" w:sz="4" w:space="0"/>
                  </w:tcBorders>
                  <w:vAlign w:val="center"/>
                </w:tcPr>
                <w:p w14:paraId="73F0BED5">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NW</w:t>
                  </w:r>
                </w:p>
              </w:tc>
              <w:tc>
                <w:tcPr>
                  <w:tcW w:w="783" w:type="pct"/>
                  <w:tcBorders>
                    <w:top w:val="single" w:color="auto" w:sz="4" w:space="0"/>
                    <w:left w:val="nil"/>
                    <w:bottom w:val="single" w:color="auto" w:sz="4" w:space="0"/>
                    <w:right w:val="single" w:color="auto" w:sz="4" w:space="0"/>
                  </w:tcBorders>
                  <w:vAlign w:val="center"/>
                </w:tcPr>
                <w:p w14:paraId="56CB3F68">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562m</w:t>
                  </w:r>
                </w:p>
              </w:tc>
              <w:tc>
                <w:tcPr>
                  <w:tcW w:w="663" w:type="pct"/>
                  <w:tcBorders>
                    <w:top w:val="single" w:color="auto" w:sz="4" w:space="0"/>
                    <w:left w:val="nil"/>
                    <w:bottom w:val="single" w:color="auto" w:sz="4" w:space="0"/>
                    <w:right w:val="single" w:color="auto" w:sz="4" w:space="0"/>
                  </w:tcBorders>
                  <w:vAlign w:val="center"/>
                </w:tcPr>
                <w:p w14:paraId="6524D9C3">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饮用水源地</w:t>
                  </w:r>
                </w:p>
              </w:tc>
              <w:tc>
                <w:tcPr>
                  <w:tcW w:w="1415" w:type="pct"/>
                  <w:tcBorders>
                    <w:left w:val="nil"/>
                    <w:bottom w:val="single" w:color="auto" w:sz="4" w:space="0"/>
                    <w:right w:val="single" w:color="auto" w:sz="12" w:space="0"/>
                  </w:tcBorders>
                  <w:vAlign w:val="center"/>
                </w:tcPr>
                <w:p w14:paraId="5A7A351B">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《地表水环境质量标准》(GB3838-2002)Ⅱ类标准</w:t>
                  </w:r>
                </w:p>
              </w:tc>
            </w:tr>
            <w:tr w14:paraId="0D95079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left w:val="single" w:color="auto" w:sz="12" w:space="0"/>
                    <w:bottom w:val="single" w:color="auto" w:sz="4" w:space="0"/>
                    <w:right w:val="single" w:color="auto" w:sz="4" w:space="0"/>
                  </w:tcBorders>
                  <w:vAlign w:val="center"/>
                </w:tcPr>
                <w:p w14:paraId="6B2716D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声环境</w:t>
                  </w:r>
                </w:p>
              </w:tc>
              <w:tc>
                <w:tcPr>
                  <w:tcW w:w="4243" w:type="pct"/>
                  <w:gridSpan w:val="5"/>
                  <w:tcBorders>
                    <w:top w:val="single" w:color="auto" w:sz="4" w:space="0"/>
                    <w:left w:val="nil"/>
                    <w:bottom w:val="single" w:color="auto" w:sz="4" w:space="0"/>
                    <w:right w:val="single" w:color="auto" w:sz="12" w:space="0"/>
                  </w:tcBorders>
                  <w:vAlign w:val="center"/>
                </w:tcPr>
                <w:p w14:paraId="60B0EF5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项目厂界外</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m范围内无声环境保护目标</w:t>
                  </w:r>
                </w:p>
              </w:tc>
            </w:tr>
            <w:tr w14:paraId="3F4D7BF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12" w:space="0"/>
                    <w:bottom w:val="single" w:color="auto" w:sz="4" w:space="0"/>
                    <w:right w:val="single" w:color="auto" w:sz="4" w:space="0"/>
                  </w:tcBorders>
                  <w:vAlign w:val="center"/>
                </w:tcPr>
                <w:p w14:paraId="239A6D2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地下水环境</w:t>
                  </w:r>
                </w:p>
              </w:tc>
              <w:tc>
                <w:tcPr>
                  <w:tcW w:w="4243" w:type="pct"/>
                  <w:gridSpan w:val="5"/>
                  <w:tcBorders>
                    <w:top w:val="single" w:color="auto" w:sz="4" w:space="0"/>
                    <w:left w:val="nil"/>
                    <w:bottom w:val="single" w:color="auto" w:sz="4" w:space="0"/>
                    <w:right w:val="single" w:color="auto" w:sz="12" w:space="0"/>
                  </w:tcBorders>
                  <w:vAlign w:val="center"/>
                </w:tcPr>
                <w:p w14:paraId="47D0809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场界外500米范围内无地下水集中式饮用水水源和热水、矿泉水、泉水等特殊地下水资源。</w:t>
                  </w:r>
                </w:p>
              </w:tc>
            </w:tr>
            <w:tr w14:paraId="7B39AD2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12" w:space="0"/>
                    <w:bottom w:val="single" w:color="auto" w:sz="12" w:space="0"/>
                    <w:right w:val="single" w:color="auto" w:sz="4" w:space="0"/>
                  </w:tcBorders>
                  <w:vAlign w:val="center"/>
                </w:tcPr>
                <w:p w14:paraId="3CDFD83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生态环境</w:t>
                  </w:r>
                </w:p>
              </w:tc>
              <w:tc>
                <w:tcPr>
                  <w:tcW w:w="4243" w:type="pct"/>
                  <w:gridSpan w:val="5"/>
                  <w:tcBorders>
                    <w:top w:val="single" w:color="auto" w:sz="4" w:space="0"/>
                    <w:left w:val="nil"/>
                    <w:bottom w:val="single" w:color="auto" w:sz="12" w:space="0"/>
                    <w:right w:val="single" w:color="auto" w:sz="12" w:space="0"/>
                  </w:tcBorders>
                  <w:vAlign w:val="center"/>
                </w:tcPr>
                <w:p w14:paraId="1E8AAD0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项目不新增用地，无生态环境保护目标</w:t>
                  </w:r>
                </w:p>
              </w:tc>
            </w:tr>
          </w:tbl>
          <w:p w14:paraId="2CBC1DE9">
            <w:pPr>
              <w:pStyle w:val="86"/>
              <w:ind w:firstLine="480"/>
              <w:rPr>
                <w:color w:val="000000" w:themeColor="text1"/>
                <w:highlight w:val="none"/>
                <w14:textFill>
                  <w14:solidFill>
                    <w14:schemeClr w14:val="tx1"/>
                  </w14:solidFill>
                </w14:textFill>
              </w:rPr>
            </w:pPr>
          </w:p>
        </w:tc>
      </w:tr>
      <w:tr w14:paraId="60204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71" w:type="dxa"/>
            <w:tcMar>
              <w:left w:w="28" w:type="dxa"/>
              <w:right w:w="28" w:type="dxa"/>
            </w:tcMar>
            <w:vAlign w:val="center"/>
          </w:tcPr>
          <w:p w14:paraId="099908CB">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污染</w:t>
            </w:r>
          </w:p>
          <w:p w14:paraId="79773C02">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物排</w:t>
            </w:r>
          </w:p>
          <w:p w14:paraId="3B76EE8A">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放控</w:t>
            </w:r>
          </w:p>
          <w:p w14:paraId="6ACA7475">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制标</w:t>
            </w:r>
          </w:p>
          <w:p w14:paraId="691FFE18">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准</w:t>
            </w:r>
          </w:p>
        </w:tc>
        <w:tc>
          <w:tcPr>
            <w:tcW w:w="8816" w:type="dxa"/>
            <w:vAlign w:val="center"/>
          </w:tcPr>
          <w:p w14:paraId="165D434D">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3.3</w:t>
            </w:r>
            <w:r>
              <w:rPr>
                <w:rFonts w:hint="eastAsia"/>
                <w:b/>
                <w:color w:val="000000" w:themeColor="text1"/>
                <w:sz w:val="30"/>
                <w:szCs w:val="30"/>
                <w:highlight w:val="none"/>
                <w14:textFill>
                  <w14:solidFill>
                    <w14:schemeClr w14:val="tx1"/>
                  </w14:solidFill>
                </w14:textFill>
              </w:rPr>
              <w:t>污染物排放</w:t>
            </w:r>
            <w:r>
              <w:rPr>
                <w:b/>
                <w:color w:val="000000" w:themeColor="text1"/>
                <w:sz w:val="30"/>
                <w:szCs w:val="30"/>
                <w:highlight w:val="none"/>
                <w14:textFill>
                  <w14:solidFill>
                    <w14:schemeClr w14:val="tx1"/>
                  </w14:solidFill>
                </w14:textFill>
              </w:rPr>
              <w:t>控制</w:t>
            </w:r>
            <w:r>
              <w:rPr>
                <w:rFonts w:hint="eastAsia"/>
                <w:b/>
                <w:color w:val="000000" w:themeColor="text1"/>
                <w:sz w:val="30"/>
                <w:szCs w:val="30"/>
                <w:highlight w:val="none"/>
                <w14:textFill>
                  <w14:solidFill>
                    <w14:schemeClr w14:val="tx1"/>
                  </w14:solidFill>
                </w14:textFill>
              </w:rPr>
              <w:t>标准</w:t>
            </w:r>
          </w:p>
          <w:p w14:paraId="64D7409F">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3.3.1</w:t>
            </w:r>
            <w:r>
              <w:rPr>
                <w:rFonts w:hint="eastAsia"/>
                <w:color w:val="000000" w:themeColor="text1"/>
                <w:sz w:val="28"/>
                <w:szCs w:val="28"/>
                <w:highlight w:val="none"/>
                <w14:textFill>
                  <w14:solidFill>
                    <w14:schemeClr w14:val="tx1"/>
                  </w14:solidFill>
                </w14:textFill>
              </w:rPr>
              <w:t>废水</w:t>
            </w:r>
          </w:p>
          <w:p w14:paraId="6C3BB7D8">
            <w:pPr>
              <w:pStyle w:val="36"/>
              <w:spacing w:after="0"/>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项目生产废水为喷漆水帘柜废水、打磨房喷淋废水、喷淋塔废水，经过项目配套废水处理设施（混凝压滤）处理后循环使用，不外排。</w:t>
            </w:r>
            <w:r>
              <w:rPr>
                <w:color w:val="000000" w:themeColor="text1"/>
                <w:highlight w:val="none"/>
                <w14:textFill>
                  <w14:solidFill>
                    <w14:schemeClr w14:val="tx1"/>
                  </w14:solidFill>
                </w14:textFill>
              </w:rPr>
              <w:t>生活污水经</w:t>
            </w:r>
            <w:r>
              <w:rPr>
                <w:rFonts w:hint="eastAsia"/>
                <w:color w:val="000000" w:themeColor="text1"/>
                <w:highlight w:val="none"/>
                <w14:textFill>
                  <w14:solidFill>
                    <w14:schemeClr w14:val="tx1"/>
                  </w14:solidFill>
                </w14:textFill>
              </w:rPr>
              <w:t>出租方化粪池</w:t>
            </w:r>
            <w:r>
              <w:rPr>
                <w:color w:val="000000" w:themeColor="text1"/>
                <w:highlight w:val="none"/>
                <w14:textFill>
                  <w14:solidFill>
                    <w14:schemeClr w14:val="tx1"/>
                  </w14:solidFill>
                </w14:textFill>
              </w:rPr>
              <w:t>处理后</w:t>
            </w:r>
            <w:r>
              <w:rPr>
                <w:rFonts w:hint="eastAsia"/>
                <w:color w:val="000000" w:themeColor="text1"/>
                <w:highlight w:val="none"/>
                <w14:textFill>
                  <w14:solidFill>
                    <w14:schemeClr w14:val="tx1"/>
                  </w14:solidFill>
                </w14:textFill>
              </w:rPr>
              <w:t>达到</w:t>
            </w:r>
            <w:r>
              <w:rPr>
                <w:color w:val="000000" w:themeColor="text1"/>
                <w:highlight w:val="none"/>
                <w14:textFill>
                  <w14:solidFill>
                    <w14:schemeClr w14:val="tx1"/>
                  </w14:solidFill>
                </w14:textFill>
              </w:rPr>
              <w:t>《污水综合排放标准》（GB8978-1996）表4中三级标准要求（其中氨氮参照《污水排入城市下水道水质标准》(</w:t>
            </w:r>
            <w:r>
              <w:rPr>
                <w:rFonts w:eastAsia="TimesNewRomanPSMT"/>
                <w:color w:val="000000" w:themeColor="text1"/>
                <w:highlight w:val="none"/>
                <w14:textFill>
                  <w14:solidFill>
                    <w14:schemeClr w14:val="tx1"/>
                  </w14:solidFill>
                </w14:textFill>
              </w:rPr>
              <w:t>GB/T31962-2015</w:t>
            </w:r>
            <w:r>
              <w:rPr>
                <w:color w:val="000000" w:themeColor="text1"/>
                <w:highlight w:val="none"/>
                <w14:textFill>
                  <w14:solidFill>
                    <w14:schemeClr w14:val="tx1"/>
                  </w14:solidFill>
                </w14:textFill>
              </w:rPr>
              <w:t>)B级标准执行）要求</w:t>
            </w:r>
            <w:r>
              <w:rPr>
                <w:rFonts w:hint="eastAsia"/>
                <w:color w:val="000000" w:themeColor="text1"/>
                <w:highlight w:val="none"/>
                <w14:textFill>
                  <w14:solidFill>
                    <w14:schemeClr w14:val="tx1"/>
                  </w14:solidFill>
                </w14:textFill>
              </w:rPr>
              <w:t>，通过市政污水管网纳入福清市融元污水处理厂</w:t>
            </w:r>
            <w:r>
              <w:rPr>
                <w:color w:val="000000" w:themeColor="text1"/>
                <w:highlight w:val="none"/>
                <w14:textFill>
                  <w14:solidFill>
                    <w14:schemeClr w14:val="tx1"/>
                  </w14:solidFill>
                </w14:textFill>
              </w:rPr>
              <w:t>集中</w:t>
            </w:r>
            <w:r>
              <w:rPr>
                <w:color w:val="000000" w:themeColor="text1"/>
                <w:szCs w:val="24"/>
                <w:highlight w:val="none"/>
                <w14:textFill>
                  <w14:solidFill>
                    <w14:schemeClr w14:val="tx1"/>
                  </w14:solidFill>
                </w14:textFill>
              </w:rPr>
              <w:t>处理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废水排放标准值详见表3.3-1。</w:t>
            </w:r>
          </w:p>
          <w:p w14:paraId="7EC837BC">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表3.3-</w:t>
            </w:r>
            <w:r>
              <w:rPr>
                <w:rFonts w:hint="eastAsia" w:ascii="Times New Roman" w:hAnsi="Times New Roman"/>
                <w:b/>
                <w:color w:val="000000" w:themeColor="text1"/>
                <w:highlight w:val="none"/>
                <w14:textFill>
                  <w14:solidFill>
                    <w14:schemeClr w14:val="tx1"/>
                  </w14:solidFill>
                </w14:textFill>
              </w:rPr>
              <w:t>1项目</w:t>
            </w:r>
            <w:r>
              <w:rPr>
                <w:rFonts w:ascii="Times New Roman" w:hAnsi="Times New Roman"/>
                <w:b/>
                <w:color w:val="000000" w:themeColor="text1"/>
                <w:highlight w:val="none"/>
                <w14:textFill>
                  <w14:solidFill>
                    <w14:schemeClr w14:val="tx1"/>
                  </w14:solidFill>
                </w14:textFill>
              </w:rPr>
              <w:t>污水排放</w:t>
            </w:r>
            <w:r>
              <w:rPr>
                <w:rFonts w:hint="eastAsia" w:ascii="Times New Roman" w:hAnsi="Times New Roman"/>
                <w:b/>
                <w:color w:val="000000" w:themeColor="text1"/>
                <w:highlight w:val="none"/>
                <w14:textFill>
                  <w14:solidFill>
                    <w14:schemeClr w14:val="tx1"/>
                  </w14:solidFill>
                </w14:textFill>
              </w:rPr>
              <w:t>执行</w:t>
            </w:r>
            <w:r>
              <w:rPr>
                <w:rFonts w:ascii="Times New Roman" w:hAnsi="Times New Roman"/>
                <w:b/>
                <w:color w:val="000000" w:themeColor="text1"/>
                <w:highlight w:val="none"/>
                <w14:textFill>
                  <w14:solidFill>
                    <w14:schemeClr w14:val="tx1"/>
                  </w14:solidFill>
                </w14:textFill>
              </w:rPr>
              <w:t>标准</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4"/>
              <w:gridCol w:w="2607"/>
              <w:gridCol w:w="1304"/>
              <w:gridCol w:w="3905"/>
            </w:tblGrid>
            <w:tr w14:paraId="3B4BD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jc w:val="center"/>
              </w:trPr>
              <w:tc>
                <w:tcPr>
                  <w:tcW w:w="440" w:type="pct"/>
                  <w:vAlign w:val="center"/>
                </w:tcPr>
                <w:p w14:paraId="5DE290A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521" w:type="pct"/>
                  <w:vAlign w:val="center"/>
                </w:tcPr>
                <w:p w14:paraId="4CDC2E62">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污染物名称</w:t>
                  </w:r>
                </w:p>
              </w:tc>
              <w:tc>
                <w:tcPr>
                  <w:tcW w:w="761" w:type="pct"/>
                  <w:vAlign w:val="center"/>
                </w:tcPr>
                <w:p w14:paraId="7E755DB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三级标准</w:t>
                  </w:r>
                </w:p>
              </w:tc>
              <w:tc>
                <w:tcPr>
                  <w:tcW w:w="2278" w:type="pct"/>
                  <w:vAlign w:val="center"/>
                </w:tcPr>
                <w:p w14:paraId="46BD49A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执行标准</w:t>
                  </w:r>
                </w:p>
              </w:tc>
            </w:tr>
            <w:tr w14:paraId="4E3BBF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jc w:val="center"/>
              </w:trPr>
              <w:tc>
                <w:tcPr>
                  <w:tcW w:w="440" w:type="pct"/>
                  <w:vAlign w:val="center"/>
                </w:tcPr>
                <w:p w14:paraId="35364FA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21" w:type="pct"/>
                  <w:vAlign w:val="center"/>
                </w:tcPr>
                <w:p w14:paraId="011D3B4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pH（无量纲）</w:t>
                  </w:r>
                </w:p>
              </w:tc>
              <w:tc>
                <w:tcPr>
                  <w:tcW w:w="761" w:type="pct"/>
                  <w:vAlign w:val="center"/>
                </w:tcPr>
                <w:p w14:paraId="71D15FF6">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6～9</w:t>
                  </w:r>
                </w:p>
              </w:tc>
              <w:tc>
                <w:tcPr>
                  <w:tcW w:w="2278" w:type="pct"/>
                  <w:vMerge w:val="restart"/>
                  <w:vAlign w:val="center"/>
                </w:tcPr>
                <w:p w14:paraId="56CB578D">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《污水综合排放标准》(GB8978-1996)</w:t>
                  </w:r>
                </w:p>
                <w:p w14:paraId="51A77AA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中表4三级标准（其中NH3-N参照执行）</w:t>
                  </w:r>
                </w:p>
              </w:tc>
            </w:tr>
            <w:tr w14:paraId="107D6D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40" w:type="pct"/>
                  <w:vAlign w:val="center"/>
                </w:tcPr>
                <w:p w14:paraId="75FDD03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521" w:type="pct"/>
                  <w:vAlign w:val="center"/>
                </w:tcPr>
                <w:p w14:paraId="4FB525B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悬浮物（SS）</w:t>
                  </w:r>
                </w:p>
              </w:tc>
              <w:tc>
                <w:tcPr>
                  <w:tcW w:w="761" w:type="pct"/>
                  <w:vAlign w:val="center"/>
                </w:tcPr>
                <w:p w14:paraId="48516D25">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≤400mg/L</w:t>
                  </w:r>
                </w:p>
              </w:tc>
              <w:tc>
                <w:tcPr>
                  <w:tcW w:w="2278" w:type="pct"/>
                  <w:vMerge w:val="continue"/>
                  <w:vAlign w:val="center"/>
                </w:tcPr>
                <w:p w14:paraId="76404AC7">
                  <w:pPr>
                    <w:jc w:val="center"/>
                    <w:rPr>
                      <w:color w:val="000000" w:themeColor="text1"/>
                      <w:highlight w:val="none"/>
                      <w14:textFill>
                        <w14:solidFill>
                          <w14:schemeClr w14:val="tx1"/>
                        </w14:solidFill>
                      </w14:textFill>
                    </w:rPr>
                  </w:pPr>
                </w:p>
              </w:tc>
            </w:tr>
            <w:tr w14:paraId="51221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40" w:type="pct"/>
                  <w:vAlign w:val="center"/>
                </w:tcPr>
                <w:p w14:paraId="0193E46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521" w:type="pct"/>
                  <w:vAlign w:val="center"/>
                </w:tcPr>
                <w:p w14:paraId="7DE0B8A3">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五日生化需氧量（BOD5）</w:t>
                  </w:r>
                </w:p>
              </w:tc>
              <w:tc>
                <w:tcPr>
                  <w:tcW w:w="761" w:type="pct"/>
                  <w:vAlign w:val="center"/>
                </w:tcPr>
                <w:p w14:paraId="0E267260">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≤300mg/L</w:t>
                  </w:r>
                </w:p>
              </w:tc>
              <w:tc>
                <w:tcPr>
                  <w:tcW w:w="2278" w:type="pct"/>
                  <w:vMerge w:val="continue"/>
                  <w:vAlign w:val="center"/>
                </w:tcPr>
                <w:p w14:paraId="66CB273F">
                  <w:pPr>
                    <w:jc w:val="center"/>
                    <w:rPr>
                      <w:color w:val="000000" w:themeColor="text1"/>
                      <w:highlight w:val="none"/>
                      <w14:textFill>
                        <w14:solidFill>
                          <w14:schemeClr w14:val="tx1"/>
                        </w14:solidFill>
                      </w14:textFill>
                    </w:rPr>
                  </w:pPr>
                </w:p>
              </w:tc>
            </w:tr>
            <w:tr w14:paraId="37EFC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40" w:type="pct"/>
                  <w:vAlign w:val="center"/>
                </w:tcPr>
                <w:p w14:paraId="225221B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521" w:type="pct"/>
                  <w:vAlign w:val="center"/>
                </w:tcPr>
                <w:p w14:paraId="20078A47">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化学需氧量（COD）</w:t>
                  </w:r>
                </w:p>
              </w:tc>
              <w:tc>
                <w:tcPr>
                  <w:tcW w:w="761" w:type="pct"/>
                  <w:vAlign w:val="center"/>
                </w:tcPr>
                <w:p w14:paraId="18E62EB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≤500mg/L</w:t>
                  </w:r>
                </w:p>
              </w:tc>
              <w:tc>
                <w:tcPr>
                  <w:tcW w:w="2278" w:type="pct"/>
                  <w:vMerge w:val="continue"/>
                  <w:vAlign w:val="center"/>
                </w:tcPr>
                <w:p w14:paraId="17B86C8F">
                  <w:pPr>
                    <w:jc w:val="center"/>
                    <w:rPr>
                      <w:color w:val="000000" w:themeColor="text1"/>
                      <w:highlight w:val="none"/>
                      <w14:textFill>
                        <w14:solidFill>
                          <w14:schemeClr w14:val="tx1"/>
                        </w14:solidFill>
                      </w14:textFill>
                    </w:rPr>
                  </w:pPr>
                </w:p>
              </w:tc>
            </w:tr>
            <w:tr w14:paraId="7F22D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440" w:type="pct"/>
                  <w:vAlign w:val="center"/>
                </w:tcPr>
                <w:p w14:paraId="7F4A0EEA">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1521" w:type="pct"/>
                  <w:vAlign w:val="center"/>
                </w:tcPr>
                <w:p w14:paraId="02FE103B">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氨氮（NH3-N）*</w:t>
                  </w:r>
                </w:p>
              </w:tc>
              <w:tc>
                <w:tcPr>
                  <w:tcW w:w="761" w:type="pct"/>
                  <w:vAlign w:val="center"/>
                </w:tcPr>
                <w:p w14:paraId="371B4E31">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≤45mg/L</w:t>
                  </w:r>
                </w:p>
              </w:tc>
              <w:tc>
                <w:tcPr>
                  <w:tcW w:w="2278" w:type="pct"/>
                  <w:vAlign w:val="center"/>
                </w:tcPr>
                <w:p w14:paraId="1F20095E">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《污水排入城镇下水道水质标准》（GB/T 31962-2015）表1中的B级标准</w:t>
                  </w:r>
                </w:p>
              </w:tc>
            </w:tr>
          </w:tbl>
          <w:p w14:paraId="76E6903E">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3.3.2</w:t>
            </w:r>
            <w:r>
              <w:rPr>
                <w:rFonts w:hint="eastAsia"/>
                <w:color w:val="000000" w:themeColor="text1"/>
                <w:sz w:val="28"/>
                <w:szCs w:val="28"/>
                <w:highlight w:val="none"/>
                <w14:textFill>
                  <w14:solidFill>
                    <w14:schemeClr w14:val="tx1"/>
                  </w14:solidFill>
                </w14:textFill>
              </w:rPr>
              <w:t>废气</w:t>
            </w:r>
          </w:p>
          <w:p w14:paraId="1DDB3B9A">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（1）颗粒物</w:t>
            </w:r>
          </w:p>
          <w:p w14:paraId="5DE519EB">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项目漆雾(颗粒物)、打磨</w:t>
            </w:r>
            <w:r>
              <w:rPr>
                <w:rFonts w:hint="eastAsia"/>
                <w:color w:val="000000" w:themeColor="text1"/>
                <w:highlight w:val="none"/>
                <w:lang w:eastAsia="zh-CN"/>
                <w14:textFill>
                  <w14:solidFill>
                    <w14:schemeClr w14:val="tx1"/>
                  </w14:solidFill>
                </w14:textFill>
              </w:rPr>
              <w:t>区</w:t>
            </w:r>
            <w:r>
              <w:rPr>
                <w:rFonts w:hint="eastAsia"/>
                <w:color w:val="000000" w:themeColor="text1"/>
                <w:highlight w:val="none"/>
                <w14:textFill>
                  <w14:solidFill>
                    <w14:schemeClr w14:val="tx1"/>
                  </w14:solidFill>
                </w14:textFill>
              </w:rPr>
              <w:t>颗粒物和木工区颗粒物执行《大气污染物综合排放标准》（GB16297-1996）二级排放相关排放浓度限值，根据现场调查，项目周边</w:t>
            </w:r>
            <w:r>
              <w:rPr>
                <w:rFonts w:hint="eastAsia"/>
                <w:color w:val="000000" w:themeColor="text1"/>
                <w:highlight w:val="none"/>
                <w:lang w:val="en-US"/>
                <w14:textFill>
                  <w14:solidFill>
                    <w14:schemeClr w14:val="tx1"/>
                  </w14:solidFill>
                </w14:textFill>
              </w:rPr>
              <w:t>200m内最高的建筑物为24m，</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lang w:val="en-US"/>
                <w14:textFill>
                  <w14:solidFill>
                    <w14:schemeClr w14:val="tx1"/>
                  </w14:solidFill>
                </w14:textFill>
              </w:rPr>
              <w:t>项目排气筒未高出周围200米半径范围的建筑5米以上，排放速率标准值严格50%执行。</w:t>
            </w:r>
            <w:r>
              <w:rPr>
                <w:color w:val="000000" w:themeColor="text1"/>
                <w:highlight w:val="none"/>
                <w14:textFill>
                  <w14:solidFill>
                    <w14:schemeClr w14:val="tx1"/>
                  </w14:solidFill>
                </w14:textFill>
              </w:rPr>
              <w:t>详见</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14:textFill>
                  <w14:solidFill>
                    <w14:schemeClr w14:val="tx1"/>
                  </w14:solidFill>
                </w14:textFill>
              </w:rPr>
              <w:t>3.3-2</w:t>
            </w:r>
            <w:r>
              <w:rPr>
                <w:color w:val="000000" w:themeColor="text1"/>
                <w:highlight w:val="none"/>
                <w14:textFill>
                  <w14:solidFill>
                    <w14:schemeClr w14:val="tx1"/>
                  </w14:solidFill>
                </w14:textFill>
              </w:rPr>
              <w:t>。</w:t>
            </w:r>
          </w:p>
          <w:p w14:paraId="51971CB4">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（2）挥发性有机物</w:t>
            </w:r>
          </w:p>
          <w:p w14:paraId="59F112A7">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项目调漆喷漆及烘干过程产生的废气污染物主要是非甲烷总烃、二甲苯，非甲烷总烃、二甲苯排放执行《工业涂装工序挥发性有机物排放标准》(DB35/1783-2018)表1及表4中家具制造行业标准；</w:t>
            </w:r>
            <w:r>
              <w:rPr>
                <w:rFonts w:hint="eastAsia" w:hAnsi="宋体"/>
                <w:color w:val="000000" w:themeColor="text1"/>
                <w:highlight w:val="none"/>
                <w14:textFill>
                  <w14:solidFill>
                    <w14:schemeClr w14:val="tx1"/>
                  </w14:solidFill>
                </w14:textFill>
              </w:rPr>
              <w:t>厂区内非甲烷总烃无组织排放执行《挥发性有机物无组织排放控制标准》（GB37822-2019）附录A的表A.1中特别排放限值</w:t>
            </w:r>
            <w:r>
              <w:rPr>
                <w:rFonts w:hint="eastAsia"/>
                <w:color w:val="000000" w:themeColor="text1"/>
                <w:highlight w:val="none"/>
                <w14:textFill>
                  <w14:solidFill>
                    <w14:schemeClr w14:val="tx1"/>
                  </w14:solidFill>
                </w14:textFill>
              </w:rPr>
              <w:t>。具体</w:t>
            </w:r>
            <w:r>
              <w:rPr>
                <w:color w:val="000000" w:themeColor="text1"/>
                <w:highlight w:val="none"/>
                <w14:textFill>
                  <w14:solidFill>
                    <w14:schemeClr w14:val="tx1"/>
                  </w14:solidFill>
                </w14:textFill>
              </w:rPr>
              <w:t>详见</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14:textFill>
                  <w14:solidFill>
                    <w14:schemeClr w14:val="tx1"/>
                  </w14:solidFill>
                </w14:textFill>
              </w:rPr>
              <w:t>3.3-2</w:t>
            </w:r>
            <w:r>
              <w:rPr>
                <w:color w:val="000000" w:themeColor="text1"/>
                <w:highlight w:val="none"/>
                <w14:textFill>
                  <w14:solidFill>
                    <w14:schemeClr w14:val="tx1"/>
                  </w14:solidFill>
                </w14:textFill>
              </w:rPr>
              <w:t>。</w:t>
            </w:r>
          </w:p>
          <w:p w14:paraId="3EEB2187">
            <w:pPr>
              <w:pStyle w:val="92"/>
              <w:ind w:firstLine="482"/>
              <w:jc w:val="center"/>
              <w:rPr>
                <w:b/>
                <w:bCs/>
                <w:color w:val="000000" w:themeColor="text1"/>
                <w:highlight w:val="none"/>
                <w14:textFill>
                  <w14:solidFill>
                    <w14:schemeClr w14:val="tx1"/>
                  </w14:solidFill>
                </w14:textFill>
              </w:rPr>
            </w:pPr>
          </w:p>
          <w:p w14:paraId="392B5D75">
            <w:pPr>
              <w:pStyle w:val="92"/>
              <w:ind w:firstLine="48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w:t>
            </w:r>
            <w:r>
              <w:rPr>
                <w:rFonts w:hint="eastAsia"/>
                <w:b/>
                <w:bCs/>
                <w:color w:val="000000" w:themeColor="text1"/>
                <w:highlight w:val="none"/>
                <w14:textFill>
                  <w14:solidFill>
                    <w14:schemeClr w14:val="tx1"/>
                  </w14:solidFill>
                </w14:textFill>
              </w:rPr>
              <w:t>3.3</w:t>
            </w:r>
            <w:r>
              <w:rPr>
                <w:b/>
                <w:bCs/>
                <w:color w:val="000000" w:themeColor="text1"/>
                <w:highlight w:val="none"/>
                <w14:textFill>
                  <w14:solidFill>
                    <w14:schemeClr w14:val="tx1"/>
                  </w14:solidFill>
                </w14:textFill>
              </w:rPr>
              <w:t xml:space="preserve">-2  </w:t>
            </w:r>
            <w:r>
              <w:rPr>
                <w:rFonts w:hint="eastAsia"/>
                <w:b/>
                <w:bCs/>
                <w:color w:val="000000" w:themeColor="text1"/>
                <w:highlight w:val="none"/>
                <w14:textFill>
                  <w14:solidFill>
                    <w14:schemeClr w14:val="tx1"/>
                  </w14:solidFill>
                </w14:textFill>
              </w:rPr>
              <w:t>废气排放指标一览表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429"/>
              <w:gridCol w:w="1316"/>
              <w:gridCol w:w="1625"/>
              <w:gridCol w:w="1628"/>
              <w:gridCol w:w="2328"/>
            </w:tblGrid>
            <w:tr w14:paraId="35A36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9" w:hRule="atLeast"/>
                <w:jc w:val="center"/>
              </w:trPr>
              <w:tc>
                <w:tcPr>
                  <w:tcW w:w="1744" w:type="pct"/>
                  <w:gridSpan w:val="3"/>
                  <w:vAlign w:val="center"/>
                </w:tcPr>
                <w:p w14:paraId="595E628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tc>
              <w:tc>
                <w:tcPr>
                  <w:tcW w:w="1898" w:type="pct"/>
                  <w:gridSpan w:val="2"/>
                  <w:vAlign w:val="center"/>
                </w:tcPr>
                <w:p w14:paraId="5259891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标准值</w:t>
                  </w:r>
                </w:p>
              </w:tc>
              <w:tc>
                <w:tcPr>
                  <w:tcW w:w="1357" w:type="pct"/>
                  <w:vMerge w:val="restart"/>
                  <w:vAlign w:val="center"/>
                </w:tcPr>
                <w:p w14:paraId="2A520B7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执行标准</w:t>
                  </w:r>
                </w:p>
              </w:tc>
            </w:tr>
            <w:tr w14:paraId="66506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26" w:type="pct"/>
                  <w:vMerge w:val="restart"/>
                  <w:vAlign w:val="center"/>
                </w:tcPr>
                <w:p w14:paraId="2AC32F5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调漆喷漆及烘干废气</w:t>
                  </w:r>
                </w:p>
              </w:tc>
              <w:tc>
                <w:tcPr>
                  <w:tcW w:w="250" w:type="pct"/>
                  <w:vMerge w:val="restart"/>
                  <w:vAlign w:val="center"/>
                </w:tcPr>
                <w:p w14:paraId="5974E4FA">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有组织</w:t>
                  </w:r>
                </w:p>
              </w:tc>
              <w:tc>
                <w:tcPr>
                  <w:tcW w:w="768" w:type="pct"/>
                  <w:vAlign w:val="center"/>
                </w:tcPr>
                <w:p w14:paraId="0E0F67D0">
                  <w:pPr>
                    <w:adjustRightInd w:val="0"/>
                    <w:snapToGrid w:val="0"/>
                    <w:jc w:val="center"/>
                    <w:rPr>
                      <w:color w:val="000000" w:themeColor="text1"/>
                      <w:szCs w:val="21"/>
                      <w:highlight w:val="none"/>
                      <w14:textFill>
                        <w14:solidFill>
                          <w14:schemeClr w14:val="tx1"/>
                        </w14:solidFill>
                      </w14:textFill>
                    </w:rPr>
                  </w:pPr>
                </w:p>
              </w:tc>
              <w:tc>
                <w:tcPr>
                  <w:tcW w:w="948" w:type="pct"/>
                  <w:vAlign w:val="center"/>
                </w:tcPr>
                <w:p w14:paraId="0504D41C">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浓度(</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949" w:type="pct"/>
                  <w:vAlign w:val="center"/>
                </w:tcPr>
                <w:p w14:paraId="45A81B1E">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速率(kg/h)</w:t>
                  </w:r>
                </w:p>
              </w:tc>
              <w:tc>
                <w:tcPr>
                  <w:tcW w:w="1357" w:type="pct"/>
                  <w:vMerge w:val="continue"/>
                  <w:vAlign w:val="center"/>
                </w:tcPr>
                <w:p w14:paraId="3EB324B1">
                  <w:pPr>
                    <w:adjustRightInd w:val="0"/>
                    <w:snapToGrid w:val="0"/>
                    <w:jc w:val="center"/>
                    <w:rPr>
                      <w:color w:val="000000" w:themeColor="text1"/>
                      <w:szCs w:val="21"/>
                      <w:highlight w:val="none"/>
                      <w14:textFill>
                        <w14:solidFill>
                          <w14:schemeClr w14:val="tx1"/>
                        </w14:solidFill>
                      </w14:textFill>
                    </w:rPr>
                  </w:pPr>
                </w:p>
              </w:tc>
            </w:tr>
            <w:tr w14:paraId="4E2F0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26" w:type="pct"/>
                  <w:vMerge w:val="continue"/>
                  <w:vAlign w:val="center"/>
                </w:tcPr>
                <w:p w14:paraId="40BB405F">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14:paraId="3DC35B21">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14:paraId="23479728">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948" w:type="pct"/>
                  <w:vAlign w:val="center"/>
                </w:tcPr>
                <w:p w14:paraId="772A6A64">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50</w:t>
                  </w:r>
                </w:p>
              </w:tc>
              <w:tc>
                <w:tcPr>
                  <w:tcW w:w="949" w:type="pct"/>
                  <w:vAlign w:val="center"/>
                </w:tcPr>
                <w:p w14:paraId="5C5EF407">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2.9</w:t>
                  </w:r>
                </w:p>
              </w:tc>
              <w:tc>
                <w:tcPr>
                  <w:tcW w:w="1357" w:type="pct"/>
                  <w:vMerge w:val="restart"/>
                  <w:vAlign w:val="center"/>
                </w:tcPr>
                <w:p w14:paraId="196FD0B3">
                  <w:pPr>
                    <w:adjustRightInd w:val="0"/>
                    <w:snapToGrid w:val="0"/>
                    <w:jc w:val="center"/>
                    <w:rPr>
                      <w:bCs/>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《工业涂装工序挥发性有机物排放标准》(DB35/1783-2018)表1中</w:t>
                  </w:r>
                  <w:r>
                    <w:rPr>
                      <w:bCs/>
                      <w:color w:val="000000" w:themeColor="text1"/>
                      <w:szCs w:val="20"/>
                      <w:highlight w:val="none"/>
                      <w14:textFill>
                        <w14:solidFill>
                          <w14:schemeClr w14:val="tx1"/>
                        </w14:solidFill>
                      </w14:textFill>
                    </w:rPr>
                    <w:t>相应标准值</w:t>
                  </w:r>
                </w:p>
              </w:tc>
            </w:tr>
            <w:tr w14:paraId="7F6A1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268D9DD9">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14:paraId="2197987E">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14:paraId="75D88122">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948" w:type="pct"/>
                  <w:vAlign w:val="center"/>
                </w:tcPr>
                <w:p w14:paraId="61B3518D">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949" w:type="pct"/>
                  <w:vAlign w:val="center"/>
                </w:tcPr>
                <w:p w14:paraId="687EF6E2">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0.6</w:t>
                  </w:r>
                </w:p>
              </w:tc>
              <w:tc>
                <w:tcPr>
                  <w:tcW w:w="1357" w:type="pct"/>
                  <w:vMerge w:val="continue"/>
                  <w:vAlign w:val="center"/>
                </w:tcPr>
                <w:p w14:paraId="30FB0DEF">
                  <w:pPr>
                    <w:adjustRightInd w:val="0"/>
                    <w:snapToGrid w:val="0"/>
                    <w:jc w:val="center"/>
                    <w:rPr>
                      <w:bCs/>
                      <w:color w:val="000000" w:themeColor="text1"/>
                      <w:kern w:val="0"/>
                      <w:szCs w:val="21"/>
                      <w:highlight w:val="none"/>
                      <w14:textFill>
                        <w14:solidFill>
                          <w14:schemeClr w14:val="tx1"/>
                        </w14:solidFill>
                      </w14:textFill>
                    </w:rPr>
                  </w:pPr>
                </w:p>
              </w:tc>
            </w:tr>
            <w:tr w14:paraId="3F93C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563FDD1B">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14:paraId="701314A5">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14:paraId="6DB2893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48" w:type="pct"/>
                  <w:vAlign w:val="center"/>
                </w:tcPr>
                <w:p w14:paraId="4C742313">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120</w:t>
                  </w:r>
                </w:p>
              </w:tc>
              <w:tc>
                <w:tcPr>
                  <w:tcW w:w="949" w:type="pct"/>
                  <w:vAlign w:val="center"/>
                </w:tcPr>
                <w:p w14:paraId="7B02B743">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1.75（</w:t>
                  </w:r>
                  <w:r>
                    <w:rPr>
                      <w:rFonts w:hint="eastAsia"/>
                      <w:color w:val="000000" w:themeColor="text1"/>
                      <w:highlight w:val="none"/>
                      <w14:textFill>
                        <w14:solidFill>
                          <w14:schemeClr w14:val="tx1"/>
                        </w14:solidFill>
                      </w14:textFill>
                    </w:rPr>
                    <w:t>严格50%</w:t>
                  </w:r>
                  <w:r>
                    <w:rPr>
                      <w:rFonts w:hint="eastAsia"/>
                      <w:color w:val="000000" w:themeColor="text1"/>
                      <w:szCs w:val="21"/>
                      <w:highlight w:val="none"/>
                      <w14:textFill>
                        <w14:solidFill>
                          <w14:schemeClr w14:val="tx1"/>
                        </w14:solidFill>
                      </w14:textFill>
                    </w:rPr>
                    <w:t>）</w:t>
                  </w:r>
                </w:p>
              </w:tc>
              <w:tc>
                <w:tcPr>
                  <w:tcW w:w="1357" w:type="pct"/>
                  <w:vAlign w:val="center"/>
                </w:tcPr>
                <w:p w14:paraId="775BB043">
                  <w:pPr>
                    <w:adjustRightInd w:val="0"/>
                    <w:snapToGrid w:val="0"/>
                    <w:jc w:val="center"/>
                    <w:rPr>
                      <w:bCs/>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《大气污染物综合排放标准》(GB16297-1996)表2标准</w:t>
                  </w:r>
                </w:p>
              </w:tc>
            </w:tr>
            <w:tr w14:paraId="0184F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26" w:type="pct"/>
                  <w:vMerge w:val="continue"/>
                  <w:vAlign w:val="center"/>
                </w:tcPr>
                <w:p w14:paraId="1A45E6DD">
                  <w:pPr>
                    <w:adjustRightInd w:val="0"/>
                    <w:snapToGrid w:val="0"/>
                    <w:jc w:val="center"/>
                    <w:rPr>
                      <w:color w:val="000000" w:themeColor="text1"/>
                      <w:szCs w:val="21"/>
                      <w:highlight w:val="none"/>
                      <w14:textFill>
                        <w14:solidFill>
                          <w14:schemeClr w14:val="tx1"/>
                        </w14:solidFill>
                      </w14:textFill>
                    </w:rPr>
                  </w:pPr>
                </w:p>
              </w:tc>
              <w:tc>
                <w:tcPr>
                  <w:tcW w:w="250" w:type="pct"/>
                  <w:vMerge w:val="restart"/>
                  <w:vAlign w:val="center"/>
                </w:tcPr>
                <w:p w14:paraId="20EF76C2">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w:t>
                  </w:r>
                </w:p>
              </w:tc>
              <w:tc>
                <w:tcPr>
                  <w:tcW w:w="768" w:type="pct"/>
                  <w:vAlign w:val="center"/>
                </w:tcPr>
                <w:p w14:paraId="04D50C13">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1898" w:type="pct"/>
                  <w:gridSpan w:val="2"/>
                  <w:vAlign w:val="center"/>
                </w:tcPr>
                <w:p w14:paraId="3109ACA7">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企业</w:t>
                  </w:r>
                  <w:r>
                    <w:rPr>
                      <w:color w:val="000000" w:themeColor="text1"/>
                      <w:szCs w:val="21"/>
                      <w:highlight w:val="none"/>
                      <w14:textFill>
                        <w14:solidFill>
                          <w14:schemeClr w14:val="tx1"/>
                        </w14:solidFill>
                      </w14:textFill>
                    </w:rPr>
                    <w:t>边界监控</w:t>
                  </w:r>
                  <w:r>
                    <w:rPr>
                      <w:rFonts w:hint="eastAsia"/>
                      <w:color w:val="000000" w:themeColor="text1"/>
                      <w:szCs w:val="21"/>
                      <w:highlight w:val="none"/>
                      <w14:textFill>
                        <w14:solidFill>
                          <w14:schemeClr w14:val="tx1"/>
                        </w14:solidFill>
                      </w14:textFill>
                    </w:rPr>
                    <w:t>点</w:t>
                  </w:r>
                  <w:r>
                    <w:rPr>
                      <w:color w:val="000000" w:themeColor="text1"/>
                      <w:szCs w:val="21"/>
                      <w:highlight w:val="none"/>
                      <w14:textFill>
                        <w14:solidFill>
                          <w14:schemeClr w14:val="tx1"/>
                        </w14:solidFill>
                      </w14:textFill>
                    </w:rPr>
                    <w:t>浓度限值</w:t>
                  </w:r>
                  <w:r>
                    <w:rPr>
                      <w:rFonts w:hint="eastAsia"/>
                      <w:color w:val="000000" w:themeColor="text1"/>
                      <w:szCs w:val="21"/>
                      <w:highlight w:val="none"/>
                      <w14:textFill>
                        <w14:solidFill>
                          <w14:schemeClr w14:val="tx1"/>
                        </w14:solidFill>
                      </w14:textFill>
                    </w:rPr>
                    <w:t>2.0</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1357" w:type="pct"/>
                  <w:vMerge w:val="restart"/>
                  <w:vAlign w:val="center"/>
                </w:tcPr>
                <w:p w14:paraId="131ACF9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《工业涂装工序挥发性有机物排放标准》(DB35/1783-2018)表4中</w:t>
                  </w:r>
                  <w:r>
                    <w:rPr>
                      <w:bCs/>
                      <w:color w:val="000000" w:themeColor="text1"/>
                      <w:szCs w:val="20"/>
                      <w:highlight w:val="none"/>
                      <w14:textFill>
                        <w14:solidFill>
                          <w14:schemeClr w14:val="tx1"/>
                        </w14:solidFill>
                      </w14:textFill>
                    </w:rPr>
                    <w:t>相应标准值</w:t>
                  </w:r>
                </w:p>
              </w:tc>
            </w:tr>
            <w:tr w14:paraId="13F5E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570FE48A">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14:paraId="6B2021EB">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14:paraId="2410F22F">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1898" w:type="pct"/>
                  <w:gridSpan w:val="2"/>
                  <w:vAlign w:val="center"/>
                </w:tcPr>
                <w:p w14:paraId="3A859B6E">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企业</w:t>
                  </w:r>
                  <w:r>
                    <w:rPr>
                      <w:color w:val="000000" w:themeColor="text1"/>
                      <w:szCs w:val="21"/>
                      <w:highlight w:val="none"/>
                      <w14:textFill>
                        <w14:solidFill>
                          <w14:schemeClr w14:val="tx1"/>
                        </w14:solidFill>
                      </w14:textFill>
                    </w:rPr>
                    <w:t>边界监控</w:t>
                  </w:r>
                  <w:r>
                    <w:rPr>
                      <w:rFonts w:hint="eastAsia"/>
                      <w:color w:val="000000" w:themeColor="text1"/>
                      <w:szCs w:val="21"/>
                      <w:highlight w:val="none"/>
                      <w14:textFill>
                        <w14:solidFill>
                          <w14:schemeClr w14:val="tx1"/>
                        </w14:solidFill>
                      </w14:textFill>
                    </w:rPr>
                    <w:t>点</w:t>
                  </w:r>
                  <w:r>
                    <w:rPr>
                      <w:color w:val="000000" w:themeColor="text1"/>
                      <w:szCs w:val="21"/>
                      <w:highlight w:val="none"/>
                      <w14:textFill>
                        <w14:solidFill>
                          <w14:schemeClr w14:val="tx1"/>
                        </w14:solidFill>
                      </w14:textFill>
                    </w:rPr>
                    <w:t>浓度限值</w:t>
                  </w:r>
                  <w:r>
                    <w:rPr>
                      <w:rFonts w:hint="eastAsia"/>
                      <w:color w:val="000000" w:themeColor="text1"/>
                      <w:szCs w:val="21"/>
                      <w:highlight w:val="none"/>
                      <w14:textFill>
                        <w14:solidFill>
                          <w14:schemeClr w14:val="tx1"/>
                        </w14:solidFill>
                      </w14:textFill>
                    </w:rPr>
                    <w:t>0.2</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1357" w:type="pct"/>
                  <w:vMerge w:val="continue"/>
                  <w:vAlign w:val="center"/>
                </w:tcPr>
                <w:p w14:paraId="310E0999">
                  <w:pPr>
                    <w:adjustRightInd w:val="0"/>
                    <w:snapToGrid w:val="0"/>
                    <w:jc w:val="center"/>
                    <w:rPr>
                      <w:color w:val="000000" w:themeColor="text1"/>
                      <w:szCs w:val="21"/>
                      <w:highlight w:val="none"/>
                      <w14:textFill>
                        <w14:solidFill>
                          <w14:schemeClr w14:val="tx1"/>
                        </w14:solidFill>
                      </w14:textFill>
                    </w:rPr>
                  </w:pPr>
                </w:p>
              </w:tc>
            </w:tr>
            <w:tr w14:paraId="22954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49375354">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14:paraId="078CE0FB">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14:paraId="14A3E1E7">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898" w:type="pct"/>
                  <w:gridSpan w:val="2"/>
                  <w:vAlign w:val="center"/>
                </w:tcPr>
                <w:p w14:paraId="06D8A82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企业</w:t>
                  </w:r>
                  <w:r>
                    <w:rPr>
                      <w:color w:val="000000" w:themeColor="text1"/>
                      <w:szCs w:val="21"/>
                      <w:highlight w:val="none"/>
                      <w14:textFill>
                        <w14:solidFill>
                          <w14:schemeClr w14:val="tx1"/>
                        </w14:solidFill>
                      </w14:textFill>
                    </w:rPr>
                    <w:t>边界监控</w:t>
                  </w:r>
                  <w:r>
                    <w:rPr>
                      <w:rFonts w:hint="eastAsia"/>
                      <w:color w:val="000000" w:themeColor="text1"/>
                      <w:szCs w:val="21"/>
                      <w:highlight w:val="none"/>
                      <w14:textFill>
                        <w14:solidFill>
                          <w14:schemeClr w14:val="tx1"/>
                        </w14:solidFill>
                      </w14:textFill>
                    </w:rPr>
                    <w:t>点</w:t>
                  </w:r>
                  <w:r>
                    <w:rPr>
                      <w:color w:val="000000" w:themeColor="text1"/>
                      <w:szCs w:val="21"/>
                      <w:highlight w:val="none"/>
                      <w14:textFill>
                        <w14:solidFill>
                          <w14:schemeClr w14:val="tx1"/>
                        </w14:solidFill>
                      </w14:textFill>
                    </w:rPr>
                    <w:t>浓度限值</w:t>
                  </w:r>
                  <w:r>
                    <w:rPr>
                      <w:rFonts w:hint="eastAsia"/>
                      <w:color w:val="000000" w:themeColor="text1"/>
                      <w:szCs w:val="21"/>
                      <w:highlight w:val="none"/>
                      <w14:textFill>
                        <w14:solidFill>
                          <w14:schemeClr w14:val="tx1"/>
                        </w14:solidFill>
                      </w14:textFill>
                    </w:rPr>
                    <w:t>1.0</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1357" w:type="pct"/>
                  <w:vAlign w:val="center"/>
                </w:tcPr>
                <w:p w14:paraId="2765BFDD">
                  <w:pPr>
                    <w:adjustRightInd w:val="0"/>
                    <w:snapToGrid w:val="0"/>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大气污染物综合排放标准》(GB16297-1996)表2标准</w:t>
                  </w:r>
                </w:p>
              </w:tc>
            </w:tr>
            <w:tr w14:paraId="1780C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1CBB31A2">
                  <w:pPr>
                    <w:adjustRightInd w:val="0"/>
                    <w:snapToGrid w:val="0"/>
                    <w:jc w:val="center"/>
                    <w:rPr>
                      <w:color w:val="000000" w:themeColor="text1"/>
                      <w:szCs w:val="21"/>
                      <w:highlight w:val="none"/>
                      <w14:textFill>
                        <w14:solidFill>
                          <w14:schemeClr w14:val="tx1"/>
                        </w14:solidFill>
                      </w14:textFill>
                    </w:rPr>
                  </w:pPr>
                </w:p>
              </w:tc>
              <w:tc>
                <w:tcPr>
                  <w:tcW w:w="1018" w:type="pct"/>
                  <w:gridSpan w:val="2"/>
                  <w:vMerge w:val="restart"/>
                  <w:vAlign w:val="center"/>
                </w:tcPr>
                <w:p w14:paraId="4EE59B0D">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p w14:paraId="17DB6B49">
                  <w:pPr>
                    <w:adjustRightInd w:val="0"/>
                    <w:snapToGrid w:val="0"/>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厂区内无组织</w:t>
                  </w:r>
                </w:p>
              </w:tc>
              <w:tc>
                <w:tcPr>
                  <w:tcW w:w="1898" w:type="pct"/>
                  <w:gridSpan w:val="2"/>
                  <w:vAlign w:val="center"/>
                </w:tcPr>
                <w:p w14:paraId="345F76AB">
                  <w:pPr>
                    <w:adjustRightInd w:val="0"/>
                    <w:snapToGrid w:val="0"/>
                    <w:jc w:val="center"/>
                    <w:rPr>
                      <w:color w:val="000000" w:themeColor="text1"/>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厂区内监控点处1h平均浓度限值6.0</w:t>
                  </w:r>
                  <w:r>
                    <w:rPr>
                      <w:color w:val="000000" w:themeColor="text1"/>
                      <w:szCs w:val="21"/>
                      <w:highlight w:val="none"/>
                      <w14:textFill>
                        <w14:solidFill>
                          <w14:schemeClr w14:val="tx1"/>
                        </w14:solidFill>
                      </w14:textFill>
                    </w:rPr>
                    <w:t xml:space="preserve"> mg/</w:t>
                  </w:r>
                  <w:r>
                    <w:rPr>
                      <w:rFonts w:hint="eastAsia"/>
                      <w:color w:val="000000" w:themeColor="text1"/>
                      <w:szCs w:val="21"/>
                      <w:highlight w:val="none"/>
                      <w14:textFill>
                        <w14:solidFill>
                          <w14:schemeClr w14:val="tx1"/>
                        </w14:solidFill>
                      </w14:textFill>
                    </w:rPr>
                    <w:t>m³</w:t>
                  </w:r>
                </w:p>
              </w:tc>
              <w:tc>
                <w:tcPr>
                  <w:tcW w:w="1357" w:type="pct"/>
                  <w:vMerge w:val="restart"/>
                  <w:vAlign w:val="center"/>
                </w:tcPr>
                <w:p w14:paraId="3351E989">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《挥发性有机物无组织排放控制标准》（GB37822-2019）附录A的表A.1中特别排放限值</w:t>
                  </w:r>
                </w:p>
              </w:tc>
            </w:tr>
            <w:tr w14:paraId="2FFB6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1E48BE44">
                  <w:pPr>
                    <w:adjustRightInd w:val="0"/>
                    <w:snapToGrid w:val="0"/>
                    <w:jc w:val="center"/>
                    <w:rPr>
                      <w:color w:val="000000" w:themeColor="text1"/>
                      <w:szCs w:val="21"/>
                      <w:highlight w:val="none"/>
                      <w14:textFill>
                        <w14:solidFill>
                          <w14:schemeClr w14:val="tx1"/>
                        </w14:solidFill>
                      </w14:textFill>
                    </w:rPr>
                  </w:pPr>
                </w:p>
              </w:tc>
              <w:tc>
                <w:tcPr>
                  <w:tcW w:w="1018" w:type="pct"/>
                  <w:gridSpan w:val="2"/>
                  <w:vMerge w:val="continue"/>
                  <w:vAlign w:val="center"/>
                </w:tcPr>
                <w:p w14:paraId="2BBB8DCB">
                  <w:pPr>
                    <w:adjustRightInd w:val="0"/>
                    <w:snapToGrid w:val="0"/>
                    <w:jc w:val="center"/>
                    <w:rPr>
                      <w:color w:val="000000" w:themeColor="text1"/>
                      <w:szCs w:val="21"/>
                      <w:highlight w:val="none"/>
                      <w14:textFill>
                        <w14:solidFill>
                          <w14:schemeClr w14:val="tx1"/>
                        </w14:solidFill>
                      </w14:textFill>
                    </w:rPr>
                  </w:pPr>
                </w:p>
              </w:tc>
              <w:tc>
                <w:tcPr>
                  <w:tcW w:w="1898" w:type="pct"/>
                  <w:gridSpan w:val="2"/>
                  <w:vAlign w:val="center"/>
                </w:tcPr>
                <w:p w14:paraId="2BDB5B39">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厂区内监控点处任意一次浓度值</w:t>
                  </w:r>
                </w:p>
                <w:p w14:paraId="325F1836">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20</w:t>
                  </w:r>
                  <w:r>
                    <w:rPr>
                      <w:color w:val="000000" w:themeColor="text1"/>
                      <w:szCs w:val="21"/>
                      <w:highlight w:val="none"/>
                      <w14:textFill>
                        <w14:solidFill>
                          <w14:schemeClr w14:val="tx1"/>
                        </w14:solidFill>
                      </w14:textFill>
                    </w:rPr>
                    <w:t xml:space="preserve"> mg/</w:t>
                  </w:r>
                  <w:r>
                    <w:rPr>
                      <w:rFonts w:hint="eastAsia"/>
                      <w:color w:val="000000" w:themeColor="text1"/>
                      <w:szCs w:val="21"/>
                      <w:highlight w:val="none"/>
                      <w14:textFill>
                        <w14:solidFill>
                          <w14:schemeClr w14:val="tx1"/>
                        </w14:solidFill>
                      </w14:textFill>
                    </w:rPr>
                    <w:t>m³</w:t>
                  </w:r>
                </w:p>
              </w:tc>
              <w:tc>
                <w:tcPr>
                  <w:tcW w:w="1357" w:type="pct"/>
                  <w:vMerge w:val="continue"/>
                  <w:vAlign w:val="center"/>
                </w:tcPr>
                <w:p w14:paraId="60FBAB89">
                  <w:pPr>
                    <w:adjustRightInd w:val="0"/>
                    <w:snapToGrid w:val="0"/>
                    <w:jc w:val="center"/>
                    <w:rPr>
                      <w:color w:val="000000" w:themeColor="text1"/>
                      <w:szCs w:val="20"/>
                      <w:highlight w:val="none"/>
                      <w14:textFill>
                        <w14:solidFill>
                          <w14:schemeClr w14:val="tx1"/>
                        </w14:solidFill>
                      </w14:textFill>
                    </w:rPr>
                  </w:pPr>
                </w:p>
              </w:tc>
            </w:tr>
            <w:tr w14:paraId="70E88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restart"/>
                  <w:vAlign w:val="center"/>
                </w:tcPr>
                <w:p w14:paraId="7DE127A6">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w:t>
                  </w:r>
                  <w:r>
                    <w:rPr>
                      <w:rFonts w:hint="eastAsia"/>
                      <w:color w:val="000000" w:themeColor="text1"/>
                      <w:szCs w:val="21"/>
                      <w:highlight w:val="none"/>
                      <w:lang w:eastAsia="zh-CN"/>
                      <w14:textFill>
                        <w14:solidFill>
                          <w14:schemeClr w14:val="tx1"/>
                        </w14:solidFill>
                      </w14:textFill>
                    </w:rPr>
                    <w:t>区及打磨区</w:t>
                  </w:r>
                  <w:r>
                    <w:rPr>
                      <w:rFonts w:hint="eastAsia"/>
                      <w:color w:val="000000" w:themeColor="text1"/>
                      <w:szCs w:val="21"/>
                      <w:highlight w:val="none"/>
                      <w14:textFill>
                        <w14:solidFill>
                          <w14:schemeClr w14:val="tx1"/>
                        </w14:solidFill>
                      </w14:textFill>
                    </w:rPr>
                    <w:t>废气</w:t>
                  </w:r>
                </w:p>
              </w:tc>
              <w:tc>
                <w:tcPr>
                  <w:tcW w:w="250" w:type="pct"/>
                  <w:vAlign w:val="center"/>
                </w:tcPr>
                <w:p w14:paraId="0DDF263F">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有组织</w:t>
                  </w:r>
                </w:p>
              </w:tc>
              <w:tc>
                <w:tcPr>
                  <w:tcW w:w="768" w:type="pct"/>
                  <w:vAlign w:val="center"/>
                </w:tcPr>
                <w:p w14:paraId="6851CEB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48" w:type="pct"/>
                  <w:vAlign w:val="center"/>
                </w:tcPr>
                <w:p w14:paraId="1A599AC3">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120</w:t>
                  </w:r>
                </w:p>
              </w:tc>
              <w:tc>
                <w:tcPr>
                  <w:tcW w:w="949" w:type="pct"/>
                  <w:vAlign w:val="center"/>
                </w:tcPr>
                <w:p w14:paraId="2EA5F757">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1.75（</w:t>
                  </w:r>
                  <w:r>
                    <w:rPr>
                      <w:rFonts w:hint="eastAsia"/>
                      <w:color w:val="000000" w:themeColor="text1"/>
                      <w:highlight w:val="none"/>
                      <w14:textFill>
                        <w14:solidFill>
                          <w14:schemeClr w14:val="tx1"/>
                        </w14:solidFill>
                      </w14:textFill>
                    </w:rPr>
                    <w:t>严格50%</w:t>
                  </w:r>
                  <w:r>
                    <w:rPr>
                      <w:rFonts w:hint="eastAsia"/>
                      <w:color w:val="000000" w:themeColor="text1"/>
                      <w:szCs w:val="21"/>
                      <w:highlight w:val="none"/>
                      <w14:textFill>
                        <w14:solidFill>
                          <w14:schemeClr w14:val="tx1"/>
                        </w14:solidFill>
                      </w14:textFill>
                    </w:rPr>
                    <w:t>）</w:t>
                  </w:r>
                </w:p>
              </w:tc>
              <w:tc>
                <w:tcPr>
                  <w:tcW w:w="1357" w:type="pct"/>
                  <w:vMerge w:val="restart"/>
                  <w:vAlign w:val="center"/>
                </w:tcPr>
                <w:p w14:paraId="682A2780">
                  <w:pPr>
                    <w:adjustRightInd w:val="0"/>
                    <w:snapToGrid w:val="0"/>
                    <w:jc w:val="center"/>
                    <w:rPr>
                      <w:color w:val="000000" w:themeColor="text1"/>
                      <w:szCs w:val="20"/>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《大气污染物综合排放标准》(GB16297-1996)表2标准</w:t>
                  </w:r>
                </w:p>
              </w:tc>
            </w:tr>
            <w:tr w14:paraId="12EC0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14:paraId="6E9C8F08">
                  <w:pPr>
                    <w:adjustRightInd w:val="0"/>
                    <w:snapToGrid w:val="0"/>
                    <w:jc w:val="center"/>
                    <w:rPr>
                      <w:color w:val="000000" w:themeColor="text1"/>
                      <w:szCs w:val="21"/>
                      <w:highlight w:val="none"/>
                      <w14:textFill>
                        <w14:solidFill>
                          <w14:schemeClr w14:val="tx1"/>
                        </w14:solidFill>
                      </w14:textFill>
                    </w:rPr>
                  </w:pPr>
                </w:p>
              </w:tc>
              <w:tc>
                <w:tcPr>
                  <w:tcW w:w="250" w:type="pct"/>
                  <w:vAlign w:val="center"/>
                </w:tcPr>
                <w:p w14:paraId="433896B9">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w:t>
                  </w:r>
                </w:p>
              </w:tc>
              <w:tc>
                <w:tcPr>
                  <w:tcW w:w="768" w:type="pct"/>
                  <w:vAlign w:val="center"/>
                </w:tcPr>
                <w:p w14:paraId="53E4468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898" w:type="pct"/>
                  <w:gridSpan w:val="2"/>
                  <w:vAlign w:val="center"/>
                </w:tcPr>
                <w:p w14:paraId="01F37755">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企业</w:t>
                  </w:r>
                  <w:r>
                    <w:rPr>
                      <w:color w:val="000000" w:themeColor="text1"/>
                      <w:szCs w:val="21"/>
                      <w:highlight w:val="none"/>
                      <w14:textFill>
                        <w14:solidFill>
                          <w14:schemeClr w14:val="tx1"/>
                        </w14:solidFill>
                      </w14:textFill>
                    </w:rPr>
                    <w:t>边界监控</w:t>
                  </w:r>
                  <w:r>
                    <w:rPr>
                      <w:rFonts w:hint="eastAsia"/>
                      <w:color w:val="000000" w:themeColor="text1"/>
                      <w:szCs w:val="21"/>
                      <w:highlight w:val="none"/>
                      <w14:textFill>
                        <w14:solidFill>
                          <w14:schemeClr w14:val="tx1"/>
                        </w14:solidFill>
                      </w14:textFill>
                    </w:rPr>
                    <w:t>点</w:t>
                  </w:r>
                  <w:r>
                    <w:rPr>
                      <w:color w:val="000000" w:themeColor="text1"/>
                      <w:szCs w:val="21"/>
                      <w:highlight w:val="none"/>
                      <w14:textFill>
                        <w14:solidFill>
                          <w14:schemeClr w14:val="tx1"/>
                        </w14:solidFill>
                      </w14:textFill>
                    </w:rPr>
                    <w:t>浓度限值</w:t>
                  </w:r>
                  <w:r>
                    <w:rPr>
                      <w:rFonts w:hint="eastAsia"/>
                      <w:color w:val="000000" w:themeColor="text1"/>
                      <w:szCs w:val="21"/>
                      <w:highlight w:val="none"/>
                      <w14:textFill>
                        <w14:solidFill>
                          <w14:schemeClr w14:val="tx1"/>
                        </w14:solidFill>
                      </w14:textFill>
                    </w:rPr>
                    <w:t>1.0</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1357" w:type="pct"/>
                  <w:vMerge w:val="continue"/>
                  <w:vAlign w:val="center"/>
                </w:tcPr>
                <w:p w14:paraId="6C6FBA6B">
                  <w:pPr>
                    <w:adjustRightInd w:val="0"/>
                    <w:snapToGrid w:val="0"/>
                    <w:jc w:val="center"/>
                    <w:rPr>
                      <w:color w:val="000000" w:themeColor="text1"/>
                      <w:szCs w:val="20"/>
                      <w:highlight w:val="none"/>
                      <w14:textFill>
                        <w14:solidFill>
                          <w14:schemeClr w14:val="tx1"/>
                        </w14:solidFill>
                      </w14:textFill>
                    </w:rPr>
                  </w:pPr>
                </w:p>
              </w:tc>
            </w:tr>
            <w:tr w14:paraId="01646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2002733E">
                  <w:pPr>
                    <w:adjustRightInd w:val="0"/>
                    <w:snapToGrid w:val="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注：有组织排气筒高度15m</w:t>
                  </w:r>
                </w:p>
              </w:tc>
            </w:tr>
          </w:tbl>
          <w:p w14:paraId="55220ADF">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3.3.3</w:t>
            </w:r>
            <w:r>
              <w:rPr>
                <w:rFonts w:hint="eastAsia"/>
                <w:color w:val="000000" w:themeColor="text1"/>
                <w:sz w:val="28"/>
                <w:szCs w:val="28"/>
                <w:highlight w:val="none"/>
                <w14:textFill>
                  <w14:solidFill>
                    <w14:schemeClr w14:val="tx1"/>
                  </w14:solidFill>
                </w14:textFill>
              </w:rPr>
              <w:t>噪声</w:t>
            </w:r>
          </w:p>
          <w:p w14:paraId="155F158E">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项目运营期厂界噪声执行《工业企业厂界环境噪声排放标准》（GB12348-2008）中的</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类标准。详见下表3.3-</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p>
          <w:p w14:paraId="1F019423">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表3.3-</w:t>
            </w:r>
            <w:r>
              <w:rPr>
                <w:rFonts w:hint="eastAsia" w:ascii="Times New Roman" w:hAnsi="Times New Roman"/>
                <w:b/>
                <w:color w:val="000000" w:themeColor="text1"/>
                <w:highlight w:val="none"/>
                <w14:textFill>
                  <w14:solidFill>
                    <w14:schemeClr w14:val="tx1"/>
                  </w14:solidFill>
                </w14:textFill>
              </w:rPr>
              <w:t>3</w:t>
            </w:r>
            <w:r>
              <w:rPr>
                <w:rFonts w:ascii="Times New Roman" w:hAnsi="Times New Roman"/>
                <w:b/>
                <w:color w:val="000000" w:themeColor="text1"/>
                <w:highlight w:val="none"/>
                <w14:textFill>
                  <w14:solidFill>
                    <w14:schemeClr w14:val="tx1"/>
                  </w14:solidFill>
                </w14:textFill>
              </w:rPr>
              <w:t xml:space="preserve">   工业企业厂界环境噪声排放标准</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14"/>
              <w:gridCol w:w="3162"/>
              <w:gridCol w:w="2989"/>
            </w:tblGrid>
            <w:tr w14:paraId="6D514B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27" w:hRule="exact"/>
                <w:jc w:val="center"/>
              </w:trPr>
              <w:tc>
                <w:tcPr>
                  <w:tcW w:w="1409" w:type="pct"/>
                  <w:vAlign w:val="center"/>
                </w:tcPr>
                <w:p w14:paraId="0E2C3C00">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类别</w:t>
                  </w:r>
                </w:p>
              </w:tc>
              <w:tc>
                <w:tcPr>
                  <w:tcW w:w="1846" w:type="pct"/>
                  <w:vAlign w:val="center"/>
                </w:tcPr>
                <w:p w14:paraId="05CC8B3F">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昼间（dB）</w:t>
                  </w:r>
                </w:p>
              </w:tc>
              <w:tc>
                <w:tcPr>
                  <w:tcW w:w="1745" w:type="pct"/>
                  <w:vAlign w:val="center"/>
                </w:tcPr>
                <w:p w14:paraId="69F19F81">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夜间（dB）</w:t>
                  </w:r>
                </w:p>
              </w:tc>
            </w:tr>
            <w:tr w14:paraId="21E58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exact"/>
                <w:jc w:val="center"/>
              </w:trPr>
              <w:tc>
                <w:tcPr>
                  <w:tcW w:w="1409" w:type="pct"/>
                  <w:vAlign w:val="center"/>
                </w:tcPr>
                <w:p w14:paraId="4E36FEC0">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3类</w:t>
                  </w:r>
                </w:p>
              </w:tc>
              <w:tc>
                <w:tcPr>
                  <w:tcW w:w="1846" w:type="pct"/>
                  <w:vAlign w:val="center"/>
                </w:tcPr>
                <w:p w14:paraId="57501959">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w:t>
                  </w:r>
                  <w:r>
                    <w:rPr>
                      <w:rFonts w:hint="eastAsia"/>
                      <w:color w:val="000000" w:themeColor="text1"/>
                      <w:szCs w:val="21"/>
                      <w:highlight w:val="none"/>
                      <w14:textFill>
                        <w14:solidFill>
                          <w14:schemeClr w14:val="tx1"/>
                        </w14:solidFill>
                      </w14:textFill>
                    </w:rPr>
                    <w:t>5</w:t>
                  </w:r>
                </w:p>
              </w:tc>
              <w:tc>
                <w:tcPr>
                  <w:tcW w:w="1745" w:type="pct"/>
                  <w:vAlign w:val="center"/>
                </w:tcPr>
                <w:p w14:paraId="21336215">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r>
                    <w:rPr>
                      <w:rFonts w:hint="eastAsia"/>
                      <w:color w:val="000000" w:themeColor="text1"/>
                      <w:szCs w:val="21"/>
                      <w:highlight w:val="none"/>
                      <w14:textFill>
                        <w14:solidFill>
                          <w14:schemeClr w14:val="tx1"/>
                        </w14:solidFill>
                      </w14:textFill>
                    </w:rPr>
                    <w:t>5</w:t>
                  </w:r>
                </w:p>
              </w:tc>
            </w:tr>
          </w:tbl>
          <w:p w14:paraId="12B7868A">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3.3.4</w:t>
            </w:r>
            <w:r>
              <w:rPr>
                <w:rFonts w:hint="eastAsia"/>
                <w:color w:val="000000" w:themeColor="text1"/>
                <w:sz w:val="28"/>
                <w:szCs w:val="28"/>
                <w:highlight w:val="none"/>
                <w14:textFill>
                  <w14:solidFill>
                    <w14:schemeClr w14:val="tx1"/>
                  </w14:solidFill>
                </w14:textFill>
              </w:rPr>
              <w:t>固体废物</w:t>
            </w:r>
          </w:p>
          <w:p w14:paraId="4B1E8902">
            <w:pPr>
              <w:spacing w:line="360" w:lineRule="auto"/>
              <w:ind w:firstLine="480"/>
              <w:rPr>
                <w:color w:val="000000" w:themeColor="text1"/>
                <w:kern w:val="0"/>
                <w:szCs w:val="21"/>
                <w:highlight w:val="none"/>
                <w14:textFill>
                  <w14:solidFill>
                    <w14:schemeClr w14:val="tx1"/>
                  </w14:solidFill>
                </w14:textFill>
              </w:rPr>
            </w:pPr>
            <w:r>
              <w:rPr>
                <w:color w:val="000000" w:themeColor="text1"/>
                <w:sz w:val="24"/>
                <w:highlight w:val="none"/>
                <w14:textFill>
                  <w14:solidFill>
                    <w14:schemeClr w14:val="tx1"/>
                  </w14:solidFill>
                </w14:textFill>
              </w:rPr>
              <w:t>项目运营期</w:t>
            </w:r>
            <w:r>
              <w:rPr>
                <w:rFonts w:hint="eastAsia"/>
                <w:color w:val="000000" w:themeColor="text1"/>
                <w:sz w:val="24"/>
                <w:highlight w:val="none"/>
                <w14:textFill>
                  <w14:solidFill>
                    <w14:schemeClr w14:val="tx1"/>
                  </w14:solidFill>
                </w14:textFill>
              </w:rPr>
              <w:t>间</w:t>
            </w:r>
            <w:r>
              <w:rPr>
                <w:color w:val="000000" w:themeColor="text1"/>
                <w:sz w:val="24"/>
                <w:highlight w:val="none"/>
                <w14:textFill>
                  <w14:solidFill>
                    <w14:schemeClr w14:val="tx1"/>
                  </w14:solidFill>
                </w14:textFill>
              </w:rPr>
              <w:t>一般固体废物贮存、处置执行《一般工业固体废物贮存和填埋污染控制标准》</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GB18599-20</w:t>
            </w:r>
            <w:r>
              <w:rPr>
                <w:rFonts w:hint="eastAsia"/>
                <w:color w:val="000000" w:themeColor="text1"/>
                <w:sz w:val="24"/>
                <w:highlight w:val="none"/>
                <w14:textFill>
                  <w14:solidFill>
                    <w14:schemeClr w14:val="tx1"/>
                  </w14:solidFill>
                </w14:textFill>
              </w:rPr>
              <w:t>20）；</w:t>
            </w:r>
            <w:r>
              <w:rPr>
                <w:color w:val="000000" w:themeColor="text1"/>
                <w:sz w:val="24"/>
                <w:highlight w:val="none"/>
                <w14:textFill>
                  <w14:solidFill>
                    <w14:schemeClr w14:val="tx1"/>
                  </w14:solidFill>
                </w14:textFill>
              </w:rPr>
              <w:t>危险废物临时存贮场执行《危险废物贮存污染控制标准》</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GB 18597-20</w:t>
            </w:r>
            <w:r>
              <w:rPr>
                <w:rFonts w:hint="eastAsia"/>
                <w:color w:val="000000" w:themeColor="text1"/>
                <w:sz w:val="24"/>
                <w:highlight w:val="none"/>
                <w14:textFill>
                  <w14:solidFill>
                    <w14:schemeClr w14:val="tx1"/>
                  </w14:solidFill>
                </w14:textFill>
              </w:rPr>
              <w:t>23）；</w:t>
            </w:r>
            <w:r>
              <w:rPr>
                <w:color w:val="000000" w:themeColor="text1"/>
                <w:sz w:val="24"/>
                <w:highlight w:val="none"/>
                <w14:textFill>
                  <w14:solidFill>
                    <w14:schemeClr w14:val="tx1"/>
                  </w14:solidFill>
                </w14:textFill>
              </w:rPr>
              <w:t>生活垃圾应按照《城市环境卫生设施规划规范》（GB50337-2003）中的要求进行综合利用的处置。</w:t>
            </w:r>
          </w:p>
        </w:tc>
      </w:tr>
      <w:tr w14:paraId="5B70C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71" w:type="dxa"/>
            <w:tcMar>
              <w:left w:w="28" w:type="dxa"/>
              <w:right w:w="28" w:type="dxa"/>
            </w:tcMar>
            <w:vAlign w:val="center"/>
          </w:tcPr>
          <w:p w14:paraId="5EFDA2E8">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总量</w:t>
            </w:r>
          </w:p>
          <w:p w14:paraId="74B8029B">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控制</w:t>
            </w:r>
          </w:p>
          <w:p w14:paraId="61D48329">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指标</w:t>
            </w:r>
          </w:p>
        </w:tc>
        <w:tc>
          <w:tcPr>
            <w:tcW w:w="8816" w:type="dxa"/>
          </w:tcPr>
          <w:p w14:paraId="58910E68">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3.4</w:t>
            </w:r>
            <w:r>
              <w:rPr>
                <w:rFonts w:hint="eastAsia"/>
                <w:b/>
                <w:color w:val="000000" w:themeColor="text1"/>
                <w:sz w:val="30"/>
                <w:szCs w:val="30"/>
                <w:highlight w:val="none"/>
                <w14:textFill>
                  <w14:solidFill>
                    <w14:schemeClr w14:val="tx1"/>
                  </w14:solidFill>
                </w14:textFill>
              </w:rPr>
              <w:t>总量控制分析</w:t>
            </w:r>
          </w:p>
          <w:p w14:paraId="5D6CDE19">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3.4.1</w:t>
            </w:r>
            <w:r>
              <w:rPr>
                <w:rFonts w:hint="eastAsia"/>
                <w:color w:val="000000" w:themeColor="text1"/>
                <w:sz w:val="28"/>
                <w:szCs w:val="28"/>
                <w:highlight w:val="none"/>
                <w14:textFill>
                  <w14:solidFill>
                    <w14:schemeClr w14:val="tx1"/>
                  </w14:solidFill>
                </w14:textFill>
              </w:rPr>
              <w:t>总量</w:t>
            </w:r>
            <w:r>
              <w:rPr>
                <w:color w:val="000000" w:themeColor="text1"/>
                <w:sz w:val="28"/>
                <w:szCs w:val="28"/>
                <w:highlight w:val="none"/>
                <w14:textFill>
                  <w14:solidFill>
                    <w14:schemeClr w14:val="tx1"/>
                  </w14:solidFill>
                </w14:textFill>
              </w:rPr>
              <w:t>控制因子</w:t>
            </w:r>
          </w:p>
          <w:p w14:paraId="39D86F99">
            <w:pPr>
              <w:pStyle w:val="1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国家“十三五”期间污染物总量控制要求及《福建省“十四五”生态环境保护专项规划》（闽政办〔2021〕59号）、《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X</w:t>
            </w:r>
            <w:r>
              <w:rPr>
                <w:color w:val="000000" w:themeColor="text1"/>
                <w:highlight w:val="none"/>
                <w14:textFill>
                  <w14:solidFill>
                    <w14:schemeClr w14:val="tx1"/>
                  </w14:solidFill>
                </w14:textFill>
              </w:rPr>
              <w:t>、VOC</w:t>
            </w:r>
            <w:r>
              <w:rPr>
                <w:color w:val="000000" w:themeColor="text1"/>
                <w:highlight w:val="none"/>
                <w:vertAlign w:val="subscript"/>
                <w14:textFill>
                  <w14:solidFill>
                    <w14:schemeClr w14:val="tx1"/>
                  </w14:solidFill>
                </w14:textFill>
              </w:rPr>
              <w:t>S</w:t>
            </w:r>
            <w:r>
              <w:rPr>
                <w:color w:val="000000" w:themeColor="text1"/>
                <w:highlight w:val="none"/>
                <w14:textFill>
                  <w14:solidFill>
                    <w14:schemeClr w14:val="tx1"/>
                  </w14:solidFill>
                </w14:textFill>
              </w:rPr>
              <w:t>。</w:t>
            </w:r>
          </w:p>
          <w:p w14:paraId="2FB82FFE">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3.4.2</w:t>
            </w:r>
            <w:r>
              <w:rPr>
                <w:rFonts w:hint="eastAsia"/>
                <w:color w:val="000000" w:themeColor="text1"/>
                <w:sz w:val="28"/>
                <w:szCs w:val="28"/>
                <w:highlight w:val="none"/>
                <w14:textFill>
                  <w14:solidFill>
                    <w14:schemeClr w14:val="tx1"/>
                  </w14:solidFill>
                </w14:textFill>
              </w:rPr>
              <w:t>污染物总量</w:t>
            </w:r>
            <w:r>
              <w:rPr>
                <w:color w:val="000000" w:themeColor="text1"/>
                <w:sz w:val="28"/>
                <w:szCs w:val="28"/>
                <w:highlight w:val="none"/>
                <w14:textFill>
                  <w14:solidFill>
                    <w14:schemeClr w14:val="tx1"/>
                  </w14:solidFill>
                </w14:textFill>
              </w:rPr>
              <w:t>控制指标</w:t>
            </w:r>
          </w:p>
          <w:p w14:paraId="0ADC56E5">
            <w:pPr>
              <w:spacing w:line="360" w:lineRule="auto"/>
              <w:ind w:firstLine="480"/>
              <w:rPr>
                <w:color w:val="000000" w:themeColor="text1"/>
                <w:sz w:val="24"/>
                <w:szCs w:val="20"/>
                <w:highlight w:val="none"/>
                <w14:textFill>
                  <w14:solidFill>
                    <w14:schemeClr w14:val="tx1"/>
                  </w14:solidFill>
                </w14:textFill>
              </w:rPr>
            </w:pPr>
            <w:r>
              <w:rPr>
                <w:color w:val="000000" w:themeColor="text1"/>
                <w:sz w:val="24"/>
                <w:szCs w:val="20"/>
                <w:highlight w:val="none"/>
                <w14:textFill>
                  <w14:solidFill>
                    <w14:schemeClr w14:val="tx1"/>
                  </w14:solidFill>
                </w14:textFill>
              </w:rPr>
              <w:t>（1）废水</w:t>
            </w:r>
          </w:p>
          <w:p w14:paraId="1EC3AF33">
            <w:pPr>
              <w:spacing w:line="360" w:lineRule="auto"/>
              <w:ind w:firstLine="48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lang w:eastAsia="zh-CN"/>
                <w14:textFill>
                  <w14:solidFill>
                    <w14:schemeClr w14:val="tx1"/>
                  </w14:solidFill>
                </w14:textFill>
              </w:rPr>
              <w:t>扩建后</w:t>
            </w:r>
            <w:r>
              <w:rPr>
                <w:rFonts w:hint="eastAsia"/>
                <w:bCs/>
                <w:color w:val="000000" w:themeColor="text1"/>
                <w:kern w:val="0"/>
                <w:sz w:val="24"/>
                <w:highlight w:val="none"/>
                <w14:textFill>
                  <w14:solidFill>
                    <w14:schemeClr w14:val="tx1"/>
                  </w14:solidFill>
                </w14:textFill>
              </w:rPr>
              <w:t>项目生产废水为生产废水为喷漆水帘柜废水、打磨房喷淋废水、喷淋塔废水，经过项目配套废水处理设施（混凝压滤）处理后循环使用，不外排。</w:t>
            </w:r>
            <w:r>
              <w:rPr>
                <w:rFonts w:hint="eastAsia"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扩建后整体项目</w:t>
            </w:r>
            <w:r>
              <w:rPr>
                <w:rFonts w:hint="eastAsia"/>
                <w:bCs/>
                <w:color w:val="000000" w:themeColor="text1"/>
                <w:kern w:val="0"/>
                <w:sz w:val="24"/>
                <w:highlight w:val="none"/>
                <w14:textFill>
                  <w14:solidFill>
                    <w14:schemeClr w14:val="tx1"/>
                  </w14:solidFill>
                </w14:textFill>
              </w:rPr>
              <w:t>职工生活污水经厂内化粪池处理后，经市政污水管网接入福清市融元污水处理厂统一处理，污染物总量由污水处理厂统一调度，故本项目无需申请废水总量。</w:t>
            </w:r>
          </w:p>
          <w:p w14:paraId="10AB469F">
            <w:pPr>
              <w:spacing w:line="360" w:lineRule="auto"/>
              <w:ind w:firstLine="480"/>
              <w:rPr>
                <w:color w:val="000000" w:themeColor="text1"/>
                <w:sz w:val="24"/>
                <w:szCs w:val="20"/>
                <w:highlight w:val="none"/>
                <w14:textFill>
                  <w14:solidFill>
                    <w14:schemeClr w14:val="tx1"/>
                  </w14:solidFill>
                </w14:textFill>
              </w:rPr>
            </w:pPr>
            <w:r>
              <w:rPr>
                <w:color w:val="000000" w:themeColor="text1"/>
                <w:sz w:val="24"/>
                <w:szCs w:val="20"/>
                <w:highlight w:val="none"/>
                <w14:textFill>
                  <w14:solidFill>
                    <w14:schemeClr w14:val="tx1"/>
                  </w14:solidFill>
                </w14:textFill>
              </w:rPr>
              <w:t>（2）废气</w:t>
            </w:r>
          </w:p>
          <w:p w14:paraId="3F050C64">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扩建后整体</w:t>
            </w:r>
            <w:r>
              <w:rPr>
                <w:color w:val="000000" w:themeColor="text1"/>
                <w:highlight w:val="none"/>
                <w14:textFill>
                  <w14:solidFill>
                    <w14:schemeClr w14:val="tx1"/>
                  </w14:solidFill>
                </w14:textFill>
              </w:rPr>
              <w:t>项目运营期将产生大气污染物VOC</w:t>
            </w:r>
            <w:r>
              <w:rPr>
                <w:color w:val="000000" w:themeColor="text1"/>
                <w:highlight w:val="none"/>
                <w:vertAlign w:val="subscript"/>
                <w14:textFill>
                  <w14:solidFill>
                    <w14:schemeClr w14:val="tx1"/>
                  </w14:solidFill>
                </w14:textFill>
              </w:rPr>
              <w:t>S</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本项目以</w:t>
            </w:r>
            <w:r>
              <w:rPr>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、二甲苯为主</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、颗粒物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扩建后</w:t>
            </w:r>
            <w:r>
              <w:rPr>
                <w:color w:val="000000" w:themeColor="text1"/>
                <w:highlight w:val="none"/>
                <w14:textFill>
                  <w14:solidFill>
                    <w14:schemeClr w14:val="tx1"/>
                  </w14:solidFill>
                </w14:textFill>
              </w:rPr>
              <w:t>废气污染物排放总量详见表3.4-1</w:t>
            </w:r>
            <w:r>
              <w:rPr>
                <w:rFonts w:hint="eastAsia"/>
                <w:color w:val="000000" w:themeColor="text1"/>
                <w:highlight w:val="none"/>
                <w14:textFill>
                  <w14:solidFill>
                    <w14:schemeClr w14:val="tx1"/>
                  </w14:solidFill>
                </w14:textFill>
              </w:rPr>
              <w:t>。</w:t>
            </w:r>
          </w:p>
          <w:p w14:paraId="2F709AC0">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 xml:space="preserve">表3.4-1  </w:t>
            </w:r>
            <w:r>
              <w:rPr>
                <w:rFonts w:hint="eastAsia" w:ascii="Times New Roman" w:hAnsi="Times New Roman"/>
                <w:b/>
                <w:color w:val="000000" w:themeColor="text1"/>
                <w:highlight w:val="none"/>
                <w:lang w:eastAsia="zh-CN"/>
                <w14:textFill>
                  <w14:solidFill>
                    <w14:schemeClr w14:val="tx1"/>
                  </w14:solidFill>
                </w14:textFill>
              </w:rPr>
              <w:t>扩建</w:t>
            </w:r>
            <w:r>
              <w:rPr>
                <w:rFonts w:hint="eastAsia" w:ascii="Times New Roman" w:hAnsi="Times New Roman"/>
                <w:b/>
                <w:color w:val="000000" w:themeColor="text1"/>
                <w:highlight w:val="none"/>
                <w14:textFill>
                  <w14:solidFill>
                    <w14:schemeClr w14:val="tx1"/>
                  </w14:solidFill>
                </w14:textFill>
              </w:rPr>
              <w:t>项目</w:t>
            </w:r>
            <w:r>
              <w:rPr>
                <w:rFonts w:ascii="Times New Roman" w:hAnsi="Times New Roman"/>
                <w:b/>
                <w:color w:val="000000" w:themeColor="text1"/>
                <w:highlight w:val="none"/>
                <w14:textFill>
                  <w14:solidFill>
                    <w14:schemeClr w14:val="tx1"/>
                  </w14:solidFill>
                </w14:textFill>
              </w:rPr>
              <w:t>总量控制一览表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27"/>
              <w:gridCol w:w="1177"/>
              <w:gridCol w:w="1052"/>
              <w:gridCol w:w="1577"/>
              <w:gridCol w:w="1408"/>
              <w:gridCol w:w="2429"/>
            </w:tblGrid>
            <w:tr w14:paraId="730111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14606D7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污染物类别</w:t>
                  </w:r>
                </w:p>
              </w:tc>
              <w:tc>
                <w:tcPr>
                  <w:tcW w:w="0" w:type="auto"/>
                  <w:tcBorders>
                    <w:tl2br w:val="nil"/>
                    <w:tr2bl w:val="nil"/>
                  </w:tcBorders>
                  <w:noWrap w:val="0"/>
                  <w:vAlign w:val="center"/>
                </w:tcPr>
                <w:p w14:paraId="399104E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指标类别</w:t>
                  </w:r>
                </w:p>
              </w:tc>
              <w:tc>
                <w:tcPr>
                  <w:tcW w:w="0" w:type="auto"/>
                  <w:tcBorders>
                    <w:tl2br w:val="nil"/>
                    <w:tr2bl w:val="nil"/>
                  </w:tcBorders>
                  <w:noWrap w:val="0"/>
                  <w:vAlign w:val="center"/>
                </w:tcPr>
                <w:p w14:paraId="3BE90E7E">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总量控制项目</w:t>
                  </w:r>
                </w:p>
              </w:tc>
              <w:tc>
                <w:tcPr>
                  <w:tcW w:w="0" w:type="auto"/>
                  <w:tcBorders>
                    <w:tl2br w:val="nil"/>
                    <w:tr2bl w:val="nil"/>
                  </w:tcBorders>
                  <w:noWrap w:val="0"/>
                  <w:vAlign w:val="center"/>
                </w:tcPr>
                <w:p w14:paraId="77283CE7">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预测排放量总量(t/a)</w:t>
                  </w:r>
                </w:p>
              </w:tc>
              <w:tc>
                <w:tcPr>
                  <w:tcW w:w="0" w:type="auto"/>
                  <w:tcBorders>
                    <w:tl2br w:val="nil"/>
                    <w:tr2bl w:val="nil"/>
                  </w:tcBorders>
                  <w:noWrap w:val="0"/>
                  <w:vAlign w:val="center"/>
                </w:tcPr>
                <w:p w14:paraId="22FD6F3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建议申请总量(</w:t>
                  </w:r>
                  <w:r>
                    <w:rPr>
                      <w:rFonts w:hint="eastAsia"/>
                      <w:color w:val="000000" w:themeColor="text1"/>
                      <w:szCs w:val="21"/>
                      <w:highlight w:val="none"/>
                      <w14:textFill>
                        <w14:solidFill>
                          <w14:schemeClr w14:val="tx1"/>
                        </w14:solidFill>
                      </w14:textFill>
                    </w:rPr>
                    <w:t>t</w:t>
                  </w:r>
                  <w:r>
                    <w:rPr>
                      <w:color w:val="000000" w:themeColor="text1"/>
                      <w:szCs w:val="21"/>
                      <w:highlight w:val="none"/>
                      <w14:textFill>
                        <w14:solidFill>
                          <w14:schemeClr w14:val="tx1"/>
                        </w14:solidFill>
                      </w14:textFill>
                    </w:rPr>
                    <w:t>/a)</w:t>
                  </w:r>
                </w:p>
              </w:tc>
              <w:tc>
                <w:tcPr>
                  <w:tcW w:w="0" w:type="auto"/>
                  <w:tcBorders>
                    <w:tl2br w:val="nil"/>
                    <w:tr2bl w:val="nil"/>
                  </w:tcBorders>
                  <w:noWrap w:val="0"/>
                  <w:vAlign w:val="center"/>
                </w:tcPr>
                <w:p w14:paraId="6FD34B79">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r>
            <w:tr w14:paraId="38C8A5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14:paraId="35156A7D">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w:t>
                  </w:r>
                </w:p>
              </w:tc>
              <w:tc>
                <w:tcPr>
                  <w:tcW w:w="0" w:type="auto"/>
                  <w:vMerge w:val="restart"/>
                  <w:tcBorders>
                    <w:tl2br w:val="nil"/>
                    <w:tr2bl w:val="nil"/>
                  </w:tcBorders>
                  <w:noWrap w:val="0"/>
                  <w:vAlign w:val="center"/>
                </w:tcPr>
                <w:p w14:paraId="1422F8B4">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非约束控制指标</w:t>
                  </w:r>
                </w:p>
              </w:tc>
              <w:tc>
                <w:tcPr>
                  <w:tcW w:w="0" w:type="auto"/>
                  <w:tcBorders>
                    <w:tl2br w:val="nil"/>
                    <w:tr2bl w:val="nil"/>
                  </w:tcBorders>
                  <w:noWrap w:val="0"/>
                  <w:vAlign w:val="center"/>
                </w:tcPr>
                <w:p w14:paraId="4609D73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w:t>
                  </w:r>
                  <w:r>
                    <w:rPr>
                      <w:rFonts w:hint="eastAsia"/>
                      <w:color w:val="000000" w:themeColor="text1"/>
                      <w:szCs w:val="21"/>
                      <w:highlight w:val="none"/>
                      <w14:textFill>
                        <w14:solidFill>
                          <w14:schemeClr w14:val="tx1"/>
                        </w14:solidFill>
                      </w14:textFill>
                    </w:rPr>
                    <w:t>甲</w:t>
                  </w:r>
                  <w:r>
                    <w:rPr>
                      <w:color w:val="000000" w:themeColor="text1"/>
                      <w:szCs w:val="21"/>
                      <w:highlight w:val="none"/>
                      <w14:textFill>
                        <w14:solidFill>
                          <w14:schemeClr w14:val="tx1"/>
                        </w14:solidFill>
                      </w14:textFill>
                    </w:rPr>
                    <w:t>烷总烃</w:t>
                  </w:r>
                </w:p>
              </w:tc>
              <w:tc>
                <w:tcPr>
                  <w:tcW w:w="0" w:type="auto"/>
                  <w:tcBorders>
                    <w:tl2br w:val="nil"/>
                    <w:tr2bl w:val="nil"/>
                  </w:tcBorders>
                  <w:noWrap w:val="0"/>
                  <w:vAlign w:val="center"/>
                </w:tcPr>
                <w:p w14:paraId="7F344D27">
                  <w:pPr>
                    <w:jc w:val="center"/>
                    <w:rPr>
                      <w:rFonts w:hint="default" w:eastAsia="宋体"/>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c>
                <w:tcPr>
                  <w:tcW w:w="1409" w:type="dxa"/>
                  <w:tcBorders>
                    <w:tl2br w:val="nil"/>
                    <w:tr2bl w:val="nil"/>
                  </w:tcBorders>
                  <w:noWrap w:val="0"/>
                  <w:vAlign w:val="center"/>
                </w:tcPr>
                <w:p w14:paraId="690B3A59">
                  <w:pPr>
                    <w:jc w:val="center"/>
                    <w:rPr>
                      <w:color w:val="000000" w:themeColor="text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c>
                <w:tcPr>
                  <w:tcW w:w="0" w:type="auto"/>
                  <w:tcBorders>
                    <w:tl2br w:val="nil"/>
                    <w:tr2bl w:val="nil"/>
                  </w:tcBorders>
                  <w:noWrap w:val="0"/>
                  <w:vAlign w:val="center"/>
                </w:tcPr>
                <w:p w14:paraId="606FADC5">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0CBB9E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071C65D3">
                  <w:pPr>
                    <w:jc w:val="center"/>
                    <w:rPr>
                      <w:rFonts w:hint="eastAsia"/>
                      <w:color w:val="000000" w:themeColor="text1"/>
                      <w:szCs w:val="21"/>
                      <w:highlight w:val="none"/>
                      <w14:textFill>
                        <w14:solidFill>
                          <w14:schemeClr w14:val="tx1"/>
                        </w14:solidFill>
                      </w14:textFill>
                    </w:rPr>
                  </w:pPr>
                </w:p>
              </w:tc>
              <w:tc>
                <w:tcPr>
                  <w:tcW w:w="0" w:type="auto"/>
                  <w:vMerge w:val="continue"/>
                  <w:tcBorders>
                    <w:tl2br w:val="nil"/>
                    <w:tr2bl w:val="nil"/>
                  </w:tcBorders>
                  <w:noWrap w:val="0"/>
                  <w:vAlign w:val="center"/>
                </w:tcPr>
                <w:p w14:paraId="3201541F">
                  <w:pPr>
                    <w:jc w:val="center"/>
                    <w:rPr>
                      <w:rFonts w:hint="eastAsia"/>
                      <w:color w:val="000000" w:themeColor="text1"/>
                      <w:szCs w:val="21"/>
                      <w:highlight w:val="none"/>
                      <w14:textFill>
                        <w14:solidFill>
                          <w14:schemeClr w14:val="tx1"/>
                        </w14:solidFill>
                      </w14:textFill>
                    </w:rPr>
                  </w:pPr>
                </w:p>
              </w:tc>
              <w:tc>
                <w:tcPr>
                  <w:tcW w:w="0" w:type="auto"/>
                  <w:tcBorders>
                    <w:tl2br w:val="nil"/>
                    <w:tr2bl w:val="nil"/>
                  </w:tcBorders>
                  <w:noWrap w:val="0"/>
                  <w:vAlign w:val="center"/>
                </w:tcPr>
                <w:p w14:paraId="44676611">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二甲苯</w:t>
                  </w:r>
                </w:p>
              </w:tc>
              <w:tc>
                <w:tcPr>
                  <w:tcW w:w="0" w:type="auto"/>
                  <w:tcBorders>
                    <w:tl2br w:val="nil"/>
                    <w:tr2bl w:val="nil"/>
                  </w:tcBorders>
                  <w:noWrap w:val="0"/>
                  <w:vAlign w:val="center"/>
                </w:tcPr>
                <w:p w14:paraId="0B4E7722">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c>
                <w:tcPr>
                  <w:tcW w:w="1409" w:type="dxa"/>
                  <w:tcBorders>
                    <w:tl2br w:val="nil"/>
                    <w:tr2bl w:val="nil"/>
                  </w:tcBorders>
                  <w:noWrap w:val="0"/>
                  <w:vAlign w:val="center"/>
                </w:tcPr>
                <w:p w14:paraId="2348FA29">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c>
                <w:tcPr>
                  <w:tcW w:w="0" w:type="auto"/>
                  <w:tcBorders>
                    <w:tl2br w:val="nil"/>
                    <w:tr2bl w:val="nil"/>
                  </w:tcBorders>
                  <w:noWrap w:val="0"/>
                  <w:vAlign w:val="center"/>
                </w:tcPr>
                <w:p w14:paraId="4C97AB48">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6C45F0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1FD436D2">
                  <w:pPr>
                    <w:jc w:val="center"/>
                    <w:rPr>
                      <w:rFonts w:hint="eastAsia"/>
                      <w:color w:val="000000" w:themeColor="text1"/>
                      <w:szCs w:val="21"/>
                      <w:highlight w:val="none"/>
                      <w14:textFill>
                        <w14:solidFill>
                          <w14:schemeClr w14:val="tx1"/>
                        </w14:solidFill>
                      </w14:textFill>
                    </w:rPr>
                  </w:pPr>
                </w:p>
              </w:tc>
              <w:tc>
                <w:tcPr>
                  <w:tcW w:w="0" w:type="auto"/>
                  <w:vMerge w:val="continue"/>
                  <w:tcBorders>
                    <w:tl2br w:val="nil"/>
                    <w:tr2bl w:val="nil"/>
                  </w:tcBorders>
                  <w:noWrap w:val="0"/>
                  <w:vAlign w:val="center"/>
                </w:tcPr>
                <w:p w14:paraId="5A8C27F1">
                  <w:pPr>
                    <w:jc w:val="center"/>
                    <w:rPr>
                      <w:rFonts w:hint="eastAsia"/>
                      <w:color w:val="000000" w:themeColor="text1"/>
                      <w:szCs w:val="21"/>
                      <w:highlight w:val="none"/>
                      <w14:textFill>
                        <w14:solidFill>
                          <w14:schemeClr w14:val="tx1"/>
                        </w14:solidFill>
                      </w14:textFill>
                    </w:rPr>
                  </w:pPr>
                </w:p>
              </w:tc>
              <w:tc>
                <w:tcPr>
                  <w:tcW w:w="0" w:type="auto"/>
                  <w:gridSpan w:val="2"/>
                  <w:tcBorders>
                    <w:tl2br w:val="nil"/>
                    <w:tr2bl w:val="nil"/>
                  </w:tcBorders>
                  <w:noWrap w:val="0"/>
                  <w:vAlign w:val="center"/>
                </w:tcPr>
                <w:p w14:paraId="1A250D3D">
                  <w:pPr>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VOC</w:t>
                  </w:r>
                  <w:r>
                    <w:rPr>
                      <w:color w:val="000000" w:themeColor="text1"/>
                      <w:szCs w:val="21"/>
                      <w:highlight w:val="none"/>
                      <w:vertAlign w:val="subscript"/>
                      <w14:textFill>
                        <w14:solidFill>
                          <w14:schemeClr w14:val="tx1"/>
                        </w14:solidFill>
                      </w14:textFill>
                    </w:rPr>
                    <w:t>S</w:t>
                  </w:r>
                  <w:r>
                    <w:rPr>
                      <w:color w:val="000000" w:themeColor="text1"/>
                      <w:szCs w:val="21"/>
                      <w:highlight w:val="none"/>
                      <w14:textFill>
                        <w14:solidFill>
                          <w14:schemeClr w14:val="tx1"/>
                        </w14:solidFill>
                      </w14:textFill>
                    </w:rPr>
                    <w:t>合计</w:t>
                  </w:r>
                </w:p>
              </w:tc>
              <w:tc>
                <w:tcPr>
                  <w:tcW w:w="0" w:type="auto"/>
                  <w:tcBorders>
                    <w:tl2br w:val="nil"/>
                    <w:tr2bl w:val="nil"/>
                  </w:tcBorders>
                  <w:noWrap w:val="0"/>
                  <w:vAlign w:val="center"/>
                </w:tcPr>
                <w:p w14:paraId="7DC502D3">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0.0</w:t>
                  </w:r>
                  <w:r>
                    <w:rPr>
                      <w:rFonts w:hint="eastAsia"/>
                      <w:color w:val="000000" w:themeColor="text1"/>
                      <w:szCs w:val="21"/>
                      <w:highlight w:val="none"/>
                      <w:lang w:val="en-US" w:eastAsia="zh-CN"/>
                      <w14:textFill>
                        <w14:solidFill>
                          <w14:schemeClr w14:val="tx1"/>
                        </w14:solidFill>
                      </w14:textFill>
                    </w:rPr>
                    <w:t>453</w:t>
                  </w:r>
                </w:p>
              </w:tc>
              <w:tc>
                <w:tcPr>
                  <w:tcW w:w="0" w:type="auto"/>
                  <w:tcBorders>
                    <w:tl2br w:val="nil"/>
                    <w:tr2bl w:val="nil"/>
                  </w:tcBorders>
                  <w:noWrap w:val="0"/>
                  <w:vAlign w:val="center"/>
                </w:tcPr>
                <w:p w14:paraId="24BD5BF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通过福州市福清生态环境进行申请调剂</w:t>
                  </w:r>
                </w:p>
              </w:tc>
            </w:tr>
            <w:tr w14:paraId="173284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635C8162">
                  <w:pPr>
                    <w:jc w:val="center"/>
                    <w:rPr>
                      <w:color w:val="000000" w:themeColor="text1"/>
                      <w:szCs w:val="21"/>
                      <w:highlight w:val="none"/>
                      <w14:textFill>
                        <w14:solidFill>
                          <w14:schemeClr w14:val="tx1"/>
                        </w14:solidFill>
                      </w14:textFill>
                    </w:rPr>
                  </w:pPr>
                </w:p>
              </w:tc>
              <w:tc>
                <w:tcPr>
                  <w:tcW w:w="0" w:type="auto"/>
                  <w:vMerge w:val="continue"/>
                  <w:tcBorders>
                    <w:tl2br w:val="nil"/>
                    <w:tr2bl w:val="nil"/>
                  </w:tcBorders>
                  <w:noWrap w:val="0"/>
                  <w:vAlign w:val="center"/>
                </w:tcPr>
                <w:p w14:paraId="00D7155F">
                  <w:pPr>
                    <w:jc w:val="center"/>
                    <w:rPr>
                      <w:color w:val="000000" w:themeColor="text1"/>
                      <w:szCs w:val="21"/>
                      <w:highlight w:val="none"/>
                      <w14:textFill>
                        <w14:solidFill>
                          <w14:schemeClr w14:val="tx1"/>
                        </w14:solidFill>
                      </w14:textFill>
                    </w:rPr>
                  </w:pPr>
                </w:p>
              </w:tc>
              <w:tc>
                <w:tcPr>
                  <w:tcW w:w="0" w:type="auto"/>
                  <w:tcBorders>
                    <w:tl2br w:val="nil"/>
                    <w:tr2bl w:val="nil"/>
                  </w:tcBorders>
                  <w:noWrap w:val="0"/>
                  <w:vAlign w:val="center"/>
                </w:tcPr>
                <w:p w14:paraId="6A05EB56">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0" w:type="auto"/>
                  <w:tcBorders>
                    <w:tl2br w:val="nil"/>
                    <w:tr2bl w:val="nil"/>
                  </w:tcBorders>
                  <w:noWrap w:val="0"/>
                  <w:vAlign w:val="center"/>
                </w:tcPr>
                <w:p w14:paraId="211C03B6">
                  <w:pPr>
                    <w:jc w:val="center"/>
                    <w:rPr>
                      <w:rFonts w:hint="default" w:eastAsia="宋体"/>
                      <w:color w:val="000000" w:themeColor="text1"/>
                      <w:szCs w:val="21"/>
                      <w:highlight w:val="none"/>
                      <w:lang w:val="en-US" w:eastAsia="zh-CN"/>
                      <w14:textFill>
                        <w14:solidFill>
                          <w14:schemeClr w14:val="tx1"/>
                        </w14:solidFill>
                      </w14:textFill>
                    </w:rPr>
                  </w:pPr>
                  <w:r>
                    <w:rPr>
                      <w:rFonts w:hint="eastAsia"/>
                      <w:snapToGrid w:val="0"/>
                      <w:color w:val="000000" w:themeColor="text1"/>
                      <w:kern w:val="18"/>
                      <w:highlight w:val="none"/>
                      <w:lang w:val="en-US" w:eastAsia="zh-CN"/>
                      <w14:textFill>
                        <w14:solidFill>
                          <w14:schemeClr w14:val="tx1"/>
                        </w14:solidFill>
                      </w14:textFill>
                    </w:rPr>
                    <w:t>0.05526</w:t>
                  </w:r>
                </w:p>
              </w:tc>
              <w:tc>
                <w:tcPr>
                  <w:tcW w:w="0" w:type="auto"/>
                  <w:tcBorders>
                    <w:tl2br w:val="nil"/>
                    <w:tr2bl w:val="nil"/>
                  </w:tcBorders>
                  <w:noWrap w:val="0"/>
                  <w:vAlign w:val="center"/>
                </w:tcPr>
                <w:p w14:paraId="36EC3D79">
                  <w:pPr>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0.03</w:t>
                  </w:r>
                  <w:r>
                    <w:rPr>
                      <w:rFonts w:hint="eastAsia" w:eastAsia="宋体"/>
                      <w:snapToGrid w:val="0"/>
                      <w:color w:val="000000" w:themeColor="text1"/>
                      <w:kern w:val="18"/>
                      <w:highlight w:val="none"/>
                      <w:lang w:val="en-US" w:eastAsia="zh-CN"/>
                      <w14:textFill>
                        <w14:solidFill>
                          <w14:schemeClr w14:val="tx1"/>
                        </w14:solidFill>
                      </w14:textFill>
                    </w:rPr>
                    <w:t>69</w:t>
                  </w:r>
                </w:p>
              </w:tc>
              <w:tc>
                <w:tcPr>
                  <w:tcW w:w="0" w:type="auto"/>
                  <w:tcBorders>
                    <w:tl2br w:val="nil"/>
                    <w:tr2bl w:val="nil"/>
                  </w:tcBorders>
                  <w:noWrap w:val="0"/>
                  <w:vAlign w:val="center"/>
                </w:tcPr>
                <w:p w14:paraId="54A42536">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bl>
          <w:p w14:paraId="5FF570FA">
            <w:pPr>
              <w:pStyle w:val="332"/>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根据《福州市</w:t>
            </w:r>
            <w:r>
              <w:rPr>
                <w:rFonts w:hint="eastAsia"/>
                <w:color w:val="000000" w:themeColor="text1"/>
                <w:highlight w:val="none"/>
                <w:lang w:eastAsia="zh-CN"/>
                <w14:textFill>
                  <w14:solidFill>
                    <w14:schemeClr w14:val="tx1"/>
                  </w14:solidFill>
                </w14:textFill>
              </w:rPr>
              <w:t>生态环境局</w:t>
            </w:r>
            <w:r>
              <w:rPr>
                <w:rFonts w:hint="default"/>
                <w:color w:val="000000" w:themeColor="text1"/>
                <w:highlight w:val="none"/>
                <w14:textFill>
                  <w14:solidFill>
                    <w14:schemeClr w14:val="tx1"/>
                  </w14:solidFill>
                </w14:textFill>
              </w:rPr>
              <w:t>关于印发福州市大气污染联防控联治工作方案的通知》</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榕环保综〔2018〕386号</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：VOCs排放实行区域内倍量替代，</w:t>
            </w:r>
            <w:r>
              <w:rPr>
                <w:rFonts w:hint="eastAsia"/>
                <w:color w:val="000000" w:themeColor="text1"/>
                <w:highlight w:val="none"/>
                <w:lang w:eastAsia="zh-CN"/>
                <w14:textFill>
                  <w14:solidFill>
                    <w14:schemeClr w14:val="tx1"/>
                  </w14:solidFill>
                </w14:textFill>
              </w:rPr>
              <w:t>扩建</w:t>
            </w:r>
            <w:r>
              <w:rPr>
                <w:rFonts w:hint="default"/>
                <w:color w:val="000000" w:themeColor="text1"/>
                <w:highlight w:val="none"/>
                <w14:textFill>
                  <w14:solidFill>
                    <w14:schemeClr w14:val="tx1"/>
                  </w14:solidFill>
                </w14:textFill>
              </w:rPr>
              <w:t>项目实施后污染物相关替代削减情况由建设单位向生态环境主管部门提交申请核定。</w:t>
            </w:r>
          </w:p>
          <w:p w14:paraId="640CEBC1">
            <w:pPr>
              <w:pStyle w:val="117"/>
              <w:rPr>
                <w:color w:val="000000" w:themeColor="text1"/>
                <w:szCs w:val="21"/>
                <w:highlight w:val="none"/>
                <w14:textFill>
                  <w14:solidFill>
                    <w14:schemeClr w14:val="tx1"/>
                  </w14:solidFill>
                </w14:textFill>
              </w:rPr>
            </w:pPr>
            <w:r>
              <w:rPr>
                <w:rFonts w:hint="eastAsia"/>
                <w:bCs/>
                <w:color w:val="000000" w:themeColor="text1"/>
                <w:kern w:val="0"/>
                <w:highlight w:val="none"/>
                <w:lang w:eastAsia="zh-CN"/>
                <w14:textFill>
                  <w14:solidFill>
                    <w14:schemeClr w14:val="tx1"/>
                  </w14:solidFill>
                </w14:textFill>
              </w:rPr>
              <w:t>扩建后整体</w:t>
            </w:r>
            <w:r>
              <w:rPr>
                <w:rFonts w:hint="eastAsia"/>
                <w:bCs/>
                <w:color w:val="000000" w:themeColor="text1"/>
                <w:kern w:val="0"/>
                <w:highlight w:val="none"/>
                <w14:textFill>
                  <w14:solidFill>
                    <w14:schemeClr w14:val="tx1"/>
                  </w14:solidFill>
                </w14:textFill>
              </w:rPr>
              <w:t>项目</w:t>
            </w:r>
            <w:r>
              <w:rPr>
                <w:bCs/>
                <w:color w:val="000000" w:themeColor="text1"/>
                <w:kern w:val="0"/>
                <w:highlight w:val="none"/>
                <w14:textFill>
                  <w14:solidFill>
                    <w14:schemeClr w14:val="tx1"/>
                  </w14:solidFill>
                </w14:textFill>
              </w:rPr>
              <w:t>VOC</w:t>
            </w:r>
            <w:r>
              <w:rPr>
                <w:rFonts w:hint="eastAsia"/>
                <w:bCs/>
                <w:color w:val="000000" w:themeColor="text1"/>
                <w:kern w:val="0"/>
                <w:highlight w:val="none"/>
                <w14:textFill>
                  <w14:solidFill>
                    <w14:schemeClr w14:val="tx1"/>
                  </w14:solidFill>
                </w14:textFill>
              </w:rPr>
              <w:t>s</w:t>
            </w:r>
            <w:r>
              <w:rPr>
                <w:bCs/>
                <w:color w:val="000000" w:themeColor="text1"/>
                <w:kern w:val="0"/>
                <w:highlight w:val="none"/>
                <w14:textFill>
                  <w14:solidFill>
                    <w14:schemeClr w14:val="tx1"/>
                  </w14:solidFill>
                </w14:textFill>
              </w:rPr>
              <w:t>排放量</w:t>
            </w:r>
            <w:r>
              <w:rPr>
                <w:rFonts w:hint="eastAsia"/>
                <w:bCs/>
                <w:color w:val="000000" w:themeColor="text1"/>
                <w:kern w:val="0"/>
                <w:highlight w:val="none"/>
                <w14:textFill>
                  <w14:solidFill>
                    <w14:schemeClr w14:val="tx1"/>
                  </w14:solidFill>
                </w14:textFill>
              </w:rPr>
              <w:t>总</w:t>
            </w:r>
            <w:r>
              <w:rPr>
                <w:bCs/>
                <w:color w:val="000000" w:themeColor="text1"/>
                <w:kern w:val="0"/>
                <w:highlight w:val="none"/>
                <w14:textFill>
                  <w14:solidFill>
                    <w14:schemeClr w14:val="tx1"/>
                  </w14:solidFill>
                </w14:textFill>
              </w:rPr>
              <w:t>量为</w:t>
            </w:r>
            <w:r>
              <w:rPr>
                <w:rFonts w:hint="eastAsia"/>
                <w:bCs/>
                <w:color w:val="000000" w:themeColor="text1"/>
                <w:kern w:val="0"/>
                <w:highlight w:val="none"/>
                <w14:textFill>
                  <w14:solidFill>
                    <w14:schemeClr w14:val="tx1"/>
                  </w14:solidFill>
                </w14:textFill>
              </w:rPr>
              <w:t>0.0</w:t>
            </w:r>
            <w:r>
              <w:rPr>
                <w:rFonts w:hint="eastAsia"/>
                <w:bCs/>
                <w:color w:val="000000" w:themeColor="text1"/>
                <w:kern w:val="0"/>
                <w:highlight w:val="none"/>
                <w:lang w:val="en-US" w:eastAsia="zh-CN"/>
                <w14:textFill>
                  <w14:solidFill>
                    <w14:schemeClr w14:val="tx1"/>
                  </w14:solidFill>
                </w14:textFill>
              </w:rPr>
              <w:t>453</w:t>
            </w:r>
            <w:r>
              <w:rPr>
                <w:bCs/>
                <w:color w:val="000000" w:themeColor="text1"/>
                <w:kern w:val="0"/>
                <w:highlight w:val="none"/>
                <w14:textFill>
                  <w14:solidFill>
                    <w14:schemeClr w14:val="tx1"/>
                  </w14:solidFill>
                </w14:textFill>
              </w:rPr>
              <w:t>t/a</w:t>
            </w:r>
            <w:r>
              <w:rPr>
                <w:rFonts w:hint="eastAsia"/>
                <w:bCs/>
                <w:color w:val="000000" w:themeColor="text1"/>
                <w:kern w:val="0"/>
                <w:highlight w:val="none"/>
                <w14:textFill>
                  <w14:solidFill>
                    <w14:schemeClr w14:val="tx1"/>
                  </w14:solidFill>
                </w14:textFill>
              </w:rPr>
              <w:t>。</w:t>
            </w:r>
            <w:r>
              <w:rPr>
                <w:bCs/>
                <w:color w:val="000000" w:themeColor="text1"/>
                <w:kern w:val="0"/>
                <w:highlight w:val="none"/>
                <w14:textFill>
                  <w14:solidFill>
                    <w14:schemeClr w14:val="tx1"/>
                  </w14:solidFill>
                </w14:textFill>
              </w:rPr>
              <w:t>在报环境主管部门批准认可后，</w:t>
            </w:r>
            <w:r>
              <w:rPr>
                <w:rFonts w:hint="eastAsia"/>
                <w:color w:val="000000" w:themeColor="text1"/>
                <w:highlight w:val="none"/>
                <w14:textFill>
                  <w14:solidFill>
                    <w14:schemeClr w14:val="tx1"/>
                  </w14:solidFill>
                </w14:textFill>
              </w:rPr>
              <w:t>需</w:t>
            </w:r>
            <w:r>
              <w:rPr>
                <w:color w:val="000000" w:themeColor="text1"/>
                <w:highlight w:val="none"/>
                <w14:textFill>
                  <w14:solidFill>
                    <w14:schemeClr w14:val="tx1"/>
                  </w14:solidFill>
                </w14:textFill>
              </w:rPr>
              <w:t>通过福州市福清生态环境局进行区域调剂</w:t>
            </w:r>
            <w:r>
              <w:rPr>
                <w:bCs/>
                <w:color w:val="000000" w:themeColor="text1"/>
                <w:kern w:val="0"/>
                <w:highlight w:val="none"/>
                <w14:textFill>
                  <w14:solidFill>
                    <w14:schemeClr w14:val="tx1"/>
                  </w14:solidFill>
                </w14:textFill>
              </w:rPr>
              <w:t>。</w:t>
            </w:r>
          </w:p>
        </w:tc>
      </w:tr>
    </w:tbl>
    <w:p w14:paraId="05FED34F">
      <w:pPr>
        <w:pStyle w:val="24"/>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6"/>
          <w:szCs w:val="36"/>
          <w:highlight w:val="none"/>
          <w14:textFill>
            <w14:solidFill>
              <w14:schemeClr w14:val="tx1"/>
            </w14:solidFill>
          </w14:textFill>
        </w:rPr>
        <w:br w:type="page"/>
      </w:r>
      <w:r>
        <w:rPr>
          <w:rFonts w:ascii="Times New Roman" w:hAnsi="Times New Roman" w:eastAsia="黑体"/>
          <w:snapToGrid w:val="0"/>
          <w:color w:val="000000" w:themeColor="text1"/>
          <w:sz w:val="30"/>
          <w:szCs w:val="30"/>
          <w:highlight w:val="none"/>
          <w14:textFill>
            <w14:solidFill>
              <w14:schemeClr w14:val="tx1"/>
            </w14:solidFill>
          </w14:textFill>
        </w:rPr>
        <w:t>四、主要环境影响和保护措施</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4"/>
        <w:gridCol w:w="8913"/>
      </w:tblGrid>
      <w:tr w14:paraId="4A145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569" w:type="dxa"/>
            <w:tcMar>
              <w:left w:w="28" w:type="dxa"/>
              <w:right w:w="28" w:type="dxa"/>
            </w:tcMar>
            <w:vAlign w:val="center"/>
          </w:tcPr>
          <w:p w14:paraId="76681109">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w:t>
            </w:r>
          </w:p>
          <w:p w14:paraId="517973D7">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期环</w:t>
            </w:r>
          </w:p>
          <w:p w14:paraId="4632DB00">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境保</w:t>
            </w:r>
          </w:p>
          <w:p w14:paraId="5A667C35">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护措</w:t>
            </w:r>
          </w:p>
          <w:p w14:paraId="59CB8950">
            <w:pPr>
              <w:pStyle w:val="67"/>
              <w:rPr>
                <w:bCs/>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施</w:t>
            </w:r>
          </w:p>
        </w:tc>
        <w:tc>
          <w:tcPr>
            <w:tcW w:w="8638" w:type="dxa"/>
            <w:vAlign w:val="center"/>
          </w:tcPr>
          <w:p w14:paraId="4891AC68">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4.1</w:t>
            </w:r>
            <w:r>
              <w:rPr>
                <w:rFonts w:hint="eastAsia"/>
                <w:b/>
                <w:color w:val="000000" w:themeColor="text1"/>
                <w:sz w:val="30"/>
                <w:szCs w:val="30"/>
                <w:highlight w:val="none"/>
                <w14:textFill>
                  <w14:solidFill>
                    <w14:schemeClr w14:val="tx1"/>
                  </w14:solidFill>
                </w14:textFill>
              </w:rPr>
              <w:t>施工期</w:t>
            </w:r>
            <w:r>
              <w:rPr>
                <w:b/>
                <w:color w:val="000000" w:themeColor="text1"/>
                <w:sz w:val="30"/>
                <w:szCs w:val="30"/>
                <w:highlight w:val="none"/>
                <w14:textFill>
                  <w14:solidFill>
                    <w14:schemeClr w14:val="tx1"/>
                  </w14:solidFill>
                </w14:textFill>
              </w:rPr>
              <w:t>环境影响分析及保护措施</w:t>
            </w:r>
          </w:p>
          <w:p w14:paraId="1868E196">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项目依托现有已建成工业厂房，</w:t>
            </w:r>
            <w:r>
              <w:rPr>
                <w:rFonts w:hint="eastAsia"/>
                <w:color w:val="000000" w:themeColor="text1"/>
                <w:kern w:val="0"/>
                <w:highlight w:val="none"/>
                <w14:textFill>
                  <w14:solidFill>
                    <w14:schemeClr w14:val="tx1"/>
                  </w14:solidFill>
                </w14:textFill>
              </w:rPr>
              <w:t>无施工期土建、结构等施工活动，</w:t>
            </w:r>
            <w:r>
              <w:rPr>
                <w:rFonts w:hint="eastAsia"/>
                <w:color w:val="000000" w:themeColor="text1"/>
                <w:highlight w:val="none"/>
                <w14:textFill>
                  <w14:solidFill>
                    <w14:schemeClr w14:val="tx1"/>
                  </w14:solidFill>
                </w14:textFill>
              </w:rPr>
              <w:t>项目施工期主要为设备安装及调试。项目设备调试简单</w:t>
            </w:r>
            <w:r>
              <w:rPr>
                <w:rFonts w:hint="eastAsia"/>
                <w:color w:val="000000" w:themeColor="text1"/>
                <w:highlight w:val="none"/>
                <w:lang w:eastAsia="zh-CN"/>
                <w14:textFill>
                  <w14:solidFill>
                    <w14:schemeClr w14:val="tx1"/>
                  </w14:solidFill>
                </w14:textFill>
              </w:rPr>
              <w:t>且</w:t>
            </w:r>
            <w:r>
              <w:rPr>
                <w:rFonts w:hint="eastAsia"/>
                <w:color w:val="000000" w:themeColor="text1"/>
                <w:highlight w:val="none"/>
                <w14:textFill>
                  <w14:solidFill>
                    <w14:schemeClr w14:val="tx1"/>
                  </w14:solidFill>
                </w14:textFill>
              </w:rPr>
              <w:t>时间较短，随着设备安装、调试完毕后，施工期也将结束，施工期环境影响也随着消失，不会对周边环境产生影响。</w:t>
            </w:r>
          </w:p>
        </w:tc>
      </w:tr>
      <w:tr w14:paraId="35C0B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7" w:hRule="atLeast"/>
          <w:jc w:val="center"/>
        </w:trPr>
        <w:tc>
          <w:tcPr>
            <w:tcW w:w="569" w:type="dxa"/>
            <w:tcMar>
              <w:left w:w="28" w:type="dxa"/>
              <w:right w:w="28" w:type="dxa"/>
            </w:tcMar>
            <w:vAlign w:val="center"/>
          </w:tcPr>
          <w:p w14:paraId="7D93F7F2">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运营</w:t>
            </w:r>
          </w:p>
          <w:p w14:paraId="32E1579E">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期环</w:t>
            </w:r>
          </w:p>
          <w:p w14:paraId="21954181">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境影</w:t>
            </w:r>
          </w:p>
          <w:p w14:paraId="0FA2A932">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响和</w:t>
            </w:r>
          </w:p>
          <w:p w14:paraId="032722DE">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保护</w:t>
            </w:r>
          </w:p>
          <w:p w14:paraId="6550EB49">
            <w:pPr>
              <w:pStyle w:val="67"/>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措施</w:t>
            </w:r>
          </w:p>
        </w:tc>
        <w:tc>
          <w:tcPr>
            <w:tcW w:w="8638" w:type="dxa"/>
          </w:tcPr>
          <w:p w14:paraId="645BFD4D">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4.2</w:t>
            </w:r>
            <w:r>
              <w:rPr>
                <w:rFonts w:hint="eastAsia"/>
                <w:b/>
                <w:color w:val="000000" w:themeColor="text1"/>
                <w:sz w:val="30"/>
                <w:szCs w:val="30"/>
                <w:highlight w:val="none"/>
                <w14:textFill>
                  <w14:solidFill>
                    <w14:schemeClr w14:val="tx1"/>
                  </w14:solidFill>
                </w14:textFill>
              </w:rPr>
              <w:t>运营期</w:t>
            </w:r>
            <w:r>
              <w:rPr>
                <w:b/>
                <w:color w:val="000000" w:themeColor="text1"/>
                <w:sz w:val="30"/>
                <w:szCs w:val="30"/>
                <w:highlight w:val="none"/>
                <w14:textFill>
                  <w14:solidFill>
                    <w14:schemeClr w14:val="tx1"/>
                  </w14:solidFill>
                </w14:textFill>
              </w:rPr>
              <w:t>环境影响分析及保护措施</w:t>
            </w:r>
          </w:p>
          <w:p w14:paraId="76ACFA98">
            <w:pPr>
              <w:pStyle w:val="16"/>
              <w:spacing w:after="0" w:line="360" w:lineRule="auto"/>
              <w:ind w:left="0" w:leftChars="0" w:firstLine="480" w:firstLineChars="200"/>
              <w:rPr>
                <w:rFonts w:hint="eastAsia" w:ascii="Times New Roman" w:hAnsi="Times New Roman" w:eastAsia="宋体" w:cs="Times New Roman"/>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由于</w:t>
            </w:r>
            <w:r>
              <w:rPr>
                <w:rFonts w:hint="eastAsia"/>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现有工程仅登记备案，未进行现状产排污核算及污染源监测。本次</w:t>
            </w:r>
            <w:r>
              <w:rPr>
                <w:rFonts w:hint="eastAsia" w:ascii="Times New Roman" w:hAnsi="Times New Roman" w:eastAsia="宋体" w:cs="Times New Roman"/>
                <w:color w:val="000000" w:themeColor="text1"/>
                <w:highlight w:val="none"/>
                <w:lang w:eastAsia="zh-CN"/>
                <w14:textFill>
                  <w14:solidFill>
                    <w14:schemeClr w14:val="tx1"/>
                  </w14:solidFill>
                </w14:textFill>
              </w:rPr>
              <w:t>项</w:t>
            </w:r>
            <w:r>
              <w:rPr>
                <w:rFonts w:hint="eastAsia" w:cs="Times New Roman"/>
                <w:color w:val="000000" w:themeColor="text1"/>
                <w:highlight w:val="none"/>
                <w:lang w:eastAsia="zh-CN"/>
                <w14:textFill>
                  <w14:solidFill>
                    <w14:schemeClr w14:val="tx1"/>
                  </w14:solidFill>
                </w14:textFill>
              </w:rPr>
              <w:t>目扩建</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拟在</w:t>
            </w:r>
            <w:r>
              <w:rPr>
                <w:rFonts w:hint="eastAsia" w:ascii="Times New Roman" w:hAnsi="Times New Roman" w:eastAsia="宋体" w:cs="Times New Roman"/>
                <w:color w:val="000000" w:themeColor="text1"/>
                <w:highlight w:val="none"/>
                <w:lang w:val="en-US"/>
                <w14:textFill>
                  <w14:solidFill>
                    <w14:schemeClr w14:val="tx1"/>
                  </w14:solidFill>
                </w14:textFill>
              </w:rPr>
              <w:t>1F</w:t>
            </w:r>
            <w:r>
              <w:rPr>
                <w:rFonts w:hint="eastAsia" w:cs="Times New Roman"/>
                <w:color w:val="000000" w:themeColor="text1"/>
                <w:highlight w:val="none"/>
                <w:lang w:val="en-US" w:eastAsia="zh-CN"/>
                <w14:textFill>
                  <w14:solidFill>
                    <w14:schemeClr w14:val="tx1"/>
                  </w14:solidFill>
                </w14:textFill>
              </w:rPr>
              <w:t>现有工程</w:t>
            </w:r>
            <w:r>
              <w:rPr>
                <w:rFonts w:hint="eastAsia" w:ascii="Times New Roman" w:hAnsi="Times New Roman" w:eastAsia="宋体" w:cs="Times New Roman"/>
                <w:color w:val="000000" w:themeColor="text1"/>
                <w:highlight w:val="none"/>
                <w14:textFill>
                  <w14:solidFill>
                    <w14:schemeClr w14:val="tx1"/>
                  </w14:solidFill>
                </w14:textFill>
              </w:rPr>
              <w:t>雕刻机、</w:t>
            </w:r>
            <w:r>
              <w:rPr>
                <w:rFonts w:hint="eastAsia" w:ascii="Times New Roman" w:hAnsi="Times New Roman" w:eastAsia="宋体" w:cs="Times New Roman"/>
                <w:color w:val="000000" w:themeColor="text1"/>
                <w:highlight w:val="none"/>
                <w:lang w:val="en-US"/>
                <w14:textFill>
                  <w14:solidFill>
                    <w14:schemeClr w14:val="tx1"/>
                  </w14:solidFill>
                </w14:textFill>
              </w:rPr>
              <w:t>精锯、砂光等产生粉尘颗粒物的</w:t>
            </w:r>
            <w:r>
              <w:rPr>
                <w:rFonts w:hint="eastAsia" w:ascii="Times New Roman" w:hAnsi="Times New Roman" w:eastAsia="宋体" w:cs="Times New Roman"/>
                <w:color w:val="000000" w:themeColor="text1"/>
                <w:highlight w:val="none"/>
                <w14:textFill>
                  <w14:solidFill>
                    <w14:schemeClr w14:val="tx1"/>
                  </w14:solidFill>
                </w14:textFill>
              </w:rPr>
              <w:t>设备上方</w:t>
            </w:r>
            <w:r>
              <w:rPr>
                <w:rFonts w:hint="eastAsia" w:cs="Times New Roman"/>
                <w:color w:val="000000" w:themeColor="text1"/>
                <w:highlight w:val="none"/>
                <w:lang w:val="en-US" w:eastAsia="zh-CN"/>
                <w14:textFill>
                  <w14:solidFill>
                    <w14:schemeClr w14:val="tx1"/>
                  </w14:solidFill>
                </w14:textFill>
              </w:rPr>
              <w:t>新增</w:t>
            </w:r>
            <w:r>
              <w:rPr>
                <w:rFonts w:hint="eastAsia" w:ascii="Times New Roman" w:hAnsi="Times New Roman" w:eastAsia="宋体" w:cs="Times New Roman"/>
                <w:color w:val="000000" w:themeColor="text1"/>
                <w:highlight w:val="none"/>
                <w14:textFill>
                  <w14:solidFill>
                    <w14:schemeClr w14:val="tx1"/>
                  </w14:solidFill>
                </w14:textFill>
              </w:rPr>
              <w:t>集气罩</w:t>
            </w:r>
            <w:r>
              <w:rPr>
                <w:rFonts w:hint="eastAsia"/>
                <w:color w:val="000000" w:themeColor="text1"/>
                <w:highlight w:val="none"/>
                <w:lang w:eastAsia="zh-CN"/>
                <w14:textFill>
                  <w14:solidFill>
                    <w14:schemeClr w14:val="tx1"/>
                  </w14:solidFill>
                </w14:textFill>
              </w:rPr>
              <w:t>，收集现有工程</w:t>
            </w:r>
            <w:r>
              <w:rPr>
                <w:rFonts w:hint="eastAsia"/>
                <w:color w:val="000000" w:themeColor="text1"/>
                <w:highlight w:val="none"/>
                <w14:textFill>
                  <w14:solidFill>
                    <w14:schemeClr w14:val="tx1"/>
                  </w14:solidFill>
                </w14:textFill>
              </w:rPr>
              <w:t>木工加工设备会产生的木质颗粒物</w:t>
            </w:r>
            <w:r>
              <w:rPr>
                <w:rFonts w:hint="eastAsia"/>
                <w:color w:val="000000" w:themeColor="text1"/>
                <w:highlight w:val="none"/>
                <w:lang w:eastAsia="zh-CN"/>
                <w14:textFill>
                  <w14:solidFill>
                    <w14:schemeClr w14:val="tx1"/>
                  </w14:solidFill>
                </w14:textFill>
              </w:rPr>
              <w:t>；同时与</w:t>
            </w:r>
            <w:r>
              <w:rPr>
                <w:rFonts w:hint="eastAsia" w:ascii="Times New Roman" w:hAnsi="Times New Roman" w:eastAsia="宋体" w:cs="Times New Roman"/>
                <w:color w:val="000000" w:themeColor="text1"/>
                <w:highlight w:val="none"/>
                <w:lang w:val="en-US"/>
                <w14:textFill>
                  <w14:solidFill>
                    <w14:schemeClr w14:val="tx1"/>
                  </w14:solidFill>
                </w14:textFill>
              </w:rPr>
              <w:t>3F</w:t>
            </w:r>
            <w:r>
              <w:rPr>
                <w:rFonts w:hint="eastAsia" w:cs="Times New Roman"/>
                <w:color w:val="000000" w:themeColor="text1"/>
                <w:highlight w:val="none"/>
                <w:lang w:val="en-US" w:eastAsia="zh-CN"/>
                <w14:textFill>
                  <w14:solidFill>
                    <w14:schemeClr w14:val="tx1"/>
                  </w14:solidFill>
                </w14:textFill>
              </w:rPr>
              <w:t>扩建新增的</w:t>
            </w:r>
            <w:r>
              <w:rPr>
                <w:rFonts w:hint="eastAsia" w:ascii="Times New Roman" w:hAnsi="Times New Roman" w:eastAsia="宋体" w:cs="Times New Roman"/>
                <w:color w:val="000000" w:themeColor="text1"/>
                <w:highlight w:val="none"/>
                <w:lang w:val="en-US"/>
                <w14:textFill>
                  <w14:solidFill>
                    <w14:schemeClr w14:val="tx1"/>
                  </w14:solidFill>
                </w14:textFill>
              </w:rPr>
              <w:t>砂光设备上方</w:t>
            </w:r>
            <w:r>
              <w:rPr>
                <w:rFonts w:hint="eastAsia" w:ascii="Times New Roman" w:hAnsi="Times New Roman" w:eastAsia="宋体" w:cs="Times New Roman"/>
                <w:color w:val="000000" w:themeColor="text1"/>
                <w:highlight w:val="none"/>
                <w14:textFill>
                  <w14:solidFill>
                    <w14:schemeClr w14:val="tx1"/>
                  </w14:solidFill>
                </w14:textFill>
              </w:rPr>
              <w:t>集气罩</w:t>
            </w:r>
            <w:r>
              <w:rPr>
                <w:rFonts w:hint="eastAsia" w:cs="Times New Roman"/>
                <w:color w:val="000000" w:themeColor="text1"/>
                <w:highlight w:val="none"/>
                <w:lang w:eastAsia="zh-CN"/>
                <w14:textFill>
                  <w14:solidFill>
                    <w14:schemeClr w14:val="tx1"/>
                  </w14:solidFill>
                </w14:textFill>
              </w:rPr>
              <w:t>收集的粉尘</w:t>
            </w:r>
            <w:r>
              <w:rPr>
                <w:rFonts w:hint="eastAsia" w:ascii="Times New Roman" w:hAnsi="Times New Roman" w:eastAsia="宋体" w:cs="Times New Roman"/>
                <w:color w:val="000000" w:themeColor="text1"/>
                <w:highlight w:val="none"/>
                <w14:textFill>
                  <w14:solidFill>
                    <w14:schemeClr w14:val="tx1"/>
                  </w14:solidFill>
                </w14:textFill>
              </w:rPr>
              <w:t>集中收集</w:t>
            </w:r>
            <w:r>
              <w:rPr>
                <w:rFonts w:hint="eastAsia" w:cs="Times New Roman"/>
                <w:color w:val="000000" w:themeColor="text1"/>
                <w:highlight w:val="none"/>
                <w:lang w:eastAsia="zh-CN"/>
                <w14:textFill>
                  <w14:solidFill>
                    <w14:schemeClr w14:val="tx1"/>
                  </w14:solidFill>
                </w14:textFill>
              </w:rPr>
              <w:t>后</w:t>
            </w:r>
            <w:r>
              <w:rPr>
                <w:rFonts w:hint="eastAsia" w:ascii="Times New Roman" w:hAnsi="Times New Roman" w:eastAsia="宋体" w:cs="Times New Roman"/>
                <w:color w:val="000000" w:themeColor="text1"/>
                <w:highlight w:val="none"/>
                <w14:textFill>
                  <w14:solidFill>
                    <w14:schemeClr w14:val="tx1"/>
                  </w14:solidFill>
                </w14:textFill>
              </w:rPr>
              <w:t>通过1套中央除尘器（布袋除尘设施）处理</w:t>
            </w:r>
            <w:r>
              <w:rPr>
                <w:rFonts w:hint="eastAsia" w:cs="Times New Roman"/>
                <w:color w:val="000000" w:themeColor="text1"/>
                <w:highlight w:val="none"/>
                <w:lang w:eastAsia="zh-CN"/>
                <w14:textFill>
                  <w14:solidFill>
                    <w14:schemeClr w14:val="tx1"/>
                  </w14:solidFill>
                </w14:textFill>
              </w:rPr>
              <w:t>。扩建后</w:t>
            </w:r>
            <w:r>
              <w:rPr>
                <w:rFonts w:hint="eastAsia" w:cs="Times New Roman"/>
                <w:color w:val="000000" w:themeColor="text1"/>
                <w:highlight w:val="none"/>
                <w:lang w:val="en-US" w:eastAsia="zh-CN"/>
                <w14:textFill>
                  <w14:solidFill>
                    <w14:schemeClr w14:val="tx1"/>
                  </w14:solidFill>
                </w14:textFill>
              </w:rPr>
              <w:t>1F及3F木工区废气经</w:t>
            </w:r>
            <w:r>
              <w:rPr>
                <w:rFonts w:hint="eastAsia" w:ascii="Times New Roman" w:hAnsi="Times New Roman" w:eastAsia="宋体" w:cs="Times New Roman"/>
                <w:color w:val="000000" w:themeColor="text1"/>
                <w:highlight w:val="none"/>
                <w14:textFill>
                  <w14:solidFill>
                    <w14:schemeClr w14:val="tx1"/>
                  </w14:solidFill>
                </w14:textFill>
              </w:rPr>
              <w:t>1套中央除尘器（布袋除尘设施）处理，</w:t>
            </w:r>
            <w:r>
              <w:rPr>
                <w:rFonts w:hint="eastAsia" w:cs="Times New Roman"/>
                <w:color w:val="000000" w:themeColor="text1"/>
                <w:highlight w:val="none"/>
                <w:lang w:eastAsia="zh-CN"/>
                <w14:textFill>
                  <w14:solidFill>
                    <w14:schemeClr w14:val="tx1"/>
                  </w14:solidFill>
                </w14:textFill>
              </w:rPr>
              <w:t>最终</w:t>
            </w:r>
            <w:r>
              <w:rPr>
                <w:rFonts w:hint="eastAsia" w:ascii="Times New Roman" w:hAnsi="Times New Roman" w:eastAsia="宋体" w:cs="Times New Roman"/>
                <w:color w:val="000000" w:themeColor="text1"/>
                <w:highlight w:val="none"/>
                <w14:textFill>
                  <w14:solidFill>
                    <w14:schemeClr w14:val="tx1"/>
                  </w14:solidFill>
                </w14:textFill>
              </w:rPr>
              <w:t>通过1根15m高排气筒（DA001）排放。</w:t>
            </w:r>
          </w:p>
          <w:p w14:paraId="74E619AA">
            <w:pPr>
              <w:pStyle w:val="86"/>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故本项目主要环境影响评价章节根据本项目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扩建后整体</w:t>
            </w:r>
            <w:r>
              <w:rPr>
                <w:rFonts w:hint="eastAsia" w:cs="Times New Roman"/>
                <w:color w:val="000000" w:themeColor="text1"/>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产能核算产排污，</w:t>
            </w:r>
            <w:r>
              <w:rPr>
                <w:rFonts w:hint="eastAsia" w:cs="Times New Roman"/>
                <w:color w:val="000000" w:themeColor="text1"/>
                <w:highlight w:val="none"/>
                <w:lang w:val="en-US" w:eastAsia="zh-CN"/>
                <w14:textFill>
                  <w14:solidFill>
                    <w14:schemeClr w14:val="tx1"/>
                  </w14:solidFill>
                </w14:textFill>
              </w:rPr>
              <w:t>根据扩建后整体项目</w:t>
            </w:r>
            <w:r>
              <w:rPr>
                <w:rFonts w:hint="eastAsia"/>
                <w:color w:val="000000" w:themeColor="text1"/>
                <w:highlight w:val="none"/>
                <w:lang w:eastAsia="zh-CN"/>
                <w14:textFill>
                  <w14:solidFill>
                    <w14:schemeClr w14:val="tx1"/>
                  </w14:solidFill>
                </w14:textFill>
              </w:rPr>
              <w:t>规模进行污染源强核算，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并根据扩建后配套的环境保护措施设置情况进行环境影响评价。</w:t>
            </w:r>
          </w:p>
          <w:p w14:paraId="348E4D41">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4.2.1</w:t>
            </w:r>
            <w:r>
              <w:rPr>
                <w:rFonts w:hint="eastAsia"/>
                <w:color w:val="000000" w:themeColor="text1"/>
                <w:sz w:val="28"/>
                <w:szCs w:val="28"/>
                <w:highlight w:val="none"/>
                <w14:textFill>
                  <w14:solidFill>
                    <w14:schemeClr w14:val="tx1"/>
                  </w14:solidFill>
                </w14:textFill>
              </w:rPr>
              <w:t>废水</w:t>
            </w:r>
          </w:p>
          <w:p w14:paraId="3EA24F72">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4.2.1.1</w:t>
            </w:r>
            <w:r>
              <w:rPr>
                <w:rFonts w:hint="eastAsia"/>
                <w:color w:val="000000" w:themeColor="text1"/>
                <w:highlight w:val="none"/>
                <w14:textFill>
                  <w14:solidFill>
                    <w14:schemeClr w14:val="tx1"/>
                  </w14:solidFill>
                </w14:textFill>
              </w:rPr>
              <w:t>废水污染源强</w:t>
            </w:r>
            <w:r>
              <w:rPr>
                <w:color w:val="000000" w:themeColor="text1"/>
                <w:highlight w:val="none"/>
                <w14:textFill>
                  <w14:solidFill>
                    <w14:schemeClr w14:val="tx1"/>
                  </w14:solidFill>
                </w14:textFill>
              </w:rPr>
              <w:t>分析</w:t>
            </w:r>
          </w:p>
          <w:p w14:paraId="1A4D98E2">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项目生产废水为喷漆水帘柜废水、打磨房喷淋废水、喷淋塔废水，经过项目配套废水处理设施（混凝压滤）处理后循环使用，不外排。外排废水主要为员工</w:t>
            </w:r>
            <w:r>
              <w:rPr>
                <w:color w:val="000000" w:themeColor="text1"/>
                <w:highlight w:val="none"/>
                <w14:textFill>
                  <w14:solidFill>
                    <w14:schemeClr w14:val="tx1"/>
                  </w14:solidFill>
                </w14:textFill>
              </w:rPr>
              <w:t>生活污水</w:t>
            </w: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职工人数为6人，均不住厂。</w:t>
            </w:r>
            <w:r>
              <w:rPr>
                <w:color w:val="000000" w:themeColor="text1"/>
                <w:highlight w:val="none"/>
                <w14:textFill>
                  <w14:solidFill>
                    <w14:schemeClr w14:val="tx1"/>
                  </w14:solidFill>
                </w14:textFill>
              </w:rPr>
              <w:t>根据《室外排水设计规范》</w:t>
            </w:r>
            <w:r>
              <w:rPr>
                <w:rFonts w:hint="eastAsia"/>
                <w:color w:val="000000" w:themeColor="text1"/>
                <w:highlight w:val="none"/>
                <w14:textFill>
                  <w14:solidFill>
                    <w14:schemeClr w14:val="tx1"/>
                  </w14:solidFill>
                </w14:textFill>
              </w:rPr>
              <w:t>（GB50014-2016）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不住宿职工</w:t>
            </w:r>
            <w:r>
              <w:rPr>
                <w:color w:val="000000" w:themeColor="text1"/>
                <w:highlight w:val="none"/>
                <w14:textFill>
                  <w14:solidFill>
                    <w14:schemeClr w14:val="tx1"/>
                  </w14:solidFill>
                </w14:textFill>
              </w:rPr>
              <w:t>每人每天用水量按50L/d计</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则生活用水量为</w:t>
            </w:r>
            <w:r>
              <w:rPr>
                <w:rFonts w:hint="eastAsia"/>
                <w:color w:val="000000" w:themeColor="text1"/>
                <w:highlight w:val="none"/>
                <w14:textFill>
                  <w14:solidFill>
                    <w14:schemeClr w14:val="tx1"/>
                  </w14:solidFill>
                </w14:textFill>
              </w:rPr>
              <w:t>0.3</w:t>
            </w:r>
            <w:r>
              <w:rPr>
                <w:color w:val="000000" w:themeColor="text1"/>
                <w:highlight w:val="none"/>
                <w14:textFill>
                  <w14:solidFill>
                    <w14:schemeClr w14:val="tx1"/>
                  </w14:solidFill>
                </w14:textFill>
              </w:rPr>
              <w:t>t/d，合</w:t>
            </w:r>
            <w:r>
              <w:rPr>
                <w:rFonts w:hint="eastAsia"/>
                <w:color w:val="000000" w:themeColor="text1"/>
                <w:highlight w:val="none"/>
                <w14:textFill>
                  <w14:solidFill>
                    <w14:schemeClr w14:val="tx1"/>
                  </w14:solidFill>
                </w14:textFill>
              </w:rPr>
              <w:t>78</w:t>
            </w:r>
            <w:r>
              <w:rPr>
                <w:color w:val="000000" w:themeColor="text1"/>
                <w:highlight w:val="none"/>
                <w14:textFill>
                  <w14:solidFill>
                    <w14:schemeClr w14:val="tx1"/>
                  </w14:solidFill>
                </w14:textFill>
              </w:rPr>
              <w:t>t/a（按每年生产</w:t>
            </w:r>
            <w:r>
              <w:rPr>
                <w:rFonts w:hint="eastAsia"/>
                <w:color w:val="000000" w:themeColor="text1"/>
                <w:highlight w:val="none"/>
                <w14:textFill>
                  <w14:solidFill>
                    <w14:schemeClr w14:val="tx1"/>
                  </w14:solidFill>
                </w14:textFill>
              </w:rPr>
              <w:t>260</w:t>
            </w:r>
            <w:r>
              <w:rPr>
                <w:color w:val="000000" w:themeColor="text1"/>
                <w:highlight w:val="none"/>
                <w14:textFill>
                  <w14:solidFill>
                    <w14:schemeClr w14:val="tx1"/>
                  </w14:solidFill>
                </w14:textFill>
              </w:rPr>
              <w:t>天计），生活污水排水系数按</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0%计，则</w:t>
            </w:r>
            <w:r>
              <w:rPr>
                <w:rFonts w:hint="eastAsia"/>
                <w:color w:val="000000" w:themeColor="text1"/>
                <w:highlight w:val="none"/>
                <w14:textFill>
                  <w14:solidFill>
                    <w14:schemeClr w14:val="tx1"/>
                  </w14:solidFill>
                </w14:textFill>
              </w:rPr>
              <w:t>生活</w:t>
            </w:r>
            <w:r>
              <w:rPr>
                <w:color w:val="000000" w:themeColor="text1"/>
                <w:highlight w:val="none"/>
                <w14:textFill>
                  <w14:solidFill>
                    <w14:schemeClr w14:val="tx1"/>
                  </w14:solidFill>
                </w14:textFill>
              </w:rPr>
              <w:t>污水排放量为</w:t>
            </w:r>
            <w:r>
              <w:rPr>
                <w:rFonts w:hint="eastAsia"/>
                <w:color w:val="000000" w:themeColor="text1"/>
                <w:highlight w:val="none"/>
                <w14:textFill>
                  <w14:solidFill>
                    <w14:schemeClr w14:val="tx1"/>
                  </w14:solidFill>
                </w14:textFill>
              </w:rPr>
              <w:t>0.24</w:t>
            </w:r>
            <w:r>
              <w:rPr>
                <w:color w:val="000000" w:themeColor="text1"/>
                <w:highlight w:val="none"/>
                <w14:textFill>
                  <w14:solidFill>
                    <w14:schemeClr w14:val="tx1"/>
                  </w14:solidFill>
                </w14:textFill>
              </w:rPr>
              <w:t>t/d，合</w:t>
            </w:r>
            <w:r>
              <w:rPr>
                <w:rFonts w:hint="eastAsia"/>
                <w:color w:val="000000" w:themeColor="text1"/>
                <w:highlight w:val="none"/>
                <w14:textFill>
                  <w14:solidFill>
                    <w14:schemeClr w14:val="tx1"/>
                  </w14:solidFill>
                </w14:textFill>
              </w:rPr>
              <w:t>62.4</w:t>
            </w:r>
            <w:r>
              <w:rPr>
                <w:color w:val="000000" w:themeColor="text1"/>
                <w:highlight w:val="none"/>
                <w14:textFill>
                  <w14:solidFill>
                    <w14:schemeClr w14:val="tx1"/>
                  </w14:solidFill>
                </w14:textFill>
              </w:rPr>
              <w:t>t/a（按每年生产</w:t>
            </w:r>
            <w:r>
              <w:rPr>
                <w:rFonts w:hint="eastAsia"/>
                <w:color w:val="000000" w:themeColor="text1"/>
                <w:highlight w:val="none"/>
                <w14:textFill>
                  <w14:solidFill>
                    <w14:schemeClr w14:val="tx1"/>
                  </w14:solidFill>
                </w14:textFill>
              </w:rPr>
              <w:t>260</w:t>
            </w:r>
            <w:r>
              <w:rPr>
                <w:color w:val="000000" w:themeColor="text1"/>
                <w:highlight w:val="none"/>
                <w14:textFill>
                  <w14:solidFill>
                    <w14:schemeClr w14:val="tx1"/>
                  </w14:solidFill>
                </w14:textFill>
              </w:rPr>
              <w:t>天计）。</w:t>
            </w:r>
          </w:p>
          <w:p w14:paraId="271E9208">
            <w:pPr>
              <w:pStyle w:val="282"/>
              <w:spacing w:line="360" w:lineRule="auto"/>
              <w:jc w:val="both"/>
              <w:rPr>
                <w:bCs w:val="0"/>
                <w:color w:val="000000" w:themeColor="text1"/>
                <w:highlight w:val="none"/>
                <w14:textFill>
                  <w14:solidFill>
                    <w14:schemeClr w14:val="tx1"/>
                  </w14:solidFill>
                </w14:textFill>
              </w:rPr>
            </w:pPr>
            <w:r>
              <w:rPr>
                <w:bCs w:val="0"/>
                <w:color w:val="000000" w:themeColor="text1"/>
                <w:highlight w:val="none"/>
                <w14:textFill>
                  <w14:solidFill>
                    <w14:schemeClr w14:val="tx1"/>
                  </w14:solidFill>
                </w14:textFill>
              </w:rPr>
              <w:t>生活污水水质简单，参考《给排水设计手册》（第五册城镇排水）典型生活污水水质，确定本项目污水污染物浓度为：COD</w:t>
            </w:r>
            <w:r>
              <w:rPr>
                <w:bCs w:val="0"/>
                <w:color w:val="000000" w:themeColor="text1"/>
                <w:highlight w:val="none"/>
                <w:vertAlign w:val="subscript"/>
                <w14:textFill>
                  <w14:solidFill>
                    <w14:schemeClr w14:val="tx1"/>
                  </w14:solidFill>
                </w14:textFill>
              </w:rPr>
              <w:t>Cr</w:t>
            </w:r>
            <w:r>
              <w:rPr>
                <w:bCs w:val="0"/>
                <w:color w:val="000000" w:themeColor="text1"/>
                <w:highlight w:val="none"/>
                <w14:textFill>
                  <w14:solidFill>
                    <w14:schemeClr w14:val="tx1"/>
                  </w14:solidFill>
                </w14:textFill>
              </w:rPr>
              <w:t>400mg/L、BOD</w:t>
            </w:r>
            <w:r>
              <w:rPr>
                <w:bCs w:val="0"/>
                <w:color w:val="000000" w:themeColor="text1"/>
                <w:highlight w:val="none"/>
                <w:vertAlign w:val="subscript"/>
                <w14:textFill>
                  <w14:solidFill>
                    <w14:schemeClr w14:val="tx1"/>
                  </w14:solidFill>
                </w14:textFill>
              </w:rPr>
              <w:t>5</w:t>
            </w:r>
            <w:r>
              <w:rPr>
                <w:rFonts w:hint="eastAsia"/>
                <w:bCs w:val="0"/>
                <w:color w:val="000000" w:themeColor="text1"/>
                <w:highlight w:val="none"/>
                <w14:textFill>
                  <w14:solidFill>
                    <w14:schemeClr w14:val="tx1"/>
                  </w14:solidFill>
                </w14:textFill>
              </w:rPr>
              <w:t>30</w:t>
            </w:r>
            <w:r>
              <w:rPr>
                <w:bCs w:val="0"/>
                <w:color w:val="000000" w:themeColor="text1"/>
                <w:highlight w:val="none"/>
                <w14:textFill>
                  <w14:solidFill>
                    <w14:schemeClr w14:val="tx1"/>
                  </w14:solidFill>
                </w14:textFill>
              </w:rPr>
              <w:t>0mg/L、氨氮35mg/L、SS 2</w:t>
            </w:r>
            <w:r>
              <w:rPr>
                <w:rFonts w:hint="eastAsia"/>
                <w:bCs w:val="0"/>
                <w:color w:val="000000" w:themeColor="text1"/>
                <w:highlight w:val="none"/>
                <w14:textFill>
                  <w14:solidFill>
                    <w14:schemeClr w14:val="tx1"/>
                  </w14:solidFill>
                </w14:textFill>
              </w:rPr>
              <w:t>0</w:t>
            </w:r>
            <w:r>
              <w:rPr>
                <w:bCs w:val="0"/>
                <w:color w:val="000000" w:themeColor="text1"/>
                <w:highlight w:val="none"/>
                <w14:textFill>
                  <w14:solidFill>
                    <w14:schemeClr w14:val="tx1"/>
                  </w14:solidFill>
                </w14:textFill>
              </w:rPr>
              <w:t>0mg/L</w:t>
            </w:r>
            <w:r>
              <w:rPr>
                <w:rFonts w:hint="eastAsia"/>
                <w:bCs w:val="0"/>
                <w:color w:val="000000" w:themeColor="text1"/>
                <w:highlight w:val="none"/>
                <w14:textFill>
                  <w14:solidFill>
                    <w14:schemeClr w14:val="tx1"/>
                  </w14:solidFill>
                </w14:textFill>
              </w:rPr>
              <w:t>，项目</w:t>
            </w:r>
            <w:r>
              <w:rPr>
                <w:bCs w:val="0"/>
                <w:color w:val="000000" w:themeColor="text1"/>
                <w:highlight w:val="none"/>
                <w14:textFill>
                  <w14:solidFill>
                    <w14:schemeClr w14:val="tx1"/>
                  </w14:solidFill>
                </w14:textFill>
              </w:rPr>
              <w:t>生活污水产排情况见表4.2-1。</w:t>
            </w:r>
          </w:p>
          <w:p w14:paraId="54A1E753">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表4.2-1  运营期生活污水产生和排放情况表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950"/>
              <w:gridCol w:w="2049"/>
              <w:gridCol w:w="1172"/>
              <w:gridCol w:w="1170"/>
              <w:gridCol w:w="1172"/>
              <w:gridCol w:w="1258"/>
            </w:tblGrid>
            <w:tr w14:paraId="50E6E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17" w:type="pct"/>
                  <w:vAlign w:val="center"/>
                </w:tcPr>
                <w:p w14:paraId="3D2F5E86">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污染源</w:t>
                  </w:r>
                </w:p>
              </w:tc>
              <w:tc>
                <w:tcPr>
                  <w:tcW w:w="548" w:type="pct"/>
                  <w:vAlign w:val="center"/>
                </w:tcPr>
                <w:p w14:paraId="10BDCBBE">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废水量</w:t>
                  </w:r>
                </w:p>
              </w:tc>
              <w:tc>
                <w:tcPr>
                  <w:tcW w:w="1182" w:type="pct"/>
                  <w:vAlign w:val="center"/>
                </w:tcPr>
                <w:p w14:paraId="5D245094">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项目</w:t>
                  </w:r>
                </w:p>
              </w:tc>
              <w:tc>
                <w:tcPr>
                  <w:tcW w:w="676" w:type="pct"/>
                  <w:vAlign w:val="center"/>
                </w:tcPr>
                <w:p w14:paraId="65FB70C2">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COD</w:t>
                  </w:r>
                </w:p>
              </w:tc>
              <w:tc>
                <w:tcPr>
                  <w:tcW w:w="675" w:type="pct"/>
                  <w:vAlign w:val="center"/>
                </w:tcPr>
                <w:p w14:paraId="20155981">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BOD</w:t>
                  </w:r>
                  <w:r>
                    <w:rPr>
                      <w:rFonts w:hint="eastAsia"/>
                      <w:b/>
                      <w:bCs/>
                      <w:color w:val="000000" w:themeColor="text1"/>
                      <w:szCs w:val="21"/>
                      <w:highlight w:val="none"/>
                      <w:vertAlign w:val="subscript"/>
                      <w14:textFill>
                        <w14:solidFill>
                          <w14:schemeClr w14:val="tx1"/>
                        </w14:solidFill>
                      </w14:textFill>
                    </w:rPr>
                    <w:t>5</w:t>
                  </w:r>
                </w:p>
              </w:tc>
              <w:tc>
                <w:tcPr>
                  <w:tcW w:w="676" w:type="pct"/>
                  <w:vAlign w:val="center"/>
                </w:tcPr>
                <w:p w14:paraId="115B6A19">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SS</w:t>
                  </w:r>
                </w:p>
              </w:tc>
              <w:tc>
                <w:tcPr>
                  <w:tcW w:w="726" w:type="pct"/>
                  <w:vAlign w:val="center"/>
                </w:tcPr>
                <w:p w14:paraId="5A8EAC84">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氨氮</w:t>
                  </w:r>
                </w:p>
              </w:tc>
            </w:tr>
            <w:tr w14:paraId="76425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restart"/>
                  <w:vAlign w:val="center"/>
                </w:tcPr>
                <w:p w14:paraId="1880F14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生活</w:t>
                  </w:r>
                </w:p>
                <w:p w14:paraId="445ADA0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污水</w:t>
                  </w:r>
                </w:p>
              </w:tc>
              <w:tc>
                <w:tcPr>
                  <w:tcW w:w="548" w:type="pct"/>
                  <w:vMerge w:val="restart"/>
                  <w:vAlign w:val="center"/>
                </w:tcPr>
                <w:p w14:paraId="3632F58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62.4t/a</w:t>
                  </w:r>
                </w:p>
              </w:tc>
              <w:tc>
                <w:tcPr>
                  <w:tcW w:w="1182" w:type="pct"/>
                  <w:vAlign w:val="center"/>
                </w:tcPr>
                <w:p w14:paraId="371309A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产生浓度（mg/L）</w:t>
                  </w:r>
                </w:p>
              </w:tc>
              <w:tc>
                <w:tcPr>
                  <w:tcW w:w="676" w:type="pct"/>
                  <w:vAlign w:val="center"/>
                </w:tcPr>
                <w:p w14:paraId="2B2FE53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400</w:t>
                  </w:r>
                </w:p>
              </w:tc>
              <w:tc>
                <w:tcPr>
                  <w:tcW w:w="675" w:type="pct"/>
                  <w:vAlign w:val="center"/>
                </w:tcPr>
                <w:p w14:paraId="4C0A75DD">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300</w:t>
                  </w:r>
                </w:p>
              </w:tc>
              <w:tc>
                <w:tcPr>
                  <w:tcW w:w="676" w:type="pct"/>
                  <w:vAlign w:val="center"/>
                </w:tcPr>
                <w:p w14:paraId="535D501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200</w:t>
                  </w:r>
                </w:p>
              </w:tc>
              <w:tc>
                <w:tcPr>
                  <w:tcW w:w="726" w:type="pct"/>
                  <w:vAlign w:val="center"/>
                </w:tcPr>
                <w:p w14:paraId="0A60DC0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35</w:t>
                  </w:r>
                </w:p>
              </w:tc>
            </w:tr>
            <w:tr w14:paraId="4A342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14:paraId="29F0C23B">
                  <w:pPr>
                    <w:jc w:val="center"/>
                    <w:rPr>
                      <w:color w:val="000000" w:themeColor="text1"/>
                      <w:szCs w:val="21"/>
                      <w:highlight w:val="none"/>
                      <w14:textFill>
                        <w14:solidFill>
                          <w14:schemeClr w14:val="tx1"/>
                        </w14:solidFill>
                      </w14:textFill>
                    </w:rPr>
                  </w:pPr>
                </w:p>
              </w:tc>
              <w:tc>
                <w:tcPr>
                  <w:tcW w:w="548" w:type="pct"/>
                  <w:vMerge w:val="continue"/>
                  <w:vAlign w:val="center"/>
                </w:tcPr>
                <w:p w14:paraId="0AE8C42B">
                  <w:pPr>
                    <w:jc w:val="center"/>
                    <w:rPr>
                      <w:color w:val="000000" w:themeColor="text1"/>
                      <w:szCs w:val="21"/>
                      <w:highlight w:val="none"/>
                      <w14:textFill>
                        <w14:solidFill>
                          <w14:schemeClr w14:val="tx1"/>
                        </w14:solidFill>
                      </w14:textFill>
                    </w:rPr>
                  </w:pPr>
                </w:p>
              </w:tc>
              <w:tc>
                <w:tcPr>
                  <w:tcW w:w="1182" w:type="pct"/>
                  <w:vAlign w:val="center"/>
                </w:tcPr>
                <w:p w14:paraId="59A70E5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产生量(t/a)</w:t>
                  </w:r>
                </w:p>
              </w:tc>
              <w:tc>
                <w:tcPr>
                  <w:tcW w:w="1172" w:type="dxa"/>
                  <w:vAlign w:val="bottom"/>
                </w:tcPr>
                <w:p w14:paraId="328241A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0.025 </w:t>
                  </w:r>
                </w:p>
              </w:tc>
              <w:tc>
                <w:tcPr>
                  <w:tcW w:w="1170" w:type="dxa"/>
                  <w:vAlign w:val="bottom"/>
                </w:tcPr>
                <w:p w14:paraId="24AD28DB">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0.019 </w:t>
                  </w:r>
                </w:p>
              </w:tc>
              <w:tc>
                <w:tcPr>
                  <w:tcW w:w="1172" w:type="dxa"/>
                  <w:vAlign w:val="bottom"/>
                </w:tcPr>
                <w:p w14:paraId="61DFE7A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0.012 </w:t>
                  </w:r>
                </w:p>
              </w:tc>
              <w:tc>
                <w:tcPr>
                  <w:tcW w:w="1258" w:type="dxa"/>
                  <w:vAlign w:val="bottom"/>
                </w:tcPr>
                <w:p w14:paraId="2817F06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0.002 </w:t>
                  </w:r>
                </w:p>
              </w:tc>
            </w:tr>
            <w:tr w14:paraId="1FABC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14:paraId="03FC53C5">
                  <w:pPr>
                    <w:jc w:val="center"/>
                    <w:rPr>
                      <w:color w:val="000000" w:themeColor="text1"/>
                      <w:szCs w:val="21"/>
                      <w:highlight w:val="none"/>
                      <w14:textFill>
                        <w14:solidFill>
                          <w14:schemeClr w14:val="tx1"/>
                        </w14:solidFill>
                      </w14:textFill>
                    </w:rPr>
                  </w:pPr>
                </w:p>
              </w:tc>
              <w:tc>
                <w:tcPr>
                  <w:tcW w:w="548" w:type="pct"/>
                  <w:vMerge w:val="continue"/>
                  <w:vAlign w:val="center"/>
                </w:tcPr>
                <w:p w14:paraId="24EAC0FC">
                  <w:pPr>
                    <w:jc w:val="center"/>
                    <w:rPr>
                      <w:color w:val="000000" w:themeColor="text1"/>
                      <w:szCs w:val="21"/>
                      <w:highlight w:val="none"/>
                      <w14:textFill>
                        <w14:solidFill>
                          <w14:schemeClr w14:val="tx1"/>
                        </w14:solidFill>
                      </w14:textFill>
                    </w:rPr>
                  </w:pPr>
                </w:p>
              </w:tc>
              <w:tc>
                <w:tcPr>
                  <w:tcW w:w="1182" w:type="pct"/>
                  <w:vAlign w:val="center"/>
                </w:tcPr>
                <w:p w14:paraId="451BB67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排放浓度（mg/L）</w:t>
                  </w:r>
                </w:p>
              </w:tc>
              <w:tc>
                <w:tcPr>
                  <w:tcW w:w="676" w:type="pct"/>
                  <w:vAlign w:val="bottom"/>
                </w:tcPr>
                <w:p w14:paraId="0E24D5D3">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340</w:t>
                  </w:r>
                </w:p>
              </w:tc>
              <w:tc>
                <w:tcPr>
                  <w:tcW w:w="675" w:type="pct"/>
                  <w:vAlign w:val="bottom"/>
                </w:tcPr>
                <w:p w14:paraId="06C4948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267</w:t>
                  </w:r>
                </w:p>
              </w:tc>
              <w:tc>
                <w:tcPr>
                  <w:tcW w:w="676" w:type="pct"/>
                  <w:vAlign w:val="bottom"/>
                </w:tcPr>
                <w:p w14:paraId="72BC792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106</w:t>
                  </w:r>
                </w:p>
              </w:tc>
              <w:tc>
                <w:tcPr>
                  <w:tcW w:w="726" w:type="pct"/>
                  <w:vAlign w:val="bottom"/>
                </w:tcPr>
                <w:p w14:paraId="61FC3CE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35</w:t>
                  </w:r>
                </w:p>
              </w:tc>
            </w:tr>
            <w:tr w14:paraId="40056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14:paraId="2A82B041">
                  <w:pPr>
                    <w:jc w:val="center"/>
                    <w:rPr>
                      <w:color w:val="000000" w:themeColor="text1"/>
                      <w:szCs w:val="21"/>
                      <w:highlight w:val="none"/>
                      <w14:textFill>
                        <w14:solidFill>
                          <w14:schemeClr w14:val="tx1"/>
                        </w14:solidFill>
                      </w14:textFill>
                    </w:rPr>
                  </w:pPr>
                </w:p>
              </w:tc>
              <w:tc>
                <w:tcPr>
                  <w:tcW w:w="548" w:type="pct"/>
                  <w:vMerge w:val="continue"/>
                  <w:vAlign w:val="center"/>
                </w:tcPr>
                <w:p w14:paraId="6E2B59D5">
                  <w:pPr>
                    <w:jc w:val="center"/>
                    <w:rPr>
                      <w:color w:val="000000" w:themeColor="text1"/>
                      <w:szCs w:val="21"/>
                      <w:highlight w:val="none"/>
                      <w14:textFill>
                        <w14:solidFill>
                          <w14:schemeClr w14:val="tx1"/>
                        </w14:solidFill>
                      </w14:textFill>
                    </w:rPr>
                  </w:pPr>
                </w:p>
              </w:tc>
              <w:tc>
                <w:tcPr>
                  <w:tcW w:w="1182" w:type="pct"/>
                  <w:vAlign w:val="center"/>
                </w:tcPr>
                <w:p w14:paraId="0061863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排放量(t/a)</w:t>
                  </w:r>
                </w:p>
              </w:tc>
              <w:tc>
                <w:tcPr>
                  <w:tcW w:w="1172" w:type="dxa"/>
                  <w:vAlign w:val="bottom"/>
                </w:tcPr>
                <w:p w14:paraId="763F150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0.021 </w:t>
                  </w:r>
                </w:p>
              </w:tc>
              <w:tc>
                <w:tcPr>
                  <w:tcW w:w="1170" w:type="dxa"/>
                  <w:vAlign w:val="bottom"/>
                </w:tcPr>
                <w:p w14:paraId="4F11E24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0.017 </w:t>
                  </w:r>
                </w:p>
              </w:tc>
              <w:tc>
                <w:tcPr>
                  <w:tcW w:w="1172" w:type="dxa"/>
                  <w:vAlign w:val="bottom"/>
                </w:tcPr>
                <w:p w14:paraId="247224B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0.007 </w:t>
                  </w:r>
                </w:p>
              </w:tc>
              <w:tc>
                <w:tcPr>
                  <w:tcW w:w="1258" w:type="dxa"/>
                  <w:vAlign w:val="bottom"/>
                </w:tcPr>
                <w:p w14:paraId="6931DA4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0.002 </w:t>
                  </w:r>
                </w:p>
              </w:tc>
            </w:tr>
            <w:tr w14:paraId="62B92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14:paraId="2994F758">
                  <w:pPr>
                    <w:jc w:val="center"/>
                    <w:rPr>
                      <w:color w:val="000000" w:themeColor="text1"/>
                      <w:szCs w:val="21"/>
                      <w:highlight w:val="none"/>
                      <w14:textFill>
                        <w14:solidFill>
                          <w14:schemeClr w14:val="tx1"/>
                        </w14:solidFill>
                      </w14:textFill>
                    </w:rPr>
                  </w:pPr>
                </w:p>
              </w:tc>
              <w:tc>
                <w:tcPr>
                  <w:tcW w:w="548" w:type="pct"/>
                  <w:vMerge w:val="continue"/>
                  <w:vAlign w:val="center"/>
                </w:tcPr>
                <w:p w14:paraId="7012C9F9">
                  <w:pPr>
                    <w:jc w:val="center"/>
                    <w:rPr>
                      <w:color w:val="000000" w:themeColor="text1"/>
                      <w:szCs w:val="21"/>
                      <w:highlight w:val="none"/>
                      <w14:textFill>
                        <w14:solidFill>
                          <w14:schemeClr w14:val="tx1"/>
                        </w14:solidFill>
                      </w14:textFill>
                    </w:rPr>
                  </w:pPr>
                </w:p>
              </w:tc>
              <w:tc>
                <w:tcPr>
                  <w:tcW w:w="1182" w:type="pct"/>
                  <w:vAlign w:val="center"/>
                </w:tcPr>
                <w:p w14:paraId="2C6CDC1C">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污水厂处理后排放浓度（mg/L）</w:t>
                  </w:r>
                </w:p>
              </w:tc>
              <w:tc>
                <w:tcPr>
                  <w:tcW w:w="676" w:type="pct"/>
                  <w:vAlign w:val="center"/>
                </w:tcPr>
                <w:p w14:paraId="3E941F4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50</w:t>
                  </w:r>
                </w:p>
              </w:tc>
              <w:tc>
                <w:tcPr>
                  <w:tcW w:w="675" w:type="pct"/>
                  <w:vAlign w:val="center"/>
                </w:tcPr>
                <w:p w14:paraId="421CE70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676" w:type="pct"/>
                  <w:vAlign w:val="center"/>
                </w:tcPr>
                <w:p w14:paraId="2E67D86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726" w:type="pct"/>
                  <w:vAlign w:val="center"/>
                </w:tcPr>
                <w:p w14:paraId="435AA3E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r>
            <w:tr w14:paraId="4448A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14:paraId="44E19291">
                  <w:pPr>
                    <w:jc w:val="center"/>
                    <w:rPr>
                      <w:color w:val="000000" w:themeColor="text1"/>
                      <w:szCs w:val="21"/>
                      <w:highlight w:val="none"/>
                      <w14:textFill>
                        <w14:solidFill>
                          <w14:schemeClr w14:val="tx1"/>
                        </w14:solidFill>
                      </w14:textFill>
                    </w:rPr>
                  </w:pPr>
                </w:p>
              </w:tc>
              <w:tc>
                <w:tcPr>
                  <w:tcW w:w="548" w:type="pct"/>
                  <w:vMerge w:val="continue"/>
                  <w:vAlign w:val="center"/>
                </w:tcPr>
                <w:p w14:paraId="350D420C">
                  <w:pPr>
                    <w:jc w:val="center"/>
                    <w:rPr>
                      <w:color w:val="000000" w:themeColor="text1"/>
                      <w:szCs w:val="21"/>
                      <w:highlight w:val="none"/>
                      <w14:textFill>
                        <w14:solidFill>
                          <w14:schemeClr w14:val="tx1"/>
                        </w14:solidFill>
                      </w14:textFill>
                    </w:rPr>
                  </w:pPr>
                </w:p>
              </w:tc>
              <w:tc>
                <w:tcPr>
                  <w:tcW w:w="1182" w:type="pct"/>
                  <w:vAlign w:val="center"/>
                </w:tcPr>
                <w:p w14:paraId="6F8DE87A">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排放量(t/a)</w:t>
                  </w:r>
                </w:p>
              </w:tc>
              <w:tc>
                <w:tcPr>
                  <w:tcW w:w="1172" w:type="dxa"/>
                  <w:vAlign w:val="bottom"/>
                </w:tcPr>
                <w:p w14:paraId="38D0774E">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0.003 </w:t>
                  </w:r>
                </w:p>
              </w:tc>
              <w:tc>
                <w:tcPr>
                  <w:tcW w:w="1170" w:type="dxa"/>
                  <w:vAlign w:val="bottom"/>
                </w:tcPr>
                <w:p w14:paraId="4AC67C1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0.001 </w:t>
                  </w:r>
                </w:p>
              </w:tc>
              <w:tc>
                <w:tcPr>
                  <w:tcW w:w="1172" w:type="dxa"/>
                  <w:vAlign w:val="bottom"/>
                </w:tcPr>
                <w:p w14:paraId="62C857E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0.001 </w:t>
                  </w:r>
                </w:p>
              </w:tc>
              <w:tc>
                <w:tcPr>
                  <w:tcW w:w="726" w:type="pct"/>
                  <w:vAlign w:val="center"/>
                </w:tcPr>
                <w:p w14:paraId="70C6BC64">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0.0003</w:t>
                  </w:r>
                </w:p>
              </w:tc>
            </w:tr>
            <w:tr w14:paraId="10855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64" w:type="pct"/>
                  <w:gridSpan w:val="2"/>
                  <w:vMerge w:val="restart"/>
                  <w:vAlign w:val="center"/>
                </w:tcPr>
                <w:p w14:paraId="3CF36666">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处理措施</w:t>
                  </w:r>
                </w:p>
              </w:tc>
              <w:tc>
                <w:tcPr>
                  <w:tcW w:w="3936" w:type="pct"/>
                  <w:gridSpan w:val="5"/>
                  <w:vAlign w:val="center"/>
                </w:tcPr>
                <w:p w14:paraId="5A16A0B9">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厂区化粪池</w:t>
                  </w:r>
                </w:p>
              </w:tc>
            </w:tr>
            <w:tr w14:paraId="241CD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64" w:type="pct"/>
                  <w:gridSpan w:val="2"/>
                  <w:vMerge w:val="continue"/>
                  <w:vAlign w:val="center"/>
                </w:tcPr>
                <w:p w14:paraId="1877D7D1">
                  <w:pPr>
                    <w:jc w:val="center"/>
                    <w:rPr>
                      <w:color w:val="000000" w:themeColor="text1"/>
                      <w:szCs w:val="21"/>
                      <w:highlight w:val="none"/>
                      <w14:textFill>
                        <w14:solidFill>
                          <w14:schemeClr w14:val="tx1"/>
                        </w14:solidFill>
                      </w14:textFill>
                    </w:rPr>
                  </w:pPr>
                </w:p>
              </w:tc>
              <w:tc>
                <w:tcPr>
                  <w:tcW w:w="3936" w:type="pct"/>
                  <w:gridSpan w:val="5"/>
                  <w:vAlign w:val="center"/>
                </w:tcPr>
                <w:p w14:paraId="7288C32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纳入福清融元污水处理厂</w:t>
                  </w:r>
                </w:p>
              </w:tc>
            </w:tr>
            <w:tr w14:paraId="1B9AA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000" w:type="pct"/>
                  <w:gridSpan w:val="7"/>
                  <w:vAlign w:val="center"/>
                </w:tcPr>
                <w:p w14:paraId="7823827F">
                  <w:pP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注：</w:t>
                  </w:r>
                  <w:r>
                    <w:rPr>
                      <w:rFonts w:hint="eastAsia"/>
                      <w:color w:val="000000" w:themeColor="text1"/>
                      <w:szCs w:val="21"/>
                      <w:highlight w:val="none"/>
                      <w14:textFill>
                        <w14:solidFill>
                          <w14:schemeClr w14:val="tx1"/>
                        </w14:solidFill>
                      </w14:textFill>
                    </w:rPr>
                    <w:t>福清融元污水处理厂</w:t>
                  </w:r>
                  <w:r>
                    <w:rPr>
                      <w:color w:val="000000" w:themeColor="text1"/>
                      <w:highlight w:val="none"/>
                      <w14:textFill>
                        <w14:solidFill>
                          <w14:schemeClr w14:val="tx1"/>
                        </w14:solidFill>
                      </w14:textFill>
                    </w:rPr>
                    <w:t>处理后尾水执行《城镇污水处理厂污染物排放标准》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GB18918-2002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一级</w:t>
                  </w:r>
                  <w:r>
                    <w:rPr>
                      <w:rFonts w:hint="eastAsia"/>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标准</w:t>
                  </w:r>
                  <w:r>
                    <w:rPr>
                      <w:rFonts w:hint="eastAsia"/>
                      <w:color w:val="000000" w:themeColor="text1"/>
                      <w:highlight w:val="none"/>
                      <w14:textFill>
                        <w14:solidFill>
                          <w14:schemeClr w14:val="tx1"/>
                        </w14:solidFill>
                      </w14:textFill>
                    </w:rPr>
                    <w:t>。</w:t>
                  </w:r>
                </w:p>
              </w:tc>
            </w:tr>
          </w:tbl>
          <w:p w14:paraId="117424B0">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4.2.1.2</w:t>
            </w:r>
            <w:r>
              <w:rPr>
                <w:rFonts w:hint="eastAsia"/>
                <w:color w:val="000000" w:themeColor="text1"/>
                <w:highlight w:val="none"/>
                <w14:textFill>
                  <w14:solidFill>
                    <w14:schemeClr w14:val="tx1"/>
                  </w14:solidFill>
                </w14:textFill>
              </w:rPr>
              <w:t>水</w:t>
            </w:r>
            <w:r>
              <w:rPr>
                <w:color w:val="000000" w:themeColor="text1"/>
                <w:highlight w:val="none"/>
                <w14:textFill>
                  <w14:solidFill>
                    <w14:schemeClr w14:val="tx1"/>
                  </w14:solidFill>
                </w14:textFill>
              </w:rPr>
              <w:t>环境影响分析及</w:t>
            </w:r>
            <w:r>
              <w:rPr>
                <w:rFonts w:hint="eastAsia"/>
                <w:color w:val="000000" w:themeColor="text1"/>
                <w:highlight w:val="none"/>
                <w14:textFill>
                  <w14:solidFill>
                    <w14:schemeClr w14:val="tx1"/>
                  </w14:solidFill>
                </w14:textFill>
              </w:rPr>
              <w:t>保护</w:t>
            </w:r>
            <w:r>
              <w:rPr>
                <w:color w:val="000000" w:themeColor="text1"/>
                <w:highlight w:val="none"/>
                <w14:textFill>
                  <w14:solidFill>
                    <w14:schemeClr w14:val="tx1"/>
                  </w14:solidFill>
                </w14:textFill>
              </w:rPr>
              <w:t>措施</w:t>
            </w:r>
          </w:p>
          <w:p w14:paraId="2A44780D">
            <w:pPr>
              <w:pStyle w:val="186"/>
              <w:ind w:firstLine="48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1</w:t>
            </w:r>
            <w:r>
              <w:rPr>
                <w:rFonts w:hAnsi="宋体"/>
                <w:color w:val="000000" w:themeColor="text1"/>
                <w:szCs w:val="24"/>
                <w:highlight w:val="none"/>
                <w14:textFill>
                  <w14:solidFill>
                    <w14:schemeClr w14:val="tx1"/>
                  </w14:solidFill>
                </w14:textFill>
              </w:rPr>
              <w:t>）废水排污方案</w:t>
            </w:r>
          </w:p>
          <w:p w14:paraId="751745E4">
            <w:pPr>
              <w:pStyle w:val="186"/>
              <w:ind w:firstLine="48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项目厂区内实行雨污分流，雨水经雨水管网收集后排入市政雨水管网。</w:t>
            </w:r>
            <w:r>
              <w:rPr>
                <w:rFonts w:hint="eastAsia" w:hAnsi="宋体"/>
                <w:color w:val="000000" w:themeColor="text1"/>
                <w:szCs w:val="24"/>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项目喷漆水帘柜废水、打磨房喷淋废水、喷淋塔废水经项目配套废水处理设施（混凝压滤）处理后循环使用，不外排</w:t>
            </w:r>
            <w:r>
              <w:rPr>
                <w:rFonts w:hint="eastAsia"/>
                <w:color w:val="000000" w:themeColor="text1"/>
                <w:highlight w:val="none"/>
                <w:lang w:eastAsia="zh-CN"/>
                <w14:textFill>
                  <w14:solidFill>
                    <w14:schemeClr w14:val="tx1"/>
                  </w14:solidFill>
                </w14:textFill>
              </w:rPr>
              <w:t>；</w:t>
            </w:r>
            <w:r>
              <w:rPr>
                <w:rFonts w:hAnsi="宋体"/>
                <w:color w:val="000000" w:themeColor="text1"/>
                <w:szCs w:val="24"/>
                <w:highlight w:val="none"/>
                <w14:textFill>
                  <w14:solidFill>
                    <w14:schemeClr w14:val="tx1"/>
                  </w14:solidFill>
                </w14:textFill>
              </w:rPr>
              <w:t>外排废水为生活污水，</w:t>
            </w:r>
            <w:r>
              <w:rPr>
                <w:rFonts w:hint="eastAsia" w:hAnsi="宋体"/>
                <w:color w:val="000000" w:themeColor="text1"/>
                <w:szCs w:val="24"/>
                <w:highlight w:val="none"/>
                <w14:textFill>
                  <w14:solidFill>
                    <w14:schemeClr w14:val="tx1"/>
                  </w14:solidFill>
                </w14:textFill>
              </w:rPr>
              <w:t>建成</w:t>
            </w:r>
            <w:r>
              <w:rPr>
                <w:rFonts w:hAnsi="宋体"/>
                <w:color w:val="000000" w:themeColor="text1"/>
                <w:szCs w:val="24"/>
                <w:highlight w:val="none"/>
                <w14:textFill>
                  <w14:solidFill>
                    <w14:schemeClr w14:val="tx1"/>
                  </w14:solidFill>
                </w14:textFill>
              </w:rPr>
              <w:t>后全厂生活污水排放量为</w:t>
            </w:r>
            <w:r>
              <w:rPr>
                <w:rFonts w:hint="eastAsia"/>
                <w:color w:val="000000" w:themeColor="text1"/>
                <w:highlight w:val="none"/>
                <w14:textFill>
                  <w14:solidFill>
                    <w14:schemeClr w14:val="tx1"/>
                  </w14:solidFill>
                </w14:textFill>
              </w:rPr>
              <w:t>0.24</w:t>
            </w:r>
            <w:r>
              <w:rPr>
                <w:color w:val="000000" w:themeColor="text1"/>
                <w:highlight w:val="none"/>
                <w14:textFill>
                  <w14:solidFill>
                    <w14:schemeClr w14:val="tx1"/>
                  </w14:solidFill>
                </w14:textFill>
              </w:rPr>
              <w:t>t/d，合</w:t>
            </w:r>
            <w:r>
              <w:rPr>
                <w:rFonts w:hint="eastAsia"/>
                <w:color w:val="000000" w:themeColor="text1"/>
                <w:highlight w:val="none"/>
                <w14:textFill>
                  <w14:solidFill>
                    <w14:schemeClr w14:val="tx1"/>
                  </w14:solidFill>
                </w14:textFill>
              </w:rPr>
              <w:t>62.4</w:t>
            </w:r>
            <w:r>
              <w:rPr>
                <w:color w:val="000000" w:themeColor="text1"/>
                <w:highlight w:val="none"/>
                <w14:textFill>
                  <w14:solidFill>
                    <w14:schemeClr w14:val="tx1"/>
                  </w14:solidFill>
                </w14:textFill>
              </w:rPr>
              <w:t>t/a</w:t>
            </w:r>
            <w:r>
              <w:rPr>
                <w:rFonts w:hAnsi="宋体"/>
                <w:color w:val="000000" w:themeColor="text1"/>
                <w:szCs w:val="24"/>
                <w:highlight w:val="none"/>
                <w14:textFill>
                  <w14:solidFill>
                    <w14:schemeClr w14:val="tx1"/>
                  </w14:solidFill>
                </w14:textFill>
              </w:rPr>
              <w:t>，生活污水经化粪池处理达到《污水综合排放标准》（</w:t>
            </w:r>
            <w:r>
              <w:rPr>
                <w:color w:val="000000" w:themeColor="text1"/>
                <w:szCs w:val="24"/>
                <w:highlight w:val="none"/>
                <w14:textFill>
                  <w14:solidFill>
                    <w14:schemeClr w14:val="tx1"/>
                  </w14:solidFill>
                </w14:textFill>
              </w:rPr>
              <w:t>GB8978-1996</w:t>
            </w:r>
            <w:r>
              <w:rPr>
                <w:rFonts w:hAnsi="宋体"/>
                <w:color w:val="000000" w:themeColor="text1"/>
                <w:szCs w:val="24"/>
                <w:highlight w:val="none"/>
                <w14:textFill>
                  <w14:solidFill>
                    <w14:schemeClr w14:val="tx1"/>
                  </w14:solidFill>
                </w14:textFill>
              </w:rPr>
              <w:t>）表</w:t>
            </w:r>
            <w:r>
              <w:rPr>
                <w:color w:val="000000" w:themeColor="text1"/>
                <w:szCs w:val="24"/>
                <w:highlight w:val="none"/>
                <w14:textFill>
                  <w14:solidFill>
                    <w14:schemeClr w14:val="tx1"/>
                  </w14:solidFill>
                </w14:textFill>
              </w:rPr>
              <w:t>4</w:t>
            </w:r>
            <w:r>
              <w:rPr>
                <w:rFonts w:hAnsi="宋体"/>
                <w:color w:val="000000" w:themeColor="text1"/>
                <w:szCs w:val="24"/>
                <w:highlight w:val="none"/>
                <w14:textFill>
                  <w14:solidFill>
                    <w14:schemeClr w14:val="tx1"/>
                  </w14:solidFill>
                </w14:textFill>
              </w:rPr>
              <w:t>中其他排污单位三级标准要求，其中氨氮达到《污水排入城镇下水道水质标准》</w:t>
            </w:r>
            <w:r>
              <w:rPr>
                <w:color w:val="000000" w:themeColor="text1"/>
                <w:szCs w:val="24"/>
                <w:highlight w:val="none"/>
                <w14:textFill>
                  <w14:solidFill>
                    <w14:schemeClr w14:val="tx1"/>
                  </w14:solidFill>
                </w14:textFill>
              </w:rPr>
              <w:t>(GB/T 31962-2015)</w:t>
            </w:r>
            <w:r>
              <w:rPr>
                <w:rFonts w:hAnsi="宋体"/>
                <w:color w:val="000000" w:themeColor="text1"/>
                <w:szCs w:val="24"/>
                <w:highlight w:val="none"/>
                <w14:textFill>
                  <w14:solidFill>
                    <w14:schemeClr w14:val="tx1"/>
                  </w14:solidFill>
                </w14:textFill>
              </w:rPr>
              <w:t>中</w:t>
            </w:r>
            <w:r>
              <w:rPr>
                <w:color w:val="000000" w:themeColor="text1"/>
                <w:szCs w:val="24"/>
                <w:highlight w:val="none"/>
                <w14:textFill>
                  <w14:solidFill>
                    <w14:schemeClr w14:val="tx1"/>
                  </w14:solidFill>
                </w14:textFill>
              </w:rPr>
              <w:t>B</w:t>
            </w:r>
            <w:r>
              <w:rPr>
                <w:rFonts w:hAnsi="宋体"/>
                <w:color w:val="000000" w:themeColor="text1"/>
                <w:szCs w:val="24"/>
                <w:highlight w:val="none"/>
                <w14:textFill>
                  <w14:solidFill>
                    <w14:schemeClr w14:val="tx1"/>
                  </w14:solidFill>
                </w14:textFill>
              </w:rPr>
              <w:t>等级标准后，排入福清市融元污水处理厂。</w:t>
            </w:r>
          </w:p>
          <w:p w14:paraId="2F7991F3">
            <w:pPr>
              <w:pStyle w:val="186"/>
              <w:numPr>
                <w:ilvl w:val="0"/>
                <w:numId w:val="4"/>
              </w:numPr>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生产废水</w:t>
            </w:r>
            <w:r>
              <w:rPr>
                <w:rFonts w:hint="eastAsia" w:eastAsia="宋体" w:cs="Times New Roman"/>
                <w:color w:val="000000" w:themeColor="text1"/>
                <w:highlight w:val="none"/>
                <w:lang w:val="en-US" w:eastAsia="zh-CN"/>
                <w14:textFill>
                  <w14:solidFill>
                    <w14:schemeClr w14:val="tx1"/>
                  </w14:solidFill>
                </w14:textFill>
              </w:rPr>
              <w:t>处理工艺及</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回用可行性</w:t>
            </w:r>
          </w:p>
          <w:p w14:paraId="0174AF0A">
            <w:pPr>
              <w:pStyle w:val="186"/>
              <w:ind w:firstLine="480"/>
              <w:rPr>
                <w:rFonts w:hint="eastAsia" w:ascii="Times New Roman" w:hAnsi="宋体" w:eastAsia="宋体" w:cs="Times New Roman"/>
                <w:color w:val="000000" w:themeColor="text1"/>
                <w:szCs w:val="24"/>
                <w:highlight w:val="none"/>
                <w:lang w:eastAsia="zh-CN"/>
                <w14:textFill>
                  <w14:solidFill>
                    <w14:schemeClr w14:val="tx1"/>
                  </w14:solidFill>
                </w14:textFill>
              </w:rPr>
            </w:pPr>
            <w:r>
              <w:rPr>
                <w:rFonts w:hint="eastAsia" w:hAnsi="宋体" w:cs="Times New Roman"/>
                <w:color w:val="000000" w:themeColor="text1"/>
                <w:szCs w:val="24"/>
                <w:highlight w:val="none"/>
                <w:lang w:eastAsia="zh-CN"/>
                <w14:textFill>
                  <w14:solidFill>
                    <w14:schemeClr w14:val="tx1"/>
                  </w14:solidFill>
                </w14:textFill>
              </w:rPr>
              <w:t>扩建</w:t>
            </w:r>
            <w:r>
              <w:rPr>
                <w:rFonts w:hint="eastAsia" w:ascii="Times New Roman" w:hAnsi="宋体" w:eastAsia="宋体" w:cs="Times New Roman"/>
                <w:color w:val="000000" w:themeColor="text1"/>
                <w:szCs w:val="24"/>
                <w:highlight w:val="none"/>
                <w14:textFill>
                  <w14:solidFill>
                    <w14:schemeClr w14:val="tx1"/>
                  </w14:solidFill>
                </w14:textFill>
              </w:rPr>
              <w:t>项目</w:t>
            </w:r>
            <w:r>
              <w:rPr>
                <w:rFonts w:hint="eastAsia" w:ascii="Times New Roman" w:hAnsi="宋体" w:eastAsia="宋体" w:cs="Times New Roman"/>
                <w:color w:val="000000" w:themeColor="text1"/>
                <w:szCs w:val="24"/>
                <w:highlight w:val="none"/>
                <w:lang w:val="en-US" w:eastAsia="zh-CN"/>
                <w14:textFill>
                  <w14:solidFill>
                    <w14:schemeClr w14:val="tx1"/>
                  </w14:solidFill>
                </w14:textFill>
              </w:rPr>
              <w:t>3层产生的</w:t>
            </w:r>
            <w:r>
              <w:rPr>
                <w:rFonts w:hint="eastAsia" w:ascii="Times New Roman" w:hAnsi="宋体" w:eastAsia="宋体" w:cs="Times New Roman"/>
                <w:color w:val="000000" w:themeColor="text1"/>
                <w:szCs w:val="24"/>
                <w:highlight w:val="none"/>
                <w14:textFill>
                  <w14:solidFill>
                    <w14:schemeClr w14:val="tx1"/>
                  </w14:solidFill>
                </w14:textFill>
              </w:rPr>
              <w:t>喷漆水帘柜废水、打磨房喷淋废水、喷淋塔废水经</w:t>
            </w:r>
            <w:r>
              <w:rPr>
                <w:rFonts w:hint="eastAsia" w:ascii="Times New Roman" w:hAnsi="宋体" w:eastAsia="宋体" w:cs="Times New Roman"/>
                <w:color w:val="000000" w:themeColor="text1"/>
                <w:szCs w:val="24"/>
                <w:highlight w:val="none"/>
                <w:lang w:eastAsia="zh-CN"/>
                <w14:textFill>
                  <w14:solidFill>
                    <w14:schemeClr w14:val="tx1"/>
                  </w14:solidFill>
                </w14:textFill>
              </w:rPr>
              <w:t>管道收集后，统一经</w:t>
            </w:r>
            <w:r>
              <w:rPr>
                <w:rFonts w:hint="eastAsia" w:ascii="Times New Roman" w:hAnsi="宋体" w:eastAsia="宋体" w:cs="Times New Roman"/>
                <w:color w:val="000000" w:themeColor="text1"/>
                <w:szCs w:val="24"/>
                <w:highlight w:val="none"/>
                <w:lang w:val="en-US" w:eastAsia="zh-CN"/>
                <w14:textFill>
                  <w14:solidFill>
                    <w14:schemeClr w14:val="tx1"/>
                  </w14:solidFill>
                </w14:textFill>
              </w:rPr>
              <w:t>1层</w:t>
            </w:r>
            <w:r>
              <w:rPr>
                <w:rFonts w:hint="eastAsia" w:ascii="Times New Roman" w:hAnsi="宋体" w:eastAsia="宋体" w:cs="Times New Roman"/>
                <w:color w:val="000000" w:themeColor="text1"/>
                <w:szCs w:val="24"/>
                <w:highlight w:val="none"/>
                <w14:textFill>
                  <w14:solidFill>
                    <w14:schemeClr w14:val="tx1"/>
                  </w14:solidFill>
                </w14:textFill>
              </w:rPr>
              <w:t>配套废水处理设施处理后循环使用，不外排</w:t>
            </w:r>
            <w:r>
              <w:rPr>
                <w:rFonts w:hint="eastAsia" w:ascii="Times New Roman" w:hAnsi="宋体" w:eastAsia="宋体" w:cs="Times New Roman"/>
                <w:color w:val="000000" w:themeColor="text1"/>
                <w:szCs w:val="24"/>
                <w:highlight w:val="none"/>
                <w:lang w:eastAsia="zh-CN"/>
                <w14:textFill>
                  <w14:solidFill>
                    <w14:schemeClr w14:val="tx1"/>
                  </w14:solidFill>
                </w14:textFill>
              </w:rPr>
              <w:t>。项目拟设置</w:t>
            </w:r>
            <w:r>
              <w:rPr>
                <w:rFonts w:hint="eastAsia" w:ascii="Times New Roman" w:hAnsi="宋体" w:eastAsia="宋体" w:cs="Times New Roman"/>
                <w:color w:val="000000" w:themeColor="text1"/>
                <w:szCs w:val="24"/>
                <w:highlight w:val="none"/>
                <w:lang w:val="en-US" w:eastAsia="zh-CN"/>
                <w14:textFill>
                  <w14:solidFill>
                    <w14:schemeClr w14:val="tx1"/>
                  </w14:solidFill>
                </w14:textFill>
              </w:rPr>
              <w:t>1套处理规模为2t/h，</w:t>
            </w:r>
            <w:r>
              <w:rPr>
                <w:rFonts w:hint="eastAsia" w:ascii="Times New Roman" w:hAnsi="宋体" w:eastAsia="宋体" w:cs="Times New Roman"/>
                <w:color w:val="000000" w:themeColor="text1"/>
                <w:szCs w:val="24"/>
                <w:highlight w:val="none"/>
                <w:lang w:eastAsia="zh-CN"/>
                <w14:textFill>
                  <w14:solidFill>
                    <w14:schemeClr w14:val="tx1"/>
                  </w14:solidFill>
                </w14:textFill>
              </w:rPr>
              <w:t>一体化污水处理设施，处理工艺：加药混凝沉淀→压滤机过滤压渣→出水流入清水池。</w:t>
            </w:r>
          </w:p>
          <w:p w14:paraId="0D12875B">
            <w:pPr>
              <w:pStyle w:val="186"/>
              <w:ind w:firstLine="480"/>
              <w:rPr>
                <w:rFonts w:hint="eastAsia" w:ascii="Times New Roman" w:hAnsi="宋体" w:eastAsia="宋体" w:cs="Times New Roman"/>
                <w:color w:val="000000" w:themeColor="text1"/>
                <w:szCs w:val="24"/>
                <w:highlight w:val="none"/>
                <w:lang w:eastAsia="zh-CN"/>
                <w14:textFill>
                  <w14:solidFill>
                    <w14:schemeClr w14:val="tx1"/>
                  </w14:solidFill>
                </w14:textFill>
              </w:rPr>
            </w:pPr>
            <w:r>
              <w:rPr>
                <w:rFonts w:hint="eastAsia" w:hAnsi="宋体" w:cs="Times New Roman"/>
                <w:color w:val="000000" w:themeColor="text1"/>
                <w:szCs w:val="24"/>
                <w:highlight w:val="none"/>
                <w:lang w:eastAsia="zh-CN"/>
                <w14:textFill>
                  <w14:solidFill>
                    <w14:schemeClr w14:val="tx1"/>
                  </w14:solidFill>
                </w14:textFill>
              </w:rPr>
              <w:t>扩建</w:t>
            </w:r>
            <w:r>
              <w:rPr>
                <w:rFonts w:hint="eastAsia" w:ascii="Times New Roman" w:hAnsi="宋体" w:eastAsia="宋体" w:cs="Times New Roman"/>
                <w:color w:val="000000" w:themeColor="text1"/>
                <w:szCs w:val="24"/>
                <w:highlight w:val="none"/>
                <w:lang w:eastAsia="zh-CN"/>
                <w14:textFill>
                  <w14:solidFill>
                    <w14:schemeClr w14:val="tx1"/>
                  </w14:solidFill>
                </w14:textFill>
              </w:rPr>
              <w:t>项目生产废水主要污染物为</w:t>
            </w:r>
            <w:r>
              <w:rPr>
                <w:rFonts w:hint="eastAsia" w:ascii="Times New Roman" w:hAnsi="宋体" w:eastAsia="宋体" w:cs="Times New Roman"/>
                <w:color w:val="000000" w:themeColor="text1"/>
                <w:szCs w:val="24"/>
                <w:highlight w:val="none"/>
                <w:lang w:val="en-US" w:eastAsia="zh-CN"/>
                <w14:textFill>
                  <w14:solidFill>
                    <w14:schemeClr w14:val="tx1"/>
                  </w14:solidFill>
                </w14:textFill>
              </w:rPr>
              <w:t>COD及</w:t>
            </w:r>
            <w:r>
              <w:rPr>
                <w:rFonts w:hint="eastAsia" w:ascii="Times New Roman" w:hAnsi="宋体" w:eastAsia="宋体" w:cs="Times New Roman"/>
                <w:color w:val="000000" w:themeColor="text1"/>
                <w:szCs w:val="24"/>
                <w:highlight w:val="none"/>
                <w:lang w:eastAsia="zh-CN"/>
                <w14:textFill>
                  <w14:solidFill>
                    <w14:schemeClr w14:val="tx1"/>
                  </w14:solidFill>
                </w14:textFill>
              </w:rPr>
              <w:t>悬浮物，经混凝沉淀处理后出水可符合生产用水要求。处理后出水暂存清水池主要用于水帘柜、打磨房补水，主要通过清水循环管道进行补充；废气喷淋塔更换排废水后用自来水补充。</w:t>
            </w:r>
          </w:p>
          <w:p w14:paraId="45C79A63">
            <w:pPr>
              <w:pStyle w:val="186"/>
              <w:ind w:firstLine="480"/>
              <w:rPr>
                <w:rFonts w:hint="eastAsia" w:ascii="Times New Roman" w:hAnsi="宋体" w:eastAsia="宋体" w:cs="Times New Roman"/>
                <w:color w:val="000000" w:themeColor="text1"/>
                <w:szCs w:val="24"/>
                <w:highlight w:val="none"/>
                <w:lang w:val="en-US" w:eastAsia="zh-CN"/>
                <w14:textFill>
                  <w14:solidFill>
                    <w14:schemeClr w14:val="tx1"/>
                  </w14:solidFill>
                </w14:textFill>
              </w:rPr>
            </w:pPr>
            <w:r>
              <w:rPr>
                <w:rFonts w:hint="eastAsia" w:ascii="Times New Roman" w:hAnsi="宋体" w:eastAsia="宋体" w:cs="Times New Roman"/>
                <w:color w:val="000000" w:themeColor="text1"/>
                <w:szCs w:val="24"/>
                <w:highlight w:val="none"/>
                <w:lang w:eastAsia="zh-CN"/>
                <w14:textFill>
                  <w14:solidFill>
                    <w14:schemeClr w14:val="tx1"/>
                  </w14:solidFill>
                </w14:textFill>
              </w:rPr>
              <w:t>综上，</w:t>
            </w:r>
            <w:r>
              <w:rPr>
                <w:rFonts w:hint="eastAsia" w:hAnsi="宋体" w:cs="Times New Roman"/>
                <w:color w:val="000000" w:themeColor="text1"/>
                <w:szCs w:val="24"/>
                <w:highlight w:val="none"/>
                <w:lang w:eastAsia="zh-CN"/>
                <w14:textFill>
                  <w14:solidFill>
                    <w14:schemeClr w14:val="tx1"/>
                  </w14:solidFill>
                </w14:textFill>
              </w:rPr>
              <w:t>扩建</w:t>
            </w:r>
            <w:r>
              <w:rPr>
                <w:rFonts w:hint="eastAsia" w:ascii="Times New Roman" w:hAnsi="宋体" w:eastAsia="宋体" w:cs="Times New Roman"/>
                <w:color w:val="000000" w:themeColor="text1"/>
                <w:szCs w:val="24"/>
                <w:highlight w:val="none"/>
                <w:lang w:eastAsia="zh-CN"/>
                <w14:textFill>
                  <w14:solidFill>
                    <w14:schemeClr w14:val="tx1"/>
                  </w14:solidFill>
                </w14:textFill>
              </w:rPr>
              <w:t>项目配套生产废水处理设施工艺及规模符合项目循环用水要求，项目生产废水可经处理后循环使用，不外排。</w:t>
            </w:r>
          </w:p>
          <w:p w14:paraId="1B15F17A">
            <w:pPr>
              <w:pStyle w:val="186"/>
              <w:ind w:firstLine="480"/>
              <w:rPr>
                <w:color w:val="000000" w:themeColor="text1"/>
                <w:szCs w:val="24"/>
                <w:highlight w:val="none"/>
                <w14:textFill>
                  <w14:solidFill>
                    <w14:schemeClr w14:val="tx1"/>
                  </w14:solidFill>
                </w14:textFill>
              </w:rPr>
            </w:pPr>
            <w:r>
              <w:rPr>
                <w:rFonts w:hint="eastAsia" w:hAnsi="宋体"/>
                <w:color w:val="000000" w:themeColor="text1"/>
                <w:szCs w:val="24"/>
                <w:highlight w:val="none"/>
                <w:lang w:eastAsia="zh-CN"/>
                <w14:textFill>
                  <w14:solidFill>
                    <w14:schemeClr w14:val="tx1"/>
                  </w14:solidFill>
                </w14:textFill>
              </w:rPr>
              <w:t>（</w:t>
            </w:r>
            <w:r>
              <w:rPr>
                <w:rFonts w:hint="eastAsia" w:hAnsi="宋体"/>
                <w:color w:val="000000" w:themeColor="text1"/>
                <w:szCs w:val="24"/>
                <w:highlight w:val="none"/>
                <w:lang w:val="en-US" w:eastAsia="zh-CN"/>
                <w14:textFill>
                  <w14:solidFill>
                    <w14:schemeClr w14:val="tx1"/>
                  </w14:solidFill>
                </w14:textFill>
              </w:rPr>
              <w:t>3</w:t>
            </w:r>
            <w:r>
              <w:rPr>
                <w:rFonts w:hint="eastAsia" w:hAnsi="宋体"/>
                <w:color w:val="000000" w:themeColor="text1"/>
                <w:szCs w:val="24"/>
                <w:highlight w:val="none"/>
                <w:lang w:eastAsia="zh-CN"/>
                <w14:textFill>
                  <w14:solidFill>
                    <w14:schemeClr w14:val="tx1"/>
                  </w14:solidFill>
                </w14:textFill>
              </w:rPr>
              <w:t>）</w:t>
            </w:r>
            <w:r>
              <w:rPr>
                <w:rFonts w:hAnsi="宋体"/>
                <w:color w:val="000000" w:themeColor="text1"/>
                <w:szCs w:val="24"/>
                <w:highlight w:val="none"/>
                <w14:textFill>
                  <w14:solidFill>
                    <w14:schemeClr w14:val="tx1"/>
                  </w14:solidFill>
                </w14:textFill>
              </w:rPr>
              <w:t>依托厂区内已建化粪池可行性</w:t>
            </w:r>
          </w:p>
          <w:p w14:paraId="42F02174">
            <w:pPr>
              <w:spacing w:line="360" w:lineRule="auto"/>
              <w:ind w:firstLine="480"/>
              <w:rPr>
                <w:rFonts w:hint="default" w:eastAsia="宋体"/>
                <w:color w:val="000000" w:themeColor="text1"/>
                <w:sz w:val="24"/>
                <w:highlight w:val="none"/>
                <w:lang w:val="en-US" w:eastAsia="zh-CN"/>
                <w14:textFill>
                  <w14:solidFill>
                    <w14:schemeClr w14:val="tx1"/>
                  </w14:solidFill>
                </w14:textFill>
              </w:rPr>
            </w:pPr>
            <w:r>
              <w:rPr>
                <w:rFonts w:hAnsi="宋体"/>
                <w:color w:val="000000" w:themeColor="text1"/>
                <w:sz w:val="24"/>
                <w:highlight w:val="none"/>
                <w14:textFill>
                  <w14:solidFill>
                    <w14:schemeClr w14:val="tx1"/>
                  </w14:solidFill>
                </w14:textFill>
              </w:rPr>
              <w:t>项目</w:t>
            </w:r>
            <w:r>
              <w:rPr>
                <w:rFonts w:hint="eastAsia" w:hAnsi="宋体"/>
                <w:color w:val="000000" w:themeColor="text1"/>
                <w:sz w:val="24"/>
                <w:highlight w:val="none"/>
                <w14:textFill>
                  <w14:solidFill>
                    <w14:schemeClr w14:val="tx1"/>
                  </w14:solidFill>
                </w14:textFill>
              </w:rPr>
              <w:t>所在</w:t>
            </w:r>
            <w:r>
              <w:rPr>
                <w:rFonts w:hint="eastAsia"/>
                <w:color w:val="000000" w:themeColor="text1"/>
                <w:sz w:val="24"/>
                <w:highlight w:val="none"/>
                <w14:textFill>
                  <w14:solidFill>
                    <w14:schemeClr w14:val="tx1"/>
                  </w14:solidFill>
                </w14:textFill>
              </w:rPr>
              <w:t>福建乐翔服饰制造有限公司内</w:t>
            </w:r>
            <w:r>
              <w:rPr>
                <w:rFonts w:hAnsi="宋体"/>
                <w:color w:val="000000" w:themeColor="text1"/>
                <w:sz w:val="24"/>
                <w:highlight w:val="none"/>
                <w14:textFill>
                  <w14:solidFill>
                    <w14:schemeClr w14:val="tx1"/>
                  </w14:solidFill>
                </w14:textFill>
              </w:rPr>
              <w:t>已建</w:t>
            </w:r>
            <w:r>
              <w:rPr>
                <w:rFonts w:hint="eastAsia"/>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座</w:t>
            </w:r>
            <w:r>
              <w:rPr>
                <w:rFonts w:hint="eastAsia"/>
                <w:color w:val="000000" w:themeColor="text1"/>
                <w:sz w:val="24"/>
                <w:highlight w:val="none"/>
                <w14:textFill>
                  <w14:solidFill>
                    <w14:schemeClr w14:val="tx1"/>
                  </w14:solidFill>
                </w14:textFill>
              </w:rPr>
              <w:t>20</w:t>
            </w:r>
            <w:r>
              <w:rPr>
                <w:color w:val="000000" w:themeColor="text1"/>
                <w:sz w:val="24"/>
                <w:highlight w:val="none"/>
                <w14:textFill>
                  <w14:solidFill>
                    <w14:schemeClr w14:val="tx1"/>
                  </w14:solidFill>
                </w14:textFill>
              </w:rPr>
              <w:t>m³</w:t>
            </w:r>
            <w:r>
              <w:rPr>
                <w:rFonts w:hAnsi="宋体"/>
                <w:color w:val="000000" w:themeColor="text1"/>
                <w:sz w:val="24"/>
                <w:highlight w:val="none"/>
                <w14:textFill>
                  <w14:solidFill>
                    <w14:schemeClr w14:val="tx1"/>
                  </w14:solidFill>
                </w14:textFill>
              </w:rPr>
              <w:t>化粪池，总容积</w:t>
            </w:r>
            <w:r>
              <w:rPr>
                <w:rFonts w:hint="eastAsia"/>
                <w:color w:val="000000" w:themeColor="text1"/>
                <w:sz w:val="24"/>
                <w:highlight w:val="none"/>
                <w14:textFill>
                  <w14:solidFill>
                    <w14:schemeClr w14:val="tx1"/>
                  </w14:solidFill>
                </w14:textFill>
              </w:rPr>
              <w:t>20</w:t>
            </w:r>
            <w:r>
              <w:rPr>
                <w:color w:val="000000" w:themeColor="text1"/>
                <w:sz w:val="24"/>
                <w:highlight w:val="none"/>
                <w14:textFill>
                  <w14:solidFill>
                    <w14:schemeClr w14:val="tx1"/>
                  </w14:solidFill>
                </w14:textFill>
              </w:rPr>
              <w:t>m³</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经调查，厂区内已入驻企业职工约100人，均不住厂，排水量约5</w:t>
            </w:r>
            <w:r>
              <w:rPr>
                <w:color w:val="000000" w:themeColor="text1"/>
                <w:sz w:val="24"/>
                <w:highlight w:val="none"/>
                <w14:textFill>
                  <w14:solidFill>
                    <w14:schemeClr w14:val="tx1"/>
                  </w14:solidFill>
                </w14:textFill>
              </w:rPr>
              <w:t>t/d</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本项目</w:t>
            </w:r>
            <w:r>
              <w:rPr>
                <w:rFonts w:hint="eastAsia" w:hAnsi="宋体"/>
                <w:color w:val="000000" w:themeColor="text1"/>
                <w:sz w:val="24"/>
                <w:highlight w:val="none"/>
                <w:lang w:eastAsia="zh-CN"/>
                <w14:textFill>
                  <w14:solidFill>
                    <w14:schemeClr w14:val="tx1"/>
                  </w14:solidFill>
                </w14:textFill>
              </w:rPr>
              <w:t>扩建后生活</w:t>
            </w:r>
            <w:r>
              <w:rPr>
                <w:rFonts w:hAnsi="宋体"/>
                <w:color w:val="000000" w:themeColor="text1"/>
                <w:sz w:val="24"/>
                <w:highlight w:val="none"/>
                <w14:textFill>
                  <w14:solidFill>
                    <w14:schemeClr w14:val="tx1"/>
                  </w14:solidFill>
                </w14:textFill>
              </w:rPr>
              <w:t>污水排放量</w:t>
            </w:r>
            <w:r>
              <w:rPr>
                <w:rFonts w:hint="eastAsia"/>
                <w:color w:val="000000" w:themeColor="text1"/>
                <w:sz w:val="24"/>
                <w:highlight w:val="none"/>
                <w14:textFill>
                  <w14:solidFill>
                    <w14:schemeClr w14:val="tx1"/>
                  </w14:solidFill>
                </w14:textFill>
              </w:rPr>
              <w:t>0.24</w:t>
            </w:r>
            <w:r>
              <w:rPr>
                <w:color w:val="000000" w:themeColor="text1"/>
                <w:sz w:val="24"/>
                <w:highlight w:val="none"/>
                <w14:textFill>
                  <w14:solidFill>
                    <w14:schemeClr w14:val="tx1"/>
                  </w14:solidFill>
                </w14:textFill>
              </w:rPr>
              <w:t>t/d</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园区</w:t>
            </w:r>
            <w:r>
              <w:rPr>
                <w:rFonts w:hAnsi="宋体"/>
                <w:color w:val="000000" w:themeColor="text1"/>
                <w:sz w:val="24"/>
                <w:highlight w:val="none"/>
                <w14:textFill>
                  <w14:solidFill>
                    <w14:schemeClr w14:val="tx1"/>
                  </w14:solidFill>
                </w14:textFill>
              </w:rPr>
              <w:t>内</w:t>
            </w:r>
            <w:r>
              <w:rPr>
                <w:rFonts w:hint="eastAsia" w:hAnsi="宋体"/>
                <w:color w:val="000000" w:themeColor="text1"/>
                <w:sz w:val="24"/>
                <w:highlight w:val="none"/>
                <w14:textFill>
                  <w14:solidFill>
                    <w14:schemeClr w14:val="tx1"/>
                  </w14:solidFill>
                </w14:textFill>
              </w:rPr>
              <w:t>配套20</w:t>
            </w:r>
            <w:r>
              <w:rPr>
                <w:color w:val="000000" w:themeColor="text1"/>
                <w:sz w:val="24"/>
                <w:highlight w:val="none"/>
                <w14:textFill>
                  <w14:solidFill>
                    <w14:schemeClr w14:val="tx1"/>
                  </w14:solidFill>
                </w14:textFill>
              </w:rPr>
              <w:t>m³</w:t>
            </w:r>
            <w:r>
              <w:rPr>
                <w:rFonts w:hAnsi="宋体"/>
                <w:color w:val="000000" w:themeColor="text1"/>
                <w:sz w:val="24"/>
                <w:highlight w:val="none"/>
                <w14:textFill>
                  <w14:solidFill>
                    <w14:schemeClr w14:val="tx1"/>
                  </w14:solidFill>
                </w14:textFill>
              </w:rPr>
              <w:t>化粪池可满足厂区内生活污水处理需求。</w:t>
            </w:r>
            <w:r>
              <w:rPr>
                <w:rFonts w:hint="eastAsia"/>
                <w:color w:val="000000" w:themeColor="text1"/>
                <w:sz w:val="24"/>
                <w:highlight w:val="none"/>
                <w14:textFill>
                  <w14:solidFill>
                    <w14:schemeClr w14:val="tx1"/>
                  </w14:solidFill>
                </w14:textFill>
              </w:rPr>
              <w:t>福建乐翔服饰制造有限公司</w:t>
            </w:r>
            <w:r>
              <w:rPr>
                <w:rFonts w:hint="eastAsia"/>
                <w:color w:val="000000" w:themeColor="text1"/>
                <w:sz w:val="24"/>
                <w:highlight w:val="none"/>
                <w:lang w:eastAsia="zh-CN"/>
                <w14:textFill>
                  <w14:solidFill>
                    <w14:schemeClr w14:val="tx1"/>
                  </w14:solidFill>
                </w14:textFill>
              </w:rPr>
              <w:t>同意本项目生活污水纳入厂区统一处理情况说明详见附件</w:t>
            </w:r>
            <w:r>
              <w:rPr>
                <w:rFonts w:hint="eastAsia"/>
                <w:color w:val="000000" w:themeColor="text1"/>
                <w:sz w:val="24"/>
                <w:highlight w:val="none"/>
                <w:lang w:val="en-US" w:eastAsia="zh-CN"/>
                <w14:textFill>
                  <w14:solidFill>
                    <w14:schemeClr w14:val="tx1"/>
                  </w14:solidFill>
                </w14:textFill>
              </w:rPr>
              <w:t>12。</w:t>
            </w:r>
          </w:p>
          <w:p w14:paraId="6DE977A3">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4</w:t>
            </w:r>
            <w:r>
              <w:rPr>
                <w:rFonts w:hAnsi="宋体"/>
                <w:color w:val="000000" w:themeColor="text1"/>
                <w:sz w:val="24"/>
                <w:highlight w:val="none"/>
                <w14:textFill>
                  <w14:solidFill>
                    <w14:schemeClr w14:val="tx1"/>
                  </w14:solidFill>
                </w14:textFill>
              </w:rPr>
              <w:t>）依托福清市融元污水厂可行性分析</w:t>
            </w:r>
          </w:p>
          <w:p w14:paraId="29DFB149">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①福清市融元污水厂概况</w:t>
            </w:r>
          </w:p>
          <w:p w14:paraId="07667890">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福清市融元污水处理厂为城市二级污水处理厂，厂址位于福清市龙山街道玉塘村，规划远期总规模为</w:t>
            </w:r>
            <w:r>
              <w:rPr>
                <w:color w:val="000000" w:themeColor="text1"/>
                <w:sz w:val="24"/>
                <w:highlight w:val="none"/>
                <w14:textFill>
                  <w14:solidFill>
                    <w14:schemeClr w14:val="tx1"/>
                  </w14:solidFill>
                </w14:textFill>
              </w:rPr>
              <w:t>18</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，工程分三期实施，现状（已实施的一期及二期工程）规模为</w:t>
            </w:r>
            <w:r>
              <w:rPr>
                <w:color w:val="000000" w:themeColor="text1"/>
                <w:sz w:val="24"/>
                <w:highlight w:val="none"/>
                <w14:textFill>
                  <w14:solidFill>
                    <w14:schemeClr w14:val="tx1"/>
                  </w14:solidFill>
                </w14:textFill>
              </w:rPr>
              <w:t>12</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，远期扩建规模为</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。工程的规划建设年限为：近期</w:t>
            </w:r>
            <w:r>
              <w:rPr>
                <w:color w:val="000000" w:themeColor="text1"/>
                <w:sz w:val="24"/>
                <w:highlight w:val="none"/>
                <w14:textFill>
                  <w14:solidFill>
                    <w14:schemeClr w14:val="tx1"/>
                  </w14:solidFill>
                </w14:textFill>
              </w:rPr>
              <w:t>2020</w:t>
            </w:r>
            <w:r>
              <w:rPr>
                <w:rFonts w:hAnsi="宋体"/>
                <w:color w:val="000000" w:themeColor="text1"/>
                <w:sz w:val="24"/>
                <w:highlight w:val="none"/>
                <w14:textFill>
                  <w14:solidFill>
                    <w14:schemeClr w14:val="tx1"/>
                  </w14:solidFill>
                </w14:textFill>
              </w:rPr>
              <w:t>年，远期</w:t>
            </w:r>
            <w:r>
              <w:rPr>
                <w:color w:val="000000" w:themeColor="text1"/>
                <w:sz w:val="24"/>
                <w:highlight w:val="none"/>
                <w14:textFill>
                  <w14:solidFill>
                    <w14:schemeClr w14:val="tx1"/>
                  </w14:solidFill>
                </w14:textFill>
              </w:rPr>
              <w:t>2030</w:t>
            </w:r>
            <w:r>
              <w:rPr>
                <w:rFonts w:hAnsi="宋体"/>
                <w:color w:val="000000" w:themeColor="text1"/>
                <w:sz w:val="24"/>
                <w:highlight w:val="none"/>
                <w14:textFill>
                  <w14:solidFill>
                    <w14:schemeClr w14:val="tx1"/>
                  </w14:solidFill>
                </w14:textFill>
              </w:rPr>
              <w:t>年。</w:t>
            </w:r>
          </w:p>
          <w:p w14:paraId="1DFB7E5C">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福清市融元污水厂现有处理规模为</w:t>
            </w:r>
            <w:r>
              <w:rPr>
                <w:color w:val="000000" w:themeColor="text1"/>
                <w:sz w:val="24"/>
                <w:highlight w:val="none"/>
                <w14:textFill>
                  <w14:solidFill>
                    <w14:schemeClr w14:val="tx1"/>
                  </w14:solidFill>
                </w14:textFill>
              </w:rPr>
              <w:t>12</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，尾水排放口设置在猪母湾西南岸，排入龙江；所产生的污泥经过带式浓缩脱水一体机处理，被送往海口镇为民生物科技公司制作成堆肥。一期工程于</w:t>
            </w:r>
            <w:r>
              <w:rPr>
                <w:color w:val="000000" w:themeColor="text1"/>
                <w:sz w:val="24"/>
                <w:highlight w:val="none"/>
                <w14:textFill>
                  <w14:solidFill>
                    <w14:schemeClr w14:val="tx1"/>
                  </w14:solidFill>
                </w14:textFill>
              </w:rPr>
              <w:t>2008</w:t>
            </w:r>
            <w:r>
              <w:rPr>
                <w:rFonts w:hAnsi="宋体"/>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月通过了竣工环保验收；二期工程于</w:t>
            </w:r>
            <w:r>
              <w:rPr>
                <w:color w:val="000000" w:themeColor="text1"/>
                <w:sz w:val="24"/>
                <w:highlight w:val="none"/>
                <w14:textFill>
                  <w14:solidFill>
                    <w14:schemeClr w14:val="tx1"/>
                  </w14:solidFill>
                </w14:textFill>
              </w:rPr>
              <w:t>2014</w:t>
            </w:r>
            <w:r>
              <w:rPr>
                <w:rFonts w:hAnsi="宋体"/>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月通过了竣工环保验收。</w:t>
            </w:r>
            <w:r>
              <w:rPr>
                <w:color w:val="000000" w:themeColor="text1"/>
                <w:sz w:val="24"/>
                <w:highlight w:val="none"/>
                <w14:textFill>
                  <w14:solidFill>
                    <w14:schemeClr w14:val="tx1"/>
                  </w14:solidFill>
                </w14:textFill>
              </w:rPr>
              <w:t>2014</w:t>
            </w:r>
            <w:r>
              <w:rPr>
                <w:rFonts w:hAnsi="宋体"/>
                <w:color w:val="000000" w:themeColor="text1"/>
                <w:sz w:val="24"/>
                <w:highlight w:val="none"/>
                <w14:textFill>
                  <w14:solidFill>
                    <w14:schemeClr w14:val="tx1"/>
                  </w14:solidFill>
                </w14:textFill>
              </w:rPr>
              <w:t>年以来福清市融元污水处理厂出水水质效果好，能够满足一级</w:t>
            </w:r>
            <w:r>
              <w:rPr>
                <w:color w:val="000000" w:themeColor="text1"/>
                <w:sz w:val="24"/>
                <w:highlight w:val="none"/>
                <w14:textFill>
                  <w14:solidFill>
                    <w14:schemeClr w14:val="tx1"/>
                  </w14:solidFill>
                </w14:textFill>
              </w:rPr>
              <w:t>B</w:t>
            </w:r>
            <w:r>
              <w:rPr>
                <w:rFonts w:hAnsi="宋体"/>
                <w:color w:val="000000" w:themeColor="text1"/>
                <w:sz w:val="24"/>
                <w:highlight w:val="none"/>
                <w14:textFill>
                  <w14:solidFill>
                    <w14:schemeClr w14:val="tx1"/>
                  </w14:solidFill>
                </w14:textFill>
              </w:rPr>
              <w:t>标准的排放要求。</w:t>
            </w:r>
          </w:p>
          <w:p w14:paraId="7996A556">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2016</w:t>
            </w:r>
            <w:r>
              <w:rPr>
                <w:rFonts w:hAnsi="宋体"/>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10</w:t>
            </w:r>
            <w:r>
              <w:rPr>
                <w:rFonts w:hAnsi="宋体"/>
                <w:color w:val="000000" w:themeColor="text1"/>
                <w:sz w:val="24"/>
                <w:highlight w:val="none"/>
                <w14:textFill>
                  <w14:solidFill>
                    <w14:schemeClr w14:val="tx1"/>
                  </w14:solidFill>
                </w14:textFill>
              </w:rPr>
              <w:t>月，福清黎阳水务有限公司对现状福清市融元污水处理厂厂内提标及改造，本次提标改造工程按近期规模</w:t>
            </w:r>
            <w:r>
              <w:rPr>
                <w:color w:val="000000" w:themeColor="text1"/>
                <w:sz w:val="24"/>
                <w:highlight w:val="none"/>
                <w14:textFill>
                  <w14:solidFill>
                    <w14:schemeClr w14:val="tx1"/>
                  </w14:solidFill>
                </w14:textFill>
              </w:rPr>
              <w:t>12.0</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设计和建设，主要技改内容：技改后一期工程降低处理负荷，污水处理规模由</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调整为</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运行，并在现有一期工程生化池基础上增设化学除磷和投加碳源措施，以进一步改善出水水质。厂区原二期工程提标后污水处理规模由</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调整为</w:t>
            </w:r>
            <w:r>
              <w:rPr>
                <w:color w:val="000000" w:themeColor="text1"/>
                <w:sz w:val="24"/>
                <w:highlight w:val="none"/>
                <w14:textFill>
                  <w14:solidFill>
                    <w14:schemeClr w14:val="tx1"/>
                  </w14:solidFill>
                </w14:textFill>
              </w:rPr>
              <w:t>8</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运行，旋流沉砂池出水与生化池进水管之间增设精细格栅间，在现有二期工程生化池基础上增设化学除磷和投加碳源措施、在缺氧池至厌氧池之间、好氧池与缺氧池之间改造污泥回流泵、在现有生化处理池基础上改造新增</w:t>
            </w:r>
            <w:r>
              <w:rPr>
                <w:color w:val="000000" w:themeColor="text1"/>
                <w:sz w:val="24"/>
                <w:highlight w:val="none"/>
                <w14:textFill>
                  <w14:solidFill>
                    <w14:schemeClr w14:val="tx1"/>
                  </w14:solidFill>
                </w14:textFill>
              </w:rPr>
              <w:t>MP-MBR</w:t>
            </w:r>
            <w:r>
              <w:rPr>
                <w:rFonts w:hAnsi="宋体"/>
                <w:color w:val="000000" w:themeColor="text1"/>
                <w:sz w:val="24"/>
                <w:highlight w:val="none"/>
                <w14:textFill>
                  <w14:solidFill>
                    <w14:schemeClr w14:val="tx1"/>
                  </w14:solidFill>
                </w14:textFill>
              </w:rPr>
              <w:t>膜系统，改造后污水处理工艺详见图</w:t>
            </w:r>
            <w:r>
              <w:rPr>
                <w:color w:val="000000" w:themeColor="text1"/>
                <w:sz w:val="24"/>
                <w:highlight w:val="none"/>
                <w14:textFill>
                  <w14:solidFill>
                    <w14:schemeClr w14:val="tx1"/>
                  </w14:solidFill>
                </w14:textFill>
              </w:rPr>
              <w:t>4.2-1</w:t>
            </w:r>
            <w:r>
              <w:rPr>
                <w:rFonts w:hAnsi="宋体"/>
                <w:color w:val="000000" w:themeColor="text1"/>
                <w:sz w:val="24"/>
                <w:highlight w:val="none"/>
                <w14:textFill>
                  <w14:solidFill>
                    <w14:schemeClr w14:val="tx1"/>
                  </w14:solidFill>
                </w14:textFill>
              </w:rPr>
              <w:t>。</w:t>
            </w:r>
          </w:p>
          <w:p w14:paraId="72A97869">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根据调查，目前福清市融元污水处理厂厂内提标及改造工程已经完成并正常使用，平均处理规模约为</w:t>
            </w:r>
            <w:r>
              <w:rPr>
                <w:color w:val="000000" w:themeColor="text1"/>
                <w:sz w:val="24"/>
                <w:highlight w:val="none"/>
                <w14:textFill>
                  <w14:solidFill>
                    <w14:schemeClr w14:val="tx1"/>
                  </w14:solidFill>
                </w14:textFill>
              </w:rPr>
              <w:t>11.85</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，处理后的尾水执行《城镇污水处理厂污染物排放标准》</w:t>
            </w:r>
            <w:r>
              <w:rPr>
                <w:color w:val="000000" w:themeColor="text1"/>
                <w:sz w:val="24"/>
                <w:highlight w:val="none"/>
                <w14:textFill>
                  <w14:solidFill>
                    <w14:schemeClr w14:val="tx1"/>
                  </w14:solidFill>
                </w14:textFill>
              </w:rPr>
              <w:t>(GB18918-2002)</w:t>
            </w:r>
            <w:r>
              <w:rPr>
                <w:rFonts w:hAnsi="宋体"/>
                <w:color w:val="000000" w:themeColor="text1"/>
                <w:sz w:val="24"/>
                <w:highlight w:val="none"/>
                <w14:textFill>
                  <w14:solidFill>
                    <w14:schemeClr w14:val="tx1"/>
                  </w14:solidFill>
                </w14:textFill>
              </w:rPr>
              <w:t>及其修改单中的一级</w:t>
            </w:r>
            <w:r>
              <w:rPr>
                <w:color w:val="000000" w:themeColor="text1"/>
                <w:sz w:val="24"/>
                <w:highlight w:val="none"/>
                <w14:textFill>
                  <w14:solidFill>
                    <w14:schemeClr w14:val="tx1"/>
                  </w14:solidFill>
                </w14:textFill>
              </w:rPr>
              <w:t>A</w:t>
            </w:r>
            <w:r>
              <w:rPr>
                <w:rFonts w:hAnsi="宋体"/>
                <w:color w:val="000000" w:themeColor="text1"/>
                <w:sz w:val="24"/>
                <w:highlight w:val="none"/>
                <w14:textFill>
                  <w14:solidFill>
                    <w14:schemeClr w14:val="tx1"/>
                  </w14:solidFill>
                </w14:textFill>
              </w:rPr>
              <w:t>标准，尾水排放龙江。</w:t>
            </w:r>
          </w:p>
          <w:p w14:paraId="3BDE5167">
            <w:pPr>
              <w:pStyle w:val="188"/>
              <w:ind w:firstLine="0" w:firstLineChars="0"/>
              <w:jc w:val="left"/>
              <w:rPr>
                <w:rFonts w:eastAsia="宋体"/>
                <w:color w:val="000000" w:themeColor="text1"/>
                <w:kern w:val="44"/>
                <w:szCs w:val="24"/>
                <w:highlight w:val="none"/>
                <w14:textFill>
                  <w14:solidFill>
                    <w14:schemeClr w14:val="tx1"/>
                  </w14:solidFill>
                </w14:textFill>
              </w:rPr>
            </w:pPr>
            <w:r>
              <w:rPr>
                <w:rFonts w:eastAsia="宋体"/>
                <w:color w:val="000000" w:themeColor="text1"/>
                <w:kern w:val="44"/>
                <w:szCs w:val="24"/>
                <w:highlight w:val="none"/>
                <w:lang w:val="en-US" w:bidi="ar-SA"/>
                <w14:textFill>
                  <w14:solidFill>
                    <w14:schemeClr w14:val="tx1"/>
                  </w14:solidFill>
                </w14:textFill>
              </w:rPr>
              <w:drawing>
                <wp:inline distT="0" distB="0" distL="0" distR="0">
                  <wp:extent cx="5556885" cy="3239135"/>
                  <wp:effectExtent l="19050" t="0" r="5137" b="0"/>
                  <wp:docPr id="42" name="图片 7" descr="C:\Users\ADMINI~1\AppData\Local\Temp\1681114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DMINI~1\AppData\Local\Temp\1681114458(1).png"/>
                          <pic:cNvPicPr>
                            <a:picLocks noChangeAspect="1" noChangeArrowheads="1"/>
                          </pic:cNvPicPr>
                        </pic:nvPicPr>
                        <pic:blipFill>
                          <a:blip r:embed="rId19"/>
                          <a:srcRect/>
                          <a:stretch>
                            <a:fillRect/>
                          </a:stretch>
                        </pic:blipFill>
                        <pic:spPr>
                          <a:xfrm>
                            <a:off x="0" y="0"/>
                            <a:ext cx="5561048" cy="3241401"/>
                          </a:xfrm>
                          <a:prstGeom prst="rect">
                            <a:avLst/>
                          </a:prstGeom>
                          <a:noFill/>
                          <a:ln w="9525">
                            <a:noFill/>
                            <a:miter lim="800000"/>
                            <a:headEnd/>
                            <a:tailEnd/>
                          </a:ln>
                        </pic:spPr>
                      </pic:pic>
                    </a:graphicData>
                  </a:graphic>
                </wp:inline>
              </w:drawing>
            </w:r>
          </w:p>
          <w:p w14:paraId="303ACEB8">
            <w:pPr>
              <w:pStyle w:val="188"/>
              <w:ind w:firstLine="482"/>
              <w:rPr>
                <w:rFonts w:eastAsia="宋体"/>
                <w:b/>
                <w:color w:val="000000" w:themeColor="text1"/>
                <w:szCs w:val="24"/>
                <w:highlight w:val="none"/>
                <w14:textFill>
                  <w14:solidFill>
                    <w14:schemeClr w14:val="tx1"/>
                  </w14:solidFill>
                </w14:textFill>
              </w:rPr>
            </w:pPr>
            <w:r>
              <w:rPr>
                <w:rFonts w:hAnsi="宋体" w:eastAsia="宋体"/>
                <w:b/>
                <w:color w:val="000000" w:themeColor="text1"/>
                <w:szCs w:val="24"/>
                <w:highlight w:val="none"/>
                <w14:textFill>
                  <w14:solidFill>
                    <w14:schemeClr w14:val="tx1"/>
                  </w14:solidFill>
                </w14:textFill>
              </w:rPr>
              <w:t>图</w:t>
            </w:r>
            <w:r>
              <w:rPr>
                <w:rFonts w:eastAsia="宋体"/>
                <w:b/>
                <w:color w:val="000000" w:themeColor="text1"/>
                <w:szCs w:val="24"/>
                <w:highlight w:val="none"/>
                <w14:textFill>
                  <w14:solidFill>
                    <w14:schemeClr w14:val="tx1"/>
                  </w14:solidFill>
                </w14:textFill>
              </w:rPr>
              <w:t>4.2-1</w:t>
            </w:r>
            <w:r>
              <w:rPr>
                <w:rFonts w:hAnsi="宋体" w:eastAsia="宋体"/>
                <w:b/>
                <w:color w:val="000000" w:themeColor="text1"/>
                <w:szCs w:val="24"/>
                <w:highlight w:val="none"/>
                <w14:textFill>
                  <w14:solidFill>
                    <w14:schemeClr w14:val="tx1"/>
                  </w14:solidFill>
                </w14:textFill>
              </w:rPr>
              <w:t>福清融元污水处理厂处理污水处理流程图</w:t>
            </w:r>
          </w:p>
          <w:p w14:paraId="4C110B50">
            <w:pPr>
              <w:spacing w:line="360" w:lineRule="auto"/>
              <w:ind w:firstLine="48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②纳管可行性</w:t>
            </w:r>
          </w:p>
          <w:p w14:paraId="6AA15623">
            <w:pPr>
              <w:pStyle w:val="186"/>
              <w:ind w:firstLine="480"/>
              <w:rPr>
                <w:rFonts w:hint="eastAsia" w:hAnsi="宋体"/>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根据建设单位提供的</w:t>
            </w:r>
            <w:r>
              <w:rPr>
                <w:rFonts w:hint="eastAsia" w:hAnsi="宋体"/>
                <w:color w:val="000000" w:themeColor="text1"/>
                <w:szCs w:val="24"/>
                <w:highlight w:val="none"/>
                <w14:textFill>
                  <w14:solidFill>
                    <w14:schemeClr w14:val="tx1"/>
                  </w14:solidFill>
                </w14:textFill>
              </w:rPr>
              <w:t>排水许可证（详见附件7）</w:t>
            </w:r>
            <w:r>
              <w:rPr>
                <w:rFonts w:hAnsi="宋体"/>
                <w:color w:val="000000" w:themeColor="text1"/>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福建乐翔服饰制造有限公司雨污排放管道已接入</w:t>
            </w:r>
            <w:r>
              <w:rPr>
                <w:rFonts w:hAnsi="宋体"/>
                <w:color w:val="000000" w:themeColor="text1"/>
                <w:szCs w:val="24"/>
                <w:highlight w:val="none"/>
                <w14:textFill>
                  <w14:solidFill>
                    <w14:schemeClr w14:val="tx1"/>
                  </w14:solidFill>
                </w14:textFill>
              </w:rPr>
              <w:t>市政污水管网</w:t>
            </w:r>
            <w:r>
              <w:rPr>
                <w:rFonts w:hint="eastAsia" w:hAnsi="宋体"/>
                <w:color w:val="000000" w:themeColor="text1"/>
                <w:szCs w:val="24"/>
                <w:highlight w:val="none"/>
                <w14:textFill>
                  <w14:solidFill>
                    <w14:schemeClr w14:val="tx1"/>
                  </w14:solidFill>
                </w14:textFill>
              </w:rPr>
              <w:t>（洪宽二路污水管、雨水管）</w:t>
            </w:r>
            <w:r>
              <w:rPr>
                <w:rFonts w:hAnsi="宋体"/>
                <w:color w:val="000000" w:themeColor="text1"/>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红树林（福州）智能家居有限公司</w:t>
            </w:r>
            <w:r>
              <w:rPr>
                <w:rFonts w:hint="eastAsia" w:hAnsi="宋体"/>
                <w:color w:val="000000" w:themeColor="text1"/>
                <w:szCs w:val="24"/>
                <w:highlight w:val="none"/>
                <w14:textFill>
                  <w14:solidFill>
                    <w14:schemeClr w14:val="tx1"/>
                  </w14:solidFill>
                </w14:textFill>
              </w:rPr>
              <w:t>运营期外排废水</w:t>
            </w:r>
            <w:r>
              <w:rPr>
                <w:rFonts w:hAnsi="宋体"/>
                <w:color w:val="000000" w:themeColor="text1"/>
                <w:szCs w:val="24"/>
                <w:highlight w:val="none"/>
                <w14:textFill>
                  <w14:solidFill>
                    <w14:schemeClr w14:val="tx1"/>
                  </w14:solidFill>
                </w14:textFill>
              </w:rPr>
              <w:t>可经市政污水管网排入福清融元污水处理厂。</w:t>
            </w:r>
          </w:p>
          <w:p w14:paraId="08476CF7">
            <w:pPr>
              <w:pStyle w:val="186"/>
              <w:ind w:firstLine="48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③污水量影响分析</w:t>
            </w:r>
          </w:p>
          <w:p w14:paraId="1A8E6517">
            <w:pPr>
              <w:pStyle w:val="186"/>
              <w:ind w:firstLine="48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根据调查，目前福清市融元污水处理厂厂内提标及改造工程已经完成并正常使用，平均处理规模约为</w:t>
            </w:r>
            <w:r>
              <w:rPr>
                <w:color w:val="000000" w:themeColor="text1"/>
                <w:szCs w:val="24"/>
                <w:highlight w:val="none"/>
                <w14:textFill>
                  <w14:solidFill>
                    <w14:schemeClr w14:val="tx1"/>
                  </w14:solidFill>
                </w14:textFill>
              </w:rPr>
              <w:t>11.85</w:t>
            </w:r>
            <w:r>
              <w:rPr>
                <w:rFonts w:hAnsi="宋体"/>
                <w:color w:val="000000" w:themeColor="text1"/>
                <w:szCs w:val="24"/>
                <w:highlight w:val="none"/>
                <w14:textFill>
                  <w14:solidFill>
                    <w14:schemeClr w14:val="tx1"/>
                  </w14:solidFill>
                </w14:textFill>
              </w:rPr>
              <w:t>万</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/d</w:t>
            </w:r>
            <w:r>
              <w:rPr>
                <w:rFonts w:hAnsi="宋体"/>
                <w:color w:val="000000" w:themeColor="text1"/>
                <w:szCs w:val="24"/>
                <w:highlight w:val="none"/>
                <w14:textFill>
                  <w14:solidFill>
                    <w14:schemeClr w14:val="tx1"/>
                  </w14:solidFill>
                </w14:textFill>
              </w:rPr>
              <w:t>，剩余处理能力</w:t>
            </w:r>
            <w:r>
              <w:rPr>
                <w:color w:val="000000" w:themeColor="text1"/>
                <w:szCs w:val="24"/>
                <w:highlight w:val="none"/>
                <w14:textFill>
                  <w14:solidFill>
                    <w14:schemeClr w14:val="tx1"/>
                  </w14:solidFill>
                </w14:textFill>
              </w:rPr>
              <w:t>1500m³/d</w:t>
            </w:r>
            <w:r>
              <w:rPr>
                <w:rFonts w:hAnsi="宋体"/>
                <w:color w:val="000000" w:themeColor="text1"/>
                <w:szCs w:val="24"/>
                <w:highlight w:val="none"/>
                <w14:textFill>
                  <w14:solidFill>
                    <w14:schemeClr w14:val="tx1"/>
                  </w14:solidFill>
                </w14:textFill>
              </w:rPr>
              <w:t>。本</w:t>
            </w:r>
            <w:r>
              <w:rPr>
                <w:rFonts w:hint="eastAsia" w:hAnsi="宋体"/>
                <w:color w:val="000000" w:themeColor="text1"/>
                <w:szCs w:val="24"/>
                <w:highlight w:val="none"/>
                <w14:textFill>
                  <w14:solidFill>
                    <w14:schemeClr w14:val="tx1"/>
                  </w14:solidFill>
                </w14:textFill>
              </w:rPr>
              <w:t>项目</w:t>
            </w:r>
            <w:r>
              <w:rPr>
                <w:rFonts w:hAnsi="宋体"/>
                <w:color w:val="000000" w:themeColor="text1"/>
                <w:szCs w:val="24"/>
                <w:highlight w:val="none"/>
                <w14:textFill>
                  <w14:solidFill>
                    <w14:schemeClr w14:val="tx1"/>
                  </w14:solidFill>
                </w14:textFill>
              </w:rPr>
              <w:t>生</w:t>
            </w:r>
            <w:r>
              <w:rPr>
                <w:rFonts w:hint="eastAsia" w:hAnsi="宋体"/>
                <w:color w:val="000000" w:themeColor="text1"/>
                <w:szCs w:val="24"/>
                <w:highlight w:val="none"/>
                <w:lang w:eastAsia="zh-CN"/>
                <w14:textFill>
                  <w14:solidFill>
                    <w14:schemeClr w14:val="tx1"/>
                  </w14:solidFill>
                </w14:textFill>
              </w:rPr>
              <w:t>扩建后</w:t>
            </w:r>
            <w:r>
              <w:rPr>
                <w:rFonts w:hAnsi="宋体"/>
                <w:color w:val="000000" w:themeColor="text1"/>
                <w:szCs w:val="24"/>
                <w:highlight w:val="none"/>
                <w14:textFill>
                  <w14:solidFill>
                    <w14:schemeClr w14:val="tx1"/>
                  </w14:solidFill>
                </w14:textFill>
              </w:rPr>
              <w:t>活污水排放量</w:t>
            </w:r>
            <w:r>
              <w:rPr>
                <w:rFonts w:hint="eastAsia"/>
                <w:color w:val="000000" w:themeColor="text1"/>
                <w:szCs w:val="24"/>
                <w:highlight w:val="none"/>
                <w14:textFill>
                  <w14:solidFill>
                    <w14:schemeClr w14:val="tx1"/>
                  </w14:solidFill>
                </w14:textFill>
              </w:rPr>
              <w:t>0.24</w:t>
            </w:r>
            <w:r>
              <w:rPr>
                <w:color w:val="000000" w:themeColor="text1"/>
                <w:szCs w:val="24"/>
                <w:highlight w:val="none"/>
                <w14:textFill>
                  <w14:solidFill>
                    <w14:schemeClr w14:val="tx1"/>
                  </w14:solidFill>
                </w14:textFill>
              </w:rPr>
              <w:t>t/d</w:t>
            </w:r>
            <w:r>
              <w:rPr>
                <w:rFonts w:hAnsi="宋体"/>
                <w:color w:val="000000" w:themeColor="text1"/>
                <w:szCs w:val="24"/>
                <w:highlight w:val="none"/>
                <w14:textFill>
                  <w14:solidFill>
                    <w14:schemeClr w14:val="tx1"/>
                  </w14:solidFill>
                </w14:textFill>
              </w:rPr>
              <w:t>，占剩余处理能力的</w:t>
            </w:r>
            <w:r>
              <w:rPr>
                <w:rFonts w:hint="eastAsia"/>
                <w:color w:val="000000" w:themeColor="text1"/>
                <w:szCs w:val="24"/>
                <w:highlight w:val="none"/>
                <w14:textFill>
                  <w14:solidFill>
                    <w14:schemeClr w14:val="tx1"/>
                  </w14:solidFill>
                </w14:textFill>
              </w:rPr>
              <w:t>0.00016</w:t>
            </w:r>
            <w:r>
              <w:rPr>
                <w:color w:val="000000" w:themeColor="text1"/>
                <w:szCs w:val="24"/>
                <w:highlight w:val="none"/>
                <w14:textFill>
                  <w14:solidFill>
                    <w14:schemeClr w14:val="tx1"/>
                  </w14:solidFill>
                </w14:textFill>
              </w:rPr>
              <w:t>%</w:t>
            </w:r>
            <w:r>
              <w:rPr>
                <w:rFonts w:hAnsi="宋体"/>
                <w:color w:val="000000" w:themeColor="text1"/>
                <w:szCs w:val="24"/>
                <w:highlight w:val="none"/>
                <w14:textFill>
                  <w14:solidFill>
                    <w14:schemeClr w14:val="tx1"/>
                  </w14:solidFill>
                </w14:textFill>
              </w:rPr>
              <w:t>，项目废水排放水量不会对污水厂造成负荷冲击，可纳入污水处理厂处理。</w:t>
            </w:r>
          </w:p>
          <w:p w14:paraId="7A8D961B">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④水质影响分析</w:t>
            </w:r>
          </w:p>
          <w:p w14:paraId="2821C09A">
            <w:pPr>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扩建</w:t>
            </w:r>
            <w:r>
              <w:rPr>
                <w:rFonts w:hint="eastAsia"/>
                <w:color w:val="000000" w:themeColor="text1"/>
                <w:sz w:val="24"/>
                <w:highlight w:val="none"/>
                <w14:textFill>
                  <w14:solidFill>
                    <w14:schemeClr w14:val="tx1"/>
                  </w14:solidFill>
                </w14:textFill>
              </w:rPr>
              <w:t>项目建成后</w:t>
            </w:r>
            <w:r>
              <w:rPr>
                <w:color w:val="000000" w:themeColor="text1"/>
                <w:sz w:val="24"/>
                <w:highlight w:val="none"/>
                <w14:textFill>
                  <w14:solidFill>
                    <w14:schemeClr w14:val="tx1"/>
                  </w14:solidFill>
                </w14:textFill>
              </w:rPr>
              <w:t>外排废水为生活污水</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厂区内生活污水经化粪池处理后可满足《污水综合排放标准</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GB8978-1996</w:t>
            </w:r>
            <w:r>
              <w:rPr>
                <w:rFonts w:hAnsi="宋体"/>
                <w:color w:val="000000" w:themeColor="text1"/>
                <w:sz w:val="24"/>
                <w:highlight w:val="none"/>
                <w14:textFill>
                  <w14:solidFill>
                    <w14:schemeClr w14:val="tx1"/>
                  </w14:solidFill>
                </w14:textFill>
              </w:rPr>
              <w:t>）表</w:t>
            </w:r>
            <w:r>
              <w:rPr>
                <w:color w:val="000000" w:themeColor="text1"/>
                <w:sz w:val="24"/>
                <w:highlight w:val="none"/>
                <w14:textFill>
                  <w14:solidFill>
                    <w14:schemeClr w14:val="tx1"/>
                  </w14:solidFill>
                </w14:textFill>
              </w:rPr>
              <w:t xml:space="preserve"> 4 </w:t>
            </w:r>
            <w:r>
              <w:rPr>
                <w:rFonts w:hAnsi="宋体"/>
                <w:color w:val="000000" w:themeColor="text1"/>
                <w:sz w:val="24"/>
                <w:highlight w:val="none"/>
                <w14:textFill>
                  <w14:solidFill>
                    <w14:schemeClr w14:val="tx1"/>
                  </w14:solidFill>
                </w14:textFill>
              </w:rPr>
              <w:t>中三级标准，其中氨氮满足《污水排入城镇下水道水质标准》</w:t>
            </w:r>
            <w:r>
              <w:rPr>
                <w:color w:val="000000" w:themeColor="text1"/>
                <w:sz w:val="24"/>
                <w:highlight w:val="none"/>
                <w14:textFill>
                  <w14:solidFill>
                    <w14:schemeClr w14:val="tx1"/>
                  </w14:solidFill>
                </w14:textFill>
              </w:rPr>
              <w:t>(GB/T 31962-2015)</w:t>
            </w:r>
            <w:r>
              <w:rPr>
                <w:rFonts w:hAnsi="宋体"/>
                <w:color w:val="000000" w:themeColor="text1"/>
                <w:sz w:val="24"/>
                <w:highlight w:val="none"/>
                <w14:textFill>
                  <w14:solidFill>
                    <w14:schemeClr w14:val="tx1"/>
                  </w14:solidFill>
                </w14:textFill>
              </w:rPr>
              <w:t>中</w:t>
            </w:r>
            <w:r>
              <w:rPr>
                <w:color w:val="000000" w:themeColor="text1"/>
                <w:sz w:val="24"/>
                <w:highlight w:val="none"/>
                <w14:textFill>
                  <w14:solidFill>
                    <w14:schemeClr w14:val="tx1"/>
                  </w14:solidFill>
                </w14:textFill>
              </w:rPr>
              <w:t>B</w:t>
            </w:r>
            <w:r>
              <w:rPr>
                <w:rFonts w:hAnsi="宋体"/>
                <w:color w:val="000000" w:themeColor="text1"/>
                <w:sz w:val="24"/>
                <w:highlight w:val="none"/>
                <w14:textFill>
                  <w14:solidFill>
                    <w14:schemeClr w14:val="tx1"/>
                  </w14:solidFill>
                </w14:textFill>
              </w:rPr>
              <w:t>等级标准，符合福清市融元污水处理厂纳管要求。</w:t>
            </w:r>
          </w:p>
          <w:p w14:paraId="7221D655">
            <w:pPr>
              <w:spacing w:line="360" w:lineRule="auto"/>
              <w:ind w:firstLine="480"/>
              <w:rPr>
                <w:color w:val="000000" w:themeColor="text1"/>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综上，项目生活污水经化粪池处理后，经污水管网排入福清市融元污水处理厂，不会对福清市融元污水处理厂的正常运行造成不利影响，项目废水环境影响减缓措施和接管可行、有效。</w:t>
            </w:r>
          </w:p>
          <w:p w14:paraId="6B8C9ACB">
            <w:pPr>
              <w:pStyle w:val="97"/>
              <w:ind w:firstLine="2" w:firstLineChars="1"/>
              <w:jc w:val="center"/>
              <w:rPr>
                <w:rFonts w:ascii="Times New Roman" w:hAnsi="Times New Roman"/>
                <w:b/>
                <w:color w:val="000000" w:themeColor="text1"/>
                <w:highlight w:val="none"/>
                <w14:textFill>
                  <w14:solidFill>
                    <w14:schemeClr w14:val="tx1"/>
                  </w14:solidFill>
                </w14:textFill>
              </w:rPr>
            </w:pPr>
          </w:p>
          <w:p w14:paraId="4AF1B092">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表4.2-2  废水类别、污染物及污染治理措施设施信息表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66"/>
              <w:gridCol w:w="740"/>
              <w:gridCol w:w="1077"/>
              <w:gridCol w:w="817"/>
              <w:gridCol w:w="761"/>
              <w:gridCol w:w="732"/>
              <w:gridCol w:w="737"/>
              <w:gridCol w:w="955"/>
              <w:gridCol w:w="896"/>
              <w:gridCol w:w="740"/>
              <w:gridCol w:w="746"/>
            </w:tblGrid>
            <w:tr w14:paraId="07DE7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69" w:type="pct"/>
                  <w:vMerge w:val="restart"/>
                  <w:vAlign w:val="center"/>
                </w:tcPr>
                <w:p w14:paraId="10037B51">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427" w:type="pct"/>
                  <w:vMerge w:val="restart"/>
                  <w:vAlign w:val="center"/>
                </w:tcPr>
                <w:p w14:paraId="46AACD28">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p w14:paraId="04E00565">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类别</w:t>
                  </w:r>
                </w:p>
              </w:tc>
              <w:tc>
                <w:tcPr>
                  <w:tcW w:w="621" w:type="pct"/>
                  <w:vMerge w:val="restart"/>
                  <w:vAlign w:val="center"/>
                </w:tcPr>
                <w:p w14:paraId="06A19E70">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p w14:paraId="730F7FD2">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种类</w:t>
                  </w:r>
                </w:p>
              </w:tc>
              <w:tc>
                <w:tcPr>
                  <w:tcW w:w="471" w:type="pct"/>
                  <w:vMerge w:val="restart"/>
                  <w:vAlign w:val="center"/>
                </w:tcPr>
                <w:p w14:paraId="424AF0A6">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w:t>
                  </w:r>
                </w:p>
                <w:p w14:paraId="5B6A0DD8">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去向</w:t>
                  </w:r>
                </w:p>
              </w:tc>
              <w:tc>
                <w:tcPr>
                  <w:tcW w:w="439" w:type="pct"/>
                  <w:vMerge w:val="restart"/>
                  <w:vAlign w:val="center"/>
                </w:tcPr>
                <w:p w14:paraId="6320A171">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w:t>
                  </w:r>
                </w:p>
                <w:p w14:paraId="5975837C">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规律</w:t>
                  </w:r>
                </w:p>
              </w:tc>
              <w:tc>
                <w:tcPr>
                  <w:tcW w:w="1398" w:type="pct"/>
                  <w:gridSpan w:val="3"/>
                  <w:vAlign w:val="center"/>
                </w:tcPr>
                <w:p w14:paraId="57220312">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污染治理措施</w:t>
                  </w:r>
                </w:p>
              </w:tc>
              <w:tc>
                <w:tcPr>
                  <w:tcW w:w="517" w:type="pct"/>
                  <w:vMerge w:val="restart"/>
                  <w:vAlign w:val="center"/>
                </w:tcPr>
                <w:p w14:paraId="727103C9">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排放口编号</w:t>
                  </w:r>
                </w:p>
              </w:tc>
              <w:tc>
                <w:tcPr>
                  <w:tcW w:w="427" w:type="pct"/>
                  <w:vMerge w:val="restart"/>
                  <w:vAlign w:val="center"/>
                </w:tcPr>
                <w:p w14:paraId="5EAF8227">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排放口是否符合要求</w:t>
                  </w:r>
                </w:p>
              </w:tc>
              <w:tc>
                <w:tcPr>
                  <w:tcW w:w="430" w:type="pct"/>
                  <w:vMerge w:val="restart"/>
                  <w:vAlign w:val="center"/>
                </w:tcPr>
                <w:p w14:paraId="288BE9F3">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排放口类型</w:t>
                  </w:r>
                </w:p>
              </w:tc>
            </w:tr>
            <w:tr w14:paraId="1FBF0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69" w:type="pct"/>
                  <w:vMerge w:val="continue"/>
                  <w:vAlign w:val="center"/>
                </w:tcPr>
                <w:p w14:paraId="53959C52">
                  <w:pPr>
                    <w:pStyle w:val="85"/>
                    <w:rPr>
                      <w:color w:val="000000" w:themeColor="text1"/>
                      <w:szCs w:val="21"/>
                      <w:highlight w:val="none"/>
                      <w14:textFill>
                        <w14:solidFill>
                          <w14:schemeClr w14:val="tx1"/>
                        </w14:solidFill>
                      </w14:textFill>
                    </w:rPr>
                  </w:pPr>
                </w:p>
              </w:tc>
              <w:tc>
                <w:tcPr>
                  <w:tcW w:w="427" w:type="pct"/>
                  <w:vMerge w:val="continue"/>
                  <w:vAlign w:val="center"/>
                </w:tcPr>
                <w:p w14:paraId="139BBDB0">
                  <w:pPr>
                    <w:pStyle w:val="85"/>
                    <w:rPr>
                      <w:color w:val="000000" w:themeColor="text1"/>
                      <w:szCs w:val="21"/>
                      <w:highlight w:val="none"/>
                      <w14:textFill>
                        <w14:solidFill>
                          <w14:schemeClr w14:val="tx1"/>
                        </w14:solidFill>
                      </w14:textFill>
                    </w:rPr>
                  </w:pPr>
                </w:p>
              </w:tc>
              <w:tc>
                <w:tcPr>
                  <w:tcW w:w="621" w:type="pct"/>
                  <w:vMerge w:val="continue"/>
                  <w:vAlign w:val="center"/>
                </w:tcPr>
                <w:p w14:paraId="6AE4FCC9">
                  <w:pPr>
                    <w:pStyle w:val="85"/>
                    <w:rPr>
                      <w:color w:val="000000" w:themeColor="text1"/>
                      <w:szCs w:val="21"/>
                      <w:highlight w:val="none"/>
                      <w14:textFill>
                        <w14:solidFill>
                          <w14:schemeClr w14:val="tx1"/>
                        </w14:solidFill>
                      </w14:textFill>
                    </w:rPr>
                  </w:pPr>
                </w:p>
              </w:tc>
              <w:tc>
                <w:tcPr>
                  <w:tcW w:w="471" w:type="pct"/>
                  <w:vMerge w:val="continue"/>
                  <w:vAlign w:val="center"/>
                </w:tcPr>
                <w:p w14:paraId="6729CCD7">
                  <w:pPr>
                    <w:pStyle w:val="85"/>
                    <w:rPr>
                      <w:color w:val="000000" w:themeColor="text1"/>
                      <w:szCs w:val="21"/>
                      <w:highlight w:val="none"/>
                      <w14:textFill>
                        <w14:solidFill>
                          <w14:schemeClr w14:val="tx1"/>
                        </w14:solidFill>
                      </w14:textFill>
                    </w:rPr>
                  </w:pPr>
                </w:p>
              </w:tc>
              <w:tc>
                <w:tcPr>
                  <w:tcW w:w="439" w:type="pct"/>
                  <w:vMerge w:val="continue"/>
                  <w:vAlign w:val="center"/>
                </w:tcPr>
                <w:p w14:paraId="2988CF3F">
                  <w:pPr>
                    <w:pStyle w:val="85"/>
                    <w:rPr>
                      <w:color w:val="000000" w:themeColor="text1"/>
                      <w:szCs w:val="21"/>
                      <w:highlight w:val="none"/>
                      <w14:textFill>
                        <w14:solidFill>
                          <w14:schemeClr w14:val="tx1"/>
                        </w14:solidFill>
                      </w14:textFill>
                    </w:rPr>
                  </w:pPr>
                </w:p>
              </w:tc>
              <w:tc>
                <w:tcPr>
                  <w:tcW w:w="422" w:type="pct"/>
                  <w:vAlign w:val="center"/>
                </w:tcPr>
                <w:p w14:paraId="7A28247E">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425" w:type="pct"/>
                  <w:vAlign w:val="center"/>
                </w:tcPr>
                <w:p w14:paraId="48562070">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工艺</w:t>
                  </w:r>
                </w:p>
              </w:tc>
              <w:tc>
                <w:tcPr>
                  <w:tcW w:w="551" w:type="pct"/>
                  <w:vAlign w:val="center"/>
                </w:tcPr>
                <w:p w14:paraId="52DFB1C0">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w:t>
                  </w:r>
                  <w:r>
                    <w:rPr>
                      <w:color w:val="000000" w:themeColor="text1"/>
                      <w:szCs w:val="21"/>
                      <w:highlight w:val="none"/>
                      <w14:textFill>
                        <w14:solidFill>
                          <w14:schemeClr w14:val="tx1"/>
                        </w14:solidFill>
                      </w14:textFill>
                    </w:rPr>
                    <w:t>为</w:t>
                  </w:r>
                  <w:r>
                    <w:rPr>
                      <w:rFonts w:hint="eastAsia"/>
                      <w:color w:val="000000" w:themeColor="text1"/>
                      <w:szCs w:val="21"/>
                      <w:highlight w:val="none"/>
                      <w14:textFill>
                        <w14:solidFill>
                          <w14:schemeClr w14:val="tx1"/>
                        </w14:solidFill>
                      </w14:textFill>
                    </w:rPr>
                    <w:t>可行</w:t>
                  </w:r>
                  <w:r>
                    <w:rPr>
                      <w:color w:val="000000" w:themeColor="text1"/>
                      <w:szCs w:val="21"/>
                      <w:highlight w:val="none"/>
                      <w14:textFill>
                        <w14:solidFill>
                          <w14:schemeClr w14:val="tx1"/>
                        </w14:solidFill>
                      </w14:textFill>
                    </w:rPr>
                    <w:t>技术</w:t>
                  </w:r>
                </w:p>
              </w:tc>
              <w:tc>
                <w:tcPr>
                  <w:tcW w:w="517" w:type="pct"/>
                  <w:vMerge w:val="continue"/>
                  <w:vAlign w:val="center"/>
                </w:tcPr>
                <w:p w14:paraId="346618D3">
                  <w:pPr>
                    <w:pStyle w:val="85"/>
                    <w:rPr>
                      <w:color w:val="000000" w:themeColor="text1"/>
                      <w:szCs w:val="21"/>
                      <w:highlight w:val="none"/>
                      <w14:textFill>
                        <w14:solidFill>
                          <w14:schemeClr w14:val="tx1"/>
                        </w14:solidFill>
                      </w14:textFill>
                    </w:rPr>
                  </w:pPr>
                </w:p>
              </w:tc>
              <w:tc>
                <w:tcPr>
                  <w:tcW w:w="427" w:type="pct"/>
                  <w:vMerge w:val="continue"/>
                  <w:vAlign w:val="center"/>
                </w:tcPr>
                <w:p w14:paraId="08BB0E1E">
                  <w:pPr>
                    <w:pStyle w:val="85"/>
                    <w:rPr>
                      <w:color w:val="000000" w:themeColor="text1"/>
                      <w:szCs w:val="21"/>
                      <w:highlight w:val="none"/>
                      <w14:textFill>
                        <w14:solidFill>
                          <w14:schemeClr w14:val="tx1"/>
                        </w14:solidFill>
                      </w14:textFill>
                    </w:rPr>
                  </w:pPr>
                </w:p>
              </w:tc>
              <w:tc>
                <w:tcPr>
                  <w:tcW w:w="430" w:type="pct"/>
                  <w:vMerge w:val="continue"/>
                  <w:vAlign w:val="center"/>
                </w:tcPr>
                <w:p w14:paraId="115FA432">
                  <w:pPr>
                    <w:pStyle w:val="85"/>
                    <w:rPr>
                      <w:color w:val="000000" w:themeColor="text1"/>
                      <w:szCs w:val="21"/>
                      <w:highlight w:val="none"/>
                      <w14:textFill>
                        <w14:solidFill>
                          <w14:schemeClr w14:val="tx1"/>
                        </w14:solidFill>
                      </w14:textFill>
                    </w:rPr>
                  </w:pPr>
                </w:p>
              </w:tc>
            </w:tr>
            <w:tr w14:paraId="7347A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7" w:hRule="atLeast"/>
              </w:trPr>
              <w:tc>
                <w:tcPr>
                  <w:tcW w:w="269" w:type="pct"/>
                  <w:vMerge w:val="restart"/>
                  <w:vAlign w:val="center"/>
                </w:tcPr>
                <w:p w14:paraId="12BEB93E">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427" w:type="pct"/>
                  <w:vMerge w:val="restart"/>
                  <w:vAlign w:val="center"/>
                </w:tcPr>
                <w:p w14:paraId="1CB783EB">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w:t>
                  </w:r>
                </w:p>
                <w:p w14:paraId="6445C17A">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污水</w:t>
                  </w:r>
                </w:p>
              </w:tc>
              <w:tc>
                <w:tcPr>
                  <w:tcW w:w="621" w:type="pct"/>
                  <w:vAlign w:val="center"/>
                </w:tcPr>
                <w:p w14:paraId="47EC7271">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COD</w:t>
                  </w:r>
                </w:p>
              </w:tc>
              <w:tc>
                <w:tcPr>
                  <w:tcW w:w="471" w:type="pct"/>
                  <w:vMerge w:val="restart"/>
                  <w:vAlign w:val="center"/>
                </w:tcPr>
                <w:p w14:paraId="0B141FB4">
                  <w:pPr>
                    <w:pStyle w:val="85"/>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福清市融元污水处理厂</w:t>
                  </w:r>
                </w:p>
              </w:tc>
              <w:tc>
                <w:tcPr>
                  <w:tcW w:w="439" w:type="pct"/>
                  <w:vMerge w:val="restart"/>
                  <w:vAlign w:val="center"/>
                </w:tcPr>
                <w:p w14:paraId="6AAEC527">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连续排放，流量稳定</w:t>
                  </w:r>
                </w:p>
              </w:tc>
              <w:tc>
                <w:tcPr>
                  <w:tcW w:w="422" w:type="pct"/>
                  <w:vMerge w:val="restart"/>
                  <w:vAlign w:val="center"/>
                </w:tcPr>
                <w:p w14:paraId="2C0E943B">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化粪池</w:t>
                  </w:r>
                </w:p>
              </w:tc>
              <w:tc>
                <w:tcPr>
                  <w:tcW w:w="425" w:type="pct"/>
                  <w:vMerge w:val="restart"/>
                  <w:vAlign w:val="center"/>
                </w:tcPr>
                <w:p w14:paraId="3D41AEA8">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一级</w:t>
                  </w:r>
                </w:p>
                <w:p w14:paraId="20DE3094">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处理</w:t>
                  </w:r>
                </w:p>
              </w:tc>
              <w:tc>
                <w:tcPr>
                  <w:tcW w:w="551" w:type="pct"/>
                  <w:vMerge w:val="restart"/>
                  <w:vAlign w:val="center"/>
                </w:tcPr>
                <w:p w14:paraId="41E1452E">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可行</w:t>
                  </w:r>
                </w:p>
              </w:tc>
              <w:tc>
                <w:tcPr>
                  <w:tcW w:w="517" w:type="pct"/>
                  <w:vMerge w:val="restart"/>
                  <w:vAlign w:val="center"/>
                </w:tcPr>
                <w:p w14:paraId="2F8E273E">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DW001</w:t>
                  </w:r>
                </w:p>
              </w:tc>
              <w:tc>
                <w:tcPr>
                  <w:tcW w:w="427" w:type="pct"/>
                  <w:vMerge w:val="restart"/>
                  <w:vAlign w:val="center"/>
                </w:tcPr>
                <w:p w14:paraId="308AC634">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w:t>
                  </w:r>
                </w:p>
              </w:tc>
              <w:tc>
                <w:tcPr>
                  <w:tcW w:w="430" w:type="pct"/>
                  <w:vMerge w:val="restart"/>
                  <w:vAlign w:val="center"/>
                </w:tcPr>
                <w:p w14:paraId="1A27881A">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厂区总</w:t>
                  </w:r>
                  <w:r>
                    <w:rPr>
                      <w:color w:val="000000" w:themeColor="text1"/>
                      <w:szCs w:val="21"/>
                      <w:highlight w:val="none"/>
                      <w14:textFill>
                        <w14:solidFill>
                          <w14:schemeClr w14:val="tx1"/>
                        </w14:solidFill>
                      </w14:textFill>
                    </w:rPr>
                    <w:t>排放口</w:t>
                  </w:r>
                </w:p>
              </w:tc>
            </w:tr>
            <w:tr w14:paraId="324C2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6" w:hRule="atLeast"/>
              </w:trPr>
              <w:tc>
                <w:tcPr>
                  <w:tcW w:w="269" w:type="pct"/>
                  <w:vMerge w:val="continue"/>
                  <w:vAlign w:val="center"/>
                </w:tcPr>
                <w:p w14:paraId="0AA7DC82">
                  <w:pPr>
                    <w:pStyle w:val="85"/>
                    <w:rPr>
                      <w:color w:val="000000" w:themeColor="text1"/>
                      <w:szCs w:val="21"/>
                      <w:highlight w:val="none"/>
                      <w14:textFill>
                        <w14:solidFill>
                          <w14:schemeClr w14:val="tx1"/>
                        </w14:solidFill>
                      </w14:textFill>
                    </w:rPr>
                  </w:pPr>
                </w:p>
              </w:tc>
              <w:tc>
                <w:tcPr>
                  <w:tcW w:w="427" w:type="pct"/>
                  <w:vMerge w:val="continue"/>
                  <w:vAlign w:val="center"/>
                </w:tcPr>
                <w:p w14:paraId="5A566B69">
                  <w:pPr>
                    <w:pStyle w:val="85"/>
                    <w:rPr>
                      <w:color w:val="000000" w:themeColor="text1"/>
                      <w:szCs w:val="21"/>
                      <w:highlight w:val="none"/>
                      <w14:textFill>
                        <w14:solidFill>
                          <w14:schemeClr w14:val="tx1"/>
                        </w14:solidFill>
                      </w14:textFill>
                    </w:rPr>
                  </w:pPr>
                </w:p>
              </w:tc>
              <w:tc>
                <w:tcPr>
                  <w:tcW w:w="621" w:type="pct"/>
                  <w:vAlign w:val="center"/>
                </w:tcPr>
                <w:p w14:paraId="48A9F7D0">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BOD</w:t>
                  </w:r>
                  <w:r>
                    <w:rPr>
                      <w:color w:val="000000" w:themeColor="text1"/>
                      <w:szCs w:val="21"/>
                      <w:highlight w:val="none"/>
                      <w:vertAlign w:val="subscript"/>
                      <w14:textFill>
                        <w14:solidFill>
                          <w14:schemeClr w14:val="tx1"/>
                        </w14:solidFill>
                      </w14:textFill>
                    </w:rPr>
                    <w:t>5</w:t>
                  </w:r>
                </w:p>
              </w:tc>
              <w:tc>
                <w:tcPr>
                  <w:tcW w:w="471" w:type="pct"/>
                  <w:vMerge w:val="continue"/>
                  <w:vAlign w:val="center"/>
                </w:tcPr>
                <w:p w14:paraId="146ABBFD">
                  <w:pPr>
                    <w:pStyle w:val="85"/>
                    <w:rPr>
                      <w:color w:val="000000" w:themeColor="text1"/>
                      <w:szCs w:val="21"/>
                      <w:highlight w:val="none"/>
                      <w14:textFill>
                        <w14:solidFill>
                          <w14:schemeClr w14:val="tx1"/>
                        </w14:solidFill>
                      </w14:textFill>
                    </w:rPr>
                  </w:pPr>
                </w:p>
              </w:tc>
              <w:tc>
                <w:tcPr>
                  <w:tcW w:w="439" w:type="pct"/>
                  <w:vMerge w:val="continue"/>
                  <w:vAlign w:val="center"/>
                </w:tcPr>
                <w:p w14:paraId="1F20F15B">
                  <w:pPr>
                    <w:pStyle w:val="85"/>
                    <w:rPr>
                      <w:color w:val="000000" w:themeColor="text1"/>
                      <w:szCs w:val="21"/>
                      <w:highlight w:val="none"/>
                      <w14:textFill>
                        <w14:solidFill>
                          <w14:schemeClr w14:val="tx1"/>
                        </w14:solidFill>
                      </w14:textFill>
                    </w:rPr>
                  </w:pPr>
                </w:p>
              </w:tc>
              <w:tc>
                <w:tcPr>
                  <w:tcW w:w="422" w:type="pct"/>
                  <w:vMerge w:val="continue"/>
                  <w:vAlign w:val="center"/>
                </w:tcPr>
                <w:p w14:paraId="7DC7ED65">
                  <w:pPr>
                    <w:pStyle w:val="85"/>
                    <w:rPr>
                      <w:color w:val="000000" w:themeColor="text1"/>
                      <w:szCs w:val="21"/>
                      <w:highlight w:val="none"/>
                      <w14:textFill>
                        <w14:solidFill>
                          <w14:schemeClr w14:val="tx1"/>
                        </w14:solidFill>
                      </w14:textFill>
                    </w:rPr>
                  </w:pPr>
                </w:p>
              </w:tc>
              <w:tc>
                <w:tcPr>
                  <w:tcW w:w="425" w:type="pct"/>
                  <w:vMerge w:val="continue"/>
                  <w:vAlign w:val="center"/>
                </w:tcPr>
                <w:p w14:paraId="2B0B9078">
                  <w:pPr>
                    <w:pStyle w:val="85"/>
                    <w:rPr>
                      <w:color w:val="000000" w:themeColor="text1"/>
                      <w:szCs w:val="21"/>
                      <w:highlight w:val="none"/>
                      <w14:textFill>
                        <w14:solidFill>
                          <w14:schemeClr w14:val="tx1"/>
                        </w14:solidFill>
                      </w14:textFill>
                    </w:rPr>
                  </w:pPr>
                </w:p>
              </w:tc>
              <w:tc>
                <w:tcPr>
                  <w:tcW w:w="551" w:type="pct"/>
                  <w:vMerge w:val="continue"/>
                  <w:vAlign w:val="center"/>
                </w:tcPr>
                <w:p w14:paraId="10B78A74">
                  <w:pPr>
                    <w:pStyle w:val="85"/>
                    <w:rPr>
                      <w:color w:val="000000" w:themeColor="text1"/>
                      <w:szCs w:val="21"/>
                      <w:highlight w:val="none"/>
                      <w14:textFill>
                        <w14:solidFill>
                          <w14:schemeClr w14:val="tx1"/>
                        </w14:solidFill>
                      </w14:textFill>
                    </w:rPr>
                  </w:pPr>
                </w:p>
              </w:tc>
              <w:tc>
                <w:tcPr>
                  <w:tcW w:w="517" w:type="pct"/>
                  <w:vMerge w:val="continue"/>
                  <w:vAlign w:val="center"/>
                </w:tcPr>
                <w:p w14:paraId="244B9BDF">
                  <w:pPr>
                    <w:pStyle w:val="85"/>
                    <w:rPr>
                      <w:color w:val="000000" w:themeColor="text1"/>
                      <w:szCs w:val="21"/>
                      <w:highlight w:val="none"/>
                      <w14:textFill>
                        <w14:solidFill>
                          <w14:schemeClr w14:val="tx1"/>
                        </w14:solidFill>
                      </w14:textFill>
                    </w:rPr>
                  </w:pPr>
                </w:p>
              </w:tc>
              <w:tc>
                <w:tcPr>
                  <w:tcW w:w="427" w:type="pct"/>
                  <w:vMerge w:val="continue"/>
                  <w:vAlign w:val="center"/>
                </w:tcPr>
                <w:p w14:paraId="2094F46C">
                  <w:pPr>
                    <w:pStyle w:val="85"/>
                    <w:rPr>
                      <w:color w:val="000000" w:themeColor="text1"/>
                      <w:szCs w:val="21"/>
                      <w:highlight w:val="none"/>
                      <w14:textFill>
                        <w14:solidFill>
                          <w14:schemeClr w14:val="tx1"/>
                        </w14:solidFill>
                      </w14:textFill>
                    </w:rPr>
                  </w:pPr>
                </w:p>
              </w:tc>
              <w:tc>
                <w:tcPr>
                  <w:tcW w:w="430" w:type="pct"/>
                  <w:vMerge w:val="continue"/>
                  <w:vAlign w:val="center"/>
                </w:tcPr>
                <w:p w14:paraId="187D473E">
                  <w:pPr>
                    <w:pStyle w:val="85"/>
                    <w:rPr>
                      <w:color w:val="000000" w:themeColor="text1"/>
                      <w:szCs w:val="21"/>
                      <w:highlight w:val="none"/>
                      <w14:textFill>
                        <w14:solidFill>
                          <w14:schemeClr w14:val="tx1"/>
                        </w14:solidFill>
                      </w14:textFill>
                    </w:rPr>
                  </w:pPr>
                </w:p>
              </w:tc>
            </w:tr>
            <w:tr w14:paraId="564C5A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3" w:hRule="atLeast"/>
              </w:trPr>
              <w:tc>
                <w:tcPr>
                  <w:tcW w:w="269" w:type="pct"/>
                  <w:vMerge w:val="continue"/>
                  <w:vAlign w:val="center"/>
                </w:tcPr>
                <w:p w14:paraId="51454D18">
                  <w:pPr>
                    <w:pStyle w:val="85"/>
                    <w:rPr>
                      <w:color w:val="000000" w:themeColor="text1"/>
                      <w:szCs w:val="21"/>
                      <w:highlight w:val="none"/>
                      <w14:textFill>
                        <w14:solidFill>
                          <w14:schemeClr w14:val="tx1"/>
                        </w14:solidFill>
                      </w14:textFill>
                    </w:rPr>
                  </w:pPr>
                </w:p>
              </w:tc>
              <w:tc>
                <w:tcPr>
                  <w:tcW w:w="427" w:type="pct"/>
                  <w:vMerge w:val="continue"/>
                  <w:vAlign w:val="center"/>
                </w:tcPr>
                <w:p w14:paraId="6B2C79C7">
                  <w:pPr>
                    <w:pStyle w:val="85"/>
                    <w:rPr>
                      <w:color w:val="000000" w:themeColor="text1"/>
                      <w:szCs w:val="21"/>
                      <w:highlight w:val="none"/>
                      <w14:textFill>
                        <w14:solidFill>
                          <w14:schemeClr w14:val="tx1"/>
                        </w14:solidFill>
                      </w14:textFill>
                    </w:rPr>
                  </w:pPr>
                </w:p>
              </w:tc>
              <w:tc>
                <w:tcPr>
                  <w:tcW w:w="621" w:type="pct"/>
                  <w:vAlign w:val="center"/>
                </w:tcPr>
                <w:p w14:paraId="1534F037">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SS</w:t>
                  </w:r>
                </w:p>
              </w:tc>
              <w:tc>
                <w:tcPr>
                  <w:tcW w:w="471" w:type="pct"/>
                  <w:vMerge w:val="continue"/>
                  <w:vAlign w:val="center"/>
                </w:tcPr>
                <w:p w14:paraId="37E0E619">
                  <w:pPr>
                    <w:pStyle w:val="85"/>
                    <w:rPr>
                      <w:color w:val="000000" w:themeColor="text1"/>
                      <w:szCs w:val="21"/>
                      <w:highlight w:val="none"/>
                      <w14:textFill>
                        <w14:solidFill>
                          <w14:schemeClr w14:val="tx1"/>
                        </w14:solidFill>
                      </w14:textFill>
                    </w:rPr>
                  </w:pPr>
                </w:p>
              </w:tc>
              <w:tc>
                <w:tcPr>
                  <w:tcW w:w="439" w:type="pct"/>
                  <w:vMerge w:val="continue"/>
                  <w:vAlign w:val="center"/>
                </w:tcPr>
                <w:p w14:paraId="5EA4F366">
                  <w:pPr>
                    <w:pStyle w:val="85"/>
                    <w:rPr>
                      <w:color w:val="000000" w:themeColor="text1"/>
                      <w:szCs w:val="21"/>
                      <w:highlight w:val="none"/>
                      <w14:textFill>
                        <w14:solidFill>
                          <w14:schemeClr w14:val="tx1"/>
                        </w14:solidFill>
                      </w14:textFill>
                    </w:rPr>
                  </w:pPr>
                </w:p>
              </w:tc>
              <w:tc>
                <w:tcPr>
                  <w:tcW w:w="422" w:type="pct"/>
                  <w:vMerge w:val="continue"/>
                  <w:vAlign w:val="center"/>
                </w:tcPr>
                <w:p w14:paraId="00B2DE62">
                  <w:pPr>
                    <w:pStyle w:val="85"/>
                    <w:rPr>
                      <w:color w:val="000000" w:themeColor="text1"/>
                      <w:szCs w:val="21"/>
                      <w:highlight w:val="none"/>
                      <w14:textFill>
                        <w14:solidFill>
                          <w14:schemeClr w14:val="tx1"/>
                        </w14:solidFill>
                      </w14:textFill>
                    </w:rPr>
                  </w:pPr>
                </w:p>
              </w:tc>
              <w:tc>
                <w:tcPr>
                  <w:tcW w:w="425" w:type="pct"/>
                  <w:vMerge w:val="continue"/>
                  <w:vAlign w:val="center"/>
                </w:tcPr>
                <w:p w14:paraId="5430F3A1">
                  <w:pPr>
                    <w:pStyle w:val="85"/>
                    <w:rPr>
                      <w:color w:val="000000" w:themeColor="text1"/>
                      <w:szCs w:val="21"/>
                      <w:highlight w:val="none"/>
                      <w14:textFill>
                        <w14:solidFill>
                          <w14:schemeClr w14:val="tx1"/>
                        </w14:solidFill>
                      </w14:textFill>
                    </w:rPr>
                  </w:pPr>
                </w:p>
              </w:tc>
              <w:tc>
                <w:tcPr>
                  <w:tcW w:w="551" w:type="pct"/>
                  <w:vMerge w:val="continue"/>
                  <w:vAlign w:val="center"/>
                </w:tcPr>
                <w:p w14:paraId="7E05EC38">
                  <w:pPr>
                    <w:pStyle w:val="85"/>
                    <w:rPr>
                      <w:color w:val="000000" w:themeColor="text1"/>
                      <w:szCs w:val="21"/>
                      <w:highlight w:val="none"/>
                      <w14:textFill>
                        <w14:solidFill>
                          <w14:schemeClr w14:val="tx1"/>
                        </w14:solidFill>
                      </w14:textFill>
                    </w:rPr>
                  </w:pPr>
                </w:p>
              </w:tc>
              <w:tc>
                <w:tcPr>
                  <w:tcW w:w="517" w:type="pct"/>
                  <w:vMerge w:val="continue"/>
                  <w:vAlign w:val="center"/>
                </w:tcPr>
                <w:p w14:paraId="30A12CC9">
                  <w:pPr>
                    <w:pStyle w:val="85"/>
                    <w:rPr>
                      <w:color w:val="000000" w:themeColor="text1"/>
                      <w:szCs w:val="21"/>
                      <w:highlight w:val="none"/>
                      <w14:textFill>
                        <w14:solidFill>
                          <w14:schemeClr w14:val="tx1"/>
                        </w14:solidFill>
                      </w14:textFill>
                    </w:rPr>
                  </w:pPr>
                </w:p>
              </w:tc>
              <w:tc>
                <w:tcPr>
                  <w:tcW w:w="427" w:type="pct"/>
                  <w:vMerge w:val="continue"/>
                  <w:vAlign w:val="center"/>
                </w:tcPr>
                <w:p w14:paraId="3E402510">
                  <w:pPr>
                    <w:pStyle w:val="85"/>
                    <w:rPr>
                      <w:color w:val="000000" w:themeColor="text1"/>
                      <w:szCs w:val="21"/>
                      <w:highlight w:val="none"/>
                      <w14:textFill>
                        <w14:solidFill>
                          <w14:schemeClr w14:val="tx1"/>
                        </w14:solidFill>
                      </w14:textFill>
                    </w:rPr>
                  </w:pPr>
                </w:p>
              </w:tc>
              <w:tc>
                <w:tcPr>
                  <w:tcW w:w="430" w:type="pct"/>
                  <w:vMerge w:val="continue"/>
                  <w:vAlign w:val="center"/>
                </w:tcPr>
                <w:p w14:paraId="5BFD5A71">
                  <w:pPr>
                    <w:pStyle w:val="85"/>
                    <w:rPr>
                      <w:color w:val="000000" w:themeColor="text1"/>
                      <w:szCs w:val="21"/>
                      <w:highlight w:val="none"/>
                      <w14:textFill>
                        <w14:solidFill>
                          <w14:schemeClr w14:val="tx1"/>
                        </w14:solidFill>
                      </w14:textFill>
                    </w:rPr>
                  </w:pPr>
                </w:p>
              </w:tc>
            </w:tr>
            <w:tr w14:paraId="390819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6" w:hRule="atLeast"/>
              </w:trPr>
              <w:tc>
                <w:tcPr>
                  <w:tcW w:w="269" w:type="pct"/>
                  <w:vMerge w:val="continue"/>
                  <w:vAlign w:val="center"/>
                </w:tcPr>
                <w:p w14:paraId="156EFEA7">
                  <w:pPr>
                    <w:pStyle w:val="85"/>
                    <w:rPr>
                      <w:color w:val="000000" w:themeColor="text1"/>
                      <w:szCs w:val="21"/>
                      <w:highlight w:val="none"/>
                      <w14:textFill>
                        <w14:solidFill>
                          <w14:schemeClr w14:val="tx1"/>
                        </w14:solidFill>
                      </w14:textFill>
                    </w:rPr>
                  </w:pPr>
                </w:p>
              </w:tc>
              <w:tc>
                <w:tcPr>
                  <w:tcW w:w="427" w:type="pct"/>
                  <w:vMerge w:val="continue"/>
                  <w:vAlign w:val="center"/>
                </w:tcPr>
                <w:p w14:paraId="44A69473">
                  <w:pPr>
                    <w:pStyle w:val="85"/>
                    <w:rPr>
                      <w:color w:val="000000" w:themeColor="text1"/>
                      <w:szCs w:val="21"/>
                      <w:highlight w:val="none"/>
                      <w14:textFill>
                        <w14:solidFill>
                          <w14:schemeClr w14:val="tx1"/>
                        </w14:solidFill>
                      </w14:textFill>
                    </w:rPr>
                  </w:pPr>
                </w:p>
              </w:tc>
              <w:tc>
                <w:tcPr>
                  <w:tcW w:w="621" w:type="pct"/>
                  <w:vAlign w:val="center"/>
                </w:tcPr>
                <w:p w14:paraId="6528EAC0">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p>
              </w:tc>
              <w:tc>
                <w:tcPr>
                  <w:tcW w:w="471" w:type="pct"/>
                  <w:vMerge w:val="continue"/>
                  <w:vAlign w:val="center"/>
                </w:tcPr>
                <w:p w14:paraId="4FDF5908">
                  <w:pPr>
                    <w:pStyle w:val="85"/>
                    <w:rPr>
                      <w:color w:val="000000" w:themeColor="text1"/>
                      <w:szCs w:val="21"/>
                      <w:highlight w:val="none"/>
                      <w14:textFill>
                        <w14:solidFill>
                          <w14:schemeClr w14:val="tx1"/>
                        </w14:solidFill>
                      </w14:textFill>
                    </w:rPr>
                  </w:pPr>
                </w:p>
              </w:tc>
              <w:tc>
                <w:tcPr>
                  <w:tcW w:w="439" w:type="pct"/>
                  <w:vMerge w:val="continue"/>
                  <w:vAlign w:val="center"/>
                </w:tcPr>
                <w:p w14:paraId="3C6C7136">
                  <w:pPr>
                    <w:pStyle w:val="85"/>
                    <w:rPr>
                      <w:color w:val="000000" w:themeColor="text1"/>
                      <w:szCs w:val="21"/>
                      <w:highlight w:val="none"/>
                      <w14:textFill>
                        <w14:solidFill>
                          <w14:schemeClr w14:val="tx1"/>
                        </w14:solidFill>
                      </w14:textFill>
                    </w:rPr>
                  </w:pPr>
                </w:p>
              </w:tc>
              <w:tc>
                <w:tcPr>
                  <w:tcW w:w="422" w:type="pct"/>
                  <w:vMerge w:val="continue"/>
                  <w:vAlign w:val="center"/>
                </w:tcPr>
                <w:p w14:paraId="5A730313">
                  <w:pPr>
                    <w:pStyle w:val="85"/>
                    <w:rPr>
                      <w:color w:val="000000" w:themeColor="text1"/>
                      <w:szCs w:val="21"/>
                      <w:highlight w:val="none"/>
                      <w14:textFill>
                        <w14:solidFill>
                          <w14:schemeClr w14:val="tx1"/>
                        </w14:solidFill>
                      </w14:textFill>
                    </w:rPr>
                  </w:pPr>
                </w:p>
              </w:tc>
              <w:tc>
                <w:tcPr>
                  <w:tcW w:w="425" w:type="pct"/>
                  <w:vMerge w:val="continue"/>
                  <w:vAlign w:val="center"/>
                </w:tcPr>
                <w:p w14:paraId="04044EDA">
                  <w:pPr>
                    <w:pStyle w:val="85"/>
                    <w:rPr>
                      <w:color w:val="000000" w:themeColor="text1"/>
                      <w:szCs w:val="21"/>
                      <w:highlight w:val="none"/>
                      <w14:textFill>
                        <w14:solidFill>
                          <w14:schemeClr w14:val="tx1"/>
                        </w14:solidFill>
                      </w14:textFill>
                    </w:rPr>
                  </w:pPr>
                </w:p>
              </w:tc>
              <w:tc>
                <w:tcPr>
                  <w:tcW w:w="551" w:type="pct"/>
                  <w:vMerge w:val="continue"/>
                  <w:vAlign w:val="center"/>
                </w:tcPr>
                <w:p w14:paraId="5B42310B">
                  <w:pPr>
                    <w:pStyle w:val="85"/>
                    <w:rPr>
                      <w:color w:val="000000" w:themeColor="text1"/>
                      <w:szCs w:val="21"/>
                      <w:highlight w:val="none"/>
                      <w14:textFill>
                        <w14:solidFill>
                          <w14:schemeClr w14:val="tx1"/>
                        </w14:solidFill>
                      </w14:textFill>
                    </w:rPr>
                  </w:pPr>
                </w:p>
              </w:tc>
              <w:tc>
                <w:tcPr>
                  <w:tcW w:w="517" w:type="pct"/>
                  <w:vMerge w:val="continue"/>
                  <w:vAlign w:val="center"/>
                </w:tcPr>
                <w:p w14:paraId="62C061C1">
                  <w:pPr>
                    <w:pStyle w:val="85"/>
                    <w:rPr>
                      <w:color w:val="000000" w:themeColor="text1"/>
                      <w:szCs w:val="21"/>
                      <w:highlight w:val="none"/>
                      <w14:textFill>
                        <w14:solidFill>
                          <w14:schemeClr w14:val="tx1"/>
                        </w14:solidFill>
                      </w14:textFill>
                    </w:rPr>
                  </w:pPr>
                </w:p>
              </w:tc>
              <w:tc>
                <w:tcPr>
                  <w:tcW w:w="427" w:type="pct"/>
                  <w:vMerge w:val="continue"/>
                  <w:vAlign w:val="center"/>
                </w:tcPr>
                <w:p w14:paraId="6B009058">
                  <w:pPr>
                    <w:pStyle w:val="85"/>
                    <w:rPr>
                      <w:color w:val="000000" w:themeColor="text1"/>
                      <w:szCs w:val="21"/>
                      <w:highlight w:val="none"/>
                      <w14:textFill>
                        <w14:solidFill>
                          <w14:schemeClr w14:val="tx1"/>
                        </w14:solidFill>
                      </w14:textFill>
                    </w:rPr>
                  </w:pPr>
                </w:p>
              </w:tc>
              <w:tc>
                <w:tcPr>
                  <w:tcW w:w="430" w:type="pct"/>
                  <w:vMerge w:val="continue"/>
                  <w:vAlign w:val="center"/>
                </w:tcPr>
                <w:p w14:paraId="062E8929">
                  <w:pPr>
                    <w:pStyle w:val="85"/>
                    <w:rPr>
                      <w:color w:val="000000" w:themeColor="text1"/>
                      <w:szCs w:val="21"/>
                      <w:highlight w:val="none"/>
                      <w14:textFill>
                        <w14:solidFill>
                          <w14:schemeClr w14:val="tx1"/>
                        </w14:solidFill>
                      </w14:textFill>
                    </w:rPr>
                  </w:pPr>
                </w:p>
              </w:tc>
            </w:tr>
          </w:tbl>
          <w:p w14:paraId="7370BB93">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表4.2-</w:t>
            </w:r>
            <w:r>
              <w:rPr>
                <w:rFonts w:hint="eastAsia" w:ascii="Times New Roman" w:hAnsi="Times New Roman"/>
                <w:b/>
                <w:color w:val="000000" w:themeColor="text1"/>
                <w:highlight w:val="none"/>
                <w14:textFill>
                  <w14:solidFill>
                    <w14:schemeClr w14:val="tx1"/>
                  </w14:solidFill>
                </w14:textFill>
              </w:rPr>
              <w:t>3</w:t>
            </w:r>
            <w:r>
              <w:rPr>
                <w:rFonts w:ascii="Times New Roman" w:hAnsi="Times New Roman"/>
                <w:b/>
                <w:color w:val="000000" w:themeColor="text1"/>
                <w:highlight w:val="none"/>
                <w14:textFill>
                  <w14:solidFill>
                    <w14:schemeClr w14:val="tx1"/>
                  </w14:solidFill>
                </w14:textFill>
              </w:rPr>
              <w:t xml:space="preserve">  废水间接排放口基本情况表</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01"/>
              <w:gridCol w:w="771"/>
              <w:gridCol w:w="1310"/>
              <w:gridCol w:w="1165"/>
              <w:gridCol w:w="763"/>
              <w:gridCol w:w="716"/>
              <w:gridCol w:w="718"/>
              <w:gridCol w:w="985"/>
              <w:gridCol w:w="867"/>
              <w:gridCol w:w="966"/>
            </w:tblGrid>
            <w:tr w14:paraId="65DCE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7" w:hRule="atLeast"/>
              </w:trPr>
              <w:tc>
                <w:tcPr>
                  <w:tcW w:w="232" w:type="pct"/>
                  <w:vMerge w:val="restart"/>
                  <w:vAlign w:val="center"/>
                </w:tcPr>
                <w:p w14:paraId="3C321725">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445" w:type="pct"/>
                  <w:vMerge w:val="restart"/>
                  <w:vAlign w:val="center"/>
                </w:tcPr>
                <w:p w14:paraId="2D7F18A0">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排放口编号</w:t>
                  </w:r>
                </w:p>
              </w:tc>
              <w:tc>
                <w:tcPr>
                  <w:tcW w:w="1428" w:type="pct"/>
                  <w:gridSpan w:val="2"/>
                  <w:vAlign w:val="center"/>
                </w:tcPr>
                <w:p w14:paraId="741421E6">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排放口地理坐标</w:t>
                  </w:r>
                </w:p>
              </w:tc>
              <w:tc>
                <w:tcPr>
                  <w:tcW w:w="440" w:type="pct"/>
                  <w:vMerge w:val="restart"/>
                  <w:vAlign w:val="center"/>
                </w:tcPr>
                <w:p w14:paraId="0EF1A368">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废水排放量</w:t>
                  </w:r>
                </w:p>
                <w:p w14:paraId="331C01A8">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（万t/a）</w:t>
                  </w:r>
                </w:p>
              </w:tc>
              <w:tc>
                <w:tcPr>
                  <w:tcW w:w="413" w:type="pct"/>
                  <w:vMerge w:val="restart"/>
                  <w:vAlign w:val="center"/>
                </w:tcPr>
                <w:p w14:paraId="63B90C42">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w:t>
                  </w:r>
                </w:p>
                <w:p w14:paraId="703B00E0">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去向</w:t>
                  </w:r>
                </w:p>
              </w:tc>
              <w:tc>
                <w:tcPr>
                  <w:tcW w:w="414" w:type="pct"/>
                  <w:vMerge w:val="restart"/>
                  <w:vAlign w:val="center"/>
                </w:tcPr>
                <w:p w14:paraId="48759386">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w:t>
                  </w:r>
                </w:p>
                <w:p w14:paraId="5E482A4A">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规律</w:t>
                  </w:r>
                </w:p>
              </w:tc>
              <w:tc>
                <w:tcPr>
                  <w:tcW w:w="1625" w:type="pct"/>
                  <w:gridSpan w:val="3"/>
                  <w:vAlign w:val="center"/>
                </w:tcPr>
                <w:p w14:paraId="1D304932">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受纳污水处理厂信息</w:t>
                  </w:r>
                </w:p>
              </w:tc>
            </w:tr>
            <w:tr w14:paraId="1DD561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7" w:hRule="atLeast"/>
              </w:trPr>
              <w:tc>
                <w:tcPr>
                  <w:tcW w:w="232" w:type="pct"/>
                  <w:vMerge w:val="continue"/>
                  <w:vAlign w:val="center"/>
                </w:tcPr>
                <w:p w14:paraId="5E89A918">
                  <w:pPr>
                    <w:pStyle w:val="85"/>
                    <w:rPr>
                      <w:color w:val="000000" w:themeColor="text1"/>
                      <w:highlight w:val="none"/>
                      <w14:textFill>
                        <w14:solidFill>
                          <w14:schemeClr w14:val="tx1"/>
                        </w14:solidFill>
                      </w14:textFill>
                    </w:rPr>
                  </w:pPr>
                </w:p>
              </w:tc>
              <w:tc>
                <w:tcPr>
                  <w:tcW w:w="445" w:type="pct"/>
                  <w:vMerge w:val="continue"/>
                  <w:vAlign w:val="center"/>
                </w:tcPr>
                <w:p w14:paraId="60C0246C">
                  <w:pPr>
                    <w:pStyle w:val="85"/>
                    <w:rPr>
                      <w:color w:val="000000" w:themeColor="text1"/>
                      <w:highlight w:val="none"/>
                      <w14:textFill>
                        <w14:solidFill>
                          <w14:schemeClr w14:val="tx1"/>
                        </w14:solidFill>
                      </w14:textFill>
                    </w:rPr>
                  </w:pPr>
                </w:p>
              </w:tc>
              <w:tc>
                <w:tcPr>
                  <w:tcW w:w="756" w:type="pct"/>
                  <w:vAlign w:val="center"/>
                </w:tcPr>
                <w:p w14:paraId="15E4C998">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经度</w:t>
                  </w:r>
                </w:p>
              </w:tc>
              <w:tc>
                <w:tcPr>
                  <w:tcW w:w="672" w:type="pct"/>
                  <w:vAlign w:val="center"/>
                </w:tcPr>
                <w:p w14:paraId="75F03EC4">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纬度</w:t>
                  </w:r>
                </w:p>
              </w:tc>
              <w:tc>
                <w:tcPr>
                  <w:tcW w:w="440" w:type="pct"/>
                  <w:vMerge w:val="continue"/>
                  <w:vAlign w:val="center"/>
                </w:tcPr>
                <w:p w14:paraId="7979E013">
                  <w:pPr>
                    <w:pStyle w:val="85"/>
                    <w:rPr>
                      <w:color w:val="000000" w:themeColor="text1"/>
                      <w:highlight w:val="none"/>
                      <w14:textFill>
                        <w14:solidFill>
                          <w14:schemeClr w14:val="tx1"/>
                        </w14:solidFill>
                      </w14:textFill>
                    </w:rPr>
                  </w:pPr>
                </w:p>
              </w:tc>
              <w:tc>
                <w:tcPr>
                  <w:tcW w:w="413" w:type="pct"/>
                  <w:vMerge w:val="continue"/>
                  <w:vAlign w:val="center"/>
                </w:tcPr>
                <w:p w14:paraId="75C407F0">
                  <w:pPr>
                    <w:pStyle w:val="85"/>
                    <w:rPr>
                      <w:color w:val="000000" w:themeColor="text1"/>
                      <w:highlight w:val="none"/>
                      <w14:textFill>
                        <w14:solidFill>
                          <w14:schemeClr w14:val="tx1"/>
                        </w14:solidFill>
                      </w14:textFill>
                    </w:rPr>
                  </w:pPr>
                </w:p>
              </w:tc>
              <w:tc>
                <w:tcPr>
                  <w:tcW w:w="414" w:type="pct"/>
                  <w:vMerge w:val="continue"/>
                  <w:vAlign w:val="center"/>
                </w:tcPr>
                <w:p w14:paraId="3F4631DB">
                  <w:pPr>
                    <w:pStyle w:val="85"/>
                    <w:rPr>
                      <w:color w:val="000000" w:themeColor="text1"/>
                      <w:highlight w:val="none"/>
                      <w14:textFill>
                        <w14:solidFill>
                          <w14:schemeClr w14:val="tx1"/>
                        </w14:solidFill>
                      </w14:textFill>
                    </w:rPr>
                  </w:pPr>
                </w:p>
              </w:tc>
              <w:tc>
                <w:tcPr>
                  <w:tcW w:w="568" w:type="pct"/>
                  <w:vAlign w:val="center"/>
                </w:tcPr>
                <w:p w14:paraId="6D343311">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名称</w:t>
                  </w:r>
                </w:p>
              </w:tc>
              <w:tc>
                <w:tcPr>
                  <w:tcW w:w="500" w:type="pct"/>
                  <w:vAlign w:val="center"/>
                </w:tcPr>
                <w:p w14:paraId="6492EB62">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污染物种类</w:t>
                  </w:r>
                </w:p>
              </w:tc>
              <w:tc>
                <w:tcPr>
                  <w:tcW w:w="555" w:type="pct"/>
                  <w:vAlign w:val="center"/>
                </w:tcPr>
                <w:p w14:paraId="2A615C14">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国家或地方污染物排放标准限值（mg/L）</w:t>
                  </w:r>
                </w:p>
              </w:tc>
            </w:tr>
            <w:tr w14:paraId="4FBDE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232" w:type="pct"/>
                  <w:vMerge w:val="restart"/>
                  <w:vAlign w:val="center"/>
                </w:tcPr>
                <w:p w14:paraId="6A9FF920">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445" w:type="pct"/>
                  <w:vMerge w:val="restart"/>
                  <w:vAlign w:val="center"/>
                </w:tcPr>
                <w:p w14:paraId="2342AAAD">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w:t>
                  </w:r>
                </w:p>
                <w:p w14:paraId="74FCAEB8">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001</w:t>
                  </w:r>
                </w:p>
              </w:tc>
              <w:tc>
                <w:tcPr>
                  <w:tcW w:w="756" w:type="pct"/>
                  <w:vMerge w:val="restart"/>
                  <w:vAlign w:val="center"/>
                </w:tcPr>
                <w:p w14:paraId="32005FEE">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119.</w:t>
                  </w:r>
                  <w:r>
                    <w:rPr>
                      <w:rFonts w:hint="eastAsia"/>
                      <w:color w:val="000000" w:themeColor="text1"/>
                      <w:highlight w:val="none"/>
                      <w:lang w:val="en-US"/>
                      <w14:textFill>
                        <w14:solidFill>
                          <w14:schemeClr w14:val="tx1"/>
                        </w14:solidFill>
                      </w14:textFill>
                    </w:rPr>
                    <w:t>403112</w:t>
                  </w:r>
                  <w:r>
                    <w:rPr>
                      <w:color w:val="000000" w:themeColor="text1"/>
                      <w:highlight w:val="none"/>
                      <w14:textFill>
                        <w14:solidFill>
                          <w14:schemeClr w14:val="tx1"/>
                        </w14:solidFill>
                      </w14:textFill>
                    </w:rPr>
                    <w:t>°</w:t>
                  </w:r>
                </w:p>
              </w:tc>
              <w:tc>
                <w:tcPr>
                  <w:tcW w:w="672" w:type="pct"/>
                  <w:vMerge w:val="restart"/>
                  <w:vAlign w:val="center"/>
                </w:tcPr>
                <w:p w14:paraId="0D326E2B">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w:t>
                  </w:r>
                  <w:r>
                    <w:rPr>
                      <w:rFonts w:hint="eastAsia"/>
                      <w:color w:val="000000" w:themeColor="text1"/>
                      <w:highlight w:val="none"/>
                      <w:lang w:val="en-US"/>
                      <w14:textFill>
                        <w14:solidFill>
                          <w14:schemeClr w14:val="tx1"/>
                        </w14:solidFill>
                      </w14:textFill>
                    </w:rPr>
                    <w:t>772645</w:t>
                  </w:r>
                  <w:r>
                    <w:rPr>
                      <w:color w:val="000000" w:themeColor="text1"/>
                      <w:highlight w:val="none"/>
                      <w14:textFill>
                        <w14:solidFill>
                          <w14:schemeClr w14:val="tx1"/>
                        </w14:solidFill>
                      </w14:textFill>
                    </w:rPr>
                    <w:t>°</w:t>
                  </w:r>
                </w:p>
              </w:tc>
              <w:tc>
                <w:tcPr>
                  <w:tcW w:w="440" w:type="pct"/>
                  <w:vMerge w:val="restart"/>
                  <w:vAlign w:val="center"/>
                </w:tcPr>
                <w:p w14:paraId="7F9B188F">
                  <w:pPr>
                    <w:pStyle w:val="85"/>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0624</w:t>
                  </w:r>
                </w:p>
              </w:tc>
              <w:tc>
                <w:tcPr>
                  <w:tcW w:w="413" w:type="pct"/>
                  <w:vMerge w:val="restart"/>
                  <w:vAlign w:val="center"/>
                </w:tcPr>
                <w:p w14:paraId="1F12019B">
                  <w:pPr>
                    <w:pStyle w:val="85"/>
                    <w:rPr>
                      <w:b/>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排市政污水管网，再纳入福清市融元污水处理厂</w:t>
                  </w:r>
                </w:p>
              </w:tc>
              <w:tc>
                <w:tcPr>
                  <w:tcW w:w="414" w:type="pct"/>
                  <w:vMerge w:val="restart"/>
                  <w:vAlign w:val="center"/>
                </w:tcPr>
                <w:p w14:paraId="383BCB1A">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连续排放，流量</w:t>
                  </w:r>
                  <w:r>
                    <w:rPr>
                      <w:rFonts w:hint="eastAsia"/>
                      <w:color w:val="000000" w:themeColor="text1"/>
                      <w:highlight w:val="none"/>
                      <w14:textFill>
                        <w14:solidFill>
                          <w14:schemeClr w14:val="tx1"/>
                        </w14:solidFill>
                      </w14:textFill>
                    </w:rPr>
                    <w:t>不</w:t>
                  </w:r>
                  <w:r>
                    <w:rPr>
                      <w:color w:val="000000" w:themeColor="text1"/>
                      <w:highlight w:val="none"/>
                      <w14:textFill>
                        <w14:solidFill>
                          <w14:schemeClr w14:val="tx1"/>
                        </w14:solidFill>
                      </w14:textFill>
                    </w:rPr>
                    <w:t>稳定</w:t>
                  </w:r>
                </w:p>
              </w:tc>
              <w:tc>
                <w:tcPr>
                  <w:tcW w:w="568" w:type="pct"/>
                  <w:vMerge w:val="restart"/>
                  <w:vAlign w:val="center"/>
                </w:tcPr>
                <w:p w14:paraId="532C1AA8">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福清市融元污水处理厂</w:t>
                  </w:r>
                </w:p>
              </w:tc>
              <w:tc>
                <w:tcPr>
                  <w:tcW w:w="500" w:type="pct"/>
                  <w:vAlign w:val="center"/>
                </w:tcPr>
                <w:p w14:paraId="205CF268">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p>
              </w:tc>
              <w:tc>
                <w:tcPr>
                  <w:tcW w:w="555" w:type="pct"/>
                  <w:vAlign w:val="center"/>
                </w:tcPr>
                <w:p w14:paraId="52D7DD28">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r>
            <w:tr w14:paraId="48BCB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8" w:hRule="atLeast"/>
              </w:trPr>
              <w:tc>
                <w:tcPr>
                  <w:tcW w:w="232" w:type="pct"/>
                  <w:vMerge w:val="continue"/>
                  <w:vAlign w:val="center"/>
                </w:tcPr>
                <w:p w14:paraId="7B96BEA4">
                  <w:pPr>
                    <w:pStyle w:val="85"/>
                    <w:rPr>
                      <w:color w:val="000000" w:themeColor="text1"/>
                      <w:highlight w:val="none"/>
                      <w14:textFill>
                        <w14:solidFill>
                          <w14:schemeClr w14:val="tx1"/>
                        </w14:solidFill>
                      </w14:textFill>
                    </w:rPr>
                  </w:pPr>
                </w:p>
              </w:tc>
              <w:tc>
                <w:tcPr>
                  <w:tcW w:w="445" w:type="pct"/>
                  <w:vMerge w:val="continue"/>
                  <w:vAlign w:val="center"/>
                </w:tcPr>
                <w:p w14:paraId="23E292B3">
                  <w:pPr>
                    <w:pStyle w:val="85"/>
                    <w:rPr>
                      <w:color w:val="000000" w:themeColor="text1"/>
                      <w:highlight w:val="none"/>
                      <w14:textFill>
                        <w14:solidFill>
                          <w14:schemeClr w14:val="tx1"/>
                        </w14:solidFill>
                      </w14:textFill>
                    </w:rPr>
                  </w:pPr>
                </w:p>
              </w:tc>
              <w:tc>
                <w:tcPr>
                  <w:tcW w:w="756" w:type="pct"/>
                  <w:vMerge w:val="continue"/>
                  <w:vAlign w:val="center"/>
                </w:tcPr>
                <w:p w14:paraId="77069ACE">
                  <w:pPr>
                    <w:pStyle w:val="85"/>
                    <w:rPr>
                      <w:color w:val="000000" w:themeColor="text1"/>
                      <w:highlight w:val="none"/>
                      <w14:textFill>
                        <w14:solidFill>
                          <w14:schemeClr w14:val="tx1"/>
                        </w14:solidFill>
                      </w14:textFill>
                    </w:rPr>
                  </w:pPr>
                </w:p>
              </w:tc>
              <w:tc>
                <w:tcPr>
                  <w:tcW w:w="672" w:type="pct"/>
                  <w:vMerge w:val="continue"/>
                  <w:vAlign w:val="center"/>
                </w:tcPr>
                <w:p w14:paraId="6D4F977F">
                  <w:pPr>
                    <w:pStyle w:val="85"/>
                    <w:rPr>
                      <w:color w:val="000000" w:themeColor="text1"/>
                      <w:highlight w:val="none"/>
                      <w14:textFill>
                        <w14:solidFill>
                          <w14:schemeClr w14:val="tx1"/>
                        </w14:solidFill>
                      </w14:textFill>
                    </w:rPr>
                  </w:pPr>
                </w:p>
              </w:tc>
              <w:tc>
                <w:tcPr>
                  <w:tcW w:w="440" w:type="pct"/>
                  <w:vMerge w:val="continue"/>
                  <w:vAlign w:val="center"/>
                </w:tcPr>
                <w:p w14:paraId="20C6A06F">
                  <w:pPr>
                    <w:pStyle w:val="85"/>
                    <w:rPr>
                      <w:color w:val="000000" w:themeColor="text1"/>
                      <w:highlight w:val="none"/>
                      <w14:textFill>
                        <w14:solidFill>
                          <w14:schemeClr w14:val="tx1"/>
                        </w14:solidFill>
                      </w14:textFill>
                    </w:rPr>
                  </w:pPr>
                </w:p>
              </w:tc>
              <w:tc>
                <w:tcPr>
                  <w:tcW w:w="413" w:type="pct"/>
                  <w:vMerge w:val="continue"/>
                  <w:vAlign w:val="center"/>
                </w:tcPr>
                <w:p w14:paraId="271C3BE4">
                  <w:pPr>
                    <w:pStyle w:val="85"/>
                    <w:rPr>
                      <w:color w:val="000000" w:themeColor="text1"/>
                      <w:highlight w:val="none"/>
                      <w14:textFill>
                        <w14:solidFill>
                          <w14:schemeClr w14:val="tx1"/>
                        </w14:solidFill>
                      </w14:textFill>
                    </w:rPr>
                  </w:pPr>
                </w:p>
              </w:tc>
              <w:tc>
                <w:tcPr>
                  <w:tcW w:w="414" w:type="pct"/>
                  <w:vMerge w:val="continue"/>
                  <w:vAlign w:val="center"/>
                </w:tcPr>
                <w:p w14:paraId="43419D17">
                  <w:pPr>
                    <w:pStyle w:val="85"/>
                    <w:rPr>
                      <w:color w:val="000000" w:themeColor="text1"/>
                      <w:highlight w:val="none"/>
                      <w14:textFill>
                        <w14:solidFill>
                          <w14:schemeClr w14:val="tx1"/>
                        </w14:solidFill>
                      </w14:textFill>
                    </w:rPr>
                  </w:pPr>
                </w:p>
              </w:tc>
              <w:tc>
                <w:tcPr>
                  <w:tcW w:w="568" w:type="pct"/>
                  <w:vMerge w:val="continue"/>
                  <w:vAlign w:val="center"/>
                </w:tcPr>
                <w:p w14:paraId="7AC71862">
                  <w:pPr>
                    <w:pStyle w:val="85"/>
                    <w:rPr>
                      <w:color w:val="000000" w:themeColor="text1"/>
                      <w:highlight w:val="none"/>
                      <w14:textFill>
                        <w14:solidFill>
                          <w14:schemeClr w14:val="tx1"/>
                        </w14:solidFill>
                      </w14:textFill>
                    </w:rPr>
                  </w:pPr>
                </w:p>
              </w:tc>
              <w:tc>
                <w:tcPr>
                  <w:tcW w:w="500" w:type="pct"/>
                  <w:vAlign w:val="center"/>
                </w:tcPr>
                <w:p w14:paraId="12C84879">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555" w:type="pct"/>
                  <w:vAlign w:val="center"/>
                </w:tcPr>
                <w:p w14:paraId="45243691">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r>
            <w:tr w14:paraId="7B317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7" w:hRule="atLeast"/>
              </w:trPr>
              <w:tc>
                <w:tcPr>
                  <w:tcW w:w="232" w:type="pct"/>
                  <w:vMerge w:val="continue"/>
                  <w:vAlign w:val="center"/>
                </w:tcPr>
                <w:p w14:paraId="58BDBD83">
                  <w:pPr>
                    <w:pStyle w:val="85"/>
                    <w:rPr>
                      <w:color w:val="000000" w:themeColor="text1"/>
                      <w:highlight w:val="none"/>
                      <w14:textFill>
                        <w14:solidFill>
                          <w14:schemeClr w14:val="tx1"/>
                        </w14:solidFill>
                      </w14:textFill>
                    </w:rPr>
                  </w:pPr>
                </w:p>
              </w:tc>
              <w:tc>
                <w:tcPr>
                  <w:tcW w:w="445" w:type="pct"/>
                  <w:vMerge w:val="continue"/>
                  <w:vAlign w:val="center"/>
                </w:tcPr>
                <w:p w14:paraId="29581803">
                  <w:pPr>
                    <w:pStyle w:val="85"/>
                    <w:rPr>
                      <w:color w:val="000000" w:themeColor="text1"/>
                      <w:highlight w:val="none"/>
                      <w14:textFill>
                        <w14:solidFill>
                          <w14:schemeClr w14:val="tx1"/>
                        </w14:solidFill>
                      </w14:textFill>
                    </w:rPr>
                  </w:pPr>
                </w:p>
              </w:tc>
              <w:tc>
                <w:tcPr>
                  <w:tcW w:w="756" w:type="pct"/>
                  <w:vMerge w:val="continue"/>
                  <w:vAlign w:val="center"/>
                </w:tcPr>
                <w:p w14:paraId="5F6F9A0E">
                  <w:pPr>
                    <w:pStyle w:val="85"/>
                    <w:rPr>
                      <w:color w:val="000000" w:themeColor="text1"/>
                      <w:highlight w:val="none"/>
                      <w14:textFill>
                        <w14:solidFill>
                          <w14:schemeClr w14:val="tx1"/>
                        </w14:solidFill>
                      </w14:textFill>
                    </w:rPr>
                  </w:pPr>
                </w:p>
              </w:tc>
              <w:tc>
                <w:tcPr>
                  <w:tcW w:w="672" w:type="pct"/>
                  <w:vMerge w:val="continue"/>
                  <w:vAlign w:val="center"/>
                </w:tcPr>
                <w:p w14:paraId="2AF8C1DA">
                  <w:pPr>
                    <w:pStyle w:val="85"/>
                    <w:rPr>
                      <w:color w:val="000000" w:themeColor="text1"/>
                      <w:highlight w:val="none"/>
                      <w14:textFill>
                        <w14:solidFill>
                          <w14:schemeClr w14:val="tx1"/>
                        </w14:solidFill>
                      </w14:textFill>
                    </w:rPr>
                  </w:pPr>
                </w:p>
              </w:tc>
              <w:tc>
                <w:tcPr>
                  <w:tcW w:w="440" w:type="pct"/>
                  <w:vMerge w:val="continue"/>
                  <w:vAlign w:val="center"/>
                </w:tcPr>
                <w:p w14:paraId="4D7CD4D6">
                  <w:pPr>
                    <w:pStyle w:val="85"/>
                    <w:rPr>
                      <w:color w:val="000000" w:themeColor="text1"/>
                      <w:highlight w:val="none"/>
                      <w14:textFill>
                        <w14:solidFill>
                          <w14:schemeClr w14:val="tx1"/>
                        </w14:solidFill>
                      </w14:textFill>
                    </w:rPr>
                  </w:pPr>
                </w:p>
              </w:tc>
              <w:tc>
                <w:tcPr>
                  <w:tcW w:w="413" w:type="pct"/>
                  <w:vMerge w:val="continue"/>
                  <w:vAlign w:val="center"/>
                </w:tcPr>
                <w:p w14:paraId="4E6F66C3">
                  <w:pPr>
                    <w:pStyle w:val="85"/>
                    <w:rPr>
                      <w:color w:val="000000" w:themeColor="text1"/>
                      <w:highlight w:val="none"/>
                      <w14:textFill>
                        <w14:solidFill>
                          <w14:schemeClr w14:val="tx1"/>
                        </w14:solidFill>
                      </w14:textFill>
                    </w:rPr>
                  </w:pPr>
                </w:p>
              </w:tc>
              <w:tc>
                <w:tcPr>
                  <w:tcW w:w="414" w:type="pct"/>
                  <w:vMerge w:val="continue"/>
                  <w:vAlign w:val="center"/>
                </w:tcPr>
                <w:p w14:paraId="283E495D">
                  <w:pPr>
                    <w:pStyle w:val="85"/>
                    <w:rPr>
                      <w:color w:val="000000" w:themeColor="text1"/>
                      <w:highlight w:val="none"/>
                      <w14:textFill>
                        <w14:solidFill>
                          <w14:schemeClr w14:val="tx1"/>
                        </w14:solidFill>
                      </w14:textFill>
                    </w:rPr>
                  </w:pPr>
                </w:p>
              </w:tc>
              <w:tc>
                <w:tcPr>
                  <w:tcW w:w="568" w:type="pct"/>
                  <w:vMerge w:val="continue"/>
                  <w:vAlign w:val="center"/>
                </w:tcPr>
                <w:p w14:paraId="1521E1F1">
                  <w:pPr>
                    <w:pStyle w:val="85"/>
                    <w:rPr>
                      <w:color w:val="000000" w:themeColor="text1"/>
                      <w:highlight w:val="none"/>
                      <w14:textFill>
                        <w14:solidFill>
                          <w14:schemeClr w14:val="tx1"/>
                        </w14:solidFill>
                      </w14:textFill>
                    </w:rPr>
                  </w:pPr>
                </w:p>
              </w:tc>
              <w:tc>
                <w:tcPr>
                  <w:tcW w:w="500" w:type="pct"/>
                  <w:vAlign w:val="center"/>
                </w:tcPr>
                <w:p w14:paraId="6D0016D5">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555" w:type="pct"/>
                  <w:vAlign w:val="center"/>
                </w:tcPr>
                <w:p w14:paraId="1691D256">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r>
            <w:tr w14:paraId="2EE573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 w:hRule="atLeast"/>
              </w:trPr>
              <w:tc>
                <w:tcPr>
                  <w:tcW w:w="232" w:type="pct"/>
                  <w:vMerge w:val="continue"/>
                  <w:vAlign w:val="center"/>
                </w:tcPr>
                <w:p w14:paraId="08CDC009">
                  <w:pPr>
                    <w:pStyle w:val="85"/>
                    <w:rPr>
                      <w:color w:val="000000" w:themeColor="text1"/>
                      <w:highlight w:val="none"/>
                      <w14:textFill>
                        <w14:solidFill>
                          <w14:schemeClr w14:val="tx1"/>
                        </w14:solidFill>
                      </w14:textFill>
                    </w:rPr>
                  </w:pPr>
                </w:p>
              </w:tc>
              <w:tc>
                <w:tcPr>
                  <w:tcW w:w="445" w:type="pct"/>
                  <w:vMerge w:val="continue"/>
                  <w:vAlign w:val="center"/>
                </w:tcPr>
                <w:p w14:paraId="5C62ED51">
                  <w:pPr>
                    <w:pStyle w:val="85"/>
                    <w:rPr>
                      <w:color w:val="000000" w:themeColor="text1"/>
                      <w:highlight w:val="none"/>
                      <w14:textFill>
                        <w14:solidFill>
                          <w14:schemeClr w14:val="tx1"/>
                        </w14:solidFill>
                      </w14:textFill>
                    </w:rPr>
                  </w:pPr>
                </w:p>
              </w:tc>
              <w:tc>
                <w:tcPr>
                  <w:tcW w:w="756" w:type="pct"/>
                  <w:vMerge w:val="continue"/>
                  <w:vAlign w:val="center"/>
                </w:tcPr>
                <w:p w14:paraId="4C0D522C">
                  <w:pPr>
                    <w:pStyle w:val="85"/>
                    <w:rPr>
                      <w:color w:val="000000" w:themeColor="text1"/>
                      <w:highlight w:val="none"/>
                      <w14:textFill>
                        <w14:solidFill>
                          <w14:schemeClr w14:val="tx1"/>
                        </w14:solidFill>
                      </w14:textFill>
                    </w:rPr>
                  </w:pPr>
                </w:p>
              </w:tc>
              <w:tc>
                <w:tcPr>
                  <w:tcW w:w="672" w:type="pct"/>
                  <w:vMerge w:val="continue"/>
                  <w:vAlign w:val="center"/>
                </w:tcPr>
                <w:p w14:paraId="44FAE7DC">
                  <w:pPr>
                    <w:pStyle w:val="85"/>
                    <w:rPr>
                      <w:color w:val="000000" w:themeColor="text1"/>
                      <w:highlight w:val="none"/>
                      <w14:textFill>
                        <w14:solidFill>
                          <w14:schemeClr w14:val="tx1"/>
                        </w14:solidFill>
                      </w14:textFill>
                    </w:rPr>
                  </w:pPr>
                </w:p>
              </w:tc>
              <w:tc>
                <w:tcPr>
                  <w:tcW w:w="440" w:type="pct"/>
                  <w:vMerge w:val="continue"/>
                  <w:vAlign w:val="center"/>
                </w:tcPr>
                <w:p w14:paraId="34B047D0">
                  <w:pPr>
                    <w:pStyle w:val="85"/>
                    <w:rPr>
                      <w:color w:val="000000" w:themeColor="text1"/>
                      <w:highlight w:val="none"/>
                      <w14:textFill>
                        <w14:solidFill>
                          <w14:schemeClr w14:val="tx1"/>
                        </w14:solidFill>
                      </w14:textFill>
                    </w:rPr>
                  </w:pPr>
                </w:p>
              </w:tc>
              <w:tc>
                <w:tcPr>
                  <w:tcW w:w="413" w:type="pct"/>
                  <w:vMerge w:val="continue"/>
                  <w:vAlign w:val="center"/>
                </w:tcPr>
                <w:p w14:paraId="2084C582">
                  <w:pPr>
                    <w:pStyle w:val="85"/>
                    <w:rPr>
                      <w:color w:val="000000" w:themeColor="text1"/>
                      <w:highlight w:val="none"/>
                      <w14:textFill>
                        <w14:solidFill>
                          <w14:schemeClr w14:val="tx1"/>
                        </w14:solidFill>
                      </w14:textFill>
                    </w:rPr>
                  </w:pPr>
                </w:p>
              </w:tc>
              <w:tc>
                <w:tcPr>
                  <w:tcW w:w="414" w:type="pct"/>
                  <w:vMerge w:val="continue"/>
                  <w:vAlign w:val="center"/>
                </w:tcPr>
                <w:p w14:paraId="0331E903">
                  <w:pPr>
                    <w:pStyle w:val="85"/>
                    <w:rPr>
                      <w:color w:val="000000" w:themeColor="text1"/>
                      <w:highlight w:val="none"/>
                      <w14:textFill>
                        <w14:solidFill>
                          <w14:schemeClr w14:val="tx1"/>
                        </w14:solidFill>
                      </w14:textFill>
                    </w:rPr>
                  </w:pPr>
                </w:p>
              </w:tc>
              <w:tc>
                <w:tcPr>
                  <w:tcW w:w="568" w:type="pct"/>
                  <w:vMerge w:val="continue"/>
                  <w:vAlign w:val="center"/>
                </w:tcPr>
                <w:p w14:paraId="25F83DE6">
                  <w:pPr>
                    <w:pStyle w:val="85"/>
                    <w:rPr>
                      <w:color w:val="000000" w:themeColor="text1"/>
                      <w:highlight w:val="none"/>
                      <w14:textFill>
                        <w14:solidFill>
                          <w14:schemeClr w14:val="tx1"/>
                        </w14:solidFill>
                      </w14:textFill>
                    </w:rPr>
                  </w:pPr>
                </w:p>
              </w:tc>
              <w:tc>
                <w:tcPr>
                  <w:tcW w:w="500" w:type="pct"/>
                  <w:vAlign w:val="center"/>
                </w:tcPr>
                <w:p w14:paraId="2C63A7FA">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555" w:type="pct"/>
                  <w:vAlign w:val="center"/>
                </w:tcPr>
                <w:p w14:paraId="29BD41CC">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r>
          </w:tbl>
          <w:p w14:paraId="134350D9">
            <w:pPr>
              <w:pStyle w:val="97"/>
              <w:ind w:firstLine="2" w:firstLineChars="1"/>
              <w:jc w:val="center"/>
              <w:rPr>
                <w:rFonts w:hint="eastAsia"/>
                <w:b/>
                <w:bCs/>
                <w:color w:val="000000" w:themeColor="text1"/>
                <w:szCs w:val="22"/>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 xml:space="preserve"> 表4.2-4  废水污染物排放信息表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4"/>
              <w:gridCol w:w="1212"/>
              <w:gridCol w:w="1177"/>
              <w:gridCol w:w="1177"/>
              <w:gridCol w:w="1324"/>
              <w:gridCol w:w="1180"/>
              <w:gridCol w:w="1030"/>
              <w:gridCol w:w="983"/>
            </w:tblGrid>
            <w:tr w14:paraId="6876B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Align w:val="center"/>
                </w:tcPr>
                <w:p w14:paraId="509FA291">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699" w:type="pct"/>
                  <w:vAlign w:val="center"/>
                </w:tcPr>
                <w:p w14:paraId="787909CC">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w:t>
                  </w:r>
                </w:p>
                <w:p w14:paraId="255B5120">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编号</w:t>
                  </w:r>
                </w:p>
              </w:tc>
              <w:tc>
                <w:tcPr>
                  <w:tcW w:w="679" w:type="pct"/>
                  <w:vAlign w:val="center"/>
                </w:tcPr>
                <w:p w14:paraId="14DF8659">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p w14:paraId="40CEF920">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种类</w:t>
                  </w:r>
                </w:p>
              </w:tc>
              <w:tc>
                <w:tcPr>
                  <w:tcW w:w="679" w:type="pct"/>
                  <w:vAlign w:val="center"/>
                </w:tcPr>
                <w:p w14:paraId="383DEEDD">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排放浓度（mg/L）</w:t>
                  </w:r>
                </w:p>
              </w:tc>
              <w:tc>
                <w:tcPr>
                  <w:tcW w:w="764" w:type="pct"/>
                  <w:vAlign w:val="center"/>
                </w:tcPr>
                <w:p w14:paraId="3BE6BA5A">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新增</w:t>
                  </w:r>
                  <w:r>
                    <w:rPr>
                      <w:color w:val="000000" w:themeColor="text1"/>
                      <w:highlight w:val="none"/>
                      <w14:textFill>
                        <w14:solidFill>
                          <w14:schemeClr w14:val="tx1"/>
                        </w14:solidFill>
                      </w14:textFill>
                    </w:rPr>
                    <w:t>日排放量（t/d）</w:t>
                  </w:r>
                </w:p>
              </w:tc>
              <w:tc>
                <w:tcPr>
                  <w:tcW w:w="681" w:type="pct"/>
                  <w:vAlign w:val="center"/>
                </w:tcPr>
                <w:p w14:paraId="6047464F">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全厂</w:t>
                  </w:r>
                  <w:r>
                    <w:rPr>
                      <w:color w:val="000000" w:themeColor="text1"/>
                      <w:highlight w:val="none"/>
                      <w14:textFill>
                        <w14:solidFill>
                          <w14:schemeClr w14:val="tx1"/>
                        </w14:solidFill>
                      </w14:textFill>
                    </w:rPr>
                    <w:t>日排放量（t/d）</w:t>
                  </w:r>
                </w:p>
              </w:tc>
              <w:tc>
                <w:tcPr>
                  <w:tcW w:w="594" w:type="pct"/>
                  <w:vAlign w:val="center"/>
                </w:tcPr>
                <w:p w14:paraId="1EBC07DE">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新增年</w:t>
                  </w:r>
                  <w:r>
                    <w:rPr>
                      <w:color w:val="000000" w:themeColor="text1"/>
                      <w:highlight w:val="none"/>
                      <w14:textFill>
                        <w14:solidFill>
                          <w14:schemeClr w14:val="tx1"/>
                        </w14:solidFill>
                      </w14:textFill>
                    </w:rPr>
                    <w:t>排放量（t/a）</w:t>
                  </w:r>
                </w:p>
              </w:tc>
              <w:tc>
                <w:tcPr>
                  <w:tcW w:w="567" w:type="pct"/>
                  <w:vAlign w:val="center"/>
                </w:tcPr>
                <w:p w14:paraId="340AE766">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全厂</w:t>
                  </w:r>
                  <w:r>
                    <w:rPr>
                      <w:color w:val="000000" w:themeColor="text1"/>
                      <w:highlight w:val="none"/>
                      <w14:textFill>
                        <w14:solidFill>
                          <w14:schemeClr w14:val="tx1"/>
                        </w14:solidFill>
                      </w14:textFill>
                    </w:rPr>
                    <w:t>年排放量（t/a）</w:t>
                  </w:r>
                </w:p>
              </w:tc>
            </w:tr>
            <w:tr w14:paraId="522C4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restart"/>
                  <w:vAlign w:val="center"/>
                </w:tcPr>
                <w:p w14:paraId="527F705F">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699" w:type="pct"/>
                  <w:vMerge w:val="restart"/>
                  <w:vAlign w:val="center"/>
                </w:tcPr>
                <w:p w14:paraId="18B77E85">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DW001</w:t>
                  </w:r>
                </w:p>
              </w:tc>
              <w:tc>
                <w:tcPr>
                  <w:tcW w:w="679" w:type="pct"/>
                  <w:vAlign w:val="center"/>
                </w:tcPr>
                <w:p w14:paraId="3334AF24">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679" w:type="pct"/>
                  <w:vAlign w:val="center"/>
                </w:tcPr>
                <w:p w14:paraId="4E477FDD">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c>
                <w:tcPr>
                  <w:tcW w:w="764" w:type="pct"/>
                  <w:vAlign w:val="center"/>
                </w:tcPr>
                <w:p w14:paraId="7F17727C">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1.15×10</w:t>
                  </w:r>
                  <w:r>
                    <w:rPr>
                      <w:rFonts w:hint="eastAsia"/>
                      <w:color w:val="000000" w:themeColor="text1"/>
                      <w:highlight w:val="none"/>
                      <w:vertAlign w:val="superscript"/>
                      <w:lang w:val="en-US"/>
                      <w14:textFill>
                        <w14:solidFill>
                          <w14:schemeClr w14:val="tx1"/>
                        </w14:solidFill>
                      </w14:textFill>
                    </w:rPr>
                    <w:t>-5</w:t>
                  </w:r>
                </w:p>
              </w:tc>
              <w:tc>
                <w:tcPr>
                  <w:tcW w:w="1180" w:type="dxa"/>
                  <w:vAlign w:val="center"/>
                </w:tcPr>
                <w:p w14:paraId="579AE51B">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1.15×10</w:t>
                  </w:r>
                  <w:r>
                    <w:rPr>
                      <w:rFonts w:hint="eastAsia"/>
                      <w:color w:val="000000" w:themeColor="text1"/>
                      <w:highlight w:val="none"/>
                      <w:vertAlign w:val="superscript"/>
                      <w:lang w:val="en-US"/>
                      <w14:textFill>
                        <w14:solidFill>
                          <w14:schemeClr w14:val="tx1"/>
                        </w14:solidFill>
                      </w14:textFill>
                    </w:rPr>
                    <w:t>-5</w:t>
                  </w:r>
                </w:p>
              </w:tc>
              <w:tc>
                <w:tcPr>
                  <w:tcW w:w="594" w:type="pct"/>
                  <w:vAlign w:val="center"/>
                </w:tcPr>
                <w:p w14:paraId="7DFFD056">
                  <w:pPr>
                    <w:pStyle w:val="85"/>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c>
                <w:tcPr>
                  <w:tcW w:w="983" w:type="dxa"/>
                  <w:vAlign w:val="center"/>
                </w:tcPr>
                <w:p w14:paraId="6AD4A2DB">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r>
            <w:tr w14:paraId="3E46B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continue"/>
                  <w:vAlign w:val="center"/>
                </w:tcPr>
                <w:p w14:paraId="29993805">
                  <w:pPr>
                    <w:pStyle w:val="85"/>
                    <w:rPr>
                      <w:color w:val="000000" w:themeColor="text1"/>
                      <w:highlight w:val="none"/>
                      <w14:textFill>
                        <w14:solidFill>
                          <w14:schemeClr w14:val="tx1"/>
                        </w14:solidFill>
                      </w14:textFill>
                    </w:rPr>
                  </w:pPr>
                </w:p>
              </w:tc>
              <w:tc>
                <w:tcPr>
                  <w:tcW w:w="699" w:type="pct"/>
                  <w:vMerge w:val="continue"/>
                  <w:vAlign w:val="center"/>
                </w:tcPr>
                <w:p w14:paraId="6F1AB3DD">
                  <w:pPr>
                    <w:pStyle w:val="85"/>
                    <w:rPr>
                      <w:color w:val="000000" w:themeColor="text1"/>
                      <w:highlight w:val="none"/>
                      <w14:textFill>
                        <w14:solidFill>
                          <w14:schemeClr w14:val="tx1"/>
                        </w14:solidFill>
                      </w14:textFill>
                    </w:rPr>
                  </w:pPr>
                </w:p>
              </w:tc>
              <w:tc>
                <w:tcPr>
                  <w:tcW w:w="679" w:type="pct"/>
                  <w:vAlign w:val="center"/>
                </w:tcPr>
                <w:p w14:paraId="3F079800">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679" w:type="pct"/>
                  <w:vAlign w:val="center"/>
                </w:tcPr>
                <w:p w14:paraId="39A741F7">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64" w:type="pct"/>
                  <w:vAlign w:val="center"/>
                </w:tcPr>
                <w:p w14:paraId="7937B755">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3.85×10</w:t>
                  </w:r>
                  <w:r>
                    <w:rPr>
                      <w:rFonts w:hint="eastAsia"/>
                      <w:color w:val="000000" w:themeColor="text1"/>
                      <w:highlight w:val="none"/>
                      <w:vertAlign w:val="superscript"/>
                      <w:lang w:val="en-US"/>
                      <w14:textFill>
                        <w14:solidFill>
                          <w14:schemeClr w14:val="tx1"/>
                        </w14:solidFill>
                      </w14:textFill>
                    </w:rPr>
                    <w:t>-6</w:t>
                  </w:r>
                </w:p>
              </w:tc>
              <w:tc>
                <w:tcPr>
                  <w:tcW w:w="1180" w:type="dxa"/>
                  <w:vAlign w:val="center"/>
                </w:tcPr>
                <w:p w14:paraId="6F42AB3D">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3.85×10</w:t>
                  </w:r>
                  <w:r>
                    <w:rPr>
                      <w:rFonts w:hint="eastAsia"/>
                      <w:color w:val="000000" w:themeColor="text1"/>
                      <w:highlight w:val="none"/>
                      <w:vertAlign w:val="superscript"/>
                      <w:lang w:val="en-US"/>
                      <w14:textFill>
                        <w14:solidFill>
                          <w14:schemeClr w14:val="tx1"/>
                        </w14:solidFill>
                      </w14:textFill>
                    </w:rPr>
                    <w:t>-6</w:t>
                  </w:r>
                </w:p>
              </w:tc>
              <w:tc>
                <w:tcPr>
                  <w:tcW w:w="594" w:type="pct"/>
                  <w:vAlign w:val="center"/>
                </w:tcPr>
                <w:p w14:paraId="4981DDDC">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83" w:type="dxa"/>
                  <w:vAlign w:val="center"/>
                </w:tcPr>
                <w:p w14:paraId="54BE7399">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14:paraId="23BE51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continue"/>
                  <w:vAlign w:val="center"/>
                </w:tcPr>
                <w:p w14:paraId="52A71D97">
                  <w:pPr>
                    <w:pStyle w:val="85"/>
                    <w:rPr>
                      <w:color w:val="000000" w:themeColor="text1"/>
                      <w:highlight w:val="none"/>
                      <w14:textFill>
                        <w14:solidFill>
                          <w14:schemeClr w14:val="tx1"/>
                        </w14:solidFill>
                      </w14:textFill>
                    </w:rPr>
                  </w:pPr>
                </w:p>
              </w:tc>
              <w:tc>
                <w:tcPr>
                  <w:tcW w:w="699" w:type="pct"/>
                  <w:vMerge w:val="continue"/>
                  <w:vAlign w:val="center"/>
                </w:tcPr>
                <w:p w14:paraId="486A62BA">
                  <w:pPr>
                    <w:pStyle w:val="85"/>
                    <w:rPr>
                      <w:color w:val="000000" w:themeColor="text1"/>
                      <w:highlight w:val="none"/>
                      <w14:textFill>
                        <w14:solidFill>
                          <w14:schemeClr w14:val="tx1"/>
                        </w14:solidFill>
                      </w14:textFill>
                    </w:rPr>
                  </w:pPr>
                </w:p>
              </w:tc>
              <w:tc>
                <w:tcPr>
                  <w:tcW w:w="679" w:type="pct"/>
                  <w:vAlign w:val="center"/>
                </w:tcPr>
                <w:p w14:paraId="66BA5D0F">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679" w:type="pct"/>
                  <w:vAlign w:val="center"/>
                </w:tcPr>
                <w:p w14:paraId="1B3C0013">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64" w:type="pct"/>
                  <w:vAlign w:val="center"/>
                </w:tcPr>
                <w:p w14:paraId="2F6A18DA">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3.85×10</w:t>
                  </w:r>
                  <w:r>
                    <w:rPr>
                      <w:rFonts w:hint="eastAsia"/>
                      <w:color w:val="000000" w:themeColor="text1"/>
                      <w:highlight w:val="none"/>
                      <w:vertAlign w:val="superscript"/>
                      <w:lang w:val="en-US"/>
                      <w14:textFill>
                        <w14:solidFill>
                          <w14:schemeClr w14:val="tx1"/>
                        </w14:solidFill>
                      </w14:textFill>
                    </w:rPr>
                    <w:t>-6</w:t>
                  </w:r>
                </w:p>
              </w:tc>
              <w:tc>
                <w:tcPr>
                  <w:tcW w:w="1180" w:type="dxa"/>
                  <w:vAlign w:val="center"/>
                </w:tcPr>
                <w:p w14:paraId="3D6A77B8">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3.85×10</w:t>
                  </w:r>
                  <w:r>
                    <w:rPr>
                      <w:rFonts w:hint="eastAsia"/>
                      <w:color w:val="000000" w:themeColor="text1"/>
                      <w:highlight w:val="none"/>
                      <w:vertAlign w:val="superscript"/>
                      <w:lang w:val="en-US"/>
                      <w14:textFill>
                        <w14:solidFill>
                          <w14:schemeClr w14:val="tx1"/>
                        </w14:solidFill>
                      </w14:textFill>
                    </w:rPr>
                    <w:t>-6</w:t>
                  </w:r>
                </w:p>
              </w:tc>
              <w:tc>
                <w:tcPr>
                  <w:tcW w:w="594" w:type="pct"/>
                  <w:vAlign w:val="center"/>
                </w:tcPr>
                <w:p w14:paraId="6E0D79C8">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83" w:type="dxa"/>
                  <w:vAlign w:val="center"/>
                </w:tcPr>
                <w:p w14:paraId="39853599">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14:paraId="439DBD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continue"/>
                  <w:vAlign w:val="center"/>
                </w:tcPr>
                <w:p w14:paraId="64F4635E">
                  <w:pPr>
                    <w:pStyle w:val="85"/>
                    <w:rPr>
                      <w:color w:val="000000" w:themeColor="text1"/>
                      <w:highlight w:val="none"/>
                      <w14:textFill>
                        <w14:solidFill>
                          <w14:schemeClr w14:val="tx1"/>
                        </w14:solidFill>
                      </w14:textFill>
                    </w:rPr>
                  </w:pPr>
                </w:p>
              </w:tc>
              <w:tc>
                <w:tcPr>
                  <w:tcW w:w="699" w:type="pct"/>
                  <w:vMerge w:val="continue"/>
                  <w:vAlign w:val="center"/>
                </w:tcPr>
                <w:p w14:paraId="7F49DF21">
                  <w:pPr>
                    <w:pStyle w:val="85"/>
                    <w:rPr>
                      <w:color w:val="000000" w:themeColor="text1"/>
                      <w:highlight w:val="none"/>
                      <w14:textFill>
                        <w14:solidFill>
                          <w14:schemeClr w14:val="tx1"/>
                        </w14:solidFill>
                      </w14:textFill>
                    </w:rPr>
                  </w:pPr>
                </w:p>
              </w:tc>
              <w:tc>
                <w:tcPr>
                  <w:tcW w:w="679" w:type="pct"/>
                  <w:vAlign w:val="center"/>
                </w:tcPr>
                <w:p w14:paraId="283F25EB">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679" w:type="pct"/>
                  <w:vAlign w:val="center"/>
                </w:tcPr>
                <w:p w14:paraId="3007C0FF">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c>
                <w:tcPr>
                  <w:tcW w:w="764" w:type="pct"/>
                  <w:vAlign w:val="center"/>
                </w:tcPr>
                <w:p w14:paraId="3AEC62CA">
                  <w:pPr>
                    <w:pStyle w:val="85"/>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1.15×10</w:t>
                  </w:r>
                  <w:r>
                    <w:rPr>
                      <w:rFonts w:hint="eastAsia"/>
                      <w:color w:val="000000" w:themeColor="text1"/>
                      <w:highlight w:val="none"/>
                      <w:vertAlign w:val="superscript"/>
                      <w:lang w:val="en-US"/>
                      <w14:textFill>
                        <w14:solidFill>
                          <w14:schemeClr w14:val="tx1"/>
                        </w14:solidFill>
                      </w14:textFill>
                    </w:rPr>
                    <w:t>-6</w:t>
                  </w:r>
                </w:p>
              </w:tc>
              <w:tc>
                <w:tcPr>
                  <w:tcW w:w="1180" w:type="dxa"/>
                  <w:vAlign w:val="center"/>
                </w:tcPr>
                <w:p w14:paraId="65FF262B">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1.15×10</w:t>
                  </w:r>
                  <w:r>
                    <w:rPr>
                      <w:rFonts w:hint="eastAsia"/>
                      <w:color w:val="000000" w:themeColor="text1"/>
                      <w:highlight w:val="none"/>
                      <w:vertAlign w:val="superscript"/>
                      <w:lang w:val="en-US"/>
                      <w14:textFill>
                        <w14:solidFill>
                          <w14:schemeClr w14:val="tx1"/>
                        </w14:solidFill>
                      </w14:textFill>
                    </w:rPr>
                    <w:t>-6</w:t>
                  </w:r>
                </w:p>
              </w:tc>
              <w:tc>
                <w:tcPr>
                  <w:tcW w:w="594" w:type="pct"/>
                  <w:vAlign w:val="center"/>
                </w:tcPr>
                <w:p w14:paraId="00D05E96">
                  <w:pPr>
                    <w:pStyle w:val="85"/>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03</w:t>
                  </w:r>
                </w:p>
              </w:tc>
              <w:tc>
                <w:tcPr>
                  <w:tcW w:w="983" w:type="dxa"/>
                  <w:vAlign w:val="center"/>
                </w:tcPr>
                <w:p w14:paraId="59777FD5">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03</w:t>
                  </w:r>
                </w:p>
              </w:tc>
            </w:tr>
            <w:tr w14:paraId="2978F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restart"/>
                  <w:vAlign w:val="center"/>
                </w:tcPr>
                <w:p w14:paraId="760ABD3B">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全厂排放口合计</w:t>
                  </w:r>
                </w:p>
              </w:tc>
              <w:tc>
                <w:tcPr>
                  <w:tcW w:w="2803" w:type="pct"/>
                  <w:gridSpan w:val="4"/>
                  <w:vAlign w:val="center"/>
                </w:tcPr>
                <w:p w14:paraId="09BEA90D">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1030" w:type="dxa"/>
                  <w:vAlign w:val="center"/>
                </w:tcPr>
                <w:p w14:paraId="7222E561">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c>
                <w:tcPr>
                  <w:tcW w:w="983" w:type="dxa"/>
                  <w:vAlign w:val="center"/>
                </w:tcPr>
                <w:p w14:paraId="40768BBB">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r>
            <w:tr w14:paraId="00920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continue"/>
                  <w:vAlign w:val="center"/>
                </w:tcPr>
                <w:p w14:paraId="45B53BAC">
                  <w:pPr>
                    <w:pStyle w:val="85"/>
                    <w:rPr>
                      <w:color w:val="000000" w:themeColor="text1"/>
                      <w:highlight w:val="none"/>
                      <w14:textFill>
                        <w14:solidFill>
                          <w14:schemeClr w14:val="tx1"/>
                        </w14:solidFill>
                      </w14:textFill>
                    </w:rPr>
                  </w:pPr>
                </w:p>
              </w:tc>
              <w:tc>
                <w:tcPr>
                  <w:tcW w:w="2803" w:type="pct"/>
                  <w:gridSpan w:val="4"/>
                  <w:vAlign w:val="center"/>
                </w:tcPr>
                <w:p w14:paraId="046CB238">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1030" w:type="dxa"/>
                  <w:vAlign w:val="center"/>
                </w:tcPr>
                <w:p w14:paraId="69C84B9E">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83" w:type="dxa"/>
                  <w:vAlign w:val="center"/>
                </w:tcPr>
                <w:p w14:paraId="7F1C590E">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14:paraId="571C8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continue"/>
                  <w:vAlign w:val="center"/>
                </w:tcPr>
                <w:p w14:paraId="628930F5">
                  <w:pPr>
                    <w:pStyle w:val="85"/>
                    <w:rPr>
                      <w:color w:val="000000" w:themeColor="text1"/>
                      <w:highlight w:val="none"/>
                      <w14:textFill>
                        <w14:solidFill>
                          <w14:schemeClr w14:val="tx1"/>
                        </w14:solidFill>
                      </w14:textFill>
                    </w:rPr>
                  </w:pPr>
                </w:p>
              </w:tc>
              <w:tc>
                <w:tcPr>
                  <w:tcW w:w="2803" w:type="pct"/>
                  <w:gridSpan w:val="4"/>
                  <w:vAlign w:val="center"/>
                </w:tcPr>
                <w:p w14:paraId="5245575B">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1030" w:type="dxa"/>
                  <w:vAlign w:val="center"/>
                </w:tcPr>
                <w:p w14:paraId="26CBB5FE">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83" w:type="dxa"/>
                  <w:vAlign w:val="center"/>
                </w:tcPr>
                <w:p w14:paraId="1192F92D">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14:paraId="16D7A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continue"/>
                  <w:vAlign w:val="center"/>
                </w:tcPr>
                <w:p w14:paraId="7B5B90A0">
                  <w:pPr>
                    <w:pStyle w:val="85"/>
                    <w:rPr>
                      <w:color w:val="000000" w:themeColor="text1"/>
                      <w:highlight w:val="none"/>
                      <w14:textFill>
                        <w14:solidFill>
                          <w14:schemeClr w14:val="tx1"/>
                        </w14:solidFill>
                      </w14:textFill>
                    </w:rPr>
                  </w:pPr>
                </w:p>
              </w:tc>
              <w:tc>
                <w:tcPr>
                  <w:tcW w:w="2803" w:type="pct"/>
                  <w:gridSpan w:val="4"/>
                  <w:vAlign w:val="center"/>
                </w:tcPr>
                <w:p w14:paraId="692B2BDA">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1030" w:type="dxa"/>
                  <w:vAlign w:val="center"/>
                </w:tcPr>
                <w:p w14:paraId="04C8EA03">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03</w:t>
                  </w:r>
                </w:p>
              </w:tc>
              <w:tc>
                <w:tcPr>
                  <w:tcW w:w="983" w:type="dxa"/>
                  <w:vAlign w:val="center"/>
                </w:tcPr>
                <w:p w14:paraId="42C95C28">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03</w:t>
                  </w:r>
                </w:p>
              </w:tc>
            </w:tr>
          </w:tbl>
          <w:p w14:paraId="4C7BC6B6">
            <w:pPr>
              <w:pStyle w:val="89"/>
              <w:spacing w:before="120" w:beforeLines="50"/>
              <w:textAlignment w:val="center"/>
              <w:rPr>
                <w:color w:val="000000" w:themeColor="text1"/>
                <w:highlight w:val="none"/>
                <w14:textFill>
                  <w14:solidFill>
                    <w14:schemeClr w14:val="tx1"/>
                  </w14:solidFill>
                </w14:textFill>
              </w:rPr>
            </w:pPr>
            <w:r>
              <w:rPr>
                <w:color w:val="000000" w:themeColor="text1"/>
                <w:sz w:val="28"/>
                <w:szCs w:val="28"/>
                <w:highlight w:val="none"/>
                <w14:textFill>
                  <w14:solidFill>
                    <w14:schemeClr w14:val="tx1"/>
                  </w14:solidFill>
                </w14:textFill>
              </w:rPr>
              <w:t>4.2.2</w:t>
            </w:r>
            <w:r>
              <w:rPr>
                <w:rFonts w:hint="eastAsia"/>
                <w:color w:val="000000" w:themeColor="text1"/>
                <w:sz w:val="28"/>
                <w:szCs w:val="28"/>
                <w:highlight w:val="none"/>
                <w14:textFill>
                  <w14:solidFill>
                    <w14:schemeClr w14:val="tx1"/>
                  </w14:solidFill>
                </w14:textFill>
              </w:rPr>
              <w:t>废气</w:t>
            </w:r>
          </w:p>
          <w:p w14:paraId="065D9F3E">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4.2.2.1</w:t>
            </w:r>
            <w:r>
              <w:rPr>
                <w:rFonts w:hint="eastAsia"/>
                <w:color w:val="000000" w:themeColor="text1"/>
                <w:highlight w:val="none"/>
                <w14:textFill>
                  <w14:solidFill>
                    <w14:schemeClr w14:val="tx1"/>
                  </w14:solidFill>
                </w14:textFill>
              </w:rPr>
              <w:t>废气污染源强</w:t>
            </w:r>
            <w:r>
              <w:rPr>
                <w:color w:val="000000" w:themeColor="text1"/>
                <w:highlight w:val="none"/>
                <w14:textFill>
                  <w14:solidFill>
                    <w14:schemeClr w14:val="tx1"/>
                  </w14:solidFill>
                </w14:textFill>
              </w:rPr>
              <w:t>分析</w:t>
            </w:r>
          </w:p>
          <w:p w14:paraId="0FCAAE38">
            <w:pPr>
              <w:spacing w:line="360" w:lineRule="auto"/>
              <w:ind w:firstLine="480" w:firstLineChars="200"/>
              <w:rPr>
                <w:bCs/>
                <w:color w:val="000000" w:themeColor="text1"/>
                <w:kern w:val="0"/>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w:t>
            </w:r>
            <w:r>
              <w:rPr>
                <w:rFonts w:hint="eastAsia"/>
                <w:color w:val="000000" w:themeColor="text1"/>
                <w:sz w:val="24"/>
                <w:highlight w:val="none"/>
                <w:lang w:eastAsia="zh-CN"/>
                <w14:textFill>
                  <w14:solidFill>
                    <w14:schemeClr w14:val="tx1"/>
                  </w14:solidFill>
                </w14:textFill>
              </w:rPr>
              <w:t>扩建</w:t>
            </w:r>
            <w:r>
              <w:rPr>
                <w:rFonts w:hint="eastAsia"/>
                <w:color w:val="000000" w:themeColor="text1"/>
                <w:sz w:val="24"/>
                <w:highlight w:val="none"/>
                <w14:textFill>
                  <w14:solidFill>
                    <w14:schemeClr w14:val="tx1"/>
                  </w14:solidFill>
                </w14:textFill>
              </w:rPr>
              <w:t>产生的废气主要是木工</w:t>
            </w:r>
            <w:r>
              <w:rPr>
                <w:rFonts w:hint="eastAsia"/>
                <w:color w:val="000000" w:themeColor="text1"/>
                <w:sz w:val="24"/>
                <w:highlight w:val="none"/>
                <w:lang w:eastAsia="zh-CN"/>
                <w14:textFill>
                  <w14:solidFill>
                    <w14:schemeClr w14:val="tx1"/>
                  </w14:solidFill>
                </w14:textFill>
              </w:rPr>
              <w:t>区</w:t>
            </w:r>
            <w:r>
              <w:rPr>
                <w:rFonts w:hint="eastAsia"/>
                <w:color w:val="000000" w:themeColor="text1"/>
                <w:sz w:val="24"/>
                <w:highlight w:val="none"/>
                <w14:textFill>
                  <w14:solidFill>
                    <w14:schemeClr w14:val="tx1"/>
                  </w14:solidFill>
                </w14:textFill>
              </w:rPr>
              <w:t>及打磨工序产生的颗粒物，调漆喷漆及</w:t>
            </w:r>
            <w:r>
              <w:rPr>
                <w:rFonts w:hint="eastAsia"/>
                <w:bCs/>
                <w:color w:val="000000" w:themeColor="text1"/>
                <w:sz w:val="24"/>
                <w:highlight w:val="none"/>
                <w14:textFill>
                  <w14:solidFill>
                    <w14:schemeClr w14:val="tx1"/>
                  </w14:solidFill>
                </w14:textFill>
              </w:rPr>
              <w:t>烘干等</w:t>
            </w:r>
            <w:r>
              <w:rPr>
                <w:bCs/>
                <w:color w:val="000000" w:themeColor="text1"/>
                <w:sz w:val="24"/>
                <w:highlight w:val="none"/>
                <w14:textFill>
                  <w14:solidFill>
                    <w14:schemeClr w14:val="tx1"/>
                  </w14:solidFill>
                </w14:textFill>
              </w:rPr>
              <w:t>工序产生有机废气</w:t>
            </w:r>
            <w:r>
              <w:rPr>
                <w:color w:val="000000" w:themeColor="text1"/>
                <w:sz w:val="24"/>
                <w:highlight w:val="none"/>
                <w14:textFill>
                  <w14:solidFill>
                    <w14:schemeClr w14:val="tx1"/>
                  </w14:solidFill>
                </w14:textFill>
              </w:rPr>
              <w:t>。</w:t>
            </w:r>
          </w:p>
          <w:p w14:paraId="0A0F6C82">
            <w:pPr>
              <w:spacing w:line="360" w:lineRule="auto"/>
              <w:ind w:firstLine="482" w:firstLineChars="200"/>
              <w:rPr>
                <w:b/>
                <w:color w:val="000000" w:themeColor="text1"/>
                <w:kern w:val="0"/>
                <w:sz w:val="24"/>
                <w:highlight w:val="none"/>
                <w14:textFill>
                  <w14:solidFill>
                    <w14:schemeClr w14:val="tx1"/>
                  </w14:solidFill>
                </w14:textFill>
              </w:rPr>
            </w:pPr>
            <w:r>
              <w:rPr>
                <w:rFonts w:hint="eastAsia"/>
                <w:b/>
                <w:color w:val="000000" w:themeColor="text1"/>
                <w:kern w:val="0"/>
                <w:sz w:val="24"/>
                <w:highlight w:val="none"/>
                <w14:textFill>
                  <w14:solidFill>
                    <w14:schemeClr w14:val="tx1"/>
                  </w14:solidFill>
                </w14:textFill>
              </w:rPr>
              <w:t>（1）源强分析</w:t>
            </w:r>
          </w:p>
          <w:p w14:paraId="1A7EC59F">
            <w:pPr>
              <w:pStyle w:val="86"/>
              <w:ind w:firstLine="480"/>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①</w:t>
            </w:r>
            <w:r>
              <w:rPr>
                <w:rFonts w:hint="eastAsia"/>
                <w:color w:val="000000" w:themeColor="text1"/>
                <w:highlight w:val="none"/>
                <w14:textFill>
                  <w14:solidFill>
                    <w14:schemeClr w14:val="tx1"/>
                  </w14:solidFill>
                </w14:textFill>
              </w:rPr>
              <w:t>封边工序废气</w:t>
            </w:r>
          </w:p>
          <w:p w14:paraId="689B038A">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配套智能数控封边机，该工序使用湿气固化反应型聚氨酯热熔胶（PUR胶），固化过程中主要与空气中的水分发生化学反应，不添加溶剂。固化过程不需要加热及添加溶剂，理论上不会释放封边废气，本评价不做定量分析。</w:t>
            </w:r>
          </w:p>
          <w:p w14:paraId="419A0DA5">
            <w:pPr>
              <w:pStyle w:val="332"/>
              <w:rPr>
                <w:rFonts w:hint="eastAsia" w:eastAsia="宋体"/>
                <w:color w:val="000000" w:themeColor="text1"/>
                <w:highlight w:val="none"/>
                <w:lang w:val="en-US" w:eastAsia="zh-CN"/>
                <w14:textFill>
                  <w14:solidFill>
                    <w14:schemeClr w14:val="tx1"/>
                  </w14:solidFill>
                </w14:textFill>
              </w:rPr>
            </w:pPr>
            <w:r>
              <w:rPr>
                <w:rFonts w:hint="eastAsia" w:hAnsi="宋体"/>
                <w:color w:val="000000" w:themeColor="text1"/>
                <w:highlight w:val="none"/>
                <w14:textFill>
                  <w14:solidFill>
                    <w14:schemeClr w14:val="tx1"/>
                  </w14:solidFill>
                </w14:textFill>
              </w:rPr>
              <w:t>②</w:t>
            </w:r>
            <w:r>
              <w:rPr>
                <w:rFonts w:hint="eastAsia"/>
                <w:color w:val="000000" w:themeColor="text1"/>
                <w:highlight w:val="none"/>
                <w:lang w:val="en-US"/>
                <w14:textFill>
                  <w14:solidFill>
                    <w14:schemeClr w14:val="tx1"/>
                  </w14:solidFill>
                </w14:textFill>
              </w:rPr>
              <w:t>木工区</w:t>
            </w:r>
            <w:r>
              <w:rPr>
                <w:rFonts w:hint="eastAsia"/>
                <w:color w:val="000000" w:themeColor="text1"/>
                <w:highlight w:val="none"/>
                <w:lang w:val="en-US" w:eastAsia="zh-CN"/>
                <w14:textFill>
                  <w14:solidFill>
                    <w14:schemeClr w14:val="tx1"/>
                  </w14:solidFill>
                </w14:textFill>
              </w:rPr>
              <w:t>废气</w:t>
            </w:r>
          </w:p>
          <w:p w14:paraId="7408B733">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雕刻机、</w:t>
            </w:r>
            <w:r>
              <w:rPr>
                <w:rFonts w:hint="eastAsia"/>
                <w:color w:val="000000" w:themeColor="text1"/>
                <w:highlight w:val="none"/>
                <w:lang w:val="en-US"/>
                <w14:textFill>
                  <w14:solidFill>
                    <w14:schemeClr w14:val="tx1"/>
                  </w14:solidFill>
                </w14:textFill>
              </w:rPr>
              <w:t>精锯、砂光等</w:t>
            </w:r>
            <w:r>
              <w:rPr>
                <w:rFonts w:hint="eastAsia"/>
                <w:color w:val="000000" w:themeColor="text1"/>
                <w:highlight w:val="none"/>
                <w14:textFill>
                  <w14:solidFill>
                    <w14:schemeClr w14:val="tx1"/>
                  </w14:solidFill>
                </w14:textFill>
              </w:rPr>
              <w:t>木工加工设备会产生一定量的木质颗粒物。产污系数参考《排放源统计调查产排污核算方法和系数手册》（公告2021年第24号，2021.6.11）中的“21</w:t>
            </w: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、木质家具制造行业系数手册2110木质家具制造行业系数表”中“下料”的产排污系数表，颗粒物产污系数为</w:t>
            </w:r>
            <w:r>
              <w:rPr>
                <w:rFonts w:hint="eastAsia"/>
                <w:color w:val="000000" w:themeColor="text1"/>
                <w:highlight w:val="none"/>
                <w:lang w:val="en-US"/>
                <w14:textFill>
                  <w14:solidFill>
                    <w14:schemeClr w14:val="tx1"/>
                  </w14:solidFill>
                </w14:textFill>
              </w:rPr>
              <w:t>150</w:t>
            </w:r>
            <w:r>
              <w:rPr>
                <w:rFonts w:hint="eastAsia"/>
                <w:color w:val="000000" w:themeColor="text1"/>
                <w:highlight w:val="none"/>
                <w14:textFill>
                  <w14:solidFill>
                    <w14:schemeClr w14:val="tx1"/>
                  </w14:solidFill>
                </w14:textFill>
              </w:rPr>
              <w:t>g/</w:t>
            </w:r>
            <w:r>
              <w:rPr>
                <w:rFonts w:hint="eastAsia"/>
                <w:color w:val="000000" w:themeColor="text1"/>
                <w:highlight w:val="none"/>
                <w:lang w:val="en-US"/>
                <w14:textFill>
                  <w14:solidFill>
                    <w14:schemeClr w14:val="tx1"/>
                  </w14:solidFill>
                </w14:textFill>
              </w:rPr>
              <w:t>m³</w:t>
            </w:r>
            <w:r>
              <w:rPr>
                <w:rFonts w:hint="eastAsia"/>
                <w:color w:val="000000" w:themeColor="text1"/>
                <w:highlight w:val="none"/>
                <w14:textFill>
                  <w14:solidFill>
                    <w14:schemeClr w14:val="tx1"/>
                  </w14:solidFill>
                </w14:textFill>
              </w:rPr>
              <w:t>--产品”。本项目</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板材</w:t>
            </w:r>
            <w:r>
              <w:rPr>
                <w:rFonts w:hint="eastAsia"/>
                <w:color w:val="000000" w:themeColor="text1"/>
                <w:highlight w:val="none"/>
                <w:lang w:eastAsia="zh-CN"/>
                <w14:textFill>
                  <w14:solidFill>
                    <w14:schemeClr w14:val="tx1"/>
                  </w14:solidFill>
                </w14:textFill>
              </w:rPr>
              <w:t>总</w:t>
            </w:r>
            <w:r>
              <w:rPr>
                <w:rFonts w:hint="eastAsia"/>
                <w:color w:val="000000" w:themeColor="text1"/>
                <w:highlight w:val="none"/>
                <w14:textFill>
                  <w14:solidFill>
                    <w14:schemeClr w14:val="tx1"/>
                  </w14:solidFill>
                </w14:textFill>
              </w:rPr>
              <w:t>用量为</w:t>
            </w:r>
            <w:r>
              <w:rPr>
                <w:rFonts w:hint="eastAsia"/>
                <w:color w:val="000000" w:themeColor="text1"/>
                <w:highlight w:val="none"/>
                <w:lang w:val="en-US" w:eastAsia="zh-CN"/>
                <w14:textFill>
                  <w14:solidFill>
                    <w14:schemeClr w14:val="tx1"/>
                  </w14:solidFill>
                </w14:textFill>
              </w:rPr>
              <w:t>795</w:t>
            </w:r>
            <w:r>
              <w:rPr>
                <w:rFonts w:hint="eastAsia"/>
                <w:color w:val="000000" w:themeColor="text1"/>
                <w:highlight w:val="none"/>
                <w14:textFill>
                  <w14:solidFill>
                    <w14:schemeClr w14:val="tx1"/>
                  </w14:solidFill>
                </w14:textFill>
              </w:rPr>
              <w:t>m³，则项目生产过程木质颗粒物的产生量为</w:t>
            </w:r>
            <w:r>
              <w:rPr>
                <w:rFonts w:hint="eastAsia"/>
                <w:color w:val="000000" w:themeColor="text1"/>
                <w:highlight w:val="none"/>
                <w:lang w:val="en-US"/>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1193</w:t>
            </w:r>
            <w:r>
              <w:rPr>
                <w:rFonts w:hint="eastAsia"/>
                <w:color w:val="000000" w:themeColor="text1"/>
                <w:highlight w:val="none"/>
                <w14:textFill>
                  <w14:solidFill>
                    <w14:schemeClr w14:val="tx1"/>
                  </w14:solidFill>
                </w14:textFill>
              </w:rPr>
              <w:t>t/a，即</w:t>
            </w:r>
            <w:r>
              <w:rPr>
                <w:rFonts w:hint="eastAsia"/>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57</w:t>
            </w:r>
            <w:r>
              <w:rPr>
                <w:rFonts w:hint="eastAsia"/>
                <w:color w:val="000000" w:themeColor="text1"/>
                <w:highlight w:val="none"/>
                <w14:textFill>
                  <w14:solidFill>
                    <w14:schemeClr w14:val="tx1"/>
                  </w14:solidFill>
                </w14:textFill>
              </w:rPr>
              <w:t>kg/h（年工作</w:t>
            </w:r>
            <w:r>
              <w:rPr>
                <w:rFonts w:hint="eastAsia"/>
                <w:color w:val="000000" w:themeColor="text1"/>
                <w:highlight w:val="none"/>
                <w:lang w:val="en-US"/>
                <w14:textFill>
                  <w14:solidFill>
                    <w14:schemeClr w14:val="tx1"/>
                  </w14:solidFill>
                </w14:textFill>
              </w:rPr>
              <w:t>2080</w:t>
            </w:r>
            <w:r>
              <w:rPr>
                <w:rFonts w:hint="eastAsia"/>
                <w:color w:val="000000" w:themeColor="text1"/>
                <w:highlight w:val="none"/>
                <w14:textFill>
                  <w14:solidFill>
                    <w14:schemeClr w14:val="tx1"/>
                  </w14:solidFill>
                </w14:textFill>
              </w:rPr>
              <w:t>h）。</w:t>
            </w:r>
          </w:p>
          <w:p w14:paraId="30DAAD40">
            <w:pPr>
              <w:pStyle w:val="332"/>
              <w:rPr>
                <w:color w:val="000000" w:themeColor="text1"/>
                <w:highlight w:val="none"/>
                <w:lang w:val="en-US"/>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拟在</w:t>
            </w:r>
            <w:r>
              <w:rPr>
                <w:rFonts w:hint="eastAsia"/>
                <w:color w:val="000000" w:themeColor="text1"/>
                <w:highlight w:val="none"/>
                <w:lang w:val="en-US"/>
                <w14:textFill>
                  <w14:solidFill>
                    <w14:schemeClr w14:val="tx1"/>
                  </w14:solidFill>
                </w14:textFill>
              </w:rPr>
              <w:t>1F</w:t>
            </w:r>
            <w:r>
              <w:rPr>
                <w:rFonts w:hint="eastAsia"/>
                <w:color w:val="000000" w:themeColor="text1"/>
                <w:highlight w:val="none"/>
                <w14:textFill>
                  <w14:solidFill>
                    <w14:schemeClr w14:val="tx1"/>
                  </w14:solidFill>
                </w14:textFill>
              </w:rPr>
              <w:t>雕刻机、</w:t>
            </w:r>
            <w:r>
              <w:rPr>
                <w:rFonts w:hint="eastAsia"/>
                <w:color w:val="000000" w:themeColor="text1"/>
                <w:highlight w:val="none"/>
                <w:lang w:val="en-US"/>
                <w14:textFill>
                  <w14:solidFill>
                    <w14:schemeClr w14:val="tx1"/>
                  </w14:solidFill>
                </w14:textFill>
              </w:rPr>
              <w:t>精锯、砂光等产生粉尘颗粒物的</w:t>
            </w:r>
            <w:r>
              <w:rPr>
                <w:rFonts w:hint="eastAsia"/>
                <w:color w:val="000000" w:themeColor="text1"/>
                <w:highlight w:val="none"/>
                <w14:textFill>
                  <w14:solidFill>
                    <w14:schemeClr w14:val="tx1"/>
                  </w14:solidFill>
                </w14:textFill>
              </w:rPr>
              <w:t>设备上方及</w:t>
            </w:r>
            <w:r>
              <w:rPr>
                <w:rFonts w:hint="eastAsia"/>
                <w:color w:val="000000" w:themeColor="text1"/>
                <w:highlight w:val="none"/>
                <w:lang w:val="en-US"/>
                <w14:textFill>
                  <w14:solidFill>
                    <w14:schemeClr w14:val="tx1"/>
                  </w14:solidFill>
                </w14:textFill>
              </w:rPr>
              <w:t>3F砂光设备上方</w:t>
            </w:r>
            <w:r>
              <w:rPr>
                <w:color w:val="000000" w:themeColor="text1"/>
                <w:highlight w:val="none"/>
                <w14:textFill>
                  <w14:solidFill>
                    <w14:schemeClr w14:val="tx1"/>
                  </w14:solidFill>
                </w14:textFill>
              </w:rPr>
              <w:t>设置</w:t>
            </w:r>
            <w:r>
              <w:rPr>
                <w:rFonts w:hint="eastAsia"/>
                <w:color w:val="000000" w:themeColor="text1"/>
                <w:highlight w:val="none"/>
                <w14:textFill>
                  <w14:solidFill>
                    <w14:schemeClr w14:val="tx1"/>
                  </w14:solidFill>
                </w14:textFill>
              </w:rPr>
              <w:t>集气罩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集中收集的木工</w:t>
            </w:r>
            <w:r>
              <w:rPr>
                <w:rFonts w:hint="eastAsia"/>
                <w:color w:val="000000" w:themeColor="text1"/>
                <w:highlight w:val="none"/>
                <w:lang w:eastAsia="zh-CN"/>
                <w14:textFill>
                  <w14:solidFill>
                    <w14:schemeClr w14:val="tx1"/>
                  </w14:solidFill>
                </w14:textFill>
              </w:rPr>
              <w:t>区</w:t>
            </w:r>
            <w:r>
              <w:rPr>
                <w:rFonts w:hint="eastAsia"/>
                <w:color w:val="000000" w:themeColor="text1"/>
                <w:highlight w:val="none"/>
                <w14:textFill>
                  <w14:solidFill>
                    <w14:schemeClr w14:val="tx1"/>
                  </w14:solidFill>
                </w14:textFill>
              </w:rPr>
              <w:t>废气通过1套中央除尘器（布袋除尘设施）处理后有组织排放，通过1根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DA001</w:t>
            </w:r>
            <w:r>
              <w:rPr>
                <w:color w:val="000000" w:themeColor="text1"/>
                <w:highlight w:val="none"/>
                <w14:textFill>
                  <w14:solidFill>
                    <w14:schemeClr w14:val="tx1"/>
                  </w14:solidFill>
                </w14:textFill>
              </w:rPr>
              <w:t>）排放。</w:t>
            </w:r>
            <w:r>
              <w:rPr>
                <w:rFonts w:hint="eastAsia"/>
                <w:color w:val="000000" w:themeColor="text1"/>
                <w:highlight w:val="none"/>
                <w14:textFill>
                  <w14:solidFill>
                    <w14:schemeClr w14:val="tx1"/>
                  </w14:solidFill>
                </w14:textFill>
              </w:rPr>
              <w:t>项目设置</w:t>
            </w: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台布袋除尘设备，用于处理车间的木颗粒物，布袋除尘设备配</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个风机，风量为200</w:t>
            </w:r>
            <w:r>
              <w:rPr>
                <w:color w:val="000000" w:themeColor="text1"/>
                <w:highlight w:val="none"/>
                <w14:textFill>
                  <w14:solidFill>
                    <w14:schemeClr w14:val="tx1"/>
                  </w14:solidFill>
                </w14:textFill>
              </w:rPr>
              <w:t>00</w:t>
            </w:r>
            <w:r>
              <w:rPr>
                <w:rFonts w:hint="eastAsia"/>
                <w:color w:val="000000" w:themeColor="text1"/>
                <w:highlight w:val="none"/>
                <w14:textFill>
                  <w14:solidFill>
                    <w14:schemeClr w14:val="tx1"/>
                  </w14:solidFill>
                </w14:textFill>
              </w:rPr>
              <w:t>m³</w:t>
            </w:r>
            <w:r>
              <w:rPr>
                <w:color w:val="000000" w:themeColor="text1"/>
                <w:highlight w:val="none"/>
                <w14:textFill>
                  <w14:solidFill>
                    <w14:schemeClr w14:val="tx1"/>
                  </w14:solidFill>
                </w14:textFill>
              </w:rPr>
              <w:t>/h</w:t>
            </w:r>
            <w:r>
              <w:rPr>
                <w:rFonts w:hint="eastAsia"/>
                <w:color w:val="000000" w:themeColor="text1"/>
                <w:highlight w:val="none"/>
                <w14:textFill>
                  <w14:solidFill>
                    <w14:schemeClr w14:val="tx1"/>
                  </w14:solidFill>
                </w14:textFill>
              </w:rPr>
              <w:t>，各产尘点的设计收集效率取值</w:t>
            </w:r>
            <w:r>
              <w:rPr>
                <w:color w:val="000000" w:themeColor="text1"/>
                <w:highlight w:val="none"/>
                <w14:textFill>
                  <w14:solidFill>
                    <w14:schemeClr w14:val="tx1"/>
                  </w14:solidFill>
                </w14:textFill>
              </w:rPr>
              <w:t>85%</w:t>
            </w:r>
            <w:r>
              <w:rPr>
                <w:rFonts w:hint="eastAsia"/>
                <w:color w:val="000000" w:themeColor="text1"/>
                <w:highlight w:val="none"/>
                <w14:textFill>
                  <w14:solidFill>
                    <w14:schemeClr w14:val="tx1"/>
                  </w14:solidFill>
                </w14:textFill>
              </w:rPr>
              <w:t>，布袋除尘设备对颗粒物的处理效率取值</w:t>
            </w:r>
            <w:r>
              <w:rPr>
                <w:color w:val="000000" w:themeColor="text1"/>
                <w:highlight w:val="none"/>
                <w14:textFill>
                  <w14:solidFill>
                    <w14:schemeClr w14:val="tx1"/>
                  </w14:solidFill>
                </w14:textFill>
              </w:rPr>
              <w:t>90%</w:t>
            </w:r>
            <w:r>
              <w:rPr>
                <w:rFonts w:hint="eastAsia"/>
                <w:color w:val="000000" w:themeColor="text1"/>
                <w:highlight w:val="none"/>
                <w14:textFill>
                  <w14:solidFill>
                    <w14:schemeClr w14:val="tx1"/>
                  </w14:solidFill>
                </w14:textFill>
              </w:rPr>
              <w:t>。因此，本项目</w:t>
            </w:r>
            <w:r>
              <w:rPr>
                <w:rFonts w:hint="eastAsia"/>
                <w:color w:val="000000" w:themeColor="text1"/>
                <w:highlight w:val="none"/>
                <w:lang w:eastAsia="zh-CN"/>
                <w14:textFill>
                  <w14:solidFill>
                    <w14:schemeClr w14:val="tx1"/>
                  </w14:solidFill>
                </w14:textFill>
              </w:rPr>
              <w:t>扩建后木工区</w:t>
            </w:r>
            <w:r>
              <w:rPr>
                <w:rFonts w:hint="eastAsia"/>
                <w:color w:val="000000" w:themeColor="text1"/>
                <w:highlight w:val="none"/>
                <w14:textFill>
                  <w14:solidFill>
                    <w14:schemeClr w14:val="tx1"/>
                  </w14:solidFill>
                </w14:textFill>
              </w:rPr>
              <w:t>颗粒物产排情况详见表4</w:t>
            </w:r>
            <w:r>
              <w:rPr>
                <w:rFonts w:hint="eastAsia"/>
                <w:color w:val="000000" w:themeColor="text1"/>
                <w:highlight w:val="none"/>
                <w:lang w:val="en-US"/>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5。</w:t>
            </w:r>
          </w:p>
          <w:p w14:paraId="6B23FE64">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表4.2-5 </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木工区</w:t>
            </w:r>
            <w:r>
              <w:rPr>
                <w:rFonts w:hint="eastAsia"/>
                <w:color w:val="000000" w:themeColor="text1"/>
                <w:highlight w:val="none"/>
                <w14:textFill>
                  <w14:solidFill>
                    <w14:schemeClr w14:val="tx1"/>
                  </w14:solidFill>
                </w14:textFill>
              </w:rPr>
              <w:t>颗粒物</w:t>
            </w:r>
            <w:r>
              <w:rPr>
                <w:color w:val="000000" w:themeColor="text1"/>
                <w:highlight w:val="none"/>
                <w14:textFill>
                  <w14:solidFill>
                    <w14:schemeClr w14:val="tx1"/>
                  </w14:solidFill>
                </w14:textFill>
              </w:rPr>
              <w:t>产排情况一览表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38"/>
              <w:gridCol w:w="914"/>
              <w:gridCol w:w="779"/>
              <w:gridCol w:w="699"/>
              <w:gridCol w:w="702"/>
              <w:gridCol w:w="1396"/>
              <w:gridCol w:w="560"/>
              <w:gridCol w:w="838"/>
              <w:gridCol w:w="805"/>
              <w:gridCol w:w="701"/>
              <w:gridCol w:w="732"/>
            </w:tblGrid>
            <w:tr w14:paraId="05DE4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11" w:type="pct"/>
                  <w:vMerge w:val="restart"/>
                  <w:tcBorders>
                    <w:tl2br w:val="nil"/>
                    <w:tr2bl w:val="nil"/>
                  </w:tcBorders>
                  <w:vAlign w:val="center"/>
                </w:tcPr>
                <w:p w14:paraId="605EDA90">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污染源</w:t>
                  </w:r>
                </w:p>
              </w:tc>
              <w:tc>
                <w:tcPr>
                  <w:tcW w:w="527" w:type="pct"/>
                  <w:vMerge w:val="restart"/>
                  <w:tcBorders>
                    <w:tl2br w:val="nil"/>
                    <w:tr2bl w:val="nil"/>
                  </w:tcBorders>
                  <w:vAlign w:val="center"/>
                </w:tcPr>
                <w:p w14:paraId="53D26020">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257" w:type="pct"/>
                  <w:gridSpan w:val="3"/>
                  <w:tcBorders>
                    <w:tl2br w:val="nil"/>
                    <w:tr2bl w:val="nil"/>
                  </w:tcBorders>
                  <w:vAlign w:val="center"/>
                </w:tcPr>
                <w:p w14:paraId="26DCD863">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产生状况</w:t>
                  </w:r>
                </w:p>
              </w:tc>
              <w:tc>
                <w:tcPr>
                  <w:tcW w:w="805" w:type="pct"/>
                  <w:vMerge w:val="restart"/>
                  <w:tcBorders>
                    <w:tl2br w:val="nil"/>
                    <w:tr2bl w:val="nil"/>
                  </w:tcBorders>
                  <w:vAlign w:val="center"/>
                </w:tcPr>
                <w:p w14:paraId="09E0A91C">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w:t>
                  </w:r>
                </w:p>
                <w:p w14:paraId="33EDF501">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措施</w:t>
                  </w:r>
                </w:p>
              </w:tc>
              <w:tc>
                <w:tcPr>
                  <w:tcW w:w="323" w:type="pct"/>
                  <w:vMerge w:val="restart"/>
                  <w:tcBorders>
                    <w:tl2br w:val="nil"/>
                    <w:tr2bl w:val="nil"/>
                  </w:tcBorders>
                  <w:vAlign w:val="center"/>
                </w:tcPr>
                <w:p w14:paraId="145EFA6D">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去除率</w:t>
                  </w:r>
                </w:p>
              </w:tc>
              <w:tc>
                <w:tcPr>
                  <w:tcW w:w="1351" w:type="pct"/>
                  <w:gridSpan w:val="3"/>
                  <w:tcBorders>
                    <w:tl2br w:val="nil"/>
                    <w:tr2bl w:val="nil"/>
                  </w:tcBorders>
                  <w:vAlign w:val="center"/>
                </w:tcPr>
                <w:p w14:paraId="62185A4B">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排放状况</w:t>
                  </w:r>
                </w:p>
              </w:tc>
              <w:tc>
                <w:tcPr>
                  <w:tcW w:w="422" w:type="pct"/>
                  <w:tcBorders>
                    <w:tl2br w:val="nil"/>
                    <w:tr2bl w:val="nil"/>
                  </w:tcBorders>
                  <w:vAlign w:val="center"/>
                </w:tcPr>
                <w:p w14:paraId="5EAB9124">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排气量</w:t>
                  </w:r>
                </w:p>
              </w:tc>
            </w:tr>
            <w:tr w14:paraId="66031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11" w:type="pct"/>
                  <w:vMerge w:val="continue"/>
                  <w:tcBorders>
                    <w:tl2br w:val="nil"/>
                    <w:tr2bl w:val="nil"/>
                  </w:tcBorders>
                  <w:vAlign w:val="center"/>
                </w:tcPr>
                <w:p w14:paraId="159A9BF6">
                  <w:pPr>
                    <w:pStyle w:val="331"/>
                    <w:rPr>
                      <w:color w:val="000000" w:themeColor="text1"/>
                      <w:highlight w:val="none"/>
                      <w14:textFill>
                        <w14:solidFill>
                          <w14:schemeClr w14:val="tx1"/>
                        </w14:solidFill>
                      </w14:textFill>
                    </w:rPr>
                  </w:pPr>
                </w:p>
              </w:tc>
              <w:tc>
                <w:tcPr>
                  <w:tcW w:w="527" w:type="pct"/>
                  <w:vMerge w:val="continue"/>
                  <w:tcBorders>
                    <w:tl2br w:val="nil"/>
                    <w:tr2bl w:val="nil"/>
                  </w:tcBorders>
                  <w:vAlign w:val="center"/>
                </w:tcPr>
                <w:p w14:paraId="784C5DE1">
                  <w:pPr>
                    <w:pStyle w:val="331"/>
                    <w:rPr>
                      <w:color w:val="000000" w:themeColor="text1"/>
                      <w:highlight w:val="none"/>
                      <w14:textFill>
                        <w14:solidFill>
                          <w14:schemeClr w14:val="tx1"/>
                        </w14:solidFill>
                      </w14:textFill>
                    </w:rPr>
                  </w:pPr>
                </w:p>
              </w:tc>
              <w:tc>
                <w:tcPr>
                  <w:tcW w:w="449" w:type="pct"/>
                  <w:tcBorders>
                    <w:tl2br w:val="nil"/>
                    <w:tr2bl w:val="nil"/>
                  </w:tcBorders>
                  <w:vAlign w:val="center"/>
                </w:tcPr>
                <w:p w14:paraId="5B3D184B">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浓度</w:t>
                  </w:r>
                </w:p>
                <w:p w14:paraId="32812C3B">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(mg/m³)</w:t>
                  </w:r>
                </w:p>
              </w:tc>
              <w:tc>
                <w:tcPr>
                  <w:tcW w:w="403" w:type="pct"/>
                  <w:tcBorders>
                    <w:tl2br w:val="nil"/>
                    <w:tr2bl w:val="nil"/>
                  </w:tcBorders>
                  <w:vAlign w:val="center"/>
                </w:tcPr>
                <w:p w14:paraId="56075879">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速率</w:t>
                  </w:r>
                </w:p>
                <w:p w14:paraId="27384540">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(kg/h)</w:t>
                  </w:r>
                </w:p>
              </w:tc>
              <w:tc>
                <w:tcPr>
                  <w:tcW w:w="404" w:type="pct"/>
                  <w:tcBorders>
                    <w:tl2br w:val="nil"/>
                    <w:tr2bl w:val="nil"/>
                  </w:tcBorders>
                  <w:vAlign w:val="center"/>
                </w:tcPr>
                <w:p w14:paraId="436362BB">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产生量</w:t>
                  </w:r>
                </w:p>
                <w:p w14:paraId="65C3B150">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(t/a)</w:t>
                  </w:r>
                </w:p>
              </w:tc>
              <w:tc>
                <w:tcPr>
                  <w:tcW w:w="805" w:type="pct"/>
                  <w:vMerge w:val="continue"/>
                  <w:tcBorders>
                    <w:tl2br w:val="nil"/>
                    <w:tr2bl w:val="nil"/>
                  </w:tcBorders>
                  <w:vAlign w:val="center"/>
                </w:tcPr>
                <w:p w14:paraId="74580657">
                  <w:pPr>
                    <w:pStyle w:val="331"/>
                    <w:rPr>
                      <w:color w:val="000000" w:themeColor="text1"/>
                      <w:highlight w:val="none"/>
                      <w14:textFill>
                        <w14:solidFill>
                          <w14:schemeClr w14:val="tx1"/>
                        </w14:solidFill>
                      </w14:textFill>
                    </w:rPr>
                  </w:pPr>
                </w:p>
              </w:tc>
              <w:tc>
                <w:tcPr>
                  <w:tcW w:w="323" w:type="pct"/>
                  <w:vMerge w:val="continue"/>
                  <w:tcBorders>
                    <w:tl2br w:val="nil"/>
                    <w:tr2bl w:val="nil"/>
                  </w:tcBorders>
                  <w:vAlign w:val="center"/>
                </w:tcPr>
                <w:p w14:paraId="10562665">
                  <w:pPr>
                    <w:pStyle w:val="331"/>
                    <w:rPr>
                      <w:color w:val="000000" w:themeColor="text1"/>
                      <w:highlight w:val="none"/>
                      <w14:textFill>
                        <w14:solidFill>
                          <w14:schemeClr w14:val="tx1"/>
                        </w14:solidFill>
                      </w14:textFill>
                    </w:rPr>
                  </w:pPr>
                </w:p>
              </w:tc>
              <w:tc>
                <w:tcPr>
                  <w:tcW w:w="483" w:type="pct"/>
                  <w:tcBorders>
                    <w:tl2br w:val="nil"/>
                    <w:tr2bl w:val="nil"/>
                  </w:tcBorders>
                  <w:vAlign w:val="center"/>
                </w:tcPr>
                <w:p w14:paraId="7058215F">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浓度</w:t>
                  </w:r>
                </w:p>
                <w:p w14:paraId="1111FE33">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(mg/m³)</w:t>
                  </w:r>
                </w:p>
              </w:tc>
              <w:tc>
                <w:tcPr>
                  <w:tcW w:w="464" w:type="pct"/>
                  <w:tcBorders>
                    <w:tl2br w:val="nil"/>
                    <w:tr2bl w:val="nil"/>
                  </w:tcBorders>
                  <w:vAlign w:val="center"/>
                </w:tcPr>
                <w:p w14:paraId="5934643D">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速率</w:t>
                  </w:r>
                </w:p>
                <w:p w14:paraId="517E1D8E">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(kg/h)</w:t>
                  </w:r>
                </w:p>
              </w:tc>
              <w:tc>
                <w:tcPr>
                  <w:tcW w:w="404" w:type="pct"/>
                  <w:tcBorders>
                    <w:tl2br w:val="nil"/>
                    <w:tr2bl w:val="nil"/>
                  </w:tcBorders>
                  <w:vAlign w:val="center"/>
                </w:tcPr>
                <w:p w14:paraId="664406F1">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w:t>
                  </w:r>
                </w:p>
                <w:p w14:paraId="10A1D8B9">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(t/a)</w:t>
                  </w:r>
                </w:p>
              </w:tc>
              <w:tc>
                <w:tcPr>
                  <w:tcW w:w="422" w:type="pct"/>
                  <w:tcBorders>
                    <w:tl2br w:val="nil"/>
                    <w:tr2bl w:val="nil"/>
                  </w:tcBorders>
                  <w:vAlign w:val="center"/>
                </w:tcPr>
                <w:p w14:paraId="7D0526EE">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(m³/h)</w:t>
                  </w:r>
                </w:p>
              </w:tc>
            </w:tr>
            <w:tr w14:paraId="323CA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1" w:type="pct"/>
                  <w:tcBorders>
                    <w:tl2br w:val="nil"/>
                    <w:tr2bl w:val="nil"/>
                  </w:tcBorders>
                  <w:vAlign w:val="center"/>
                </w:tcPr>
                <w:p w14:paraId="50E4F96A">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有组织</w:t>
                  </w:r>
                </w:p>
              </w:tc>
              <w:tc>
                <w:tcPr>
                  <w:tcW w:w="527" w:type="pct"/>
                  <w:tcBorders>
                    <w:tl2br w:val="nil"/>
                    <w:tr2bl w:val="nil"/>
                  </w:tcBorders>
                  <w:vAlign w:val="center"/>
                </w:tcPr>
                <w:p w14:paraId="70E83366">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81" w:type="dxa"/>
                  <w:tcBorders>
                    <w:tl2br w:val="nil"/>
                    <w:tr2bl w:val="nil"/>
                  </w:tcBorders>
                  <w:vAlign w:val="center"/>
                </w:tcPr>
                <w:p w14:paraId="5366A390">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2.4366 </w:t>
                  </w:r>
                </w:p>
              </w:tc>
              <w:tc>
                <w:tcPr>
                  <w:tcW w:w="701" w:type="dxa"/>
                  <w:tcBorders>
                    <w:tl2br w:val="nil"/>
                    <w:tr2bl w:val="nil"/>
                  </w:tcBorders>
                  <w:vAlign w:val="center"/>
                </w:tcPr>
                <w:p w14:paraId="162ABCFF">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0.0487 </w:t>
                  </w:r>
                </w:p>
              </w:tc>
              <w:tc>
                <w:tcPr>
                  <w:tcW w:w="705" w:type="dxa"/>
                  <w:tcBorders>
                    <w:tl2br w:val="nil"/>
                    <w:tr2bl w:val="nil"/>
                  </w:tcBorders>
                  <w:vAlign w:val="center"/>
                </w:tcPr>
                <w:p w14:paraId="48EC5C92">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0.1014 </w:t>
                  </w:r>
                </w:p>
              </w:tc>
              <w:tc>
                <w:tcPr>
                  <w:tcW w:w="805" w:type="pct"/>
                  <w:tcBorders>
                    <w:tl2br w:val="nil"/>
                    <w:tr2bl w:val="nil"/>
                  </w:tcBorders>
                  <w:vAlign w:val="center"/>
                </w:tcPr>
                <w:p w14:paraId="705B81B7">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集气设备+布袋除尘设备+15m排气筒（DA001）</w:t>
                  </w:r>
                </w:p>
              </w:tc>
              <w:tc>
                <w:tcPr>
                  <w:tcW w:w="323" w:type="pct"/>
                  <w:tcBorders>
                    <w:tl2br w:val="nil"/>
                    <w:tr2bl w:val="nil"/>
                  </w:tcBorders>
                  <w:vAlign w:val="center"/>
                </w:tcPr>
                <w:p w14:paraId="77CC7108">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90%</w:t>
                  </w:r>
                </w:p>
              </w:tc>
              <w:tc>
                <w:tcPr>
                  <w:tcW w:w="841" w:type="dxa"/>
                  <w:tcBorders>
                    <w:tl2br w:val="nil"/>
                    <w:tr2bl w:val="nil"/>
                  </w:tcBorders>
                  <w:vAlign w:val="center"/>
                </w:tcPr>
                <w:p w14:paraId="6904D0D6">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0.2437 </w:t>
                  </w:r>
                </w:p>
              </w:tc>
              <w:tc>
                <w:tcPr>
                  <w:tcW w:w="807" w:type="dxa"/>
                  <w:tcBorders>
                    <w:tl2br w:val="nil"/>
                    <w:tr2bl w:val="nil"/>
                  </w:tcBorders>
                  <w:vAlign w:val="center"/>
                </w:tcPr>
                <w:p w14:paraId="50FA3C88">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0.0049 </w:t>
                  </w:r>
                </w:p>
              </w:tc>
              <w:tc>
                <w:tcPr>
                  <w:tcW w:w="703" w:type="dxa"/>
                  <w:tcBorders>
                    <w:tl2br w:val="nil"/>
                    <w:tr2bl w:val="nil"/>
                  </w:tcBorders>
                  <w:vAlign w:val="center"/>
                </w:tcPr>
                <w:p w14:paraId="14362BF2">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0.0101 </w:t>
                  </w:r>
                </w:p>
              </w:tc>
              <w:tc>
                <w:tcPr>
                  <w:tcW w:w="422" w:type="pct"/>
                  <w:tcBorders>
                    <w:tl2br w:val="nil"/>
                    <w:tr2bl w:val="nil"/>
                  </w:tcBorders>
                  <w:vAlign w:val="center"/>
                </w:tcPr>
                <w:p w14:paraId="2A9C2D46">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20000</w:t>
                  </w:r>
                </w:p>
              </w:tc>
            </w:tr>
            <w:tr w14:paraId="55922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1" w:type="pct"/>
                  <w:tcBorders>
                    <w:tl2br w:val="nil"/>
                    <w:tr2bl w:val="nil"/>
                  </w:tcBorders>
                  <w:vAlign w:val="center"/>
                </w:tcPr>
                <w:p w14:paraId="14684E43">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无组织</w:t>
                  </w:r>
                </w:p>
              </w:tc>
              <w:tc>
                <w:tcPr>
                  <w:tcW w:w="527" w:type="pct"/>
                  <w:tcBorders>
                    <w:tl2br w:val="nil"/>
                    <w:tr2bl w:val="nil"/>
                  </w:tcBorders>
                  <w:vAlign w:val="center"/>
                </w:tcPr>
                <w:p w14:paraId="6CD45693">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81" w:type="dxa"/>
                  <w:tcBorders>
                    <w:tl2br w:val="nil"/>
                    <w:tr2bl w:val="nil"/>
                  </w:tcBorders>
                  <w:vAlign w:val="center"/>
                </w:tcPr>
                <w:p w14:paraId="3C44A68B">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701" w:type="dxa"/>
                  <w:tcBorders>
                    <w:tl2br w:val="nil"/>
                    <w:tr2bl w:val="nil"/>
                  </w:tcBorders>
                  <w:vAlign w:val="center"/>
                </w:tcPr>
                <w:p w14:paraId="5353A8BB">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0.0086 </w:t>
                  </w:r>
                </w:p>
              </w:tc>
              <w:tc>
                <w:tcPr>
                  <w:tcW w:w="705" w:type="dxa"/>
                  <w:tcBorders>
                    <w:tl2br w:val="nil"/>
                    <w:tr2bl w:val="nil"/>
                  </w:tcBorders>
                  <w:vAlign w:val="center"/>
                </w:tcPr>
                <w:p w14:paraId="0E2C91C5">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0.0179 </w:t>
                  </w:r>
                </w:p>
              </w:tc>
              <w:tc>
                <w:tcPr>
                  <w:tcW w:w="805" w:type="pct"/>
                  <w:tcBorders>
                    <w:tl2br w:val="nil"/>
                    <w:tr2bl w:val="nil"/>
                  </w:tcBorders>
                  <w:vAlign w:val="center"/>
                </w:tcPr>
                <w:p w14:paraId="0525C82F">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车间密闭降低无组织排放</w:t>
                  </w:r>
                </w:p>
              </w:tc>
              <w:tc>
                <w:tcPr>
                  <w:tcW w:w="323" w:type="pct"/>
                  <w:tcBorders>
                    <w:tl2br w:val="nil"/>
                    <w:tr2bl w:val="nil"/>
                  </w:tcBorders>
                  <w:vAlign w:val="center"/>
                </w:tcPr>
                <w:p w14:paraId="1E18C5B0">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0%</w:t>
                  </w:r>
                </w:p>
              </w:tc>
              <w:tc>
                <w:tcPr>
                  <w:tcW w:w="841" w:type="dxa"/>
                  <w:tcBorders>
                    <w:tl2br w:val="nil"/>
                    <w:tr2bl w:val="nil"/>
                  </w:tcBorders>
                  <w:vAlign w:val="center"/>
                </w:tcPr>
                <w:p w14:paraId="35ED77DA">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807" w:type="dxa"/>
                  <w:tcBorders>
                    <w:tl2br w:val="nil"/>
                    <w:tr2bl w:val="nil"/>
                  </w:tcBorders>
                  <w:vAlign w:val="center"/>
                </w:tcPr>
                <w:p w14:paraId="1E837E5F">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0.0086 </w:t>
                  </w:r>
                </w:p>
              </w:tc>
              <w:tc>
                <w:tcPr>
                  <w:tcW w:w="703" w:type="dxa"/>
                  <w:tcBorders>
                    <w:tl2br w:val="nil"/>
                    <w:tr2bl w:val="nil"/>
                  </w:tcBorders>
                  <w:vAlign w:val="center"/>
                </w:tcPr>
                <w:p w14:paraId="610E02B7">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0.0179 </w:t>
                  </w:r>
                </w:p>
              </w:tc>
              <w:tc>
                <w:tcPr>
                  <w:tcW w:w="422" w:type="pct"/>
                  <w:tcBorders>
                    <w:tl2br w:val="nil"/>
                    <w:tr2bl w:val="nil"/>
                  </w:tcBorders>
                  <w:vAlign w:val="center"/>
                </w:tcPr>
                <w:p w14:paraId="26B38D02">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r>
          </w:tbl>
          <w:p w14:paraId="5C1718B0">
            <w:pPr>
              <w:pStyle w:val="332"/>
              <w:rPr>
                <w:color w:val="000000" w:themeColor="text1"/>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③</w:t>
            </w:r>
            <w:r>
              <w:rPr>
                <w:rFonts w:hint="eastAsia"/>
                <w:color w:val="000000" w:themeColor="text1"/>
                <w:highlight w:val="none"/>
                <w:lang w:val="en-US"/>
                <w14:textFill>
                  <w14:solidFill>
                    <w14:schemeClr w14:val="tx1"/>
                  </w14:solidFill>
                </w14:textFill>
              </w:rPr>
              <w:t>打磨区颗粒物</w:t>
            </w:r>
          </w:p>
          <w:p w14:paraId="16636E6C">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rFonts w:hint="eastAsia"/>
                <w:color w:val="000000" w:themeColor="text1"/>
                <w:highlight w:val="none"/>
                <w:lang w:val="en-US"/>
                <w14:textFill>
                  <w14:solidFill>
                    <w14:schemeClr w14:val="tx1"/>
                  </w14:solidFill>
                </w14:textFill>
              </w:rPr>
              <w:t>3楼</w:t>
            </w:r>
            <w:r>
              <w:rPr>
                <w:rFonts w:hint="eastAsia"/>
                <w:color w:val="000000" w:themeColor="text1"/>
                <w:highlight w:val="none"/>
                <w14:textFill>
                  <w14:solidFill>
                    <w14:schemeClr w14:val="tx1"/>
                  </w14:solidFill>
                </w14:textFill>
              </w:rPr>
              <w:t>设置</w:t>
            </w: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套密闭环保打磨房。打磨过程中经收集木尘（颗粒物废气收集效率约为</w:t>
            </w:r>
            <w:r>
              <w:rPr>
                <w:color w:val="000000" w:themeColor="text1"/>
                <w:highlight w:val="none"/>
                <w14:textFill>
                  <w14:solidFill>
                    <w14:schemeClr w14:val="tx1"/>
                  </w14:solidFill>
                </w14:textFill>
              </w:rPr>
              <w:t>90%</w:t>
            </w:r>
            <w:r>
              <w:rPr>
                <w:rFonts w:hint="eastAsia"/>
                <w:color w:val="000000" w:themeColor="text1"/>
                <w:highlight w:val="none"/>
                <w14:textFill>
                  <w14:solidFill>
                    <w14:schemeClr w14:val="tx1"/>
                  </w14:solidFill>
                </w14:textFill>
              </w:rPr>
              <w:t>）由水喷淋除尘设备（去除率</w:t>
            </w:r>
            <w:r>
              <w:rPr>
                <w:rFonts w:hint="eastAsia"/>
                <w:color w:val="000000" w:themeColor="text1"/>
                <w:highlight w:val="none"/>
                <w:lang w:val="en-US"/>
                <w14:textFill>
                  <w14:solidFill>
                    <w14:schemeClr w14:val="tx1"/>
                  </w14:solidFill>
                </w14:textFill>
              </w:rPr>
              <w:t>8</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）处理后无组织排放于打磨车间内。经过水喷淋除尘设备处理后剩余颗粒物和</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未收集颗粒物将无组织排放散落在打磨房内部及周围地面，部分随着打磨房自然通风而无组织排出密闭区外。产污系数参考《排放源统计调查产排污核算方法和系数手册》（公告2021年第24号，2021.6.11）中的“21</w:t>
            </w: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、木质家具制造行业系数手册2110木质家具制造行业系数表”中“磨光”的产排污系数表，颗粒物产污系数为</w:t>
            </w:r>
            <w:r>
              <w:rPr>
                <w:rFonts w:hint="eastAsia"/>
                <w:color w:val="000000" w:themeColor="text1"/>
                <w:highlight w:val="none"/>
                <w:lang w:val="en-US"/>
                <w14:textFill>
                  <w14:solidFill>
                    <w14:schemeClr w14:val="tx1"/>
                  </w14:solidFill>
                </w14:textFill>
              </w:rPr>
              <w:t>23.5</w:t>
            </w:r>
            <w:r>
              <w:rPr>
                <w:rFonts w:hint="eastAsia"/>
                <w:color w:val="000000" w:themeColor="text1"/>
                <w:highlight w:val="none"/>
                <w14:textFill>
                  <w14:solidFill>
                    <w14:schemeClr w14:val="tx1"/>
                  </w14:solidFill>
                </w14:textFill>
              </w:rPr>
              <w:t>g/</w:t>
            </w:r>
            <w:r>
              <w:rPr>
                <w:rFonts w:hint="eastAsia"/>
                <w:color w:val="000000" w:themeColor="text1"/>
                <w:highlight w:val="none"/>
                <w:lang w:val="en-US"/>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—产品”，本</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项目打磨粉尘产生量</w:t>
            </w:r>
            <w:r>
              <w:rPr>
                <w:rFonts w:hint="eastAsia"/>
                <w:color w:val="000000" w:themeColor="text1"/>
                <w:highlight w:val="none"/>
                <w:lang w:val="en-US"/>
                <w14:textFill>
                  <w14:solidFill>
                    <w14:schemeClr w14:val="tx1"/>
                  </w14:solidFill>
                </w14:textFill>
              </w:rPr>
              <w:t>约</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0.01875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，产生速率为</w:t>
            </w:r>
            <w:r>
              <w:rPr>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kg/h</w:t>
            </w:r>
            <w:r>
              <w:rPr>
                <w:rFonts w:hint="eastAsia"/>
                <w:color w:val="000000" w:themeColor="text1"/>
                <w:highlight w:val="none"/>
                <w14:textFill>
                  <w14:solidFill>
                    <w14:schemeClr w14:val="tx1"/>
                  </w14:solidFill>
                </w14:textFill>
              </w:rPr>
              <w:t>；经收集处理后无组织排放量为</w:t>
            </w:r>
            <w:r>
              <w:rPr>
                <w:rFonts w:hint="eastAsia"/>
                <w:color w:val="000000" w:themeColor="text1"/>
                <w:highlight w:val="none"/>
                <w:lang w:val="en-US"/>
                <w14:textFill>
                  <w14:solidFill>
                    <w14:schemeClr w14:val="tx1"/>
                  </w14:solidFill>
                </w14:textFill>
              </w:rPr>
              <w:t>0.00</w:t>
            </w:r>
            <w:r>
              <w:rPr>
                <w:rFonts w:hint="eastAsia"/>
                <w:color w:val="000000" w:themeColor="text1"/>
                <w:highlight w:val="none"/>
                <w:lang w:val="en-US" w:eastAsia="zh-CN"/>
                <w14:textFill>
                  <w14:solidFill>
                    <w14:schemeClr w14:val="tx1"/>
                  </w14:solidFill>
                </w14:textFill>
              </w:rPr>
              <w:t>338</w:t>
            </w:r>
            <w:r>
              <w:rPr>
                <w:rFonts w:hint="eastAsia"/>
                <w:color w:val="000000" w:themeColor="text1"/>
                <w:highlight w:val="none"/>
                <w:lang w:val="en-US"/>
                <w14:textFill>
                  <w14:solidFill>
                    <w14:schemeClr w14:val="tx1"/>
                  </w14:solidFill>
                </w14:textFill>
              </w:rPr>
              <w:t>t/a，未收集无组织排放量为0.00</w:t>
            </w:r>
            <w:r>
              <w:rPr>
                <w:rFonts w:hint="eastAsia"/>
                <w:color w:val="000000" w:themeColor="text1"/>
                <w:highlight w:val="none"/>
                <w:lang w:val="en-US" w:eastAsia="zh-CN"/>
                <w14:textFill>
                  <w14:solidFill>
                    <w14:schemeClr w14:val="tx1"/>
                  </w14:solidFill>
                </w14:textFill>
              </w:rPr>
              <w:t>188</w:t>
            </w:r>
            <w:r>
              <w:rPr>
                <w:rFonts w:hint="eastAsia"/>
                <w:color w:val="000000" w:themeColor="text1"/>
                <w:highlight w:val="none"/>
                <w:lang w:val="en-US"/>
                <w14:textFill>
                  <w14:solidFill>
                    <w14:schemeClr w14:val="tx1"/>
                  </w14:solidFill>
                </w14:textFill>
              </w:rPr>
              <w:t>t/a，则打磨区</w:t>
            </w:r>
            <w:r>
              <w:rPr>
                <w:rFonts w:hint="eastAsia"/>
                <w:color w:val="000000" w:themeColor="text1"/>
                <w:highlight w:val="none"/>
                <w14:textFill>
                  <w14:solidFill>
                    <w14:schemeClr w14:val="tx1"/>
                  </w14:solidFill>
                </w14:textFill>
              </w:rPr>
              <w:t>无组织排放量为0.</w:t>
            </w:r>
            <w:r>
              <w:rPr>
                <w:rFonts w:hint="eastAsia"/>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526</w:t>
            </w:r>
            <w:r>
              <w:rPr>
                <w:rFonts w:hint="eastAsia"/>
                <w:color w:val="000000" w:themeColor="text1"/>
                <w:highlight w:val="none"/>
                <w14:textFill>
                  <w14:solidFill>
                    <w14:schemeClr w14:val="tx1"/>
                  </w14:solidFill>
                </w14:textFill>
              </w:rPr>
              <w:t>t/a，排放速率为0.</w:t>
            </w:r>
            <w:r>
              <w:rPr>
                <w:rFonts w:hint="eastAsia"/>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253</w:t>
            </w:r>
            <w:r>
              <w:rPr>
                <w:color w:val="000000" w:themeColor="text1"/>
                <w:highlight w:val="none"/>
                <w14:textFill>
                  <w14:solidFill>
                    <w14:schemeClr w14:val="tx1"/>
                  </w14:solidFill>
                </w14:textFill>
              </w:rPr>
              <w:t>kg/h</w:t>
            </w:r>
            <w:r>
              <w:rPr>
                <w:rFonts w:hint="eastAsia"/>
                <w:color w:val="000000" w:themeColor="text1"/>
                <w:highlight w:val="none"/>
                <w14:textFill>
                  <w14:solidFill>
                    <w14:schemeClr w14:val="tx1"/>
                  </w14:solidFill>
                </w14:textFill>
              </w:rPr>
              <w:t>。</w:t>
            </w:r>
          </w:p>
          <w:p w14:paraId="111779E5">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④</w:t>
            </w:r>
            <w:r>
              <w:rPr>
                <w:rFonts w:hint="eastAsia"/>
                <w:color w:val="000000" w:themeColor="text1"/>
                <w:highlight w:val="none"/>
                <w14:textFill>
                  <w14:solidFill>
                    <w14:schemeClr w14:val="tx1"/>
                  </w14:solidFill>
                </w14:textFill>
              </w:rPr>
              <w:t>调漆</w:t>
            </w:r>
            <w:r>
              <w:rPr>
                <w:rFonts w:hint="eastAsia"/>
                <w:color w:val="000000" w:themeColor="text1"/>
                <w:highlight w:val="none"/>
                <w:lang w:val="en-US"/>
                <w14:textFill>
                  <w14:solidFill>
                    <w14:schemeClr w14:val="tx1"/>
                  </w14:solidFill>
                </w14:textFill>
              </w:rPr>
              <w:t>喷</w:t>
            </w:r>
            <w:r>
              <w:rPr>
                <w:rFonts w:hint="eastAsia"/>
                <w:color w:val="000000" w:themeColor="text1"/>
                <w:highlight w:val="none"/>
                <w14:textFill>
                  <w14:solidFill>
                    <w14:schemeClr w14:val="tx1"/>
                  </w14:solidFill>
                </w14:textFill>
              </w:rPr>
              <w:t>漆及烘干工序有机废气</w:t>
            </w:r>
          </w:p>
          <w:p w14:paraId="6BBAC47D">
            <w:pPr>
              <w:pStyle w:val="16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扩建后</w:t>
            </w:r>
            <w:r>
              <w:rPr>
                <w:color w:val="000000" w:themeColor="text1"/>
                <w:highlight w:val="none"/>
                <w14:textFill>
                  <w14:solidFill>
                    <w14:schemeClr w14:val="tx1"/>
                  </w14:solidFill>
                </w14:textFill>
              </w:rPr>
              <w:t>生产过程</w:t>
            </w:r>
            <w:r>
              <w:rPr>
                <w:rFonts w:hint="eastAsia"/>
                <w:color w:val="000000" w:themeColor="text1"/>
                <w:highlight w:val="none"/>
                <w14:textFill>
                  <w14:solidFill>
                    <w14:schemeClr w14:val="tx1"/>
                  </w14:solidFill>
                </w14:textFill>
              </w:rPr>
              <w:t>使用水性漆及聚氨酯漆均符合</w:t>
            </w:r>
            <w:r>
              <w:rPr>
                <w:rFonts w:hint="eastAsia"/>
                <w:color w:val="000000" w:themeColor="text1"/>
                <w:highlight w:val="none"/>
                <w:lang w:val="en-GB"/>
                <w14:textFill>
                  <w14:solidFill>
                    <w14:schemeClr w14:val="tx1"/>
                  </w14:solidFill>
                </w14:textFill>
              </w:rPr>
              <w:t>《低挥发性有机化合物含量涂料产品技术要求》(GB T38597-2020)中表</w:t>
            </w:r>
            <w:r>
              <w:rPr>
                <w:rFonts w:hint="eastAsia"/>
                <w:color w:val="000000" w:themeColor="text1"/>
                <w:highlight w:val="none"/>
                <w14:textFill>
                  <w14:solidFill>
                    <w14:schemeClr w14:val="tx1"/>
                  </w14:solidFill>
                </w14:textFill>
              </w:rPr>
              <w:t>1及</w:t>
            </w:r>
            <w:r>
              <w:rPr>
                <w:rFonts w:hint="eastAsia"/>
                <w:color w:val="000000" w:themeColor="text1"/>
                <w:highlight w:val="none"/>
                <w:lang w:val="en-GB"/>
                <w14:textFill>
                  <w14:solidFill>
                    <w14:schemeClr w14:val="tx1"/>
                  </w14:solidFill>
                </w14:textFill>
              </w:rPr>
              <w:t>表2中对应涂料VOCs含量的要求，属于</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w:t>
            </w:r>
            <w:r>
              <w:rPr>
                <w:rFonts w:hint="eastAsia"/>
                <w:color w:val="000000" w:themeColor="text1"/>
                <w:kern w:val="0"/>
                <w:szCs w:val="22"/>
                <w:highlight w:val="none"/>
                <w14:textFill>
                  <w14:solidFill>
                    <w14:schemeClr w14:val="tx1"/>
                  </w14:solidFill>
                </w14:textFill>
              </w:rPr>
              <w:t>。</w:t>
            </w:r>
            <w:r>
              <w:rPr>
                <w:rFonts w:hint="eastAsia"/>
                <w:color w:val="000000" w:themeColor="text1"/>
                <w:highlight w:val="none"/>
                <w14:textFill>
                  <w14:solidFill>
                    <w14:schemeClr w14:val="tx1"/>
                  </w14:solidFill>
                </w14:textFill>
              </w:rPr>
              <w:t>根据建设单位提供的资料，本</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项目年耗水性漆0.</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聚氨酯清漆0.0</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t、聚氨酯清漆稀释剂0.0</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t、聚氨酯清漆固化剂0.1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t。喷漆工序于操作台独立完成，</w:t>
            </w:r>
            <w:r>
              <w:rPr>
                <w:color w:val="000000" w:themeColor="text1"/>
                <w:highlight w:val="none"/>
                <w14:textFill>
                  <w14:solidFill>
                    <w14:schemeClr w14:val="tx1"/>
                  </w14:solidFill>
                </w14:textFill>
              </w:rPr>
              <w:t>根据喷漆工艺的特点和技术人员的介绍，</w:t>
            </w:r>
            <w:r>
              <w:rPr>
                <w:rFonts w:hint="eastAsia"/>
                <w:color w:val="000000" w:themeColor="text1"/>
                <w:highlight w:val="none"/>
                <w14:textFill>
                  <w14:solidFill>
                    <w14:schemeClr w14:val="tx1"/>
                  </w14:solidFill>
                </w14:textFill>
              </w:rPr>
              <w:t>喷漆</w:t>
            </w:r>
            <w:r>
              <w:rPr>
                <w:color w:val="000000" w:themeColor="text1"/>
                <w:highlight w:val="none"/>
                <w14:textFill>
                  <w14:solidFill>
                    <w14:schemeClr w14:val="tx1"/>
                  </w14:solidFill>
                </w14:textFill>
              </w:rPr>
              <w:t>过程中产品附着率为80%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形成漆雾于喷漆中过程中损失，</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于车间喷漆工作台面沉降形成漆渣，其余可挥发性成分按全部挥发计。</w:t>
            </w:r>
            <w:r>
              <w:rPr>
                <w:rFonts w:hint="eastAsia"/>
                <w:color w:val="000000" w:themeColor="text1"/>
                <w:kern w:val="0"/>
                <w:szCs w:val="22"/>
                <w:highlight w:val="none"/>
                <w14:textFill>
                  <w14:solidFill>
                    <w14:schemeClr w14:val="tx1"/>
                  </w14:solidFill>
                </w14:textFill>
              </w:rPr>
              <w:t>根据</w:t>
            </w:r>
            <w:r>
              <w:rPr>
                <w:rFonts w:hint="eastAsia"/>
                <w:color w:val="000000" w:themeColor="text1"/>
                <w:kern w:val="0"/>
                <w:szCs w:val="22"/>
                <w:highlight w:val="none"/>
                <w:lang w:eastAsia="zh-CN"/>
                <w14:textFill>
                  <w14:solidFill>
                    <w14:schemeClr w14:val="tx1"/>
                  </w14:solidFill>
                </w14:textFill>
              </w:rPr>
              <w:t>扩建</w:t>
            </w:r>
            <w:r>
              <w:rPr>
                <w:rFonts w:hint="eastAsia"/>
                <w:color w:val="000000" w:themeColor="text1"/>
                <w:kern w:val="0"/>
                <w:szCs w:val="22"/>
                <w:highlight w:val="none"/>
                <w14:textFill>
                  <w14:solidFill>
                    <w14:schemeClr w14:val="tx1"/>
                  </w14:solidFill>
                </w14:textFill>
              </w:rPr>
              <w:t>项目使用涂料成分，估算有机废气、</w:t>
            </w:r>
            <w:r>
              <w:rPr>
                <w:rFonts w:hint="eastAsia"/>
                <w:color w:val="000000" w:themeColor="text1"/>
                <w:highlight w:val="none"/>
                <w14:textFill>
                  <w14:solidFill>
                    <w14:schemeClr w14:val="tx1"/>
                  </w14:solidFill>
                </w14:textFill>
              </w:rPr>
              <w:t>漆雾（颗粒物），</w:t>
            </w:r>
            <w:r>
              <w:rPr>
                <w:rFonts w:hint="eastAsia"/>
                <w:color w:val="000000" w:themeColor="text1"/>
                <w:kern w:val="0"/>
                <w:szCs w:val="22"/>
                <w:highlight w:val="none"/>
                <w14:textFill>
                  <w14:solidFill>
                    <w14:schemeClr w14:val="tx1"/>
                  </w14:solidFill>
                </w14:textFill>
              </w:rPr>
              <w:t>具体</w:t>
            </w:r>
            <w:r>
              <w:rPr>
                <w:color w:val="000000" w:themeColor="text1"/>
                <w:kern w:val="0"/>
                <w:szCs w:val="22"/>
                <w:highlight w:val="none"/>
                <w14:textFill>
                  <w14:solidFill>
                    <w14:schemeClr w14:val="tx1"/>
                  </w14:solidFill>
                </w14:textFill>
              </w:rPr>
              <w:t>详见表</w:t>
            </w:r>
            <w:r>
              <w:rPr>
                <w:rFonts w:hint="eastAsia"/>
                <w:color w:val="000000" w:themeColor="text1"/>
                <w:kern w:val="0"/>
                <w:szCs w:val="22"/>
                <w:highlight w:val="none"/>
                <w14:textFill>
                  <w14:solidFill>
                    <w14:schemeClr w14:val="tx1"/>
                  </w14:solidFill>
                </w14:textFill>
              </w:rPr>
              <w:t>4.2-6</w:t>
            </w:r>
            <w:r>
              <w:rPr>
                <w:color w:val="000000" w:themeColor="text1"/>
                <w:kern w:val="0"/>
                <w:szCs w:val="22"/>
                <w:highlight w:val="none"/>
                <w14:textFill>
                  <w14:solidFill>
                    <w14:schemeClr w14:val="tx1"/>
                  </w14:solidFill>
                </w14:textFill>
              </w:rPr>
              <w:t>。</w:t>
            </w:r>
          </w:p>
          <w:p w14:paraId="59D6EA67">
            <w:pPr>
              <w:pStyle w:val="277"/>
              <w:ind w:left="0"/>
              <w:rPr>
                <w:rFonts w:eastAsia="宋体"/>
                <w:b/>
                <w:bCs/>
                <w:color w:val="000000" w:themeColor="text1"/>
                <w:highlight w:val="none"/>
                <w14:textFill>
                  <w14:solidFill>
                    <w14:schemeClr w14:val="tx1"/>
                  </w14:solidFill>
                </w14:textFill>
              </w:rPr>
            </w:pPr>
            <w:r>
              <w:rPr>
                <w:rFonts w:eastAsia="宋体"/>
                <w:b/>
                <w:color w:val="000000" w:themeColor="text1"/>
                <w:szCs w:val="21"/>
                <w:highlight w:val="none"/>
                <w14:textFill>
                  <w14:solidFill>
                    <w14:schemeClr w14:val="tx1"/>
                  </w14:solidFill>
                </w14:textFill>
              </w:rPr>
              <w:t>表</w:t>
            </w:r>
            <w:r>
              <w:rPr>
                <w:rFonts w:hint="eastAsia" w:eastAsia="宋体"/>
                <w:b/>
                <w:color w:val="000000" w:themeColor="text1"/>
                <w:szCs w:val="21"/>
                <w:highlight w:val="none"/>
                <w14:textFill>
                  <w14:solidFill>
                    <w14:schemeClr w14:val="tx1"/>
                  </w14:solidFill>
                </w14:textFill>
              </w:rPr>
              <w:t xml:space="preserve">4.2-6 </w:t>
            </w:r>
            <w:r>
              <w:rPr>
                <w:rFonts w:hint="eastAsia" w:eastAsia="宋体"/>
                <w:b/>
                <w:color w:val="000000" w:themeColor="text1"/>
                <w:szCs w:val="21"/>
                <w:highlight w:val="none"/>
                <w:lang w:eastAsia="zh-CN"/>
                <w14:textFill>
                  <w14:solidFill>
                    <w14:schemeClr w14:val="tx1"/>
                  </w14:solidFill>
                </w14:textFill>
              </w:rPr>
              <w:t>扩建</w:t>
            </w:r>
            <w:r>
              <w:rPr>
                <w:rFonts w:hint="eastAsia" w:eastAsia="宋体"/>
                <w:b/>
                <w:bCs/>
                <w:color w:val="000000" w:themeColor="text1"/>
                <w:highlight w:val="none"/>
                <w14:textFill>
                  <w14:solidFill>
                    <w14:schemeClr w14:val="tx1"/>
                  </w14:solidFill>
                </w14:textFill>
              </w:rPr>
              <w:t>项目使用油漆</w:t>
            </w:r>
            <w:r>
              <w:rPr>
                <w:rFonts w:eastAsia="宋体"/>
                <w:b/>
                <w:bCs/>
                <w:color w:val="000000" w:themeColor="text1"/>
                <w:highlight w:val="none"/>
                <w14:textFill>
                  <w14:solidFill>
                    <w14:schemeClr w14:val="tx1"/>
                  </w14:solidFill>
                </w14:textFill>
              </w:rPr>
              <w:t>中</w:t>
            </w:r>
            <w:r>
              <w:rPr>
                <w:rFonts w:hint="eastAsia" w:eastAsia="宋体"/>
                <w:b/>
                <w:bCs/>
                <w:color w:val="000000" w:themeColor="text1"/>
                <w:highlight w:val="none"/>
                <w14:textFill>
                  <w14:solidFill>
                    <w14:schemeClr w14:val="tx1"/>
                  </w14:solidFill>
                </w14:textFill>
              </w:rPr>
              <w:t>各成分</w:t>
            </w:r>
            <w:r>
              <w:rPr>
                <w:rFonts w:eastAsia="宋体"/>
                <w:b/>
                <w:bCs/>
                <w:color w:val="000000" w:themeColor="text1"/>
                <w:highlight w:val="none"/>
                <w14:textFill>
                  <w14:solidFill>
                    <w14:schemeClr w14:val="tx1"/>
                  </w14:solidFill>
                </w14:textFill>
              </w:rPr>
              <w:t>含量</w:t>
            </w:r>
            <w:r>
              <w:rPr>
                <w:rFonts w:hint="eastAsia" w:eastAsia="宋体"/>
                <w:b/>
                <w:bCs/>
                <w:color w:val="000000" w:themeColor="text1"/>
                <w:highlight w:val="none"/>
                <w14:textFill>
                  <w14:solidFill>
                    <w14:schemeClr w14:val="tx1"/>
                  </w14:solidFill>
                </w14:textFill>
              </w:rPr>
              <w:t>及废气产生量一览表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113"/>
              <w:gridCol w:w="1879"/>
              <w:gridCol w:w="1338"/>
              <w:gridCol w:w="1463"/>
              <w:gridCol w:w="1451"/>
            </w:tblGrid>
            <w:tr w14:paraId="38022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67AD60ED">
                  <w:pPr>
                    <w:pStyle w:val="320"/>
                    <w:ind w:firstLine="0" w:firstLineChars="0"/>
                    <w:jc w:val="center"/>
                    <w:rPr>
                      <w:rFonts w:hint="eastAsia" w:ascii="Times New Roman" w:hAnsi="宋体"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lang w:val="en-US" w:eastAsia="zh-CN"/>
                      <w14:textFill>
                        <w14:solidFill>
                          <w14:schemeClr w14:val="tx1"/>
                        </w14:solidFill>
                      </w14:textFill>
                    </w:rPr>
                    <w:t>0.05</w:t>
                  </w:r>
                  <w:r>
                    <w:rPr>
                      <w:rFonts w:hint="eastAsia" w:ascii="Times New Roman" w:hAnsi="宋体" w:eastAsia="宋体" w:cs="Times New Roman"/>
                      <w:b/>
                      <w:color w:val="000000" w:themeColor="text1"/>
                      <w:sz w:val="21"/>
                      <w:szCs w:val="21"/>
                      <w:highlight w:val="none"/>
                      <w14:textFill>
                        <w14:solidFill>
                          <w14:schemeClr w14:val="tx1"/>
                        </w14:solidFill>
                      </w14:textFill>
                    </w:rPr>
                    <w:t>类别</w:t>
                  </w:r>
                </w:p>
              </w:tc>
              <w:tc>
                <w:tcPr>
                  <w:tcW w:w="642" w:type="pct"/>
                  <w:vAlign w:val="center"/>
                </w:tcPr>
                <w:p w14:paraId="2BC0EC7A">
                  <w:pPr>
                    <w:pStyle w:val="320"/>
                    <w:ind w:firstLine="0" w:firstLineChars="0"/>
                    <w:jc w:val="center"/>
                    <w:rPr>
                      <w:rFonts w:hint="eastAsia" w:ascii="Times New Roman" w:hAnsi="宋体"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用量（t/a）</w:t>
                  </w:r>
                </w:p>
              </w:tc>
              <w:tc>
                <w:tcPr>
                  <w:tcW w:w="1084" w:type="pct"/>
                  <w:vAlign w:val="center"/>
                </w:tcPr>
                <w:p w14:paraId="242083E7">
                  <w:pPr>
                    <w:pStyle w:val="320"/>
                    <w:ind w:firstLine="0" w:firstLineChars="0"/>
                    <w:jc w:val="center"/>
                    <w:rPr>
                      <w:rFonts w:hint="eastAsia" w:ascii="Times New Roman" w:hAnsi="宋体"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废气污染物</w:t>
                  </w:r>
                </w:p>
                <w:p w14:paraId="03FBD02B">
                  <w:pPr>
                    <w:pStyle w:val="320"/>
                    <w:ind w:firstLine="0" w:firstLineChars="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主要</w:t>
                  </w:r>
                  <w:r>
                    <w:rPr>
                      <w:rFonts w:ascii="Times New Roman" w:hAnsi="宋体" w:eastAsia="宋体" w:cs="Times New Roman"/>
                      <w:b/>
                      <w:color w:val="000000" w:themeColor="text1"/>
                      <w:sz w:val="21"/>
                      <w:szCs w:val="21"/>
                      <w:highlight w:val="none"/>
                      <w14:textFill>
                        <w14:solidFill>
                          <w14:schemeClr w14:val="tx1"/>
                        </w14:solidFill>
                      </w14:textFill>
                    </w:rPr>
                    <w:t>成分</w:t>
                  </w:r>
                </w:p>
              </w:tc>
              <w:tc>
                <w:tcPr>
                  <w:tcW w:w="772" w:type="pct"/>
                  <w:vAlign w:val="center"/>
                </w:tcPr>
                <w:p w14:paraId="1924C9D4">
                  <w:pPr>
                    <w:pStyle w:val="320"/>
                    <w:ind w:firstLine="0" w:firstLineChars="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成分</w:t>
                  </w:r>
                  <w:r>
                    <w:rPr>
                      <w:rFonts w:ascii="Times New Roman" w:hAnsi="宋体" w:eastAsia="宋体" w:cs="Times New Roman"/>
                      <w:b/>
                      <w:color w:val="000000" w:themeColor="text1"/>
                      <w:sz w:val="21"/>
                      <w:szCs w:val="21"/>
                      <w:highlight w:val="none"/>
                      <w14:textFill>
                        <w14:solidFill>
                          <w14:schemeClr w14:val="tx1"/>
                        </w14:solidFill>
                      </w14:textFill>
                    </w:rPr>
                    <w:t>比例（</w:t>
                  </w:r>
                  <w:r>
                    <w:rPr>
                      <w:rFonts w:ascii="Times New Roman" w:hAnsi="Times New Roman" w:eastAsia="宋体" w:cs="Times New Roman"/>
                      <w:b/>
                      <w:color w:val="000000" w:themeColor="text1"/>
                      <w:sz w:val="21"/>
                      <w:szCs w:val="21"/>
                      <w:highlight w:val="none"/>
                      <w14:textFill>
                        <w14:solidFill>
                          <w14:schemeClr w14:val="tx1"/>
                        </w14:solidFill>
                      </w14:textFill>
                    </w:rPr>
                    <w:t>%</w:t>
                  </w:r>
                  <w:r>
                    <w:rPr>
                      <w:rFonts w:ascii="Times New Roman" w:hAnsi="宋体" w:eastAsia="宋体" w:cs="Times New Roman"/>
                      <w:b/>
                      <w:color w:val="000000" w:themeColor="text1"/>
                      <w:sz w:val="21"/>
                      <w:szCs w:val="21"/>
                      <w:highlight w:val="none"/>
                      <w14:textFill>
                        <w14:solidFill>
                          <w14:schemeClr w14:val="tx1"/>
                        </w14:solidFill>
                      </w14:textFill>
                    </w:rPr>
                    <w:t>）</w:t>
                  </w:r>
                </w:p>
              </w:tc>
              <w:tc>
                <w:tcPr>
                  <w:tcW w:w="843" w:type="pct"/>
                  <w:vAlign w:val="center"/>
                </w:tcPr>
                <w:p w14:paraId="05ED9E87">
                  <w:pPr>
                    <w:pStyle w:val="320"/>
                    <w:ind w:firstLine="0" w:firstLineChars="0"/>
                    <w:jc w:val="center"/>
                    <w:rPr>
                      <w:rFonts w:hint="eastAsia" w:ascii="Times New Roman" w:hAnsi="宋体"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进入废气比例（%）</w:t>
                  </w:r>
                </w:p>
              </w:tc>
              <w:tc>
                <w:tcPr>
                  <w:tcW w:w="837" w:type="pct"/>
                  <w:vAlign w:val="center"/>
                </w:tcPr>
                <w:p w14:paraId="23BDBD7A">
                  <w:pPr>
                    <w:pStyle w:val="320"/>
                    <w:ind w:firstLine="0" w:firstLineChars="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宋体" w:eastAsia="宋体" w:cs="Times New Roman"/>
                      <w:b/>
                      <w:color w:val="000000" w:themeColor="text1"/>
                      <w:sz w:val="21"/>
                      <w:szCs w:val="21"/>
                      <w:highlight w:val="none"/>
                      <w14:textFill>
                        <w14:solidFill>
                          <w14:schemeClr w14:val="tx1"/>
                        </w14:solidFill>
                      </w14:textFill>
                    </w:rPr>
                    <w:t>产生量（</w:t>
                  </w:r>
                  <w:r>
                    <w:rPr>
                      <w:rFonts w:ascii="Times New Roman" w:hAnsi="Times New Roman" w:eastAsia="宋体" w:cs="Times New Roman"/>
                      <w:b/>
                      <w:color w:val="000000" w:themeColor="text1"/>
                      <w:sz w:val="21"/>
                      <w:szCs w:val="21"/>
                      <w:highlight w:val="none"/>
                      <w14:textFill>
                        <w14:solidFill>
                          <w14:schemeClr w14:val="tx1"/>
                        </w14:solidFill>
                      </w14:textFill>
                    </w:rPr>
                    <w:t>t/a</w:t>
                  </w:r>
                  <w:r>
                    <w:rPr>
                      <w:rFonts w:ascii="Times New Roman" w:hAnsi="宋体" w:eastAsia="宋体" w:cs="Times New Roman"/>
                      <w:b/>
                      <w:color w:val="000000" w:themeColor="text1"/>
                      <w:sz w:val="21"/>
                      <w:szCs w:val="21"/>
                      <w:highlight w:val="none"/>
                      <w14:textFill>
                        <w14:solidFill>
                          <w14:schemeClr w14:val="tx1"/>
                        </w14:solidFill>
                      </w14:textFill>
                    </w:rPr>
                    <w:t>）</w:t>
                  </w:r>
                </w:p>
              </w:tc>
            </w:tr>
            <w:tr w14:paraId="25421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14:paraId="00E7A348">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水性漆</w:t>
                  </w:r>
                </w:p>
              </w:tc>
              <w:tc>
                <w:tcPr>
                  <w:tcW w:w="642" w:type="pct"/>
                  <w:vMerge w:val="restart"/>
                  <w:vAlign w:val="center"/>
                </w:tcPr>
                <w:p w14:paraId="424A0A79">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14:textFill>
                        <w14:solidFill>
                          <w14:schemeClr w14:val="tx1"/>
                        </w14:solidFill>
                      </w14:textFill>
                    </w:rPr>
                    <w:t>5</w:t>
                  </w:r>
                </w:p>
              </w:tc>
              <w:tc>
                <w:tcPr>
                  <w:tcW w:w="1084" w:type="pct"/>
                  <w:vAlign w:val="center"/>
                </w:tcPr>
                <w:p w14:paraId="3EA1EB60">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颗粒物</w:t>
                  </w:r>
                </w:p>
              </w:tc>
              <w:tc>
                <w:tcPr>
                  <w:tcW w:w="772" w:type="pct"/>
                  <w:vAlign w:val="center"/>
                </w:tcPr>
                <w:p w14:paraId="414276CB">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78</w:t>
                  </w:r>
                </w:p>
              </w:tc>
              <w:tc>
                <w:tcPr>
                  <w:tcW w:w="843" w:type="pct"/>
                  <w:vAlign w:val="center"/>
                </w:tcPr>
                <w:p w14:paraId="5637EDCC">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15</w:t>
                  </w:r>
                </w:p>
              </w:tc>
              <w:tc>
                <w:tcPr>
                  <w:tcW w:w="1451" w:type="dxa"/>
                  <w:vAlign w:val="center"/>
                </w:tcPr>
                <w:p w14:paraId="08230423">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0.049 </w:t>
                  </w:r>
                </w:p>
              </w:tc>
            </w:tr>
            <w:tr w14:paraId="4E89F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14:paraId="62E0F458">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14:paraId="25AAEB45">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084" w:type="pct"/>
                  <w:vAlign w:val="center"/>
                </w:tcPr>
                <w:p w14:paraId="7EF61BF0">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772" w:type="pct"/>
                  <w:vAlign w:val="center"/>
                </w:tcPr>
                <w:p w14:paraId="7F7C7199">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6.5</w:t>
                  </w:r>
                </w:p>
              </w:tc>
              <w:tc>
                <w:tcPr>
                  <w:tcW w:w="843" w:type="pct"/>
                  <w:vAlign w:val="center"/>
                </w:tcPr>
                <w:p w14:paraId="7352D37C">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14:paraId="736F7EE4">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0.088 </w:t>
                  </w:r>
                </w:p>
              </w:tc>
            </w:tr>
            <w:tr w14:paraId="6DC5C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14:paraId="425FB0BB">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聚氨酯清漆</w:t>
                  </w:r>
                </w:p>
              </w:tc>
              <w:tc>
                <w:tcPr>
                  <w:tcW w:w="642" w:type="pct"/>
                  <w:vMerge w:val="restart"/>
                  <w:vAlign w:val="center"/>
                </w:tcPr>
                <w:p w14:paraId="5A47F1A8">
                  <w:pPr>
                    <w:pStyle w:val="320"/>
                    <w:ind w:firstLine="0" w:firstLineChars="0"/>
                    <w:jc w:val="center"/>
                    <w:rPr>
                      <w:rFonts w:hint="eastAsia" w:ascii="Times New Roman" w:hAnsi="宋体" w:eastAsia="宋体" w:cs="Times New Roman"/>
                      <w:color w:val="000000" w:themeColor="text1"/>
                      <w:sz w:val="21"/>
                      <w:szCs w:val="21"/>
                      <w:highlight w:val="none"/>
                      <w:lang w:eastAsia="zh-CN"/>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0.0</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9</w:t>
                  </w:r>
                </w:p>
              </w:tc>
              <w:tc>
                <w:tcPr>
                  <w:tcW w:w="1084" w:type="pct"/>
                  <w:vAlign w:val="center"/>
                </w:tcPr>
                <w:p w14:paraId="1F99EAD7">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颗粒物</w:t>
                  </w:r>
                </w:p>
              </w:tc>
              <w:tc>
                <w:tcPr>
                  <w:tcW w:w="772" w:type="pct"/>
                  <w:vAlign w:val="center"/>
                </w:tcPr>
                <w:p w14:paraId="641FA0AA">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75</w:t>
                  </w:r>
                </w:p>
              </w:tc>
              <w:tc>
                <w:tcPr>
                  <w:tcW w:w="843" w:type="pct"/>
                  <w:vAlign w:val="center"/>
                </w:tcPr>
                <w:p w14:paraId="72BAE924">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15</w:t>
                  </w:r>
                </w:p>
              </w:tc>
              <w:tc>
                <w:tcPr>
                  <w:tcW w:w="1451" w:type="dxa"/>
                  <w:vAlign w:val="center"/>
                </w:tcPr>
                <w:p w14:paraId="328E4253">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0.018 </w:t>
                  </w:r>
                </w:p>
              </w:tc>
            </w:tr>
            <w:tr w14:paraId="16B5B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14:paraId="14EFA3BC">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14:paraId="222F6A7B">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p>
              </w:tc>
              <w:tc>
                <w:tcPr>
                  <w:tcW w:w="1084" w:type="pct"/>
                  <w:vAlign w:val="center"/>
                </w:tcPr>
                <w:p w14:paraId="2871BD77">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772" w:type="pct"/>
                  <w:vAlign w:val="center"/>
                </w:tcPr>
                <w:p w14:paraId="52379B3E">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20</w:t>
                  </w:r>
                </w:p>
              </w:tc>
              <w:tc>
                <w:tcPr>
                  <w:tcW w:w="843" w:type="pct"/>
                  <w:vAlign w:val="center"/>
                </w:tcPr>
                <w:p w14:paraId="417304F6">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14:paraId="1686154F">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0.005 </w:t>
                  </w:r>
                </w:p>
              </w:tc>
            </w:tr>
            <w:tr w14:paraId="53958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14:paraId="290C6AC2">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14:paraId="6D0B95BA">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p>
              </w:tc>
              <w:tc>
                <w:tcPr>
                  <w:tcW w:w="1084" w:type="pct"/>
                  <w:vAlign w:val="center"/>
                </w:tcPr>
                <w:p w14:paraId="19F03450">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二甲苯</w:t>
                  </w:r>
                </w:p>
              </w:tc>
              <w:tc>
                <w:tcPr>
                  <w:tcW w:w="772" w:type="pct"/>
                  <w:vAlign w:val="center"/>
                </w:tcPr>
                <w:p w14:paraId="2DE9BC32">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w:t>
                  </w:r>
                </w:p>
              </w:tc>
              <w:tc>
                <w:tcPr>
                  <w:tcW w:w="843" w:type="pct"/>
                  <w:vAlign w:val="center"/>
                </w:tcPr>
                <w:p w14:paraId="1957C312">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14:paraId="706EE275">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0.010 </w:t>
                  </w:r>
                </w:p>
              </w:tc>
            </w:tr>
            <w:tr w14:paraId="22289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14:paraId="0D22FC7F">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聚氨酯清漆稀释剂</w:t>
                  </w:r>
                </w:p>
              </w:tc>
              <w:tc>
                <w:tcPr>
                  <w:tcW w:w="642" w:type="pct"/>
                  <w:vMerge w:val="restart"/>
                  <w:vAlign w:val="center"/>
                </w:tcPr>
                <w:p w14:paraId="05936FCD">
                  <w:pPr>
                    <w:pStyle w:val="320"/>
                    <w:ind w:firstLine="0" w:firstLineChars="0"/>
                    <w:jc w:val="center"/>
                    <w:rPr>
                      <w:rFonts w:hint="eastAsia" w:ascii="Times New Roman" w:hAnsi="宋体" w:eastAsia="宋体" w:cs="Times New Roman"/>
                      <w:color w:val="000000" w:themeColor="text1"/>
                      <w:sz w:val="21"/>
                      <w:szCs w:val="21"/>
                      <w:highlight w:val="none"/>
                      <w:lang w:eastAsia="zh-CN"/>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0.0</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6</w:t>
                  </w:r>
                </w:p>
              </w:tc>
              <w:tc>
                <w:tcPr>
                  <w:tcW w:w="1084" w:type="pct"/>
                  <w:vAlign w:val="center"/>
                </w:tcPr>
                <w:p w14:paraId="5EFB9118">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772" w:type="pct"/>
                  <w:vAlign w:val="center"/>
                </w:tcPr>
                <w:p w14:paraId="37A24169">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70</w:t>
                  </w:r>
                </w:p>
              </w:tc>
              <w:tc>
                <w:tcPr>
                  <w:tcW w:w="843" w:type="pct"/>
                  <w:vAlign w:val="center"/>
                </w:tcPr>
                <w:p w14:paraId="53EEA79B">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14:paraId="7EFE323F">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0.042 </w:t>
                  </w:r>
                </w:p>
              </w:tc>
            </w:tr>
            <w:tr w14:paraId="3A9D4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14:paraId="1801F8DB">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14:paraId="3DE533C9">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p>
              </w:tc>
              <w:tc>
                <w:tcPr>
                  <w:tcW w:w="1084" w:type="pct"/>
                  <w:vAlign w:val="center"/>
                </w:tcPr>
                <w:p w14:paraId="23AD099C">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二甲苯</w:t>
                  </w:r>
                </w:p>
              </w:tc>
              <w:tc>
                <w:tcPr>
                  <w:tcW w:w="772" w:type="pct"/>
                  <w:vAlign w:val="center"/>
                </w:tcPr>
                <w:p w14:paraId="51A6142C">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30</w:t>
                  </w:r>
                </w:p>
              </w:tc>
              <w:tc>
                <w:tcPr>
                  <w:tcW w:w="843" w:type="pct"/>
                  <w:vAlign w:val="center"/>
                </w:tcPr>
                <w:p w14:paraId="2253F8C1">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14:paraId="0FA2937D">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0.018 </w:t>
                  </w:r>
                </w:p>
              </w:tc>
            </w:tr>
            <w:tr w14:paraId="21CE9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14:paraId="383EE30F">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聚氨酯清漆固化剂</w:t>
                  </w:r>
                </w:p>
              </w:tc>
              <w:tc>
                <w:tcPr>
                  <w:tcW w:w="642" w:type="pct"/>
                  <w:vMerge w:val="restart"/>
                  <w:vAlign w:val="center"/>
                </w:tcPr>
                <w:p w14:paraId="6C728197">
                  <w:pPr>
                    <w:pStyle w:val="320"/>
                    <w:ind w:firstLine="0" w:firstLineChars="0"/>
                    <w:jc w:val="cente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0.1</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5</w:t>
                  </w:r>
                </w:p>
              </w:tc>
              <w:tc>
                <w:tcPr>
                  <w:tcW w:w="1084" w:type="pct"/>
                  <w:vAlign w:val="center"/>
                </w:tcPr>
                <w:p w14:paraId="499C1FFE">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颗粒物</w:t>
                  </w:r>
                </w:p>
              </w:tc>
              <w:tc>
                <w:tcPr>
                  <w:tcW w:w="772" w:type="pct"/>
                  <w:vAlign w:val="center"/>
                </w:tcPr>
                <w:p w14:paraId="7BAC76AA">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80</w:t>
                  </w:r>
                </w:p>
              </w:tc>
              <w:tc>
                <w:tcPr>
                  <w:tcW w:w="843" w:type="pct"/>
                  <w:vAlign w:val="center"/>
                </w:tcPr>
                <w:p w14:paraId="0B50AA25">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15</w:t>
                  </w:r>
                </w:p>
              </w:tc>
              <w:tc>
                <w:tcPr>
                  <w:tcW w:w="1451" w:type="dxa"/>
                  <w:vAlign w:val="center"/>
                </w:tcPr>
                <w:p w14:paraId="6BD4BA43">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0.030 </w:t>
                  </w:r>
                </w:p>
              </w:tc>
            </w:tr>
            <w:tr w14:paraId="30759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14:paraId="5C3832A6">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14:paraId="6DC7325E">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p>
              </w:tc>
              <w:tc>
                <w:tcPr>
                  <w:tcW w:w="1084" w:type="pct"/>
                  <w:vAlign w:val="center"/>
                </w:tcPr>
                <w:p w14:paraId="761E561D">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772" w:type="pct"/>
                  <w:vAlign w:val="center"/>
                </w:tcPr>
                <w:p w14:paraId="056892A2">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20</w:t>
                  </w:r>
                </w:p>
              </w:tc>
              <w:tc>
                <w:tcPr>
                  <w:tcW w:w="843" w:type="pct"/>
                  <w:vAlign w:val="center"/>
                </w:tcPr>
                <w:p w14:paraId="03C6BF45">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14:paraId="3ED344D3">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0.018 </w:t>
                  </w:r>
                </w:p>
              </w:tc>
            </w:tr>
            <w:tr w14:paraId="2A474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62" w:type="pct"/>
                  <w:gridSpan w:val="5"/>
                  <w:vAlign w:val="center"/>
                </w:tcPr>
                <w:p w14:paraId="72F3C67A">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颗粒物</w:t>
                  </w:r>
                  <w:r>
                    <w:rPr>
                      <w:rFonts w:ascii="Times New Roman" w:hAnsi="宋体" w:eastAsia="宋体" w:cs="Times New Roman"/>
                      <w:color w:val="000000" w:themeColor="text1"/>
                      <w:sz w:val="21"/>
                      <w:szCs w:val="21"/>
                      <w:highlight w:val="none"/>
                      <w14:textFill>
                        <w14:solidFill>
                          <w14:schemeClr w14:val="tx1"/>
                        </w14:solidFill>
                      </w14:textFill>
                    </w:rPr>
                    <w:t>合计</w:t>
                  </w:r>
                </w:p>
              </w:tc>
              <w:tc>
                <w:tcPr>
                  <w:tcW w:w="1451" w:type="dxa"/>
                  <w:vAlign w:val="center"/>
                </w:tcPr>
                <w:p w14:paraId="3530506C">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0.139 </w:t>
                  </w:r>
                </w:p>
              </w:tc>
            </w:tr>
            <w:tr w14:paraId="228EA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62" w:type="pct"/>
                  <w:gridSpan w:val="5"/>
                  <w:vAlign w:val="center"/>
                </w:tcPr>
                <w:p w14:paraId="7229D99B">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r>
                    <w:rPr>
                      <w:rFonts w:ascii="Times New Roman" w:hAnsi="宋体" w:eastAsia="宋体" w:cs="Times New Roman"/>
                      <w:color w:val="000000" w:themeColor="text1"/>
                      <w:sz w:val="21"/>
                      <w:szCs w:val="21"/>
                      <w:highlight w:val="none"/>
                      <w14:textFill>
                        <w14:solidFill>
                          <w14:schemeClr w14:val="tx1"/>
                        </w14:solidFill>
                      </w14:textFill>
                    </w:rPr>
                    <w:t>非甲烷总烃合计</w:t>
                  </w:r>
                </w:p>
              </w:tc>
              <w:tc>
                <w:tcPr>
                  <w:tcW w:w="1451" w:type="dxa"/>
                  <w:vAlign w:val="center"/>
                </w:tcPr>
                <w:p w14:paraId="3B1DCE31">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0.023 </w:t>
                  </w:r>
                </w:p>
              </w:tc>
            </w:tr>
            <w:tr w14:paraId="6C083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62" w:type="pct"/>
                  <w:gridSpan w:val="5"/>
                  <w:vAlign w:val="center"/>
                </w:tcPr>
                <w:p w14:paraId="3042EA65">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二甲苯</w:t>
                  </w:r>
                  <w:r>
                    <w:rPr>
                      <w:rFonts w:ascii="Times New Roman" w:hAnsi="宋体" w:eastAsia="宋体" w:cs="Times New Roman"/>
                      <w:color w:val="000000" w:themeColor="text1"/>
                      <w:sz w:val="21"/>
                      <w:szCs w:val="21"/>
                      <w:highlight w:val="none"/>
                      <w14:textFill>
                        <w14:solidFill>
                          <w14:schemeClr w14:val="tx1"/>
                        </w14:solidFill>
                      </w14:textFill>
                    </w:rPr>
                    <w:t>合计</w:t>
                  </w:r>
                </w:p>
              </w:tc>
              <w:tc>
                <w:tcPr>
                  <w:tcW w:w="1451" w:type="dxa"/>
                  <w:vAlign w:val="center"/>
                </w:tcPr>
                <w:p w14:paraId="18DC72A5">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0.116 </w:t>
                  </w:r>
                </w:p>
              </w:tc>
            </w:tr>
          </w:tbl>
          <w:p w14:paraId="15DF6CF5">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调漆</w:t>
            </w:r>
            <w:r>
              <w:rPr>
                <w:rFonts w:hint="eastAsia"/>
                <w:color w:val="000000" w:themeColor="text1"/>
                <w:highlight w:val="none"/>
                <w14:textFill>
                  <w14:solidFill>
                    <w14:schemeClr w14:val="tx1"/>
                  </w14:solidFill>
                </w14:textFill>
              </w:rPr>
              <w:t>喷漆废气经喷漆水帘柜处理后和烘干废气</w:t>
            </w:r>
            <w:r>
              <w:rPr>
                <w:rFonts w:hint="eastAsia"/>
                <w:color w:val="000000" w:themeColor="text1"/>
                <w:highlight w:val="none"/>
                <w:lang w:eastAsia="zh-CN"/>
                <w14:textFill>
                  <w14:solidFill>
                    <w14:schemeClr w14:val="tx1"/>
                  </w14:solidFill>
                </w14:textFill>
              </w:rPr>
              <w:t>汇集</w:t>
            </w:r>
            <w:r>
              <w:rPr>
                <w:rFonts w:hint="eastAsia"/>
                <w:color w:val="000000" w:themeColor="text1"/>
                <w:highlight w:val="none"/>
                <w14:textFill>
                  <w14:solidFill>
                    <w14:schemeClr w14:val="tx1"/>
                  </w14:solidFill>
                </w14:textFill>
              </w:rPr>
              <w:t>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由抽风机经管道抽送至“水喷淋+活性炭二级吸附”设备处理后，通过</w:t>
            </w:r>
            <w:r>
              <w:rPr>
                <w:rFonts w:hint="eastAsia"/>
                <w:color w:val="000000" w:themeColor="text1"/>
                <w:highlight w:val="none"/>
                <w:lang w:val="en-US"/>
                <w14:textFill>
                  <w14:solidFill>
                    <w14:schemeClr w14:val="tx1"/>
                  </w14:solidFill>
                </w14:textFill>
              </w:rPr>
              <w:t>1根15m高排气筒（DA002）</w:t>
            </w:r>
            <w:r>
              <w:rPr>
                <w:rFonts w:hint="eastAsia"/>
                <w:color w:val="000000" w:themeColor="text1"/>
                <w:highlight w:val="none"/>
                <w14:textFill>
                  <w14:solidFill>
                    <w14:schemeClr w14:val="tx1"/>
                  </w14:solidFill>
                </w14:textFill>
              </w:rPr>
              <w:t>排放。本</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项目处理设施设计风机量</w:t>
            </w:r>
            <w:r>
              <w:rPr>
                <w:rFonts w:hint="eastAsia"/>
                <w:color w:val="000000" w:themeColor="text1"/>
                <w:highlight w:val="none"/>
                <w:lang w:val="en-US"/>
                <w14:textFill>
                  <w14:solidFill>
                    <w14:schemeClr w14:val="tx1"/>
                  </w14:solidFill>
                </w14:textFill>
              </w:rPr>
              <w:t>15</w:t>
            </w:r>
            <w:r>
              <w:rPr>
                <w:color w:val="000000" w:themeColor="text1"/>
                <w:highlight w:val="none"/>
                <w14:textFill>
                  <w14:solidFill>
                    <w14:schemeClr w14:val="tx1"/>
                  </w14:solidFill>
                </w14:textFill>
              </w:rPr>
              <w:t>000</w:t>
            </w:r>
            <w:r>
              <w:rPr>
                <w:rFonts w:hint="eastAsia"/>
                <w:color w:val="000000" w:themeColor="text1"/>
                <w:highlight w:val="none"/>
                <w14:textFill>
                  <w14:solidFill>
                    <w14:schemeClr w14:val="tx1"/>
                  </w14:solidFill>
                </w14:textFill>
              </w:rPr>
              <w:t>m³</w:t>
            </w:r>
            <w:r>
              <w:rPr>
                <w:color w:val="000000" w:themeColor="text1"/>
                <w:highlight w:val="none"/>
                <w14:textFill>
                  <w14:solidFill>
                    <w14:schemeClr w14:val="tx1"/>
                  </w14:solidFill>
                </w14:textFill>
              </w:rPr>
              <w:t>/h</w:t>
            </w:r>
            <w:r>
              <w:rPr>
                <w:rFonts w:hint="eastAsia"/>
                <w:color w:val="000000" w:themeColor="text1"/>
                <w:highlight w:val="none"/>
                <w14:textFill>
                  <w14:solidFill>
                    <w14:schemeClr w14:val="tx1"/>
                  </w14:solidFill>
                </w14:textFill>
              </w:rPr>
              <w:t>进行评价，喷漆强度为最低按</w:t>
            </w:r>
            <w:r>
              <w:rPr>
                <w:rFonts w:hint="eastAsia"/>
                <w:color w:val="000000" w:themeColor="text1"/>
                <w:highlight w:val="none"/>
                <w:lang w:val="en-US"/>
                <w14:textFill>
                  <w14:solidFill>
                    <w14:schemeClr w14:val="tx1"/>
                  </w14:solidFill>
                </w14:textFill>
              </w:rPr>
              <w:t>8</w:t>
            </w:r>
            <w:r>
              <w:rPr>
                <w:rFonts w:hint="eastAsia"/>
                <w:color w:val="000000" w:themeColor="text1"/>
                <w:highlight w:val="none"/>
                <w14:textFill>
                  <w14:solidFill>
                    <w14:schemeClr w14:val="tx1"/>
                  </w14:solidFill>
                </w14:textFill>
              </w:rPr>
              <w:t>小时</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班计算，年工作日2</w:t>
            </w:r>
            <w:r>
              <w:rPr>
                <w:rFonts w:hint="eastAsia"/>
                <w:color w:val="000000" w:themeColor="text1"/>
                <w:highlight w:val="none"/>
                <w:lang w:val="en-US"/>
                <w14:textFill>
                  <w14:solidFill>
                    <w14:schemeClr w14:val="tx1"/>
                  </w14:solidFill>
                </w14:textFill>
              </w:rPr>
              <w:t>6</w:t>
            </w:r>
            <w:r>
              <w:rPr>
                <w:rFonts w:hint="eastAsia"/>
                <w:color w:val="000000" w:themeColor="text1"/>
                <w:highlight w:val="none"/>
                <w14:textFill>
                  <w14:solidFill>
                    <w14:schemeClr w14:val="tx1"/>
                  </w14:solidFill>
                </w14:textFill>
              </w:rPr>
              <w:t>0天。</w:t>
            </w:r>
            <w:r>
              <w:rPr>
                <w:bCs/>
                <w:color w:val="000000" w:themeColor="text1"/>
                <w:highlight w:val="none"/>
                <w14:textFill>
                  <w14:solidFill>
                    <w14:schemeClr w14:val="tx1"/>
                  </w14:solidFill>
                </w14:textFill>
              </w:rPr>
              <w:t>根据《福建省环保厅关于印发福建省重点行业挥发</w:t>
            </w:r>
            <w:r>
              <w:rPr>
                <w:rFonts w:hAnsi="宋体"/>
                <w:bCs/>
                <w:color w:val="000000" w:themeColor="text1"/>
                <w:highlight w:val="none"/>
                <w14:textFill>
                  <w14:solidFill>
                    <w14:schemeClr w14:val="tx1"/>
                  </w14:solidFill>
                </w14:textFill>
              </w:rPr>
              <w:t>性有机物排放控制要求（试行）的通知》（闽环保大气〔</w:t>
            </w:r>
            <w:r>
              <w:rPr>
                <w:bCs/>
                <w:color w:val="000000" w:themeColor="text1"/>
                <w:highlight w:val="none"/>
                <w14:textFill>
                  <w14:solidFill>
                    <w14:schemeClr w14:val="tx1"/>
                  </w14:solidFill>
                </w14:textFill>
              </w:rPr>
              <w:t>2017</w:t>
            </w:r>
            <w:r>
              <w:rPr>
                <w:rFonts w:hAnsi="宋体"/>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9</w:t>
            </w:r>
            <w:r>
              <w:rPr>
                <w:rFonts w:hAnsi="宋体"/>
                <w:bCs/>
                <w:color w:val="000000" w:themeColor="text1"/>
                <w:highlight w:val="none"/>
                <w14:textFill>
                  <w14:solidFill>
                    <w14:schemeClr w14:val="tx1"/>
                  </w14:solidFill>
                </w14:textFill>
              </w:rPr>
              <w:t>号）要求，项目有机废气应集中收集后治理排放</w:t>
            </w:r>
            <w:r>
              <w:rPr>
                <w:rFonts w:hint="eastAsia" w:hAnsi="宋体"/>
                <w:bCs/>
                <w:color w:val="000000" w:themeColor="text1"/>
                <w:highlight w:val="none"/>
                <w:lang w:eastAsia="zh-CN"/>
                <w14:textFill>
                  <w14:solidFill>
                    <w14:schemeClr w14:val="tx1"/>
                  </w14:solidFill>
                </w14:textFill>
              </w:rPr>
              <w:t>且</w:t>
            </w:r>
            <w:r>
              <w:rPr>
                <w:rFonts w:hAnsi="宋体"/>
                <w:bCs/>
                <w:color w:val="000000" w:themeColor="text1"/>
                <w:highlight w:val="none"/>
                <w14:textFill>
                  <w14:solidFill>
                    <w14:schemeClr w14:val="tx1"/>
                  </w14:solidFill>
                </w14:textFill>
              </w:rPr>
              <w:t>要求密闭式局部收集的逸散的有机</w:t>
            </w:r>
            <w:r>
              <w:rPr>
                <w:rFonts w:hint="eastAsia" w:hAnsi="宋体"/>
                <w:bCs/>
                <w:color w:val="000000" w:themeColor="text1"/>
                <w:highlight w:val="none"/>
                <w:lang w:eastAsia="zh-CN"/>
                <w14:textFill>
                  <w14:solidFill>
                    <w14:schemeClr w14:val="tx1"/>
                  </w14:solidFill>
                </w14:textFill>
              </w:rPr>
              <w:t>废气</w:t>
            </w:r>
            <w:r>
              <w:rPr>
                <w:rFonts w:hAnsi="宋体"/>
                <w:bCs/>
                <w:color w:val="000000" w:themeColor="text1"/>
                <w:highlight w:val="none"/>
                <w14:textFill>
                  <w14:solidFill>
                    <w14:schemeClr w14:val="tx1"/>
                  </w14:solidFill>
                </w14:textFill>
              </w:rPr>
              <w:t>收集率应达到</w:t>
            </w:r>
            <w:r>
              <w:rPr>
                <w:bCs/>
                <w:color w:val="000000" w:themeColor="text1"/>
                <w:highlight w:val="none"/>
                <w14:textFill>
                  <w14:solidFill>
                    <w14:schemeClr w14:val="tx1"/>
                  </w14:solidFill>
                </w14:textFill>
              </w:rPr>
              <w:t>80%</w:t>
            </w:r>
            <w:r>
              <w:rPr>
                <w:rFonts w:hAnsi="宋体"/>
                <w:bCs/>
                <w:color w:val="000000" w:themeColor="text1"/>
                <w:highlight w:val="none"/>
                <w14:textFill>
                  <w14:solidFill>
                    <w14:schemeClr w14:val="tx1"/>
                  </w14:solidFill>
                </w14:textFill>
              </w:rPr>
              <w:t>以上</w:t>
            </w:r>
            <w:r>
              <w:rPr>
                <w:rFonts w:hint="eastAsia" w:hAnsi="宋体"/>
                <w:bCs/>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喷漆</w:t>
            </w:r>
            <w:r>
              <w:rPr>
                <w:color w:val="000000" w:themeColor="text1"/>
                <w:highlight w:val="none"/>
                <w14:textFill>
                  <w14:solidFill>
                    <w14:schemeClr w14:val="tx1"/>
                  </w14:solidFill>
                </w14:textFill>
              </w:rPr>
              <w:t>区</w:t>
            </w:r>
            <w:r>
              <w:rPr>
                <w:rFonts w:hint="eastAsia"/>
                <w:color w:val="000000" w:themeColor="text1"/>
                <w:highlight w:val="none"/>
                <w14:textFill>
                  <w14:solidFill>
                    <w14:schemeClr w14:val="tx1"/>
                  </w14:solidFill>
                </w14:textFill>
              </w:rPr>
              <w:t>（含喷漆、调漆），烘干区</w:t>
            </w:r>
            <w:r>
              <w:rPr>
                <w:rFonts w:hint="eastAsia" w:hAnsi="宋体"/>
                <w:bCs/>
                <w:color w:val="000000" w:themeColor="text1"/>
                <w:highlight w:val="none"/>
                <w14:textFill>
                  <w14:solidFill>
                    <w14:schemeClr w14:val="tx1"/>
                  </w14:solidFill>
                </w14:textFill>
              </w:rPr>
              <w:t>拟设置独立密闭区域，故本评价收集效率按90%计；</w:t>
            </w:r>
            <w:r>
              <w:rPr>
                <w:rFonts w:hint="eastAsia" w:hAnsi="宋体"/>
                <w:bCs/>
                <w:color w:val="000000" w:themeColor="text1"/>
                <w:highlight w:val="none"/>
                <w:lang w:eastAsia="zh-CN"/>
                <w14:textFill>
                  <w14:solidFill>
                    <w14:schemeClr w14:val="tx1"/>
                  </w14:solidFill>
                </w14:textFill>
              </w:rPr>
              <w:t>扩建</w:t>
            </w:r>
            <w:r>
              <w:rPr>
                <w:rFonts w:hint="eastAsia" w:hAnsi="宋体"/>
                <w:bCs/>
                <w:color w:val="000000" w:themeColor="text1"/>
                <w:highlight w:val="none"/>
                <w14:textFill>
                  <w14:solidFill>
                    <w14:schemeClr w14:val="tx1"/>
                  </w14:solidFill>
                </w14:textFill>
              </w:rPr>
              <w:t>项目水帘柜及水喷淋净化塔针对漆雾的处理效率约为90%，有机废气</w:t>
            </w:r>
            <w:r>
              <w:rPr>
                <w:rFonts w:hint="eastAsia"/>
                <w:bCs/>
                <w:color w:val="000000" w:themeColor="text1"/>
                <w:highlight w:val="none"/>
                <w14:textFill>
                  <w14:solidFill>
                    <w14:schemeClr w14:val="tx1"/>
                  </w14:solidFill>
                </w14:textFill>
              </w:rPr>
              <w:t>处理设施（水喷淋净化塔+二级活性炭吸附箱）针对挥发性有机物的平均处理效率约为</w:t>
            </w:r>
            <w:r>
              <w:rPr>
                <w:rFonts w:hint="eastAsia"/>
                <w:bCs/>
                <w:color w:val="000000" w:themeColor="text1"/>
                <w:highlight w:val="none"/>
                <w:lang w:val="en-US"/>
                <w14:textFill>
                  <w14:solidFill>
                    <w14:schemeClr w14:val="tx1"/>
                  </w14:solidFill>
                </w14:textFill>
              </w:rPr>
              <w:t>8</w:t>
            </w:r>
            <w:r>
              <w:rPr>
                <w:rFonts w:hint="eastAsia"/>
                <w:bCs/>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因此，</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调漆喷漆及烘干工序产生的</w:t>
            </w:r>
            <w:r>
              <w:rPr>
                <w:color w:val="000000" w:themeColor="text1"/>
                <w:highlight w:val="none"/>
                <w14:textFill>
                  <w14:solidFill>
                    <w14:schemeClr w14:val="tx1"/>
                  </w14:solidFill>
                </w14:textFill>
              </w:rPr>
              <w:t>废气产排情况见</w:t>
            </w:r>
            <w:r>
              <w:rPr>
                <w:rFonts w:hint="eastAsia"/>
                <w:color w:val="000000" w:themeColor="text1"/>
                <w:highlight w:val="none"/>
                <w:lang w:val="en-US"/>
                <w14:textFill>
                  <w14:solidFill>
                    <w14:schemeClr w14:val="tx1"/>
                  </w14:solidFill>
                </w14:textFill>
              </w:rPr>
              <w:t>4.2-7</w:t>
            </w:r>
            <w:r>
              <w:rPr>
                <w:rFonts w:hint="eastAsia"/>
                <w:color w:val="000000" w:themeColor="text1"/>
                <w:highlight w:val="none"/>
                <w14:textFill>
                  <w14:solidFill>
                    <w14:schemeClr w14:val="tx1"/>
                  </w14:solidFill>
                </w14:textFill>
              </w:rPr>
              <w:t>。</w:t>
            </w:r>
          </w:p>
          <w:p w14:paraId="59110D24">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表4.2-7  </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调漆喷漆及烘干废气</w:t>
            </w:r>
            <w:r>
              <w:rPr>
                <w:color w:val="000000" w:themeColor="text1"/>
                <w:highlight w:val="none"/>
                <w14:textFill>
                  <w14:solidFill>
                    <w14:schemeClr w14:val="tx1"/>
                  </w14:solidFill>
                </w14:textFill>
              </w:rPr>
              <w:t>产排情况一览表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14"/>
              <w:gridCol w:w="1037"/>
              <w:gridCol w:w="778"/>
              <w:gridCol w:w="699"/>
              <w:gridCol w:w="704"/>
              <w:gridCol w:w="1396"/>
              <w:gridCol w:w="560"/>
              <w:gridCol w:w="837"/>
              <w:gridCol w:w="804"/>
              <w:gridCol w:w="702"/>
              <w:gridCol w:w="733"/>
            </w:tblGrid>
            <w:tr w14:paraId="0B654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39" w:type="pct"/>
                  <w:vMerge w:val="restart"/>
                  <w:tcBorders>
                    <w:tl2br w:val="nil"/>
                    <w:tr2bl w:val="nil"/>
                  </w:tcBorders>
                  <w:vAlign w:val="center"/>
                </w:tcPr>
                <w:p w14:paraId="1A2DCEBF">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污染源</w:t>
                  </w:r>
                </w:p>
              </w:tc>
              <w:tc>
                <w:tcPr>
                  <w:tcW w:w="598" w:type="pct"/>
                  <w:vMerge w:val="restart"/>
                  <w:tcBorders>
                    <w:tl2br w:val="nil"/>
                    <w:tr2bl w:val="nil"/>
                  </w:tcBorders>
                  <w:vAlign w:val="center"/>
                </w:tcPr>
                <w:p w14:paraId="16AA16B5">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258" w:type="pct"/>
                  <w:gridSpan w:val="3"/>
                  <w:tcBorders>
                    <w:tl2br w:val="nil"/>
                    <w:tr2bl w:val="nil"/>
                  </w:tcBorders>
                  <w:vAlign w:val="center"/>
                </w:tcPr>
                <w:p w14:paraId="426EA0BD">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产生状况</w:t>
                  </w:r>
                </w:p>
              </w:tc>
              <w:tc>
                <w:tcPr>
                  <w:tcW w:w="805" w:type="pct"/>
                  <w:vMerge w:val="restart"/>
                  <w:tcBorders>
                    <w:tl2br w:val="nil"/>
                    <w:tr2bl w:val="nil"/>
                  </w:tcBorders>
                  <w:vAlign w:val="center"/>
                </w:tcPr>
                <w:p w14:paraId="54621E18">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w:t>
                  </w:r>
                </w:p>
                <w:p w14:paraId="29E44D77">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措施</w:t>
                  </w:r>
                </w:p>
              </w:tc>
              <w:tc>
                <w:tcPr>
                  <w:tcW w:w="323" w:type="pct"/>
                  <w:vMerge w:val="restart"/>
                  <w:tcBorders>
                    <w:tl2br w:val="nil"/>
                    <w:tr2bl w:val="nil"/>
                  </w:tcBorders>
                  <w:vAlign w:val="center"/>
                </w:tcPr>
                <w:p w14:paraId="7BF7DB64">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去除率</w:t>
                  </w:r>
                </w:p>
              </w:tc>
              <w:tc>
                <w:tcPr>
                  <w:tcW w:w="1352" w:type="pct"/>
                  <w:gridSpan w:val="3"/>
                  <w:tcBorders>
                    <w:tl2br w:val="nil"/>
                    <w:tr2bl w:val="nil"/>
                  </w:tcBorders>
                  <w:vAlign w:val="center"/>
                </w:tcPr>
                <w:p w14:paraId="7B1DB8A4">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排放状况</w:t>
                  </w:r>
                </w:p>
              </w:tc>
              <w:tc>
                <w:tcPr>
                  <w:tcW w:w="422" w:type="pct"/>
                  <w:tcBorders>
                    <w:tl2br w:val="nil"/>
                    <w:tr2bl w:val="nil"/>
                  </w:tcBorders>
                  <w:vAlign w:val="center"/>
                </w:tcPr>
                <w:p w14:paraId="05AED797">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排气量</w:t>
                  </w:r>
                </w:p>
              </w:tc>
            </w:tr>
            <w:tr w14:paraId="3D66D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39" w:type="pct"/>
                  <w:vMerge w:val="continue"/>
                  <w:tcBorders>
                    <w:tl2br w:val="nil"/>
                    <w:tr2bl w:val="nil"/>
                  </w:tcBorders>
                  <w:vAlign w:val="center"/>
                </w:tcPr>
                <w:p w14:paraId="1122EEDF">
                  <w:pPr>
                    <w:pStyle w:val="331"/>
                    <w:rPr>
                      <w:color w:val="000000" w:themeColor="text1"/>
                      <w:highlight w:val="none"/>
                      <w14:textFill>
                        <w14:solidFill>
                          <w14:schemeClr w14:val="tx1"/>
                        </w14:solidFill>
                      </w14:textFill>
                    </w:rPr>
                  </w:pPr>
                </w:p>
              </w:tc>
              <w:tc>
                <w:tcPr>
                  <w:tcW w:w="598" w:type="pct"/>
                  <w:vMerge w:val="continue"/>
                  <w:tcBorders>
                    <w:tl2br w:val="nil"/>
                    <w:tr2bl w:val="nil"/>
                  </w:tcBorders>
                  <w:vAlign w:val="center"/>
                </w:tcPr>
                <w:p w14:paraId="72AA50C9">
                  <w:pPr>
                    <w:pStyle w:val="331"/>
                    <w:rPr>
                      <w:color w:val="000000" w:themeColor="text1"/>
                      <w:highlight w:val="none"/>
                      <w14:textFill>
                        <w14:solidFill>
                          <w14:schemeClr w14:val="tx1"/>
                        </w14:solidFill>
                      </w14:textFill>
                    </w:rPr>
                  </w:pPr>
                </w:p>
              </w:tc>
              <w:tc>
                <w:tcPr>
                  <w:tcW w:w="449" w:type="pct"/>
                  <w:tcBorders>
                    <w:tl2br w:val="nil"/>
                    <w:tr2bl w:val="nil"/>
                  </w:tcBorders>
                  <w:vAlign w:val="center"/>
                </w:tcPr>
                <w:p w14:paraId="27F2C22E">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浓度</w:t>
                  </w:r>
                </w:p>
                <w:p w14:paraId="7B7669E7">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(mg/m³)</w:t>
                  </w:r>
                </w:p>
              </w:tc>
              <w:tc>
                <w:tcPr>
                  <w:tcW w:w="403" w:type="pct"/>
                  <w:tcBorders>
                    <w:tl2br w:val="nil"/>
                    <w:tr2bl w:val="nil"/>
                  </w:tcBorders>
                  <w:vAlign w:val="center"/>
                </w:tcPr>
                <w:p w14:paraId="5D9813F6">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速率</w:t>
                  </w:r>
                </w:p>
                <w:p w14:paraId="39668A3F">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(kg/h)</w:t>
                  </w:r>
                </w:p>
              </w:tc>
              <w:tc>
                <w:tcPr>
                  <w:tcW w:w="405" w:type="pct"/>
                  <w:tcBorders>
                    <w:tl2br w:val="nil"/>
                    <w:tr2bl w:val="nil"/>
                  </w:tcBorders>
                  <w:vAlign w:val="center"/>
                </w:tcPr>
                <w:p w14:paraId="6408D925">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产生量</w:t>
                  </w:r>
                </w:p>
                <w:p w14:paraId="26AA8268">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(t/a)</w:t>
                  </w:r>
                </w:p>
              </w:tc>
              <w:tc>
                <w:tcPr>
                  <w:tcW w:w="805" w:type="pct"/>
                  <w:vMerge w:val="continue"/>
                  <w:tcBorders>
                    <w:tl2br w:val="nil"/>
                    <w:tr2bl w:val="nil"/>
                  </w:tcBorders>
                  <w:vAlign w:val="center"/>
                </w:tcPr>
                <w:p w14:paraId="580E63C1">
                  <w:pPr>
                    <w:pStyle w:val="331"/>
                    <w:rPr>
                      <w:color w:val="000000" w:themeColor="text1"/>
                      <w:highlight w:val="none"/>
                      <w14:textFill>
                        <w14:solidFill>
                          <w14:schemeClr w14:val="tx1"/>
                        </w14:solidFill>
                      </w14:textFill>
                    </w:rPr>
                  </w:pPr>
                </w:p>
              </w:tc>
              <w:tc>
                <w:tcPr>
                  <w:tcW w:w="323" w:type="pct"/>
                  <w:vMerge w:val="continue"/>
                  <w:tcBorders>
                    <w:tl2br w:val="nil"/>
                    <w:tr2bl w:val="nil"/>
                  </w:tcBorders>
                  <w:vAlign w:val="center"/>
                </w:tcPr>
                <w:p w14:paraId="241CED15">
                  <w:pPr>
                    <w:pStyle w:val="331"/>
                    <w:rPr>
                      <w:color w:val="000000" w:themeColor="text1"/>
                      <w:highlight w:val="none"/>
                      <w14:textFill>
                        <w14:solidFill>
                          <w14:schemeClr w14:val="tx1"/>
                        </w14:solidFill>
                      </w14:textFill>
                    </w:rPr>
                  </w:pPr>
                </w:p>
              </w:tc>
              <w:tc>
                <w:tcPr>
                  <w:tcW w:w="483" w:type="pct"/>
                  <w:tcBorders>
                    <w:tl2br w:val="nil"/>
                    <w:tr2bl w:val="nil"/>
                  </w:tcBorders>
                  <w:vAlign w:val="center"/>
                </w:tcPr>
                <w:p w14:paraId="31BA4549">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浓度</w:t>
                  </w:r>
                </w:p>
                <w:p w14:paraId="40E94845">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(mg/m³)</w:t>
                  </w:r>
                </w:p>
              </w:tc>
              <w:tc>
                <w:tcPr>
                  <w:tcW w:w="464" w:type="pct"/>
                  <w:tcBorders>
                    <w:tl2br w:val="nil"/>
                    <w:tr2bl w:val="nil"/>
                  </w:tcBorders>
                  <w:vAlign w:val="center"/>
                </w:tcPr>
                <w:p w14:paraId="5AF16802">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速率</w:t>
                  </w:r>
                </w:p>
                <w:p w14:paraId="0DA75BFD">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(kg/h)</w:t>
                  </w:r>
                </w:p>
              </w:tc>
              <w:tc>
                <w:tcPr>
                  <w:tcW w:w="404" w:type="pct"/>
                  <w:tcBorders>
                    <w:tl2br w:val="nil"/>
                    <w:tr2bl w:val="nil"/>
                  </w:tcBorders>
                  <w:vAlign w:val="center"/>
                </w:tcPr>
                <w:p w14:paraId="2E0859A3">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w:t>
                  </w:r>
                </w:p>
                <w:p w14:paraId="2EBD440C">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(t/a)</w:t>
                  </w:r>
                </w:p>
              </w:tc>
              <w:tc>
                <w:tcPr>
                  <w:tcW w:w="422" w:type="pct"/>
                  <w:tcBorders>
                    <w:tl2br w:val="nil"/>
                    <w:tr2bl w:val="nil"/>
                  </w:tcBorders>
                  <w:vAlign w:val="center"/>
                </w:tcPr>
                <w:p w14:paraId="441748C6">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(m³/h)</w:t>
                  </w:r>
                </w:p>
              </w:tc>
            </w:tr>
            <w:tr w14:paraId="151B6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restart"/>
                  <w:tcBorders>
                    <w:tl2br w:val="nil"/>
                    <w:tr2bl w:val="nil"/>
                  </w:tcBorders>
                  <w:vAlign w:val="center"/>
                </w:tcPr>
                <w:p w14:paraId="2AA0E0EF">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有组织</w:t>
                  </w:r>
                </w:p>
              </w:tc>
              <w:tc>
                <w:tcPr>
                  <w:tcW w:w="598" w:type="pct"/>
                  <w:tcBorders>
                    <w:tl2br w:val="nil"/>
                    <w:tr2bl w:val="nil"/>
                  </w:tcBorders>
                  <w:vAlign w:val="center"/>
                </w:tcPr>
                <w:p w14:paraId="64C4ADE8">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78" w:type="dxa"/>
                  <w:tcBorders>
                    <w:tl2br w:val="nil"/>
                    <w:tr2bl w:val="nil"/>
                  </w:tcBorders>
                  <w:vAlign w:val="center"/>
                </w:tcPr>
                <w:p w14:paraId="0E825897">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3.3425 </w:t>
                  </w:r>
                </w:p>
              </w:tc>
              <w:tc>
                <w:tcPr>
                  <w:tcW w:w="699" w:type="dxa"/>
                  <w:tcBorders>
                    <w:tl2br w:val="nil"/>
                    <w:tr2bl w:val="nil"/>
                  </w:tcBorders>
                  <w:vAlign w:val="center"/>
                </w:tcPr>
                <w:p w14:paraId="684BB3C4">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0.0501 </w:t>
                  </w:r>
                </w:p>
              </w:tc>
              <w:tc>
                <w:tcPr>
                  <w:tcW w:w="704" w:type="dxa"/>
                  <w:tcBorders>
                    <w:tl2br w:val="nil"/>
                    <w:tr2bl w:val="nil"/>
                  </w:tcBorders>
                  <w:vAlign w:val="center"/>
                </w:tcPr>
                <w:p w14:paraId="532511E5">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0.1043 </w:t>
                  </w:r>
                </w:p>
              </w:tc>
              <w:tc>
                <w:tcPr>
                  <w:tcW w:w="805" w:type="pct"/>
                  <w:tcBorders>
                    <w:tl2br w:val="nil"/>
                    <w:tr2bl w:val="nil"/>
                  </w:tcBorders>
                  <w:vAlign w:val="center"/>
                </w:tcPr>
                <w:p w14:paraId="02B3C61D">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水帘柜+水喷淋+二级活性炭吸附设备+15m排气筒（DA002）</w:t>
                  </w:r>
                </w:p>
              </w:tc>
              <w:tc>
                <w:tcPr>
                  <w:tcW w:w="323" w:type="pct"/>
                  <w:tcBorders>
                    <w:tl2br w:val="nil"/>
                    <w:tr2bl w:val="nil"/>
                  </w:tcBorders>
                  <w:vAlign w:val="center"/>
                </w:tcPr>
                <w:p w14:paraId="669B6507">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90%</w:t>
                  </w:r>
                </w:p>
              </w:tc>
              <w:tc>
                <w:tcPr>
                  <w:tcW w:w="837" w:type="dxa"/>
                  <w:tcBorders>
                    <w:tl2br w:val="nil"/>
                    <w:tr2bl w:val="nil"/>
                  </w:tcBorders>
                  <w:vAlign w:val="center"/>
                </w:tcPr>
                <w:p w14:paraId="4FEF087A">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0.3343 </w:t>
                  </w:r>
                </w:p>
              </w:tc>
              <w:tc>
                <w:tcPr>
                  <w:tcW w:w="804" w:type="dxa"/>
                  <w:tcBorders>
                    <w:tl2br w:val="nil"/>
                    <w:tr2bl w:val="nil"/>
                  </w:tcBorders>
                  <w:vAlign w:val="center"/>
                </w:tcPr>
                <w:p w14:paraId="5F6E885F">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0.0050 </w:t>
                  </w:r>
                </w:p>
              </w:tc>
              <w:tc>
                <w:tcPr>
                  <w:tcW w:w="702" w:type="dxa"/>
                  <w:tcBorders>
                    <w:tl2br w:val="nil"/>
                    <w:tr2bl w:val="nil"/>
                  </w:tcBorders>
                  <w:vAlign w:val="center"/>
                </w:tcPr>
                <w:p w14:paraId="5CA0AFA0">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0.0104 </w:t>
                  </w:r>
                </w:p>
              </w:tc>
              <w:tc>
                <w:tcPr>
                  <w:tcW w:w="422" w:type="pct"/>
                  <w:vMerge w:val="restart"/>
                  <w:tcBorders>
                    <w:tl2br w:val="nil"/>
                    <w:tr2bl w:val="nil"/>
                  </w:tcBorders>
                  <w:vAlign w:val="center"/>
                </w:tcPr>
                <w:p w14:paraId="733E2D8C">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15000</w:t>
                  </w:r>
                </w:p>
              </w:tc>
            </w:tr>
            <w:tr w14:paraId="36D0E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239" w:type="pct"/>
                  <w:vMerge w:val="continue"/>
                  <w:tcBorders>
                    <w:tl2br w:val="nil"/>
                    <w:tr2bl w:val="nil"/>
                  </w:tcBorders>
                  <w:vAlign w:val="center"/>
                </w:tcPr>
                <w:p w14:paraId="03E59555">
                  <w:pPr>
                    <w:pStyle w:val="331"/>
                    <w:rPr>
                      <w:color w:val="000000" w:themeColor="text1"/>
                      <w:highlight w:val="none"/>
                      <w14:textFill>
                        <w14:solidFill>
                          <w14:schemeClr w14:val="tx1"/>
                        </w14:solidFill>
                      </w14:textFill>
                    </w:rPr>
                  </w:pPr>
                </w:p>
              </w:tc>
              <w:tc>
                <w:tcPr>
                  <w:tcW w:w="598" w:type="pct"/>
                  <w:tcBorders>
                    <w:tl2br w:val="nil"/>
                    <w:tr2bl w:val="nil"/>
                  </w:tcBorders>
                  <w:vAlign w:val="center"/>
                </w:tcPr>
                <w:p w14:paraId="07B491E5">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NMHC</w:t>
                  </w:r>
                </w:p>
              </w:tc>
              <w:tc>
                <w:tcPr>
                  <w:tcW w:w="778" w:type="dxa"/>
                  <w:tcBorders>
                    <w:tl2br w:val="nil"/>
                    <w:tr2bl w:val="nil"/>
                  </w:tcBorders>
                  <w:vAlign w:val="center"/>
                </w:tcPr>
                <w:p w14:paraId="42A05A7A">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4.0024 </w:t>
                  </w:r>
                </w:p>
              </w:tc>
              <w:tc>
                <w:tcPr>
                  <w:tcW w:w="699" w:type="dxa"/>
                  <w:tcBorders>
                    <w:tl2br w:val="nil"/>
                    <w:tr2bl w:val="nil"/>
                  </w:tcBorders>
                  <w:vAlign w:val="center"/>
                </w:tcPr>
                <w:p w14:paraId="3030216B">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0.0600 </w:t>
                  </w:r>
                </w:p>
              </w:tc>
              <w:tc>
                <w:tcPr>
                  <w:tcW w:w="704" w:type="dxa"/>
                  <w:tcBorders>
                    <w:tl2br w:val="nil"/>
                    <w:tr2bl w:val="nil"/>
                  </w:tcBorders>
                  <w:vAlign w:val="center"/>
                </w:tcPr>
                <w:p w14:paraId="5C06E002">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0.1249 </w:t>
                  </w:r>
                </w:p>
              </w:tc>
              <w:tc>
                <w:tcPr>
                  <w:tcW w:w="805" w:type="pct"/>
                  <w:vMerge w:val="restart"/>
                  <w:tcBorders>
                    <w:tl2br w:val="nil"/>
                    <w:tr2bl w:val="nil"/>
                  </w:tcBorders>
                  <w:vAlign w:val="center"/>
                </w:tcPr>
                <w:p w14:paraId="416F69C6">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集气设备+水喷淋+二级活性炭吸附设备+15m排气筒（DA002）</w:t>
                  </w:r>
                </w:p>
              </w:tc>
              <w:tc>
                <w:tcPr>
                  <w:tcW w:w="323" w:type="pct"/>
                  <w:vMerge w:val="restart"/>
                  <w:tcBorders>
                    <w:tl2br w:val="nil"/>
                    <w:tr2bl w:val="nil"/>
                  </w:tcBorders>
                  <w:vAlign w:val="center"/>
                </w:tcPr>
                <w:p w14:paraId="3866726D">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80%</w:t>
                  </w:r>
                </w:p>
              </w:tc>
              <w:tc>
                <w:tcPr>
                  <w:tcW w:w="837" w:type="dxa"/>
                  <w:tcBorders>
                    <w:tl2br w:val="nil"/>
                    <w:tr2bl w:val="nil"/>
                  </w:tcBorders>
                  <w:vAlign w:val="center"/>
                </w:tcPr>
                <w:p w14:paraId="4E572BE6">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0.8005 </w:t>
                  </w:r>
                </w:p>
              </w:tc>
              <w:tc>
                <w:tcPr>
                  <w:tcW w:w="804" w:type="dxa"/>
                  <w:tcBorders>
                    <w:tl2br w:val="nil"/>
                    <w:tr2bl w:val="nil"/>
                  </w:tcBorders>
                  <w:vAlign w:val="center"/>
                </w:tcPr>
                <w:p w14:paraId="0D180CA5">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0.0120 </w:t>
                  </w:r>
                </w:p>
              </w:tc>
              <w:tc>
                <w:tcPr>
                  <w:tcW w:w="702" w:type="dxa"/>
                  <w:tcBorders>
                    <w:tl2br w:val="nil"/>
                    <w:tr2bl w:val="nil"/>
                  </w:tcBorders>
                  <w:vAlign w:val="center"/>
                </w:tcPr>
                <w:p w14:paraId="5E8F872E">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0.0250 </w:t>
                  </w:r>
                </w:p>
              </w:tc>
              <w:tc>
                <w:tcPr>
                  <w:tcW w:w="422" w:type="pct"/>
                  <w:vMerge w:val="continue"/>
                  <w:tcBorders>
                    <w:tl2br w:val="nil"/>
                    <w:tr2bl w:val="nil"/>
                  </w:tcBorders>
                  <w:vAlign w:val="center"/>
                </w:tcPr>
                <w:p w14:paraId="5900C608">
                  <w:pPr>
                    <w:pStyle w:val="331"/>
                    <w:rPr>
                      <w:rFonts w:hint="eastAsia" w:ascii="Times New Roman" w:hAnsi="Times New Roman" w:eastAsia="宋体" w:cs="Times New Roman"/>
                      <w:color w:val="000000" w:themeColor="text1"/>
                      <w:highlight w:val="none"/>
                      <w14:textFill>
                        <w14:solidFill>
                          <w14:schemeClr w14:val="tx1"/>
                        </w14:solidFill>
                      </w14:textFill>
                    </w:rPr>
                  </w:pPr>
                </w:p>
              </w:tc>
            </w:tr>
            <w:tr w14:paraId="49EDB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continue"/>
                  <w:tcBorders>
                    <w:tl2br w:val="nil"/>
                    <w:tr2bl w:val="nil"/>
                  </w:tcBorders>
                  <w:vAlign w:val="center"/>
                </w:tcPr>
                <w:p w14:paraId="315D4461">
                  <w:pPr>
                    <w:pStyle w:val="331"/>
                    <w:rPr>
                      <w:color w:val="000000" w:themeColor="text1"/>
                      <w:highlight w:val="none"/>
                      <w14:textFill>
                        <w14:solidFill>
                          <w14:schemeClr w14:val="tx1"/>
                        </w14:solidFill>
                      </w14:textFill>
                    </w:rPr>
                  </w:pPr>
                </w:p>
              </w:tc>
              <w:tc>
                <w:tcPr>
                  <w:tcW w:w="598" w:type="pct"/>
                  <w:tcBorders>
                    <w:tl2br w:val="nil"/>
                    <w:tr2bl w:val="nil"/>
                  </w:tcBorders>
                  <w:vAlign w:val="center"/>
                </w:tcPr>
                <w:p w14:paraId="3183D15C">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二甲苯</w:t>
                  </w:r>
                </w:p>
              </w:tc>
              <w:tc>
                <w:tcPr>
                  <w:tcW w:w="778" w:type="dxa"/>
                  <w:tcBorders>
                    <w:tl2br w:val="nil"/>
                    <w:tr2bl w:val="nil"/>
                  </w:tcBorders>
                  <w:vAlign w:val="center"/>
                </w:tcPr>
                <w:p w14:paraId="792E2B02">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0.6490 </w:t>
                  </w:r>
                </w:p>
              </w:tc>
              <w:tc>
                <w:tcPr>
                  <w:tcW w:w="699" w:type="dxa"/>
                  <w:tcBorders>
                    <w:tl2br w:val="nil"/>
                    <w:tr2bl w:val="nil"/>
                  </w:tcBorders>
                  <w:vAlign w:val="center"/>
                </w:tcPr>
                <w:p w14:paraId="6FDB5816">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0.0097 </w:t>
                  </w:r>
                </w:p>
              </w:tc>
              <w:tc>
                <w:tcPr>
                  <w:tcW w:w="704" w:type="dxa"/>
                  <w:tcBorders>
                    <w:tl2br w:val="nil"/>
                    <w:tr2bl w:val="nil"/>
                  </w:tcBorders>
                  <w:vAlign w:val="center"/>
                </w:tcPr>
                <w:p w14:paraId="119862E8">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0.0203 </w:t>
                  </w:r>
                </w:p>
              </w:tc>
              <w:tc>
                <w:tcPr>
                  <w:tcW w:w="805" w:type="pct"/>
                  <w:vMerge w:val="continue"/>
                  <w:tcBorders>
                    <w:tl2br w:val="nil"/>
                    <w:tr2bl w:val="nil"/>
                  </w:tcBorders>
                  <w:vAlign w:val="center"/>
                </w:tcPr>
                <w:p w14:paraId="59438B2E">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323" w:type="pct"/>
                  <w:vMerge w:val="continue"/>
                  <w:tcBorders>
                    <w:tl2br w:val="nil"/>
                    <w:tr2bl w:val="nil"/>
                  </w:tcBorders>
                  <w:vAlign w:val="center"/>
                </w:tcPr>
                <w:p w14:paraId="076626B2">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37" w:type="dxa"/>
                  <w:tcBorders>
                    <w:tl2br w:val="nil"/>
                    <w:tr2bl w:val="nil"/>
                  </w:tcBorders>
                  <w:vAlign w:val="center"/>
                </w:tcPr>
                <w:p w14:paraId="63F3037C">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0.1298 </w:t>
                  </w:r>
                </w:p>
              </w:tc>
              <w:tc>
                <w:tcPr>
                  <w:tcW w:w="804" w:type="dxa"/>
                  <w:tcBorders>
                    <w:tl2br w:val="nil"/>
                    <w:tr2bl w:val="nil"/>
                  </w:tcBorders>
                  <w:vAlign w:val="center"/>
                </w:tcPr>
                <w:p w14:paraId="57DE83C4">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0.0019 </w:t>
                  </w:r>
                </w:p>
              </w:tc>
              <w:tc>
                <w:tcPr>
                  <w:tcW w:w="702" w:type="dxa"/>
                  <w:tcBorders>
                    <w:tl2br w:val="nil"/>
                    <w:tr2bl w:val="nil"/>
                  </w:tcBorders>
                  <w:vAlign w:val="center"/>
                </w:tcPr>
                <w:p w14:paraId="51467C3F">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0.0041 </w:t>
                  </w:r>
                </w:p>
              </w:tc>
              <w:tc>
                <w:tcPr>
                  <w:tcW w:w="422" w:type="pct"/>
                  <w:vMerge w:val="continue"/>
                  <w:tcBorders>
                    <w:tl2br w:val="nil"/>
                    <w:tr2bl w:val="nil"/>
                  </w:tcBorders>
                  <w:vAlign w:val="center"/>
                </w:tcPr>
                <w:p w14:paraId="0B97F5AE">
                  <w:pPr>
                    <w:pStyle w:val="331"/>
                    <w:rPr>
                      <w:rFonts w:hint="eastAsia" w:ascii="Times New Roman" w:hAnsi="Times New Roman" w:eastAsia="宋体" w:cs="Times New Roman"/>
                      <w:color w:val="000000" w:themeColor="text1"/>
                      <w:highlight w:val="none"/>
                      <w14:textFill>
                        <w14:solidFill>
                          <w14:schemeClr w14:val="tx1"/>
                        </w14:solidFill>
                      </w14:textFill>
                    </w:rPr>
                  </w:pPr>
                </w:p>
              </w:tc>
            </w:tr>
            <w:tr w14:paraId="4407B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restart"/>
                  <w:tcBorders>
                    <w:tl2br w:val="nil"/>
                    <w:tr2bl w:val="nil"/>
                  </w:tcBorders>
                  <w:vAlign w:val="center"/>
                </w:tcPr>
                <w:p w14:paraId="652C23FF">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无组织</w:t>
                  </w:r>
                </w:p>
              </w:tc>
              <w:tc>
                <w:tcPr>
                  <w:tcW w:w="598" w:type="pct"/>
                  <w:tcBorders>
                    <w:tl2br w:val="nil"/>
                    <w:tr2bl w:val="nil"/>
                  </w:tcBorders>
                  <w:vAlign w:val="center"/>
                </w:tcPr>
                <w:p w14:paraId="4E593EC4">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78" w:type="dxa"/>
                  <w:tcBorders>
                    <w:tl2br w:val="nil"/>
                    <w:tr2bl w:val="nil"/>
                  </w:tcBorders>
                  <w:vAlign w:val="center"/>
                </w:tcPr>
                <w:p w14:paraId="499A1FB8">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699" w:type="dxa"/>
                  <w:tcBorders>
                    <w:tl2br w:val="nil"/>
                    <w:tr2bl w:val="nil"/>
                  </w:tcBorders>
                  <w:vAlign w:val="center"/>
                </w:tcPr>
                <w:p w14:paraId="4FD65616">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0.0056 </w:t>
                  </w:r>
                </w:p>
              </w:tc>
              <w:tc>
                <w:tcPr>
                  <w:tcW w:w="704" w:type="dxa"/>
                  <w:tcBorders>
                    <w:tl2br w:val="nil"/>
                    <w:tr2bl w:val="nil"/>
                  </w:tcBorders>
                  <w:vAlign w:val="center"/>
                </w:tcPr>
                <w:p w14:paraId="7348CCC0">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0.0116 </w:t>
                  </w:r>
                </w:p>
              </w:tc>
              <w:tc>
                <w:tcPr>
                  <w:tcW w:w="805" w:type="pct"/>
                  <w:vMerge w:val="restart"/>
                  <w:tcBorders>
                    <w:tl2br w:val="nil"/>
                    <w:tr2bl w:val="nil"/>
                  </w:tcBorders>
                  <w:vAlign w:val="center"/>
                </w:tcPr>
                <w:p w14:paraId="20B54C77">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车间密闭降低无组织排放</w:t>
                  </w:r>
                </w:p>
              </w:tc>
              <w:tc>
                <w:tcPr>
                  <w:tcW w:w="323" w:type="pct"/>
                  <w:vMerge w:val="restart"/>
                  <w:tcBorders>
                    <w:tl2br w:val="nil"/>
                    <w:tr2bl w:val="nil"/>
                  </w:tcBorders>
                  <w:vAlign w:val="center"/>
                </w:tcPr>
                <w:p w14:paraId="0A819233">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0%</w:t>
                  </w:r>
                </w:p>
              </w:tc>
              <w:tc>
                <w:tcPr>
                  <w:tcW w:w="837" w:type="dxa"/>
                  <w:tcBorders>
                    <w:tl2br w:val="nil"/>
                    <w:tr2bl w:val="nil"/>
                  </w:tcBorders>
                  <w:vAlign w:val="center"/>
                </w:tcPr>
                <w:p w14:paraId="095B2C2E">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804" w:type="dxa"/>
                  <w:tcBorders>
                    <w:tl2br w:val="nil"/>
                    <w:tr2bl w:val="nil"/>
                  </w:tcBorders>
                  <w:vAlign w:val="center"/>
                </w:tcPr>
                <w:p w14:paraId="06E520F7">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0.0056 </w:t>
                  </w:r>
                </w:p>
              </w:tc>
              <w:tc>
                <w:tcPr>
                  <w:tcW w:w="702" w:type="dxa"/>
                  <w:tcBorders>
                    <w:tl2br w:val="nil"/>
                    <w:tr2bl w:val="nil"/>
                  </w:tcBorders>
                  <w:vAlign w:val="center"/>
                </w:tcPr>
                <w:p w14:paraId="40550EA3">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0.0116 </w:t>
                  </w:r>
                </w:p>
              </w:tc>
              <w:tc>
                <w:tcPr>
                  <w:tcW w:w="422" w:type="pct"/>
                  <w:vMerge w:val="restart"/>
                  <w:tcBorders>
                    <w:tl2br w:val="nil"/>
                    <w:tr2bl w:val="nil"/>
                  </w:tcBorders>
                  <w:vAlign w:val="center"/>
                </w:tcPr>
                <w:p w14:paraId="02EF05B6">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r>
            <w:tr w14:paraId="0762A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continue"/>
                  <w:tcBorders>
                    <w:tl2br w:val="nil"/>
                    <w:tr2bl w:val="nil"/>
                  </w:tcBorders>
                  <w:vAlign w:val="center"/>
                </w:tcPr>
                <w:p w14:paraId="44E3683D">
                  <w:pPr>
                    <w:pStyle w:val="331"/>
                    <w:rPr>
                      <w:color w:val="000000" w:themeColor="text1"/>
                      <w:highlight w:val="none"/>
                      <w14:textFill>
                        <w14:solidFill>
                          <w14:schemeClr w14:val="tx1"/>
                        </w14:solidFill>
                      </w14:textFill>
                    </w:rPr>
                  </w:pPr>
                </w:p>
              </w:tc>
              <w:tc>
                <w:tcPr>
                  <w:tcW w:w="598" w:type="pct"/>
                  <w:tcBorders>
                    <w:tl2br w:val="nil"/>
                    <w:tr2bl w:val="nil"/>
                  </w:tcBorders>
                  <w:vAlign w:val="center"/>
                </w:tcPr>
                <w:p w14:paraId="7E859E66">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NMHC</w:t>
                  </w:r>
                </w:p>
              </w:tc>
              <w:tc>
                <w:tcPr>
                  <w:tcW w:w="778" w:type="dxa"/>
                  <w:tcBorders>
                    <w:tl2br w:val="nil"/>
                    <w:tr2bl w:val="nil"/>
                  </w:tcBorders>
                  <w:vAlign w:val="center"/>
                </w:tcPr>
                <w:p w14:paraId="6CCBBBFD">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699" w:type="dxa"/>
                  <w:tcBorders>
                    <w:tl2br w:val="nil"/>
                    <w:tr2bl w:val="nil"/>
                  </w:tcBorders>
                  <w:vAlign w:val="center"/>
                </w:tcPr>
                <w:p w14:paraId="5C3EC070">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0.0067 </w:t>
                  </w:r>
                </w:p>
              </w:tc>
              <w:tc>
                <w:tcPr>
                  <w:tcW w:w="704" w:type="dxa"/>
                  <w:tcBorders>
                    <w:tl2br w:val="nil"/>
                    <w:tr2bl w:val="nil"/>
                  </w:tcBorders>
                  <w:vAlign w:val="center"/>
                </w:tcPr>
                <w:p w14:paraId="7AE7CD4B">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0.0139 </w:t>
                  </w:r>
                </w:p>
              </w:tc>
              <w:tc>
                <w:tcPr>
                  <w:tcW w:w="805" w:type="pct"/>
                  <w:vMerge w:val="continue"/>
                  <w:tcBorders>
                    <w:tl2br w:val="nil"/>
                    <w:tr2bl w:val="nil"/>
                  </w:tcBorders>
                  <w:vAlign w:val="center"/>
                </w:tcPr>
                <w:p w14:paraId="450989AA">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323" w:type="pct"/>
                  <w:vMerge w:val="continue"/>
                  <w:tcBorders>
                    <w:tl2br w:val="nil"/>
                    <w:tr2bl w:val="nil"/>
                  </w:tcBorders>
                  <w:vAlign w:val="center"/>
                </w:tcPr>
                <w:p w14:paraId="2A94F384">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837" w:type="dxa"/>
                  <w:tcBorders>
                    <w:tl2br w:val="nil"/>
                    <w:tr2bl w:val="nil"/>
                  </w:tcBorders>
                  <w:vAlign w:val="center"/>
                </w:tcPr>
                <w:p w14:paraId="42CDD9D1">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804" w:type="dxa"/>
                  <w:tcBorders>
                    <w:tl2br w:val="nil"/>
                    <w:tr2bl w:val="nil"/>
                  </w:tcBorders>
                  <w:vAlign w:val="center"/>
                </w:tcPr>
                <w:p w14:paraId="22C89F9E">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0.0067 </w:t>
                  </w:r>
                </w:p>
              </w:tc>
              <w:tc>
                <w:tcPr>
                  <w:tcW w:w="702" w:type="dxa"/>
                  <w:tcBorders>
                    <w:tl2br w:val="nil"/>
                    <w:tr2bl w:val="nil"/>
                  </w:tcBorders>
                  <w:vAlign w:val="center"/>
                </w:tcPr>
                <w:p w14:paraId="6807CAFC">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0.0139 </w:t>
                  </w:r>
                </w:p>
              </w:tc>
              <w:tc>
                <w:tcPr>
                  <w:tcW w:w="422" w:type="pct"/>
                  <w:vMerge w:val="continue"/>
                  <w:tcBorders>
                    <w:tl2br w:val="nil"/>
                    <w:tr2bl w:val="nil"/>
                  </w:tcBorders>
                  <w:vAlign w:val="center"/>
                </w:tcPr>
                <w:p w14:paraId="2CFCF502">
                  <w:pPr>
                    <w:pStyle w:val="331"/>
                    <w:rPr>
                      <w:color w:val="000000" w:themeColor="text1"/>
                      <w:highlight w:val="none"/>
                      <w14:textFill>
                        <w14:solidFill>
                          <w14:schemeClr w14:val="tx1"/>
                        </w14:solidFill>
                      </w14:textFill>
                    </w:rPr>
                  </w:pPr>
                </w:p>
              </w:tc>
            </w:tr>
            <w:tr w14:paraId="4063E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continue"/>
                  <w:tcBorders>
                    <w:tl2br w:val="nil"/>
                    <w:tr2bl w:val="nil"/>
                  </w:tcBorders>
                  <w:vAlign w:val="center"/>
                </w:tcPr>
                <w:p w14:paraId="6D65EA12">
                  <w:pPr>
                    <w:pStyle w:val="331"/>
                    <w:rPr>
                      <w:color w:val="000000" w:themeColor="text1"/>
                      <w:highlight w:val="none"/>
                      <w14:textFill>
                        <w14:solidFill>
                          <w14:schemeClr w14:val="tx1"/>
                        </w14:solidFill>
                      </w14:textFill>
                    </w:rPr>
                  </w:pPr>
                </w:p>
              </w:tc>
              <w:tc>
                <w:tcPr>
                  <w:tcW w:w="598" w:type="pct"/>
                  <w:tcBorders>
                    <w:tl2br w:val="nil"/>
                    <w:tr2bl w:val="nil"/>
                  </w:tcBorders>
                  <w:vAlign w:val="center"/>
                </w:tcPr>
                <w:p w14:paraId="4145DACF">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二甲苯</w:t>
                  </w:r>
                </w:p>
              </w:tc>
              <w:tc>
                <w:tcPr>
                  <w:tcW w:w="778" w:type="dxa"/>
                  <w:tcBorders>
                    <w:tl2br w:val="nil"/>
                    <w:tr2bl w:val="nil"/>
                  </w:tcBorders>
                  <w:vAlign w:val="center"/>
                </w:tcPr>
                <w:p w14:paraId="5021EE96">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699" w:type="dxa"/>
                  <w:tcBorders>
                    <w:tl2br w:val="nil"/>
                    <w:tr2bl w:val="nil"/>
                  </w:tcBorders>
                  <w:vAlign w:val="center"/>
                </w:tcPr>
                <w:p w14:paraId="6628612E">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0.0011 </w:t>
                  </w:r>
                </w:p>
              </w:tc>
              <w:tc>
                <w:tcPr>
                  <w:tcW w:w="704" w:type="dxa"/>
                  <w:tcBorders>
                    <w:tl2br w:val="nil"/>
                    <w:tr2bl w:val="nil"/>
                  </w:tcBorders>
                  <w:vAlign w:val="center"/>
                </w:tcPr>
                <w:p w14:paraId="4308F816">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0.0023 </w:t>
                  </w:r>
                </w:p>
              </w:tc>
              <w:tc>
                <w:tcPr>
                  <w:tcW w:w="805" w:type="pct"/>
                  <w:vMerge w:val="continue"/>
                  <w:tcBorders>
                    <w:tl2br w:val="nil"/>
                    <w:tr2bl w:val="nil"/>
                  </w:tcBorders>
                  <w:vAlign w:val="center"/>
                </w:tcPr>
                <w:p w14:paraId="4BEFE314">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323" w:type="pct"/>
                  <w:vMerge w:val="continue"/>
                  <w:tcBorders>
                    <w:tl2br w:val="nil"/>
                    <w:tr2bl w:val="nil"/>
                  </w:tcBorders>
                  <w:vAlign w:val="center"/>
                </w:tcPr>
                <w:p w14:paraId="3DDCF6BC">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837" w:type="dxa"/>
                  <w:tcBorders>
                    <w:tl2br w:val="nil"/>
                    <w:tr2bl w:val="nil"/>
                  </w:tcBorders>
                  <w:vAlign w:val="center"/>
                </w:tcPr>
                <w:p w14:paraId="0DCB5596">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804" w:type="dxa"/>
                  <w:tcBorders>
                    <w:tl2br w:val="nil"/>
                    <w:tr2bl w:val="nil"/>
                  </w:tcBorders>
                  <w:vAlign w:val="center"/>
                </w:tcPr>
                <w:p w14:paraId="5D69D416">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0.0011 </w:t>
                  </w:r>
                </w:p>
              </w:tc>
              <w:tc>
                <w:tcPr>
                  <w:tcW w:w="702" w:type="dxa"/>
                  <w:tcBorders>
                    <w:tl2br w:val="nil"/>
                    <w:tr2bl w:val="nil"/>
                  </w:tcBorders>
                  <w:vAlign w:val="center"/>
                </w:tcPr>
                <w:p w14:paraId="7E185AA2">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0.0023 </w:t>
                  </w:r>
                </w:p>
              </w:tc>
              <w:tc>
                <w:tcPr>
                  <w:tcW w:w="422" w:type="pct"/>
                  <w:vMerge w:val="continue"/>
                  <w:tcBorders>
                    <w:tl2br w:val="nil"/>
                    <w:tr2bl w:val="nil"/>
                  </w:tcBorders>
                  <w:vAlign w:val="center"/>
                </w:tcPr>
                <w:p w14:paraId="60162535">
                  <w:pPr>
                    <w:pStyle w:val="331"/>
                    <w:rPr>
                      <w:color w:val="000000" w:themeColor="text1"/>
                      <w:highlight w:val="none"/>
                      <w14:textFill>
                        <w14:solidFill>
                          <w14:schemeClr w14:val="tx1"/>
                        </w14:solidFill>
                      </w14:textFill>
                    </w:rPr>
                  </w:pPr>
                </w:p>
              </w:tc>
            </w:tr>
          </w:tbl>
          <w:p w14:paraId="6238AB4A">
            <w:pPr>
              <w:rPr>
                <w:color w:val="000000" w:themeColor="text1"/>
                <w:highlight w:val="none"/>
                <w14:textFill>
                  <w14:solidFill>
                    <w14:schemeClr w14:val="tx1"/>
                  </w14:solidFill>
                </w14:textFill>
              </w:rPr>
            </w:pPr>
          </w:p>
          <w:p w14:paraId="00BA5945">
            <w:pPr>
              <w:pStyle w:val="86"/>
              <w:numPr>
                <w:ilvl w:val="0"/>
                <w:numId w:val="5"/>
              </w:numPr>
              <w:ind w:firstLine="4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废气收集处理及排放情况</w:t>
            </w:r>
          </w:p>
          <w:p w14:paraId="182DB065">
            <w:pPr>
              <w:pStyle w:val="86"/>
              <w:ind w:firstLine="480"/>
              <w:rPr>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t>①木工区废气：</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项目拟在1F精锯、砂光等产生粉尘颗粒物的设备上方及3F砂光设备上方设置集气罩（本评价收集效率按85%计），集中收集的木工</w:t>
            </w:r>
            <w:r>
              <w:rPr>
                <w:rFonts w:hint="eastAsia"/>
                <w:color w:val="000000" w:themeColor="text1"/>
                <w:highlight w:val="none"/>
                <w:lang w:eastAsia="zh-CN"/>
                <w14:textFill>
                  <w14:solidFill>
                    <w14:schemeClr w14:val="tx1"/>
                  </w14:solidFill>
                </w14:textFill>
              </w:rPr>
              <w:t>区</w:t>
            </w:r>
            <w:r>
              <w:rPr>
                <w:color w:val="000000" w:themeColor="text1"/>
                <w:highlight w:val="none"/>
                <w14:textFill>
                  <w14:solidFill>
                    <w14:schemeClr w14:val="tx1"/>
                  </w14:solidFill>
                </w14:textFill>
              </w:rPr>
              <w:t>废气通过1套中央除尘器（布袋除尘设施）处理后有组织排放，通过1根15m高排气筒（DA001）排放。拟配套风机风量20000m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lang w:val="en-GB"/>
                <w14:textFill>
                  <w14:solidFill>
                    <w14:schemeClr w14:val="tx1"/>
                  </w14:solidFill>
                </w14:textFill>
              </w:rPr>
              <w:t>。</w:t>
            </w:r>
          </w:p>
          <w:p w14:paraId="447901EF">
            <w:pPr>
              <w:pStyle w:val="86"/>
              <w:ind w:firstLine="480"/>
              <w:rPr>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t>②调漆喷漆及烘干工序有机废气：</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项目拟设置相对独立的调漆喷漆及烘干区域（本评价收集效率按90%计），调漆喷漆废气经水帘柜除漆雾后，同烘干工序有机废气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color w:val="000000" w:themeColor="text1"/>
                <w:highlight w:val="none"/>
                <w14:textFill>
                  <w14:solidFill>
                    <w14:schemeClr w14:val="tx1"/>
                  </w14:solidFill>
                </w14:textFill>
              </w:rPr>
              <w:t>一同经1套“水喷淋+二级活性炭吸附”设备处理后有组织排放，通过1根15m高排气筒（DA002）排放。拟配套风机风量15000m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lang w:val="en-GB"/>
                <w14:textFill>
                  <w14:solidFill>
                    <w14:schemeClr w14:val="tx1"/>
                  </w14:solidFill>
                </w14:textFill>
              </w:rPr>
              <w:t>。</w:t>
            </w:r>
          </w:p>
          <w:p w14:paraId="3D8A8578">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③打磨区废气：</w:t>
            </w:r>
            <w:r>
              <w:rPr>
                <w:rFonts w:hint="eastAsia"/>
                <w:color w:val="000000" w:themeColor="text1"/>
                <w:highlight w:val="none"/>
                <w:lang w:eastAsia="zh-CN"/>
                <w14:textFill>
                  <w14:solidFill>
                    <w14:schemeClr w14:val="tx1"/>
                  </w14:solidFill>
                </w14:textFill>
              </w:rPr>
              <w:t>扩建项目</w:t>
            </w:r>
            <w:r>
              <w:rPr>
                <w:color w:val="000000" w:themeColor="text1"/>
                <w:highlight w:val="none"/>
                <w14:textFill>
                  <w14:solidFill>
                    <w14:schemeClr w14:val="tx1"/>
                  </w14:solidFill>
                </w14:textFill>
              </w:rPr>
              <w:t>设置环保喷淋打磨房，打磨粉尘经密闭打磨房内水除尘系统除尘后，少量颗粒物在车间内无组织排放。</w:t>
            </w:r>
          </w:p>
          <w:p w14:paraId="527C8477">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（3）废气污染物汇总</w:t>
            </w:r>
          </w:p>
          <w:p w14:paraId="62DC3245">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项目运营期废气产生及排放情况详见表</w:t>
            </w:r>
            <w:r>
              <w:rPr>
                <w:rFonts w:hint="eastAsia"/>
                <w:color w:val="000000" w:themeColor="text1"/>
                <w:highlight w:val="none"/>
                <w14:textFill>
                  <w14:solidFill>
                    <w14:schemeClr w14:val="tx1"/>
                  </w14:solidFill>
                </w14:textFill>
              </w:rPr>
              <w:t>4.2-8，废气</w:t>
            </w:r>
            <w:r>
              <w:rPr>
                <w:color w:val="000000" w:themeColor="text1"/>
                <w:highlight w:val="none"/>
                <w:lang w:val="en-GB"/>
                <w14:textFill>
                  <w14:solidFill>
                    <w14:schemeClr w14:val="tx1"/>
                  </w14:solidFill>
                </w14:textFill>
              </w:rPr>
              <w:t>排放口基本情况见表4.2-</w:t>
            </w:r>
            <w:r>
              <w:rPr>
                <w:rFonts w:hint="eastAsia"/>
                <w:color w:val="000000" w:themeColor="text1"/>
                <w:highlight w:val="none"/>
                <w14:textFill>
                  <w14:solidFill>
                    <w14:schemeClr w14:val="tx1"/>
                  </w14:solidFill>
                </w14:textFill>
              </w:rPr>
              <w:t>9</w:t>
            </w:r>
            <w:r>
              <w:rPr>
                <w:color w:val="000000" w:themeColor="text1"/>
                <w:highlight w:val="none"/>
                <w:lang w:val="en-GB"/>
                <w14:textFill>
                  <w14:solidFill>
                    <w14:schemeClr w14:val="tx1"/>
                  </w14:solidFill>
                </w14:textFill>
              </w:rPr>
              <w:t>。</w:t>
            </w:r>
          </w:p>
        </w:tc>
      </w:tr>
    </w:tbl>
    <w:p w14:paraId="3DEFAE3C">
      <w:pPr>
        <w:adjustRightInd w:val="0"/>
        <w:snapToGrid w:val="0"/>
        <w:spacing w:line="360" w:lineRule="auto"/>
        <w:ind w:firstLine="562"/>
        <w:rPr>
          <w:b/>
          <w:color w:val="000000" w:themeColor="text1"/>
          <w:kern w:val="0"/>
          <w:sz w:val="28"/>
          <w:szCs w:val="28"/>
          <w:highlight w:val="none"/>
          <w14:textFill>
            <w14:solidFill>
              <w14:schemeClr w14:val="tx1"/>
            </w14:solidFill>
          </w14:textFill>
        </w:rPr>
        <w:sectPr>
          <w:pgSz w:w="11907" w:h="16840"/>
          <w:pgMar w:top="1134"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136F0BD2">
      <w:pPr>
        <w:spacing w:line="360" w:lineRule="auto"/>
        <w:jc w:val="center"/>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w:t>
      </w:r>
      <w:r>
        <w:rPr>
          <w:b/>
          <w:color w:val="000000" w:themeColor="text1"/>
          <w:sz w:val="24"/>
          <w:highlight w:val="none"/>
          <w14:textFill>
            <w14:solidFill>
              <w14:schemeClr w14:val="tx1"/>
            </w14:solidFill>
          </w14:textFill>
        </w:rPr>
        <w:t>4.</w:t>
      </w:r>
      <w:r>
        <w:rPr>
          <w:rFonts w:hint="eastAsia"/>
          <w:b/>
          <w:color w:val="000000" w:themeColor="text1"/>
          <w:sz w:val="24"/>
          <w:highlight w:val="none"/>
          <w14:textFill>
            <w14:solidFill>
              <w14:schemeClr w14:val="tx1"/>
            </w14:solidFill>
          </w14:textFill>
        </w:rPr>
        <w:t>2</w:t>
      </w:r>
      <w:r>
        <w:rPr>
          <w:b/>
          <w:color w:val="000000" w:themeColor="text1"/>
          <w:sz w:val="24"/>
          <w:highlight w:val="none"/>
          <w14:textFill>
            <w14:solidFill>
              <w14:schemeClr w14:val="tx1"/>
            </w14:solidFill>
          </w14:textFill>
        </w:rPr>
        <w:t>-</w:t>
      </w:r>
      <w:r>
        <w:rPr>
          <w:rFonts w:hint="eastAsia"/>
          <w:b/>
          <w:color w:val="000000" w:themeColor="text1"/>
          <w:sz w:val="24"/>
          <w:highlight w:val="none"/>
          <w14:textFill>
            <w14:solidFill>
              <w14:schemeClr w14:val="tx1"/>
            </w14:solidFill>
          </w14:textFill>
        </w:rPr>
        <w:t>8  废气污染源源强核算结果及相关参数一览表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64"/>
        <w:gridCol w:w="880"/>
        <w:gridCol w:w="928"/>
        <w:gridCol w:w="1055"/>
        <w:gridCol w:w="1077"/>
        <w:gridCol w:w="880"/>
        <w:gridCol w:w="2115"/>
        <w:gridCol w:w="734"/>
        <w:gridCol w:w="945"/>
        <w:gridCol w:w="1105"/>
        <w:gridCol w:w="1204"/>
        <w:gridCol w:w="1260"/>
        <w:gridCol w:w="905"/>
      </w:tblGrid>
      <w:tr w14:paraId="7AC18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343" w:type="pct"/>
            <w:vMerge w:val="restart"/>
            <w:vAlign w:val="center"/>
          </w:tcPr>
          <w:p w14:paraId="388968ED">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产污环节</w:t>
            </w:r>
          </w:p>
        </w:tc>
        <w:tc>
          <w:tcPr>
            <w:tcW w:w="313" w:type="pct"/>
            <w:vMerge w:val="restart"/>
            <w:vAlign w:val="center"/>
          </w:tcPr>
          <w:p w14:paraId="61C13442">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污染物种类</w:t>
            </w:r>
          </w:p>
        </w:tc>
        <w:tc>
          <w:tcPr>
            <w:tcW w:w="1088" w:type="pct"/>
            <w:gridSpan w:val="3"/>
            <w:vAlign w:val="center"/>
          </w:tcPr>
          <w:p w14:paraId="6737FE8F">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产生情况</w:t>
            </w:r>
          </w:p>
        </w:tc>
        <w:tc>
          <w:tcPr>
            <w:tcW w:w="313" w:type="pct"/>
            <w:vMerge w:val="restart"/>
            <w:vAlign w:val="center"/>
          </w:tcPr>
          <w:p w14:paraId="7B3271B0">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排放形式</w:t>
            </w:r>
          </w:p>
        </w:tc>
        <w:tc>
          <w:tcPr>
            <w:tcW w:w="752" w:type="pct"/>
            <w:vMerge w:val="restart"/>
            <w:vAlign w:val="center"/>
          </w:tcPr>
          <w:p w14:paraId="145C5B50">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治理措施</w:t>
            </w:r>
          </w:p>
        </w:tc>
        <w:tc>
          <w:tcPr>
            <w:tcW w:w="261" w:type="pct"/>
            <w:vMerge w:val="restart"/>
            <w:vAlign w:val="center"/>
          </w:tcPr>
          <w:p w14:paraId="7F13C861">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处理</w:t>
            </w:r>
          </w:p>
          <w:p w14:paraId="7EFE986E">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效率</w:t>
            </w:r>
          </w:p>
        </w:tc>
        <w:tc>
          <w:tcPr>
            <w:tcW w:w="336" w:type="pct"/>
            <w:vMerge w:val="restart"/>
            <w:vAlign w:val="center"/>
          </w:tcPr>
          <w:p w14:paraId="0A603B05">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是否为可行性技术</w:t>
            </w:r>
          </w:p>
        </w:tc>
        <w:tc>
          <w:tcPr>
            <w:tcW w:w="1269" w:type="pct"/>
            <w:gridSpan w:val="3"/>
            <w:vAlign w:val="center"/>
          </w:tcPr>
          <w:p w14:paraId="09C1D3B2">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排放情况</w:t>
            </w:r>
          </w:p>
        </w:tc>
        <w:tc>
          <w:tcPr>
            <w:tcW w:w="322" w:type="pct"/>
            <w:vMerge w:val="restart"/>
            <w:vAlign w:val="center"/>
          </w:tcPr>
          <w:p w14:paraId="0CC3B271">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w:t>
            </w:r>
          </w:p>
        </w:tc>
      </w:tr>
      <w:tr w14:paraId="2F145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343" w:type="pct"/>
            <w:vMerge w:val="continue"/>
            <w:vAlign w:val="center"/>
          </w:tcPr>
          <w:p w14:paraId="54947671">
            <w:pPr>
              <w:pStyle w:val="67"/>
              <w:rPr>
                <w:color w:val="000000" w:themeColor="text1"/>
                <w:szCs w:val="21"/>
                <w:highlight w:val="none"/>
                <w14:textFill>
                  <w14:solidFill>
                    <w14:schemeClr w14:val="tx1"/>
                  </w14:solidFill>
                </w14:textFill>
              </w:rPr>
            </w:pPr>
          </w:p>
        </w:tc>
        <w:tc>
          <w:tcPr>
            <w:tcW w:w="313" w:type="pct"/>
            <w:vMerge w:val="continue"/>
            <w:vAlign w:val="center"/>
          </w:tcPr>
          <w:p w14:paraId="489BA2E3">
            <w:pPr>
              <w:pStyle w:val="67"/>
              <w:rPr>
                <w:color w:val="000000" w:themeColor="text1"/>
                <w:szCs w:val="21"/>
                <w:highlight w:val="none"/>
                <w14:textFill>
                  <w14:solidFill>
                    <w14:schemeClr w14:val="tx1"/>
                  </w14:solidFill>
                </w14:textFill>
              </w:rPr>
            </w:pPr>
          </w:p>
        </w:tc>
        <w:tc>
          <w:tcPr>
            <w:tcW w:w="330" w:type="pct"/>
            <w:vAlign w:val="center"/>
          </w:tcPr>
          <w:p w14:paraId="39AC2CB6">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产生浓度(mg/m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375" w:type="pct"/>
            <w:vAlign w:val="center"/>
          </w:tcPr>
          <w:p w14:paraId="3F3578CD">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产生速率(kg/h)</w:t>
            </w:r>
          </w:p>
        </w:tc>
        <w:tc>
          <w:tcPr>
            <w:tcW w:w="383" w:type="pct"/>
            <w:vAlign w:val="center"/>
          </w:tcPr>
          <w:p w14:paraId="21DC4390">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产生量</w:t>
            </w:r>
          </w:p>
          <w:p w14:paraId="1424F502">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(t/a)</w:t>
            </w:r>
          </w:p>
        </w:tc>
        <w:tc>
          <w:tcPr>
            <w:tcW w:w="313" w:type="pct"/>
            <w:vMerge w:val="continue"/>
            <w:vAlign w:val="center"/>
          </w:tcPr>
          <w:p w14:paraId="6229D386">
            <w:pPr>
              <w:pStyle w:val="67"/>
              <w:rPr>
                <w:color w:val="000000" w:themeColor="text1"/>
                <w:szCs w:val="21"/>
                <w:highlight w:val="none"/>
                <w14:textFill>
                  <w14:solidFill>
                    <w14:schemeClr w14:val="tx1"/>
                  </w14:solidFill>
                </w14:textFill>
              </w:rPr>
            </w:pPr>
          </w:p>
        </w:tc>
        <w:tc>
          <w:tcPr>
            <w:tcW w:w="752" w:type="pct"/>
            <w:vMerge w:val="continue"/>
            <w:vAlign w:val="center"/>
          </w:tcPr>
          <w:p w14:paraId="3CDC9058">
            <w:pPr>
              <w:pStyle w:val="67"/>
              <w:rPr>
                <w:color w:val="000000" w:themeColor="text1"/>
                <w:szCs w:val="21"/>
                <w:highlight w:val="none"/>
                <w14:textFill>
                  <w14:solidFill>
                    <w14:schemeClr w14:val="tx1"/>
                  </w14:solidFill>
                </w14:textFill>
              </w:rPr>
            </w:pPr>
          </w:p>
        </w:tc>
        <w:tc>
          <w:tcPr>
            <w:tcW w:w="261" w:type="pct"/>
            <w:vMerge w:val="continue"/>
            <w:vAlign w:val="center"/>
          </w:tcPr>
          <w:p w14:paraId="5D347594">
            <w:pPr>
              <w:pStyle w:val="67"/>
              <w:rPr>
                <w:color w:val="000000" w:themeColor="text1"/>
                <w:szCs w:val="21"/>
                <w:highlight w:val="none"/>
                <w14:textFill>
                  <w14:solidFill>
                    <w14:schemeClr w14:val="tx1"/>
                  </w14:solidFill>
                </w14:textFill>
              </w:rPr>
            </w:pPr>
          </w:p>
        </w:tc>
        <w:tc>
          <w:tcPr>
            <w:tcW w:w="336" w:type="pct"/>
            <w:vMerge w:val="continue"/>
            <w:vAlign w:val="center"/>
          </w:tcPr>
          <w:p w14:paraId="356E33A1">
            <w:pPr>
              <w:pStyle w:val="67"/>
              <w:rPr>
                <w:color w:val="000000" w:themeColor="text1"/>
                <w:szCs w:val="21"/>
                <w:highlight w:val="none"/>
                <w14:textFill>
                  <w14:solidFill>
                    <w14:schemeClr w14:val="tx1"/>
                  </w14:solidFill>
                </w14:textFill>
              </w:rPr>
            </w:pPr>
          </w:p>
        </w:tc>
        <w:tc>
          <w:tcPr>
            <w:tcW w:w="393" w:type="pct"/>
            <w:vAlign w:val="center"/>
          </w:tcPr>
          <w:p w14:paraId="7B3D35B9">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排放浓度(mg/m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428" w:type="pct"/>
            <w:vAlign w:val="center"/>
          </w:tcPr>
          <w:p w14:paraId="086A80B4">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排放速率(kg/h)</w:t>
            </w:r>
          </w:p>
        </w:tc>
        <w:tc>
          <w:tcPr>
            <w:tcW w:w="448" w:type="pct"/>
            <w:vAlign w:val="center"/>
          </w:tcPr>
          <w:p w14:paraId="78AF08C8">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排放量</w:t>
            </w:r>
          </w:p>
          <w:p w14:paraId="746CFE0F">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(t/a)</w:t>
            </w:r>
          </w:p>
        </w:tc>
        <w:tc>
          <w:tcPr>
            <w:tcW w:w="322" w:type="pct"/>
            <w:vMerge w:val="continue"/>
            <w:vAlign w:val="center"/>
          </w:tcPr>
          <w:p w14:paraId="75C726A1">
            <w:pPr>
              <w:pStyle w:val="67"/>
              <w:rPr>
                <w:color w:val="000000" w:themeColor="text1"/>
                <w:szCs w:val="21"/>
                <w:highlight w:val="none"/>
                <w14:textFill>
                  <w14:solidFill>
                    <w14:schemeClr w14:val="tx1"/>
                  </w14:solidFill>
                </w14:textFill>
              </w:rPr>
            </w:pPr>
          </w:p>
        </w:tc>
      </w:tr>
      <w:tr w14:paraId="0B7B0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343" w:type="pct"/>
            <w:vMerge w:val="restart"/>
            <w:vAlign w:val="center"/>
          </w:tcPr>
          <w:p w14:paraId="68A675B0">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木工加工工序</w:t>
            </w:r>
          </w:p>
        </w:tc>
        <w:tc>
          <w:tcPr>
            <w:tcW w:w="313" w:type="pct"/>
            <w:vMerge w:val="restart"/>
            <w:vAlign w:val="center"/>
          </w:tcPr>
          <w:p w14:paraId="048048A6">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28" w:type="dxa"/>
            <w:vAlign w:val="center"/>
          </w:tcPr>
          <w:p w14:paraId="3F2C60F8">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2.4366 </w:t>
            </w:r>
          </w:p>
        </w:tc>
        <w:tc>
          <w:tcPr>
            <w:tcW w:w="1055" w:type="dxa"/>
            <w:vAlign w:val="center"/>
          </w:tcPr>
          <w:p w14:paraId="30A834E4">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0.0487 </w:t>
            </w:r>
          </w:p>
        </w:tc>
        <w:tc>
          <w:tcPr>
            <w:tcW w:w="1077" w:type="dxa"/>
            <w:vAlign w:val="center"/>
          </w:tcPr>
          <w:p w14:paraId="2F324F03">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0.1014 </w:t>
            </w:r>
          </w:p>
        </w:tc>
        <w:tc>
          <w:tcPr>
            <w:tcW w:w="313" w:type="pct"/>
            <w:vAlign w:val="center"/>
          </w:tcPr>
          <w:p w14:paraId="14A081F6">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tc>
        <w:tc>
          <w:tcPr>
            <w:tcW w:w="752" w:type="pct"/>
            <w:vAlign w:val="center"/>
          </w:tcPr>
          <w:p w14:paraId="126F7E3B">
            <w:pPr>
              <w:pStyle w:val="67"/>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集气设备+布袋除尘设备+15m排气筒</w:t>
            </w:r>
          </w:p>
        </w:tc>
        <w:tc>
          <w:tcPr>
            <w:tcW w:w="261" w:type="pct"/>
            <w:vAlign w:val="center"/>
          </w:tcPr>
          <w:p w14:paraId="48FD3943">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90</w:t>
            </w:r>
            <w:r>
              <w:rPr>
                <w:color w:val="000000" w:themeColor="text1"/>
                <w:szCs w:val="21"/>
                <w:highlight w:val="none"/>
                <w14:textFill>
                  <w14:solidFill>
                    <w14:schemeClr w14:val="tx1"/>
                  </w14:solidFill>
                </w14:textFill>
              </w:rPr>
              <w:t>%</w:t>
            </w:r>
          </w:p>
        </w:tc>
        <w:tc>
          <w:tcPr>
            <w:tcW w:w="336" w:type="pct"/>
            <w:vAlign w:val="center"/>
          </w:tcPr>
          <w:p w14:paraId="35CC1AC9">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14:paraId="52EFD46C">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0.2437 </w:t>
            </w:r>
          </w:p>
        </w:tc>
        <w:tc>
          <w:tcPr>
            <w:tcW w:w="1204" w:type="dxa"/>
            <w:vAlign w:val="center"/>
          </w:tcPr>
          <w:p w14:paraId="03278590">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0.0049 </w:t>
            </w:r>
          </w:p>
        </w:tc>
        <w:tc>
          <w:tcPr>
            <w:tcW w:w="1260" w:type="dxa"/>
            <w:vAlign w:val="center"/>
          </w:tcPr>
          <w:p w14:paraId="5BE102E9">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0.0101 </w:t>
            </w:r>
          </w:p>
        </w:tc>
        <w:tc>
          <w:tcPr>
            <w:tcW w:w="322" w:type="pct"/>
            <w:vAlign w:val="center"/>
          </w:tcPr>
          <w:p w14:paraId="1A72BCBD">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DA001</w:t>
            </w:r>
          </w:p>
        </w:tc>
      </w:tr>
      <w:tr w14:paraId="4F78D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343" w:type="pct"/>
            <w:vMerge w:val="continue"/>
            <w:vAlign w:val="center"/>
          </w:tcPr>
          <w:p w14:paraId="009807A8">
            <w:pPr>
              <w:pStyle w:val="67"/>
              <w:rPr>
                <w:color w:val="000000" w:themeColor="text1"/>
                <w:szCs w:val="21"/>
                <w:highlight w:val="none"/>
                <w14:textFill>
                  <w14:solidFill>
                    <w14:schemeClr w14:val="tx1"/>
                  </w14:solidFill>
                </w14:textFill>
              </w:rPr>
            </w:pPr>
          </w:p>
        </w:tc>
        <w:tc>
          <w:tcPr>
            <w:tcW w:w="313" w:type="pct"/>
            <w:vMerge w:val="continue"/>
            <w:vAlign w:val="center"/>
          </w:tcPr>
          <w:p w14:paraId="0E943123">
            <w:pPr>
              <w:pStyle w:val="67"/>
              <w:rPr>
                <w:color w:val="000000" w:themeColor="text1"/>
                <w:szCs w:val="21"/>
                <w:highlight w:val="none"/>
                <w14:textFill>
                  <w14:solidFill>
                    <w14:schemeClr w14:val="tx1"/>
                  </w14:solidFill>
                </w14:textFill>
              </w:rPr>
            </w:pPr>
          </w:p>
        </w:tc>
        <w:tc>
          <w:tcPr>
            <w:tcW w:w="928" w:type="dxa"/>
            <w:vAlign w:val="center"/>
          </w:tcPr>
          <w:p w14:paraId="5D16F729">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1055" w:type="dxa"/>
            <w:vAlign w:val="center"/>
          </w:tcPr>
          <w:p w14:paraId="745D5095">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0.0086 </w:t>
            </w:r>
          </w:p>
        </w:tc>
        <w:tc>
          <w:tcPr>
            <w:tcW w:w="1077" w:type="dxa"/>
            <w:vAlign w:val="center"/>
          </w:tcPr>
          <w:p w14:paraId="082730F4">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0.0179 </w:t>
            </w:r>
          </w:p>
        </w:tc>
        <w:tc>
          <w:tcPr>
            <w:tcW w:w="313" w:type="pct"/>
            <w:vAlign w:val="center"/>
          </w:tcPr>
          <w:p w14:paraId="7693CBC6">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无组织</w:t>
            </w:r>
          </w:p>
        </w:tc>
        <w:tc>
          <w:tcPr>
            <w:tcW w:w="752" w:type="pct"/>
            <w:vAlign w:val="center"/>
          </w:tcPr>
          <w:p w14:paraId="3196C0D5">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加强车间</w:t>
            </w:r>
            <w:r>
              <w:rPr>
                <w:color w:val="000000" w:themeColor="text1"/>
                <w:szCs w:val="21"/>
                <w:highlight w:val="none"/>
                <w14:textFill>
                  <w14:solidFill>
                    <w14:schemeClr w14:val="tx1"/>
                  </w14:solidFill>
                </w14:textFill>
              </w:rPr>
              <w:t>密闭性</w:t>
            </w:r>
          </w:p>
        </w:tc>
        <w:tc>
          <w:tcPr>
            <w:tcW w:w="261" w:type="pct"/>
            <w:vAlign w:val="center"/>
          </w:tcPr>
          <w:p w14:paraId="3A1C2631">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36" w:type="pct"/>
            <w:vAlign w:val="center"/>
          </w:tcPr>
          <w:p w14:paraId="41E71BB9">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14:paraId="14731C14">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1204" w:type="dxa"/>
            <w:vAlign w:val="center"/>
          </w:tcPr>
          <w:p w14:paraId="290D3592">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0.0086 </w:t>
            </w:r>
          </w:p>
        </w:tc>
        <w:tc>
          <w:tcPr>
            <w:tcW w:w="1260" w:type="dxa"/>
            <w:vAlign w:val="center"/>
          </w:tcPr>
          <w:p w14:paraId="622029F2">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0.0179 </w:t>
            </w:r>
          </w:p>
        </w:tc>
        <w:tc>
          <w:tcPr>
            <w:tcW w:w="322" w:type="pct"/>
            <w:vAlign w:val="center"/>
          </w:tcPr>
          <w:p w14:paraId="456E0358">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14:paraId="2507CB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restart"/>
            <w:vAlign w:val="center"/>
          </w:tcPr>
          <w:p w14:paraId="3E4FA566">
            <w:pPr>
              <w:pStyle w:val="67"/>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调漆喷漆及烘干工序</w:t>
            </w:r>
          </w:p>
        </w:tc>
        <w:tc>
          <w:tcPr>
            <w:tcW w:w="313" w:type="pct"/>
            <w:vAlign w:val="center"/>
          </w:tcPr>
          <w:p w14:paraId="4E930409">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28" w:type="dxa"/>
            <w:vAlign w:val="center"/>
          </w:tcPr>
          <w:p w14:paraId="659200C5">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3.3425 </w:t>
            </w:r>
          </w:p>
        </w:tc>
        <w:tc>
          <w:tcPr>
            <w:tcW w:w="1055" w:type="dxa"/>
            <w:vAlign w:val="center"/>
          </w:tcPr>
          <w:p w14:paraId="07E6E6A7">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0.0501 </w:t>
            </w:r>
          </w:p>
        </w:tc>
        <w:tc>
          <w:tcPr>
            <w:tcW w:w="1077" w:type="dxa"/>
            <w:vAlign w:val="center"/>
          </w:tcPr>
          <w:p w14:paraId="71FE67F2">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0.1043 </w:t>
            </w:r>
          </w:p>
        </w:tc>
        <w:tc>
          <w:tcPr>
            <w:tcW w:w="313" w:type="pct"/>
            <w:vMerge w:val="restart"/>
            <w:vAlign w:val="center"/>
          </w:tcPr>
          <w:p w14:paraId="2DE620C4">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tc>
        <w:tc>
          <w:tcPr>
            <w:tcW w:w="752" w:type="pct"/>
            <w:vAlign w:val="center"/>
          </w:tcPr>
          <w:p w14:paraId="4E9C5C8E">
            <w:pPr>
              <w:pStyle w:val="331"/>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水帘柜+水喷淋+二级活性炭吸附设备+15m排气筒</w:t>
            </w:r>
          </w:p>
        </w:tc>
        <w:tc>
          <w:tcPr>
            <w:tcW w:w="261" w:type="pct"/>
            <w:vAlign w:val="center"/>
          </w:tcPr>
          <w:p w14:paraId="2D081211">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90</w:t>
            </w:r>
            <w:r>
              <w:rPr>
                <w:color w:val="000000" w:themeColor="text1"/>
                <w:szCs w:val="21"/>
                <w:highlight w:val="none"/>
                <w14:textFill>
                  <w14:solidFill>
                    <w14:schemeClr w14:val="tx1"/>
                  </w14:solidFill>
                </w14:textFill>
              </w:rPr>
              <w:t>%</w:t>
            </w:r>
          </w:p>
        </w:tc>
        <w:tc>
          <w:tcPr>
            <w:tcW w:w="336" w:type="pct"/>
            <w:vAlign w:val="center"/>
          </w:tcPr>
          <w:p w14:paraId="46EEC215">
            <w:pPr>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14:paraId="5161F7F7">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0.3343 </w:t>
            </w:r>
          </w:p>
        </w:tc>
        <w:tc>
          <w:tcPr>
            <w:tcW w:w="1204" w:type="dxa"/>
            <w:vAlign w:val="center"/>
          </w:tcPr>
          <w:p w14:paraId="54DB79B3">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0.0050 </w:t>
            </w:r>
          </w:p>
        </w:tc>
        <w:tc>
          <w:tcPr>
            <w:tcW w:w="1260" w:type="dxa"/>
            <w:vAlign w:val="center"/>
          </w:tcPr>
          <w:p w14:paraId="094E88B6">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0.0104 </w:t>
            </w:r>
          </w:p>
        </w:tc>
        <w:tc>
          <w:tcPr>
            <w:tcW w:w="322" w:type="pct"/>
            <w:vMerge w:val="restart"/>
            <w:vAlign w:val="center"/>
          </w:tcPr>
          <w:p w14:paraId="3F868BE3">
            <w:pPr>
              <w:pStyle w:val="67"/>
              <w:adjustRightInd w:val="0"/>
              <w:spacing w:line="320" w:lineRule="exact"/>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w:t>
            </w:r>
            <w:r>
              <w:rPr>
                <w:rFonts w:hint="eastAsia"/>
                <w:color w:val="000000" w:themeColor="text1"/>
                <w:szCs w:val="21"/>
                <w:highlight w:val="none"/>
                <w14:textFill>
                  <w14:solidFill>
                    <w14:schemeClr w14:val="tx1"/>
                  </w14:solidFill>
                </w14:textFill>
              </w:rPr>
              <w:t>2</w:t>
            </w:r>
          </w:p>
        </w:tc>
      </w:tr>
      <w:tr w14:paraId="7F172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14:paraId="742814F5">
            <w:pPr>
              <w:pStyle w:val="67"/>
              <w:rPr>
                <w:color w:val="000000" w:themeColor="text1"/>
                <w:szCs w:val="21"/>
                <w:highlight w:val="none"/>
                <w14:textFill>
                  <w14:solidFill>
                    <w14:schemeClr w14:val="tx1"/>
                  </w14:solidFill>
                </w14:textFill>
              </w:rPr>
            </w:pPr>
          </w:p>
        </w:tc>
        <w:tc>
          <w:tcPr>
            <w:tcW w:w="313" w:type="pct"/>
            <w:vAlign w:val="center"/>
          </w:tcPr>
          <w:p w14:paraId="16ECFE6C">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928" w:type="dxa"/>
            <w:vAlign w:val="center"/>
          </w:tcPr>
          <w:p w14:paraId="7C6110BE">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4.0024 </w:t>
            </w:r>
          </w:p>
        </w:tc>
        <w:tc>
          <w:tcPr>
            <w:tcW w:w="1055" w:type="dxa"/>
            <w:vAlign w:val="center"/>
          </w:tcPr>
          <w:p w14:paraId="3C88C9F6">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0.0600 </w:t>
            </w:r>
          </w:p>
        </w:tc>
        <w:tc>
          <w:tcPr>
            <w:tcW w:w="1077" w:type="dxa"/>
            <w:vAlign w:val="center"/>
          </w:tcPr>
          <w:p w14:paraId="4ECC0170">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0.1249 </w:t>
            </w:r>
          </w:p>
        </w:tc>
        <w:tc>
          <w:tcPr>
            <w:tcW w:w="313" w:type="pct"/>
            <w:vMerge w:val="continue"/>
            <w:vAlign w:val="center"/>
          </w:tcPr>
          <w:p w14:paraId="23906CEE">
            <w:pPr>
              <w:pStyle w:val="67"/>
              <w:rPr>
                <w:color w:val="000000" w:themeColor="text1"/>
                <w:szCs w:val="21"/>
                <w:highlight w:val="none"/>
                <w14:textFill>
                  <w14:solidFill>
                    <w14:schemeClr w14:val="tx1"/>
                  </w14:solidFill>
                </w14:textFill>
              </w:rPr>
            </w:pPr>
          </w:p>
        </w:tc>
        <w:tc>
          <w:tcPr>
            <w:tcW w:w="752" w:type="pct"/>
            <w:vMerge w:val="restart"/>
            <w:vAlign w:val="center"/>
          </w:tcPr>
          <w:p w14:paraId="4EC321B9">
            <w:pPr>
              <w:pStyle w:val="331"/>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集气设备+水喷淋+二级活性炭吸附设备+15m排气筒</w:t>
            </w:r>
          </w:p>
        </w:tc>
        <w:tc>
          <w:tcPr>
            <w:tcW w:w="261" w:type="pct"/>
            <w:vMerge w:val="restart"/>
            <w:vAlign w:val="center"/>
          </w:tcPr>
          <w:p w14:paraId="356AAAF9">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80%</w:t>
            </w:r>
          </w:p>
        </w:tc>
        <w:tc>
          <w:tcPr>
            <w:tcW w:w="336" w:type="pct"/>
            <w:vMerge w:val="restart"/>
            <w:vAlign w:val="center"/>
          </w:tcPr>
          <w:p w14:paraId="4315225D">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14:paraId="5D5E5602">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0.8005 </w:t>
            </w:r>
          </w:p>
        </w:tc>
        <w:tc>
          <w:tcPr>
            <w:tcW w:w="1204" w:type="dxa"/>
            <w:vAlign w:val="center"/>
          </w:tcPr>
          <w:p w14:paraId="72DD6B0B">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0.0120 </w:t>
            </w:r>
          </w:p>
        </w:tc>
        <w:tc>
          <w:tcPr>
            <w:tcW w:w="1260" w:type="dxa"/>
            <w:vAlign w:val="center"/>
          </w:tcPr>
          <w:p w14:paraId="4B643402">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0.0250 </w:t>
            </w:r>
          </w:p>
        </w:tc>
        <w:tc>
          <w:tcPr>
            <w:tcW w:w="322" w:type="pct"/>
            <w:vMerge w:val="continue"/>
            <w:vAlign w:val="center"/>
          </w:tcPr>
          <w:p w14:paraId="7844F47E">
            <w:pPr>
              <w:pStyle w:val="67"/>
              <w:rPr>
                <w:color w:val="000000" w:themeColor="text1"/>
                <w:szCs w:val="21"/>
                <w:highlight w:val="none"/>
                <w14:textFill>
                  <w14:solidFill>
                    <w14:schemeClr w14:val="tx1"/>
                  </w14:solidFill>
                </w14:textFill>
              </w:rPr>
            </w:pPr>
          </w:p>
        </w:tc>
      </w:tr>
      <w:tr w14:paraId="450CD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14:paraId="0F7E47F6">
            <w:pPr>
              <w:pStyle w:val="67"/>
              <w:rPr>
                <w:color w:val="000000" w:themeColor="text1"/>
                <w:szCs w:val="21"/>
                <w:highlight w:val="none"/>
                <w14:textFill>
                  <w14:solidFill>
                    <w14:schemeClr w14:val="tx1"/>
                  </w14:solidFill>
                </w14:textFill>
              </w:rPr>
            </w:pPr>
          </w:p>
        </w:tc>
        <w:tc>
          <w:tcPr>
            <w:tcW w:w="313" w:type="pct"/>
            <w:vAlign w:val="center"/>
          </w:tcPr>
          <w:p w14:paraId="2A295078">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928" w:type="dxa"/>
            <w:vAlign w:val="center"/>
          </w:tcPr>
          <w:p w14:paraId="0297DA07">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0.6490 </w:t>
            </w:r>
          </w:p>
        </w:tc>
        <w:tc>
          <w:tcPr>
            <w:tcW w:w="1055" w:type="dxa"/>
            <w:vAlign w:val="center"/>
          </w:tcPr>
          <w:p w14:paraId="7930F04F">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0.0097 </w:t>
            </w:r>
          </w:p>
        </w:tc>
        <w:tc>
          <w:tcPr>
            <w:tcW w:w="1077" w:type="dxa"/>
            <w:vAlign w:val="center"/>
          </w:tcPr>
          <w:p w14:paraId="4E86B8AC">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0.0203 </w:t>
            </w:r>
          </w:p>
        </w:tc>
        <w:tc>
          <w:tcPr>
            <w:tcW w:w="313" w:type="pct"/>
            <w:vMerge w:val="continue"/>
            <w:vAlign w:val="center"/>
          </w:tcPr>
          <w:p w14:paraId="17C00FB6">
            <w:pPr>
              <w:pStyle w:val="67"/>
              <w:rPr>
                <w:color w:val="000000" w:themeColor="text1"/>
                <w:szCs w:val="21"/>
                <w:highlight w:val="none"/>
                <w14:textFill>
                  <w14:solidFill>
                    <w14:schemeClr w14:val="tx1"/>
                  </w14:solidFill>
                </w14:textFill>
              </w:rPr>
            </w:pPr>
          </w:p>
        </w:tc>
        <w:tc>
          <w:tcPr>
            <w:tcW w:w="752" w:type="pct"/>
            <w:vMerge w:val="continue"/>
            <w:vAlign w:val="center"/>
          </w:tcPr>
          <w:p w14:paraId="6DC64A40">
            <w:pPr>
              <w:pStyle w:val="331"/>
              <w:rPr>
                <w:color w:val="000000" w:themeColor="text1"/>
                <w:szCs w:val="21"/>
                <w:highlight w:val="none"/>
                <w14:textFill>
                  <w14:solidFill>
                    <w14:schemeClr w14:val="tx1"/>
                  </w14:solidFill>
                </w14:textFill>
              </w:rPr>
            </w:pPr>
          </w:p>
        </w:tc>
        <w:tc>
          <w:tcPr>
            <w:tcW w:w="261" w:type="pct"/>
            <w:vMerge w:val="continue"/>
            <w:vAlign w:val="center"/>
          </w:tcPr>
          <w:p w14:paraId="4B42B66F">
            <w:pPr>
              <w:pStyle w:val="67"/>
              <w:rPr>
                <w:color w:val="000000" w:themeColor="text1"/>
                <w:szCs w:val="21"/>
                <w:highlight w:val="none"/>
                <w14:textFill>
                  <w14:solidFill>
                    <w14:schemeClr w14:val="tx1"/>
                  </w14:solidFill>
                </w14:textFill>
              </w:rPr>
            </w:pPr>
          </w:p>
        </w:tc>
        <w:tc>
          <w:tcPr>
            <w:tcW w:w="336" w:type="pct"/>
            <w:vMerge w:val="continue"/>
            <w:vAlign w:val="center"/>
          </w:tcPr>
          <w:p w14:paraId="53A6CC40">
            <w:pPr>
              <w:pStyle w:val="67"/>
              <w:rPr>
                <w:color w:val="000000" w:themeColor="text1"/>
                <w:szCs w:val="21"/>
                <w:highlight w:val="none"/>
                <w14:textFill>
                  <w14:solidFill>
                    <w14:schemeClr w14:val="tx1"/>
                  </w14:solidFill>
                </w14:textFill>
              </w:rPr>
            </w:pPr>
          </w:p>
        </w:tc>
        <w:tc>
          <w:tcPr>
            <w:tcW w:w="1105" w:type="dxa"/>
            <w:vAlign w:val="center"/>
          </w:tcPr>
          <w:p w14:paraId="22E1232F">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0.1298 </w:t>
            </w:r>
          </w:p>
        </w:tc>
        <w:tc>
          <w:tcPr>
            <w:tcW w:w="1204" w:type="dxa"/>
            <w:vAlign w:val="center"/>
          </w:tcPr>
          <w:p w14:paraId="5FD5A9AD">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0.0019 </w:t>
            </w:r>
          </w:p>
        </w:tc>
        <w:tc>
          <w:tcPr>
            <w:tcW w:w="1260" w:type="dxa"/>
            <w:vAlign w:val="center"/>
          </w:tcPr>
          <w:p w14:paraId="7C268804">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0.0041 </w:t>
            </w:r>
          </w:p>
        </w:tc>
        <w:tc>
          <w:tcPr>
            <w:tcW w:w="322" w:type="pct"/>
            <w:vMerge w:val="continue"/>
            <w:vAlign w:val="center"/>
          </w:tcPr>
          <w:p w14:paraId="3368B402">
            <w:pPr>
              <w:pStyle w:val="67"/>
              <w:rPr>
                <w:color w:val="000000" w:themeColor="text1"/>
                <w:szCs w:val="21"/>
                <w:highlight w:val="none"/>
                <w14:textFill>
                  <w14:solidFill>
                    <w14:schemeClr w14:val="tx1"/>
                  </w14:solidFill>
                </w14:textFill>
              </w:rPr>
            </w:pPr>
          </w:p>
        </w:tc>
      </w:tr>
      <w:tr w14:paraId="14745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14:paraId="48EC0790">
            <w:pPr>
              <w:pStyle w:val="67"/>
              <w:rPr>
                <w:color w:val="000000" w:themeColor="text1"/>
                <w:szCs w:val="21"/>
                <w:highlight w:val="none"/>
                <w14:textFill>
                  <w14:solidFill>
                    <w14:schemeClr w14:val="tx1"/>
                  </w14:solidFill>
                </w14:textFill>
              </w:rPr>
            </w:pPr>
          </w:p>
        </w:tc>
        <w:tc>
          <w:tcPr>
            <w:tcW w:w="313" w:type="pct"/>
            <w:vAlign w:val="center"/>
          </w:tcPr>
          <w:p w14:paraId="4C7A8290">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28" w:type="dxa"/>
            <w:vAlign w:val="center"/>
          </w:tcPr>
          <w:p w14:paraId="4A6DF847">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1055" w:type="dxa"/>
            <w:vAlign w:val="center"/>
          </w:tcPr>
          <w:p w14:paraId="63099BF5">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0.0056 </w:t>
            </w:r>
          </w:p>
        </w:tc>
        <w:tc>
          <w:tcPr>
            <w:tcW w:w="1077" w:type="dxa"/>
            <w:vAlign w:val="center"/>
          </w:tcPr>
          <w:p w14:paraId="646CC1F8">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0.0116 </w:t>
            </w:r>
          </w:p>
        </w:tc>
        <w:tc>
          <w:tcPr>
            <w:tcW w:w="313" w:type="pct"/>
            <w:vMerge w:val="restart"/>
            <w:vAlign w:val="center"/>
          </w:tcPr>
          <w:p w14:paraId="7FEDFD6E">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无组织</w:t>
            </w:r>
          </w:p>
        </w:tc>
        <w:tc>
          <w:tcPr>
            <w:tcW w:w="752" w:type="pct"/>
            <w:vMerge w:val="restart"/>
            <w:vAlign w:val="center"/>
          </w:tcPr>
          <w:p w14:paraId="43063FE2">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加强车间</w:t>
            </w:r>
            <w:r>
              <w:rPr>
                <w:color w:val="000000" w:themeColor="text1"/>
                <w:szCs w:val="21"/>
                <w:highlight w:val="none"/>
                <w14:textFill>
                  <w14:solidFill>
                    <w14:schemeClr w14:val="tx1"/>
                  </w14:solidFill>
                </w14:textFill>
              </w:rPr>
              <w:t>密闭性</w:t>
            </w:r>
          </w:p>
        </w:tc>
        <w:tc>
          <w:tcPr>
            <w:tcW w:w="261" w:type="pct"/>
            <w:vMerge w:val="restart"/>
            <w:vAlign w:val="center"/>
          </w:tcPr>
          <w:p w14:paraId="7D269165">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36" w:type="pct"/>
            <w:vMerge w:val="restart"/>
            <w:vAlign w:val="center"/>
          </w:tcPr>
          <w:p w14:paraId="45BE62F8">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14:paraId="5C3AA39C">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1204" w:type="dxa"/>
            <w:vAlign w:val="center"/>
          </w:tcPr>
          <w:p w14:paraId="1A8D20FF">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0.0056 </w:t>
            </w:r>
          </w:p>
        </w:tc>
        <w:tc>
          <w:tcPr>
            <w:tcW w:w="1260" w:type="dxa"/>
            <w:vAlign w:val="center"/>
          </w:tcPr>
          <w:p w14:paraId="3352C64B">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0.0116 </w:t>
            </w:r>
          </w:p>
        </w:tc>
        <w:tc>
          <w:tcPr>
            <w:tcW w:w="322" w:type="pct"/>
            <w:vMerge w:val="restart"/>
            <w:vAlign w:val="center"/>
          </w:tcPr>
          <w:p w14:paraId="761F0AAC">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14:paraId="2BD24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14:paraId="1FE9B99B">
            <w:pPr>
              <w:pStyle w:val="67"/>
              <w:rPr>
                <w:color w:val="000000" w:themeColor="text1"/>
                <w:szCs w:val="21"/>
                <w:highlight w:val="none"/>
                <w14:textFill>
                  <w14:solidFill>
                    <w14:schemeClr w14:val="tx1"/>
                  </w14:solidFill>
                </w14:textFill>
              </w:rPr>
            </w:pPr>
          </w:p>
        </w:tc>
        <w:tc>
          <w:tcPr>
            <w:tcW w:w="313" w:type="pct"/>
            <w:vAlign w:val="center"/>
          </w:tcPr>
          <w:p w14:paraId="19ECF1CA">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928" w:type="dxa"/>
            <w:vAlign w:val="center"/>
          </w:tcPr>
          <w:p w14:paraId="31DFEB75">
            <w:pPr>
              <w:pStyle w:val="320"/>
              <w:ind w:firstLine="0" w:firstLineChars="0"/>
              <w:jc w:val="center"/>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55" w:type="dxa"/>
            <w:vAlign w:val="center"/>
          </w:tcPr>
          <w:p w14:paraId="7AED25EA">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0.0067 </w:t>
            </w:r>
          </w:p>
        </w:tc>
        <w:tc>
          <w:tcPr>
            <w:tcW w:w="1077" w:type="dxa"/>
            <w:vAlign w:val="center"/>
          </w:tcPr>
          <w:p w14:paraId="5C39EBB9">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0.0139 </w:t>
            </w:r>
          </w:p>
        </w:tc>
        <w:tc>
          <w:tcPr>
            <w:tcW w:w="313" w:type="pct"/>
            <w:vMerge w:val="continue"/>
            <w:vAlign w:val="center"/>
          </w:tcPr>
          <w:p w14:paraId="73855D73">
            <w:pPr>
              <w:pStyle w:val="67"/>
              <w:rPr>
                <w:color w:val="000000" w:themeColor="text1"/>
                <w:szCs w:val="21"/>
                <w:highlight w:val="none"/>
                <w14:textFill>
                  <w14:solidFill>
                    <w14:schemeClr w14:val="tx1"/>
                  </w14:solidFill>
                </w14:textFill>
              </w:rPr>
            </w:pPr>
          </w:p>
        </w:tc>
        <w:tc>
          <w:tcPr>
            <w:tcW w:w="752" w:type="pct"/>
            <w:vMerge w:val="continue"/>
            <w:vAlign w:val="center"/>
          </w:tcPr>
          <w:p w14:paraId="70F671BF">
            <w:pPr>
              <w:pStyle w:val="67"/>
              <w:rPr>
                <w:color w:val="000000" w:themeColor="text1"/>
                <w:szCs w:val="21"/>
                <w:highlight w:val="none"/>
                <w14:textFill>
                  <w14:solidFill>
                    <w14:schemeClr w14:val="tx1"/>
                  </w14:solidFill>
                </w14:textFill>
              </w:rPr>
            </w:pPr>
          </w:p>
        </w:tc>
        <w:tc>
          <w:tcPr>
            <w:tcW w:w="261" w:type="pct"/>
            <w:vMerge w:val="continue"/>
            <w:vAlign w:val="center"/>
          </w:tcPr>
          <w:p w14:paraId="069C6BC9">
            <w:pPr>
              <w:pStyle w:val="67"/>
              <w:rPr>
                <w:color w:val="000000" w:themeColor="text1"/>
                <w:szCs w:val="21"/>
                <w:highlight w:val="none"/>
                <w14:textFill>
                  <w14:solidFill>
                    <w14:schemeClr w14:val="tx1"/>
                  </w14:solidFill>
                </w14:textFill>
              </w:rPr>
            </w:pPr>
          </w:p>
        </w:tc>
        <w:tc>
          <w:tcPr>
            <w:tcW w:w="336" w:type="pct"/>
            <w:vMerge w:val="continue"/>
            <w:vAlign w:val="center"/>
          </w:tcPr>
          <w:p w14:paraId="775AB53E">
            <w:pPr>
              <w:pStyle w:val="67"/>
              <w:rPr>
                <w:color w:val="000000" w:themeColor="text1"/>
                <w:szCs w:val="21"/>
                <w:highlight w:val="none"/>
                <w14:textFill>
                  <w14:solidFill>
                    <w14:schemeClr w14:val="tx1"/>
                  </w14:solidFill>
                </w14:textFill>
              </w:rPr>
            </w:pPr>
          </w:p>
        </w:tc>
        <w:tc>
          <w:tcPr>
            <w:tcW w:w="1105" w:type="dxa"/>
            <w:vAlign w:val="center"/>
          </w:tcPr>
          <w:p w14:paraId="5C034D79">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1204" w:type="dxa"/>
            <w:vAlign w:val="center"/>
          </w:tcPr>
          <w:p w14:paraId="13736208">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0.0067 </w:t>
            </w:r>
          </w:p>
        </w:tc>
        <w:tc>
          <w:tcPr>
            <w:tcW w:w="1260" w:type="dxa"/>
            <w:vAlign w:val="center"/>
          </w:tcPr>
          <w:p w14:paraId="7292DBFD">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0.0139 </w:t>
            </w:r>
          </w:p>
        </w:tc>
        <w:tc>
          <w:tcPr>
            <w:tcW w:w="322" w:type="pct"/>
            <w:vMerge w:val="continue"/>
            <w:vAlign w:val="center"/>
          </w:tcPr>
          <w:p w14:paraId="609ABEDC">
            <w:pPr>
              <w:pStyle w:val="67"/>
              <w:rPr>
                <w:color w:val="000000" w:themeColor="text1"/>
                <w:szCs w:val="21"/>
                <w:highlight w:val="none"/>
                <w14:textFill>
                  <w14:solidFill>
                    <w14:schemeClr w14:val="tx1"/>
                  </w14:solidFill>
                </w14:textFill>
              </w:rPr>
            </w:pPr>
          </w:p>
        </w:tc>
      </w:tr>
      <w:tr w14:paraId="5AECB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14:paraId="1396A957">
            <w:pPr>
              <w:pStyle w:val="67"/>
              <w:rPr>
                <w:color w:val="000000" w:themeColor="text1"/>
                <w:szCs w:val="21"/>
                <w:highlight w:val="none"/>
                <w14:textFill>
                  <w14:solidFill>
                    <w14:schemeClr w14:val="tx1"/>
                  </w14:solidFill>
                </w14:textFill>
              </w:rPr>
            </w:pPr>
          </w:p>
        </w:tc>
        <w:tc>
          <w:tcPr>
            <w:tcW w:w="313" w:type="pct"/>
            <w:vAlign w:val="center"/>
          </w:tcPr>
          <w:p w14:paraId="3FAAAB45">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928" w:type="dxa"/>
            <w:vAlign w:val="center"/>
          </w:tcPr>
          <w:p w14:paraId="0D0B1A10">
            <w:pPr>
              <w:pStyle w:val="320"/>
              <w:ind w:firstLine="0" w:firstLineChars="0"/>
              <w:jc w:val="center"/>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55" w:type="dxa"/>
            <w:vAlign w:val="center"/>
          </w:tcPr>
          <w:p w14:paraId="5F8C0D24">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0.0011 </w:t>
            </w:r>
          </w:p>
        </w:tc>
        <w:tc>
          <w:tcPr>
            <w:tcW w:w="1077" w:type="dxa"/>
            <w:vAlign w:val="center"/>
          </w:tcPr>
          <w:p w14:paraId="4482B73A">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0.0023 </w:t>
            </w:r>
          </w:p>
        </w:tc>
        <w:tc>
          <w:tcPr>
            <w:tcW w:w="313" w:type="pct"/>
            <w:vMerge w:val="continue"/>
            <w:vAlign w:val="center"/>
          </w:tcPr>
          <w:p w14:paraId="1DD2C3ED">
            <w:pPr>
              <w:pStyle w:val="67"/>
              <w:rPr>
                <w:color w:val="000000" w:themeColor="text1"/>
                <w:szCs w:val="21"/>
                <w:highlight w:val="none"/>
                <w14:textFill>
                  <w14:solidFill>
                    <w14:schemeClr w14:val="tx1"/>
                  </w14:solidFill>
                </w14:textFill>
              </w:rPr>
            </w:pPr>
          </w:p>
        </w:tc>
        <w:tc>
          <w:tcPr>
            <w:tcW w:w="752" w:type="pct"/>
            <w:vMerge w:val="continue"/>
            <w:vAlign w:val="center"/>
          </w:tcPr>
          <w:p w14:paraId="4DE9B30C">
            <w:pPr>
              <w:pStyle w:val="67"/>
              <w:rPr>
                <w:color w:val="000000" w:themeColor="text1"/>
                <w:szCs w:val="21"/>
                <w:highlight w:val="none"/>
                <w14:textFill>
                  <w14:solidFill>
                    <w14:schemeClr w14:val="tx1"/>
                  </w14:solidFill>
                </w14:textFill>
              </w:rPr>
            </w:pPr>
          </w:p>
        </w:tc>
        <w:tc>
          <w:tcPr>
            <w:tcW w:w="261" w:type="pct"/>
            <w:vMerge w:val="continue"/>
            <w:vAlign w:val="center"/>
          </w:tcPr>
          <w:p w14:paraId="7C6EF5EC">
            <w:pPr>
              <w:pStyle w:val="67"/>
              <w:rPr>
                <w:color w:val="000000" w:themeColor="text1"/>
                <w:szCs w:val="21"/>
                <w:highlight w:val="none"/>
                <w14:textFill>
                  <w14:solidFill>
                    <w14:schemeClr w14:val="tx1"/>
                  </w14:solidFill>
                </w14:textFill>
              </w:rPr>
            </w:pPr>
          </w:p>
        </w:tc>
        <w:tc>
          <w:tcPr>
            <w:tcW w:w="336" w:type="pct"/>
            <w:vMerge w:val="continue"/>
            <w:vAlign w:val="center"/>
          </w:tcPr>
          <w:p w14:paraId="3C5A5182">
            <w:pPr>
              <w:pStyle w:val="67"/>
              <w:rPr>
                <w:color w:val="000000" w:themeColor="text1"/>
                <w:szCs w:val="21"/>
                <w:highlight w:val="none"/>
                <w14:textFill>
                  <w14:solidFill>
                    <w14:schemeClr w14:val="tx1"/>
                  </w14:solidFill>
                </w14:textFill>
              </w:rPr>
            </w:pPr>
          </w:p>
        </w:tc>
        <w:tc>
          <w:tcPr>
            <w:tcW w:w="1105" w:type="dxa"/>
            <w:vAlign w:val="center"/>
          </w:tcPr>
          <w:p w14:paraId="17CA0E2B">
            <w:pPr>
              <w:pStyle w:val="331"/>
              <w:rPr>
                <w:rFonts w:ascii="Times New Roman" w:hAnsi="Times New Roman" w:eastAsia="宋体" w:cs="Times New Roman"/>
                <w:color w:val="000000" w:themeColor="text1"/>
                <w:sz w:val="2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1204" w:type="dxa"/>
            <w:vAlign w:val="center"/>
          </w:tcPr>
          <w:p w14:paraId="4F6EE5DA">
            <w:pPr>
              <w:pStyle w:val="331"/>
              <w:rPr>
                <w:rFonts w:ascii="Times New Roman" w:hAnsi="Times New Roman" w:eastAsia="宋体" w:cs="Times New Roman"/>
                <w:color w:val="000000" w:themeColor="text1"/>
                <w:sz w:val="2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0.0011 </w:t>
            </w:r>
          </w:p>
        </w:tc>
        <w:tc>
          <w:tcPr>
            <w:tcW w:w="1260" w:type="dxa"/>
            <w:vAlign w:val="center"/>
          </w:tcPr>
          <w:p w14:paraId="4EC132A0">
            <w:pPr>
              <w:pStyle w:val="331"/>
              <w:rPr>
                <w:rFonts w:ascii="Times New Roman" w:hAnsi="Times New Roman" w:eastAsia="宋体" w:cs="Times New Roman"/>
                <w:color w:val="000000" w:themeColor="text1"/>
                <w:sz w:val="2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0.0023 </w:t>
            </w:r>
          </w:p>
        </w:tc>
        <w:tc>
          <w:tcPr>
            <w:tcW w:w="322" w:type="pct"/>
            <w:vMerge w:val="continue"/>
            <w:vAlign w:val="center"/>
          </w:tcPr>
          <w:p w14:paraId="78C10ACB">
            <w:pPr>
              <w:pStyle w:val="67"/>
              <w:rPr>
                <w:color w:val="000000" w:themeColor="text1"/>
                <w:szCs w:val="21"/>
                <w:highlight w:val="none"/>
                <w14:textFill>
                  <w14:solidFill>
                    <w14:schemeClr w14:val="tx1"/>
                  </w14:solidFill>
                </w14:textFill>
              </w:rPr>
            </w:pPr>
          </w:p>
        </w:tc>
      </w:tr>
      <w:tr w14:paraId="49535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Align w:val="center"/>
          </w:tcPr>
          <w:p w14:paraId="736A1428">
            <w:pPr>
              <w:pStyle w:val="67"/>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打磨工序</w:t>
            </w:r>
          </w:p>
        </w:tc>
        <w:tc>
          <w:tcPr>
            <w:tcW w:w="313" w:type="pct"/>
            <w:vAlign w:val="center"/>
          </w:tcPr>
          <w:p w14:paraId="5BF008CE">
            <w:pPr>
              <w:pStyle w:val="67"/>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颗粒物</w:t>
            </w:r>
          </w:p>
        </w:tc>
        <w:tc>
          <w:tcPr>
            <w:tcW w:w="330" w:type="pct"/>
            <w:vAlign w:val="center"/>
          </w:tcPr>
          <w:p w14:paraId="1CCED11C">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75" w:type="pct"/>
            <w:vAlign w:val="center"/>
          </w:tcPr>
          <w:p w14:paraId="33321BAE">
            <w:pPr>
              <w:pStyle w:val="320"/>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383" w:type="pct"/>
            <w:vAlign w:val="center"/>
          </w:tcPr>
          <w:p w14:paraId="27324126">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1875</w:t>
            </w:r>
          </w:p>
        </w:tc>
        <w:tc>
          <w:tcPr>
            <w:tcW w:w="313" w:type="pct"/>
            <w:vAlign w:val="center"/>
          </w:tcPr>
          <w:p w14:paraId="71279F09">
            <w:pPr>
              <w:pStyle w:val="67"/>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无组织</w:t>
            </w:r>
          </w:p>
        </w:tc>
        <w:tc>
          <w:tcPr>
            <w:tcW w:w="752" w:type="pct"/>
            <w:vAlign w:val="center"/>
          </w:tcPr>
          <w:p w14:paraId="5536DC66">
            <w:pPr>
              <w:pStyle w:val="67"/>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密闭环保打磨房</w:t>
            </w:r>
            <w:r>
              <w:rPr>
                <w:rFonts w:hint="default" w:ascii="Times New Roman" w:hAnsi="Times New Roman" w:cs="Times New Roman"/>
                <w:color w:val="000000" w:themeColor="text1"/>
                <w:szCs w:val="21"/>
                <w:highlight w:val="none"/>
                <w:lang w:eastAsia="zh-CN"/>
                <w14:textFill>
                  <w14:solidFill>
                    <w14:schemeClr w14:val="tx1"/>
                  </w14:solidFill>
                </w14:textFill>
              </w:rPr>
              <w:t>，水喷淋除尘，处理后颗粒物</w:t>
            </w:r>
            <w:r>
              <w:rPr>
                <w:rFonts w:hint="default" w:ascii="Times New Roman" w:hAnsi="Times New Roman" w:cs="Times New Roman"/>
                <w:color w:val="000000" w:themeColor="text1"/>
                <w:highlight w:val="none"/>
                <w14:textFill>
                  <w14:solidFill>
                    <w14:schemeClr w14:val="tx1"/>
                  </w14:solidFill>
                </w14:textFill>
              </w:rPr>
              <w:t>无组织排放散落在打磨房内部及周围地面</w:t>
            </w:r>
          </w:p>
        </w:tc>
        <w:tc>
          <w:tcPr>
            <w:tcW w:w="261" w:type="pct"/>
            <w:vAlign w:val="center"/>
          </w:tcPr>
          <w:p w14:paraId="6C506F82">
            <w:pPr>
              <w:pStyle w:val="67"/>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90%</w:t>
            </w:r>
          </w:p>
        </w:tc>
        <w:tc>
          <w:tcPr>
            <w:tcW w:w="336" w:type="pct"/>
            <w:vAlign w:val="center"/>
          </w:tcPr>
          <w:p w14:paraId="7F85D269">
            <w:pPr>
              <w:pStyle w:val="67"/>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是</w:t>
            </w:r>
          </w:p>
        </w:tc>
        <w:tc>
          <w:tcPr>
            <w:tcW w:w="1105" w:type="dxa"/>
            <w:vAlign w:val="center"/>
          </w:tcPr>
          <w:p w14:paraId="47F7FD97">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204" w:type="dxa"/>
            <w:vAlign w:val="center"/>
          </w:tcPr>
          <w:p w14:paraId="18ECC432">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253</w:t>
            </w:r>
          </w:p>
        </w:tc>
        <w:tc>
          <w:tcPr>
            <w:tcW w:w="1260" w:type="dxa"/>
            <w:vAlign w:val="center"/>
          </w:tcPr>
          <w:p w14:paraId="5D79644A">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526</w:t>
            </w:r>
          </w:p>
        </w:tc>
        <w:tc>
          <w:tcPr>
            <w:tcW w:w="322" w:type="pct"/>
            <w:vAlign w:val="center"/>
          </w:tcPr>
          <w:p w14:paraId="7D42BB97">
            <w:pPr>
              <w:pStyle w:val="67"/>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bl>
    <w:p w14:paraId="0BBE6A02">
      <w:pPr>
        <w:rPr>
          <w:b/>
          <w:color w:val="000000" w:themeColor="text1"/>
          <w:sz w:val="24"/>
          <w:highlight w:val="none"/>
          <w14:textFill>
            <w14:solidFill>
              <w14:schemeClr w14:val="tx1"/>
            </w14:solidFill>
          </w14:textFill>
        </w:rPr>
      </w:pPr>
    </w:p>
    <w:p w14:paraId="59A81C59">
      <w:pPr>
        <w:spacing w:line="360" w:lineRule="auto"/>
        <w:jc w:val="center"/>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 xml:space="preserve">表4.2-9 </w:t>
      </w:r>
      <w:r>
        <w:rPr>
          <w:rFonts w:hint="eastAsia"/>
          <w:b/>
          <w:bCs/>
          <w:color w:val="000000" w:themeColor="text1"/>
          <w:sz w:val="24"/>
          <w:highlight w:val="none"/>
          <w14:textFill>
            <w14:solidFill>
              <w14:schemeClr w14:val="tx1"/>
            </w14:solidFill>
          </w14:textFill>
        </w:rPr>
        <w:t>废气排放口基本情况</w:t>
      </w:r>
      <w:r>
        <w:rPr>
          <w:rFonts w:hint="eastAsia"/>
          <w:b/>
          <w:color w:val="000000" w:themeColor="text1"/>
          <w:sz w:val="24"/>
          <w:highlight w:val="none"/>
          <w14:textFill>
            <w14:solidFill>
              <w14:schemeClr w14:val="tx1"/>
            </w14:solidFill>
          </w14:textFill>
        </w:rPr>
        <w:t>表</w:t>
      </w:r>
    </w:p>
    <w:tbl>
      <w:tblPr>
        <w:tblStyle w:val="37"/>
        <w:tblW w:w="505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8"/>
        <w:gridCol w:w="2494"/>
        <w:gridCol w:w="1944"/>
        <w:gridCol w:w="1182"/>
        <w:gridCol w:w="1402"/>
        <w:gridCol w:w="1120"/>
        <w:gridCol w:w="1268"/>
        <w:gridCol w:w="1265"/>
        <w:gridCol w:w="1162"/>
        <w:gridCol w:w="727"/>
        <w:gridCol w:w="949"/>
      </w:tblGrid>
      <w:tr w14:paraId="2BDCE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2" w:type="pct"/>
            <w:vMerge w:val="restart"/>
            <w:tcMar>
              <w:left w:w="28" w:type="dxa"/>
              <w:right w:w="28" w:type="dxa"/>
            </w:tcMar>
            <w:vAlign w:val="center"/>
          </w:tcPr>
          <w:p w14:paraId="3E4592BE">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编号</w:t>
            </w:r>
          </w:p>
        </w:tc>
        <w:tc>
          <w:tcPr>
            <w:tcW w:w="877" w:type="pct"/>
            <w:vMerge w:val="restart"/>
            <w:tcMar>
              <w:left w:w="28" w:type="dxa"/>
              <w:right w:w="28" w:type="dxa"/>
            </w:tcMar>
            <w:vAlign w:val="center"/>
          </w:tcPr>
          <w:p w14:paraId="0FE73144">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683" w:type="pct"/>
            <w:vMerge w:val="restart"/>
            <w:tcMar>
              <w:left w:w="28" w:type="dxa"/>
              <w:right w:w="28" w:type="dxa"/>
            </w:tcMar>
            <w:vAlign w:val="center"/>
          </w:tcPr>
          <w:p w14:paraId="545FD503">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污染物种类</w:t>
            </w:r>
          </w:p>
        </w:tc>
        <w:tc>
          <w:tcPr>
            <w:tcW w:w="416" w:type="pct"/>
            <w:vMerge w:val="restart"/>
            <w:tcMar>
              <w:left w:w="28" w:type="dxa"/>
              <w:right w:w="28" w:type="dxa"/>
            </w:tcMar>
            <w:vAlign w:val="center"/>
          </w:tcPr>
          <w:p w14:paraId="52F2CFF2">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废气量(m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/h)</w:t>
            </w:r>
          </w:p>
        </w:tc>
        <w:tc>
          <w:tcPr>
            <w:tcW w:w="493" w:type="pct"/>
            <w:vMerge w:val="restart"/>
            <w:tcMar>
              <w:left w:w="28" w:type="dxa"/>
              <w:right w:w="28" w:type="dxa"/>
            </w:tcMar>
            <w:vAlign w:val="center"/>
          </w:tcPr>
          <w:p w14:paraId="1D57AF71">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排放浓度(mg/m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p>
        </w:tc>
        <w:tc>
          <w:tcPr>
            <w:tcW w:w="394" w:type="pct"/>
            <w:vMerge w:val="restart"/>
            <w:tcMar>
              <w:left w:w="28" w:type="dxa"/>
              <w:right w:w="28" w:type="dxa"/>
            </w:tcMar>
            <w:vAlign w:val="center"/>
          </w:tcPr>
          <w:p w14:paraId="76FFB688">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排放量(t/a)</w:t>
            </w:r>
          </w:p>
        </w:tc>
        <w:tc>
          <w:tcPr>
            <w:tcW w:w="446" w:type="pct"/>
            <w:vMerge w:val="restart"/>
            <w:tcMar>
              <w:left w:w="28" w:type="dxa"/>
              <w:right w:w="28" w:type="dxa"/>
            </w:tcMar>
            <w:vAlign w:val="center"/>
          </w:tcPr>
          <w:p w14:paraId="62FFDCF7">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排放速率(kg/h)</w:t>
            </w:r>
          </w:p>
        </w:tc>
        <w:tc>
          <w:tcPr>
            <w:tcW w:w="854" w:type="pct"/>
            <w:gridSpan w:val="2"/>
            <w:tcMar>
              <w:left w:w="28" w:type="dxa"/>
              <w:right w:w="28" w:type="dxa"/>
            </w:tcMar>
            <w:vAlign w:val="center"/>
          </w:tcPr>
          <w:p w14:paraId="7182C294">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排气筒底部中心坐标（m）</w:t>
            </w:r>
          </w:p>
        </w:tc>
        <w:tc>
          <w:tcPr>
            <w:tcW w:w="256" w:type="pct"/>
            <w:vMerge w:val="restart"/>
            <w:tcMar>
              <w:left w:w="28" w:type="dxa"/>
              <w:right w:w="28" w:type="dxa"/>
            </w:tcMar>
            <w:vAlign w:val="center"/>
          </w:tcPr>
          <w:p w14:paraId="22E9288A">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排气筒高度/m</w:t>
            </w:r>
          </w:p>
        </w:tc>
        <w:tc>
          <w:tcPr>
            <w:tcW w:w="334" w:type="pct"/>
            <w:vMerge w:val="restart"/>
            <w:tcMar>
              <w:left w:w="28" w:type="dxa"/>
              <w:right w:w="28" w:type="dxa"/>
            </w:tcMar>
            <w:vAlign w:val="center"/>
          </w:tcPr>
          <w:p w14:paraId="2A0E1D57">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排气筒出口内径/m</w:t>
            </w:r>
          </w:p>
        </w:tc>
      </w:tr>
      <w:tr w14:paraId="2DE0D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42" w:type="pct"/>
            <w:vMerge w:val="continue"/>
            <w:tcMar>
              <w:left w:w="28" w:type="dxa"/>
              <w:right w:w="28" w:type="dxa"/>
            </w:tcMar>
            <w:vAlign w:val="center"/>
          </w:tcPr>
          <w:p w14:paraId="76BA07F1">
            <w:pPr>
              <w:pStyle w:val="85"/>
              <w:rPr>
                <w:color w:val="000000" w:themeColor="text1"/>
                <w:szCs w:val="21"/>
                <w:highlight w:val="none"/>
                <w14:textFill>
                  <w14:solidFill>
                    <w14:schemeClr w14:val="tx1"/>
                  </w14:solidFill>
                </w14:textFill>
              </w:rPr>
            </w:pPr>
          </w:p>
        </w:tc>
        <w:tc>
          <w:tcPr>
            <w:tcW w:w="877" w:type="pct"/>
            <w:vMerge w:val="continue"/>
            <w:tcMar>
              <w:left w:w="28" w:type="dxa"/>
              <w:right w:w="28" w:type="dxa"/>
            </w:tcMar>
            <w:vAlign w:val="center"/>
          </w:tcPr>
          <w:p w14:paraId="3B93F1FC">
            <w:pPr>
              <w:pStyle w:val="85"/>
              <w:rPr>
                <w:color w:val="000000" w:themeColor="text1"/>
                <w:szCs w:val="21"/>
                <w:highlight w:val="none"/>
                <w14:textFill>
                  <w14:solidFill>
                    <w14:schemeClr w14:val="tx1"/>
                  </w14:solidFill>
                </w14:textFill>
              </w:rPr>
            </w:pPr>
          </w:p>
        </w:tc>
        <w:tc>
          <w:tcPr>
            <w:tcW w:w="683" w:type="pct"/>
            <w:vMerge w:val="continue"/>
            <w:tcMar>
              <w:left w:w="28" w:type="dxa"/>
              <w:right w:w="28" w:type="dxa"/>
            </w:tcMar>
            <w:vAlign w:val="center"/>
          </w:tcPr>
          <w:p w14:paraId="5EE24554">
            <w:pPr>
              <w:pStyle w:val="85"/>
              <w:rPr>
                <w:color w:val="000000" w:themeColor="text1"/>
                <w:szCs w:val="21"/>
                <w:highlight w:val="none"/>
                <w14:textFill>
                  <w14:solidFill>
                    <w14:schemeClr w14:val="tx1"/>
                  </w14:solidFill>
                </w14:textFill>
              </w:rPr>
            </w:pPr>
          </w:p>
        </w:tc>
        <w:tc>
          <w:tcPr>
            <w:tcW w:w="416" w:type="pct"/>
            <w:vMerge w:val="continue"/>
            <w:tcMar>
              <w:left w:w="28" w:type="dxa"/>
              <w:right w:w="28" w:type="dxa"/>
            </w:tcMar>
            <w:vAlign w:val="center"/>
          </w:tcPr>
          <w:p w14:paraId="5D3B1271">
            <w:pPr>
              <w:pStyle w:val="85"/>
              <w:rPr>
                <w:color w:val="000000" w:themeColor="text1"/>
                <w:szCs w:val="21"/>
                <w:highlight w:val="none"/>
                <w14:textFill>
                  <w14:solidFill>
                    <w14:schemeClr w14:val="tx1"/>
                  </w14:solidFill>
                </w14:textFill>
              </w:rPr>
            </w:pPr>
          </w:p>
        </w:tc>
        <w:tc>
          <w:tcPr>
            <w:tcW w:w="493" w:type="pct"/>
            <w:vMerge w:val="continue"/>
            <w:tcMar>
              <w:left w:w="28" w:type="dxa"/>
              <w:right w:w="28" w:type="dxa"/>
            </w:tcMar>
            <w:vAlign w:val="center"/>
          </w:tcPr>
          <w:p w14:paraId="30DDBFFB">
            <w:pPr>
              <w:pStyle w:val="85"/>
              <w:rPr>
                <w:color w:val="000000" w:themeColor="text1"/>
                <w:szCs w:val="21"/>
                <w:highlight w:val="none"/>
                <w14:textFill>
                  <w14:solidFill>
                    <w14:schemeClr w14:val="tx1"/>
                  </w14:solidFill>
                </w14:textFill>
              </w:rPr>
            </w:pPr>
          </w:p>
        </w:tc>
        <w:tc>
          <w:tcPr>
            <w:tcW w:w="394" w:type="pct"/>
            <w:vMerge w:val="continue"/>
            <w:tcMar>
              <w:left w:w="28" w:type="dxa"/>
              <w:right w:w="28" w:type="dxa"/>
            </w:tcMar>
            <w:vAlign w:val="center"/>
          </w:tcPr>
          <w:p w14:paraId="21539A1B">
            <w:pPr>
              <w:pStyle w:val="85"/>
              <w:rPr>
                <w:color w:val="000000" w:themeColor="text1"/>
                <w:szCs w:val="21"/>
                <w:highlight w:val="none"/>
                <w14:textFill>
                  <w14:solidFill>
                    <w14:schemeClr w14:val="tx1"/>
                  </w14:solidFill>
                </w14:textFill>
              </w:rPr>
            </w:pPr>
          </w:p>
        </w:tc>
        <w:tc>
          <w:tcPr>
            <w:tcW w:w="446" w:type="pct"/>
            <w:vMerge w:val="continue"/>
            <w:tcMar>
              <w:left w:w="28" w:type="dxa"/>
              <w:right w:w="28" w:type="dxa"/>
            </w:tcMar>
            <w:vAlign w:val="center"/>
          </w:tcPr>
          <w:p w14:paraId="1242F225">
            <w:pPr>
              <w:pStyle w:val="85"/>
              <w:rPr>
                <w:color w:val="000000" w:themeColor="text1"/>
                <w:szCs w:val="21"/>
                <w:highlight w:val="none"/>
                <w14:textFill>
                  <w14:solidFill>
                    <w14:schemeClr w14:val="tx1"/>
                  </w14:solidFill>
                </w14:textFill>
              </w:rPr>
            </w:pPr>
          </w:p>
        </w:tc>
        <w:tc>
          <w:tcPr>
            <w:tcW w:w="445" w:type="pct"/>
            <w:tcMar>
              <w:left w:w="28" w:type="dxa"/>
              <w:right w:w="28" w:type="dxa"/>
            </w:tcMar>
            <w:vAlign w:val="center"/>
          </w:tcPr>
          <w:p w14:paraId="6F56FBA3">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经度</w:t>
            </w:r>
          </w:p>
        </w:tc>
        <w:tc>
          <w:tcPr>
            <w:tcW w:w="409" w:type="pct"/>
            <w:tcMar>
              <w:left w:w="28" w:type="dxa"/>
              <w:right w:w="28" w:type="dxa"/>
            </w:tcMar>
            <w:vAlign w:val="center"/>
          </w:tcPr>
          <w:p w14:paraId="5E718CEE">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纬度</w:t>
            </w:r>
          </w:p>
        </w:tc>
        <w:tc>
          <w:tcPr>
            <w:tcW w:w="256" w:type="pct"/>
            <w:vMerge w:val="continue"/>
            <w:tcMar>
              <w:left w:w="28" w:type="dxa"/>
              <w:right w:w="28" w:type="dxa"/>
            </w:tcMar>
            <w:vAlign w:val="center"/>
          </w:tcPr>
          <w:p w14:paraId="35E412E4">
            <w:pPr>
              <w:pStyle w:val="85"/>
              <w:rPr>
                <w:color w:val="000000" w:themeColor="text1"/>
                <w:szCs w:val="21"/>
                <w:highlight w:val="none"/>
                <w14:textFill>
                  <w14:solidFill>
                    <w14:schemeClr w14:val="tx1"/>
                  </w14:solidFill>
                </w14:textFill>
              </w:rPr>
            </w:pPr>
          </w:p>
        </w:tc>
        <w:tc>
          <w:tcPr>
            <w:tcW w:w="334" w:type="pct"/>
            <w:vMerge w:val="continue"/>
            <w:tcMar>
              <w:left w:w="28" w:type="dxa"/>
              <w:right w:w="28" w:type="dxa"/>
            </w:tcMar>
            <w:vAlign w:val="center"/>
          </w:tcPr>
          <w:p w14:paraId="0EE4197C">
            <w:pPr>
              <w:pStyle w:val="85"/>
              <w:rPr>
                <w:color w:val="000000" w:themeColor="text1"/>
                <w:szCs w:val="21"/>
                <w:highlight w:val="none"/>
                <w14:textFill>
                  <w14:solidFill>
                    <w14:schemeClr w14:val="tx1"/>
                  </w14:solidFill>
                </w14:textFill>
              </w:rPr>
            </w:pPr>
          </w:p>
        </w:tc>
      </w:tr>
      <w:tr w14:paraId="2BDB3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242" w:type="pct"/>
            <w:noWrap/>
            <w:tcMar>
              <w:left w:w="28" w:type="dxa"/>
              <w:right w:w="28" w:type="dxa"/>
            </w:tcMar>
            <w:vAlign w:val="center"/>
          </w:tcPr>
          <w:p w14:paraId="295E26AB">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DA001</w:t>
            </w:r>
          </w:p>
        </w:tc>
        <w:tc>
          <w:tcPr>
            <w:tcW w:w="877" w:type="pct"/>
            <w:noWrap/>
            <w:tcMar>
              <w:left w:w="28" w:type="dxa"/>
              <w:right w:w="28" w:type="dxa"/>
            </w:tcMar>
            <w:vAlign w:val="center"/>
          </w:tcPr>
          <w:p w14:paraId="0F19DB0A">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木工区废气</w:t>
            </w:r>
            <w:r>
              <w:rPr>
                <w:color w:val="000000" w:themeColor="text1"/>
                <w:szCs w:val="21"/>
                <w:highlight w:val="none"/>
                <w14:textFill>
                  <w14:solidFill>
                    <w14:schemeClr w14:val="tx1"/>
                  </w14:solidFill>
                </w14:textFill>
              </w:rPr>
              <w:t>排气筒</w:t>
            </w:r>
          </w:p>
        </w:tc>
        <w:tc>
          <w:tcPr>
            <w:tcW w:w="683" w:type="pct"/>
            <w:tcMar>
              <w:left w:w="28" w:type="dxa"/>
              <w:right w:w="28" w:type="dxa"/>
            </w:tcMar>
            <w:vAlign w:val="center"/>
          </w:tcPr>
          <w:p w14:paraId="1753AA53">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416" w:type="pct"/>
            <w:tcMar>
              <w:left w:w="28" w:type="dxa"/>
              <w:right w:w="28" w:type="dxa"/>
            </w:tcMar>
            <w:vAlign w:val="center"/>
          </w:tcPr>
          <w:p w14:paraId="3150DF1B">
            <w:pPr>
              <w:pStyle w:val="85"/>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2</w:t>
            </w:r>
            <w:r>
              <w:rPr>
                <w:rFonts w:hint="eastAsia"/>
                <w:color w:val="000000" w:themeColor="text1"/>
                <w:szCs w:val="21"/>
                <w:highlight w:val="none"/>
                <w14:textFill>
                  <w14:solidFill>
                    <w14:schemeClr w14:val="tx1"/>
                  </w14:solidFill>
                </w14:textFill>
              </w:rPr>
              <w:t>0000</w:t>
            </w:r>
          </w:p>
        </w:tc>
        <w:tc>
          <w:tcPr>
            <w:tcW w:w="493" w:type="pct"/>
            <w:tcMar>
              <w:left w:w="28" w:type="dxa"/>
              <w:right w:w="28" w:type="dxa"/>
            </w:tcMar>
            <w:vAlign w:val="center"/>
          </w:tcPr>
          <w:p w14:paraId="4FD1E9A8">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0.2437</w:t>
            </w:r>
          </w:p>
        </w:tc>
        <w:tc>
          <w:tcPr>
            <w:tcW w:w="394" w:type="pct"/>
            <w:tcMar>
              <w:left w:w="28" w:type="dxa"/>
              <w:right w:w="28" w:type="dxa"/>
            </w:tcMar>
            <w:vAlign w:val="center"/>
          </w:tcPr>
          <w:p w14:paraId="587BA19D">
            <w:pPr>
              <w:pStyle w:val="3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0.0101</w:t>
            </w:r>
          </w:p>
        </w:tc>
        <w:tc>
          <w:tcPr>
            <w:tcW w:w="446" w:type="pct"/>
            <w:tcMar>
              <w:left w:w="28" w:type="dxa"/>
              <w:right w:w="28" w:type="dxa"/>
            </w:tcMar>
            <w:vAlign w:val="center"/>
          </w:tcPr>
          <w:p w14:paraId="5E39465A">
            <w:pPr>
              <w:pStyle w:val="3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0.0049</w:t>
            </w:r>
          </w:p>
        </w:tc>
        <w:tc>
          <w:tcPr>
            <w:tcW w:w="445" w:type="pct"/>
            <w:noWrap/>
            <w:tcMar>
              <w:left w:w="28" w:type="dxa"/>
              <w:right w:w="28" w:type="dxa"/>
            </w:tcMar>
            <w:vAlign w:val="center"/>
          </w:tcPr>
          <w:p w14:paraId="704865BB">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119.</w:t>
            </w:r>
            <w:r>
              <w:rPr>
                <w:rFonts w:hint="eastAsia"/>
                <w:color w:val="000000" w:themeColor="text1"/>
                <w:szCs w:val="21"/>
                <w:highlight w:val="none"/>
                <w:lang w:val="en-US"/>
                <w14:textFill>
                  <w14:solidFill>
                    <w14:schemeClr w14:val="tx1"/>
                  </w14:solidFill>
                </w14:textFill>
              </w:rPr>
              <w:t>402052</w:t>
            </w:r>
            <w:r>
              <w:rPr>
                <w:rFonts w:hint="eastAsia"/>
                <w:color w:val="000000" w:themeColor="text1"/>
                <w:szCs w:val="21"/>
                <w:highlight w:val="none"/>
                <w14:textFill>
                  <w14:solidFill>
                    <w14:schemeClr w14:val="tx1"/>
                  </w14:solidFill>
                </w14:textFill>
              </w:rPr>
              <w:t>°</w:t>
            </w:r>
          </w:p>
        </w:tc>
        <w:tc>
          <w:tcPr>
            <w:tcW w:w="409" w:type="pct"/>
            <w:noWrap/>
            <w:tcMar>
              <w:left w:w="28" w:type="dxa"/>
              <w:right w:w="28" w:type="dxa"/>
            </w:tcMar>
            <w:vAlign w:val="center"/>
          </w:tcPr>
          <w:p w14:paraId="5EB83E3B">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25.</w:t>
            </w:r>
            <w:r>
              <w:rPr>
                <w:rFonts w:hint="eastAsia"/>
                <w:color w:val="000000" w:themeColor="text1"/>
                <w:szCs w:val="21"/>
                <w:highlight w:val="none"/>
                <w:lang w:val="en-US"/>
                <w14:textFill>
                  <w14:solidFill>
                    <w14:schemeClr w14:val="tx1"/>
                  </w14:solidFill>
                </w14:textFill>
              </w:rPr>
              <w:t>771696</w:t>
            </w:r>
            <w:r>
              <w:rPr>
                <w:rFonts w:hint="eastAsia"/>
                <w:color w:val="000000" w:themeColor="text1"/>
                <w:szCs w:val="21"/>
                <w:highlight w:val="none"/>
                <w14:textFill>
                  <w14:solidFill>
                    <w14:schemeClr w14:val="tx1"/>
                  </w14:solidFill>
                </w14:textFill>
              </w:rPr>
              <w:t>°</w:t>
            </w:r>
          </w:p>
        </w:tc>
        <w:tc>
          <w:tcPr>
            <w:tcW w:w="256" w:type="pct"/>
            <w:noWrap/>
            <w:tcMar>
              <w:left w:w="28" w:type="dxa"/>
              <w:right w:w="28" w:type="dxa"/>
            </w:tcMar>
            <w:vAlign w:val="center"/>
          </w:tcPr>
          <w:p w14:paraId="7A6B8507">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334" w:type="pct"/>
            <w:noWrap/>
            <w:tcMar>
              <w:left w:w="28" w:type="dxa"/>
              <w:right w:w="28" w:type="dxa"/>
            </w:tcMar>
            <w:vAlign w:val="center"/>
          </w:tcPr>
          <w:p w14:paraId="19FD4B2F">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0.5</w:t>
            </w:r>
          </w:p>
        </w:tc>
      </w:tr>
      <w:tr w14:paraId="004B1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2" w:type="pct"/>
            <w:vMerge w:val="restart"/>
            <w:noWrap/>
            <w:tcMar>
              <w:left w:w="28" w:type="dxa"/>
              <w:right w:w="28" w:type="dxa"/>
            </w:tcMar>
            <w:vAlign w:val="center"/>
          </w:tcPr>
          <w:p w14:paraId="03E9AB0B">
            <w:pPr>
              <w:pStyle w:val="85"/>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DA002</w:t>
            </w:r>
          </w:p>
        </w:tc>
        <w:tc>
          <w:tcPr>
            <w:tcW w:w="877" w:type="pct"/>
            <w:vMerge w:val="restart"/>
            <w:noWrap/>
            <w:tcMar>
              <w:left w:w="28" w:type="dxa"/>
              <w:right w:w="28" w:type="dxa"/>
            </w:tcMar>
            <w:vAlign w:val="center"/>
          </w:tcPr>
          <w:p w14:paraId="2846F236">
            <w:pPr>
              <w:pStyle w:val="85"/>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调漆喷漆及烘干工序有机废气</w:t>
            </w:r>
            <w:r>
              <w:rPr>
                <w:rFonts w:hint="eastAsia"/>
                <w:color w:val="000000" w:themeColor="text1"/>
                <w:highlight w:val="none"/>
                <w14:textFill>
                  <w14:solidFill>
                    <w14:schemeClr w14:val="tx1"/>
                  </w14:solidFill>
                </w14:textFill>
              </w:rPr>
              <w:t>排气筒</w:t>
            </w:r>
          </w:p>
        </w:tc>
        <w:tc>
          <w:tcPr>
            <w:tcW w:w="683" w:type="pct"/>
            <w:tcMar>
              <w:left w:w="28" w:type="dxa"/>
              <w:right w:w="28" w:type="dxa"/>
            </w:tcMar>
            <w:vAlign w:val="center"/>
          </w:tcPr>
          <w:p w14:paraId="61D063FA">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416" w:type="pct"/>
            <w:vMerge w:val="restart"/>
            <w:tcMar>
              <w:left w:w="28" w:type="dxa"/>
              <w:right w:w="28" w:type="dxa"/>
            </w:tcMar>
            <w:vAlign w:val="center"/>
          </w:tcPr>
          <w:p w14:paraId="585CB920">
            <w:pPr>
              <w:pStyle w:val="85"/>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15000</w:t>
            </w:r>
          </w:p>
        </w:tc>
        <w:tc>
          <w:tcPr>
            <w:tcW w:w="1402" w:type="dxa"/>
            <w:tcMar>
              <w:left w:w="28" w:type="dxa"/>
              <w:right w:w="28" w:type="dxa"/>
            </w:tcMar>
            <w:vAlign w:val="center"/>
          </w:tcPr>
          <w:p w14:paraId="4075B925">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0.3343 </w:t>
            </w:r>
          </w:p>
        </w:tc>
        <w:tc>
          <w:tcPr>
            <w:tcW w:w="1120" w:type="dxa"/>
            <w:tcMar>
              <w:left w:w="28" w:type="dxa"/>
              <w:right w:w="28" w:type="dxa"/>
            </w:tcMar>
            <w:vAlign w:val="center"/>
          </w:tcPr>
          <w:p w14:paraId="09BEC8A1">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0.0104 </w:t>
            </w:r>
          </w:p>
        </w:tc>
        <w:tc>
          <w:tcPr>
            <w:tcW w:w="1268" w:type="dxa"/>
            <w:tcMar>
              <w:left w:w="28" w:type="dxa"/>
              <w:right w:w="28" w:type="dxa"/>
            </w:tcMar>
            <w:vAlign w:val="center"/>
          </w:tcPr>
          <w:p w14:paraId="6E1A9F81">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0.0050 </w:t>
            </w:r>
          </w:p>
        </w:tc>
        <w:tc>
          <w:tcPr>
            <w:tcW w:w="445" w:type="pct"/>
            <w:vMerge w:val="restart"/>
            <w:noWrap/>
            <w:tcMar>
              <w:left w:w="28" w:type="dxa"/>
              <w:right w:w="28" w:type="dxa"/>
            </w:tcMar>
            <w:vAlign w:val="center"/>
          </w:tcPr>
          <w:p w14:paraId="52F84299">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119.</w:t>
            </w:r>
            <w:r>
              <w:rPr>
                <w:rFonts w:hint="eastAsia"/>
                <w:color w:val="000000" w:themeColor="text1"/>
                <w:szCs w:val="21"/>
                <w:highlight w:val="none"/>
                <w:lang w:val="en-US"/>
                <w14:textFill>
                  <w14:solidFill>
                    <w14:schemeClr w14:val="tx1"/>
                  </w14:solidFill>
                </w14:textFill>
              </w:rPr>
              <w:t>402050</w:t>
            </w:r>
            <w:r>
              <w:rPr>
                <w:rFonts w:hint="eastAsia"/>
                <w:color w:val="000000" w:themeColor="text1"/>
                <w:szCs w:val="21"/>
                <w:highlight w:val="none"/>
                <w14:textFill>
                  <w14:solidFill>
                    <w14:schemeClr w14:val="tx1"/>
                  </w14:solidFill>
                </w14:textFill>
              </w:rPr>
              <w:t>°</w:t>
            </w:r>
          </w:p>
        </w:tc>
        <w:tc>
          <w:tcPr>
            <w:tcW w:w="409" w:type="pct"/>
            <w:vMerge w:val="restart"/>
            <w:noWrap/>
            <w:tcMar>
              <w:left w:w="28" w:type="dxa"/>
              <w:right w:w="28" w:type="dxa"/>
            </w:tcMar>
            <w:vAlign w:val="center"/>
          </w:tcPr>
          <w:p w14:paraId="3B013769">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25.</w:t>
            </w:r>
            <w:r>
              <w:rPr>
                <w:rFonts w:hint="eastAsia"/>
                <w:color w:val="000000" w:themeColor="text1"/>
                <w:szCs w:val="21"/>
                <w:highlight w:val="none"/>
                <w:lang w:val="en-US"/>
                <w14:textFill>
                  <w14:solidFill>
                    <w14:schemeClr w14:val="tx1"/>
                  </w14:solidFill>
                </w14:textFill>
              </w:rPr>
              <w:t>771610</w:t>
            </w:r>
            <w:r>
              <w:rPr>
                <w:rFonts w:hint="eastAsia"/>
                <w:color w:val="000000" w:themeColor="text1"/>
                <w:szCs w:val="21"/>
                <w:highlight w:val="none"/>
                <w14:textFill>
                  <w14:solidFill>
                    <w14:schemeClr w14:val="tx1"/>
                  </w14:solidFill>
                </w14:textFill>
              </w:rPr>
              <w:t>°</w:t>
            </w:r>
          </w:p>
        </w:tc>
        <w:tc>
          <w:tcPr>
            <w:tcW w:w="256" w:type="pct"/>
            <w:vMerge w:val="restart"/>
            <w:noWrap/>
            <w:tcMar>
              <w:left w:w="28" w:type="dxa"/>
              <w:right w:w="28" w:type="dxa"/>
            </w:tcMar>
            <w:vAlign w:val="center"/>
          </w:tcPr>
          <w:p w14:paraId="7916EA28">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334" w:type="pct"/>
            <w:vMerge w:val="restart"/>
            <w:noWrap/>
            <w:tcMar>
              <w:left w:w="28" w:type="dxa"/>
              <w:right w:w="28" w:type="dxa"/>
            </w:tcMar>
            <w:vAlign w:val="center"/>
          </w:tcPr>
          <w:p w14:paraId="0F0924CD">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0.5</w:t>
            </w:r>
          </w:p>
        </w:tc>
      </w:tr>
      <w:tr w14:paraId="5CDC62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2" w:type="pct"/>
            <w:vMerge w:val="continue"/>
            <w:noWrap/>
            <w:tcMar>
              <w:left w:w="28" w:type="dxa"/>
              <w:right w:w="28" w:type="dxa"/>
            </w:tcMar>
            <w:vAlign w:val="center"/>
          </w:tcPr>
          <w:p w14:paraId="09F780CB">
            <w:pPr>
              <w:pStyle w:val="85"/>
              <w:rPr>
                <w:color w:val="000000" w:themeColor="text1"/>
                <w:szCs w:val="21"/>
                <w:highlight w:val="none"/>
                <w:lang w:val="en-US"/>
                <w14:textFill>
                  <w14:solidFill>
                    <w14:schemeClr w14:val="tx1"/>
                  </w14:solidFill>
                </w14:textFill>
              </w:rPr>
            </w:pPr>
          </w:p>
        </w:tc>
        <w:tc>
          <w:tcPr>
            <w:tcW w:w="877" w:type="pct"/>
            <w:vMerge w:val="continue"/>
            <w:noWrap/>
            <w:tcMar>
              <w:left w:w="28" w:type="dxa"/>
              <w:right w:w="28" w:type="dxa"/>
            </w:tcMar>
            <w:vAlign w:val="center"/>
          </w:tcPr>
          <w:p w14:paraId="557FE0F0">
            <w:pPr>
              <w:pStyle w:val="85"/>
              <w:rPr>
                <w:color w:val="000000" w:themeColor="text1"/>
                <w:highlight w:val="none"/>
                <w14:textFill>
                  <w14:solidFill>
                    <w14:schemeClr w14:val="tx1"/>
                  </w14:solidFill>
                </w14:textFill>
              </w:rPr>
            </w:pPr>
          </w:p>
        </w:tc>
        <w:tc>
          <w:tcPr>
            <w:tcW w:w="683" w:type="pct"/>
            <w:tcMar>
              <w:left w:w="28" w:type="dxa"/>
              <w:right w:w="28" w:type="dxa"/>
            </w:tcMar>
            <w:vAlign w:val="center"/>
          </w:tcPr>
          <w:p w14:paraId="46D4CA73">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416" w:type="pct"/>
            <w:vMerge w:val="continue"/>
            <w:tcMar>
              <w:left w:w="28" w:type="dxa"/>
              <w:right w:w="28" w:type="dxa"/>
            </w:tcMar>
            <w:vAlign w:val="center"/>
          </w:tcPr>
          <w:p w14:paraId="79CF4A2F">
            <w:pPr>
              <w:pStyle w:val="85"/>
              <w:rPr>
                <w:color w:val="000000" w:themeColor="text1"/>
                <w:szCs w:val="21"/>
                <w:highlight w:val="none"/>
                <w14:textFill>
                  <w14:solidFill>
                    <w14:schemeClr w14:val="tx1"/>
                  </w14:solidFill>
                </w14:textFill>
              </w:rPr>
            </w:pPr>
          </w:p>
        </w:tc>
        <w:tc>
          <w:tcPr>
            <w:tcW w:w="1402" w:type="dxa"/>
            <w:tcMar>
              <w:left w:w="28" w:type="dxa"/>
              <w:right w:w="28" w:type="dxa"/>
            </w:tcMar>
            <w:vAlign w:val="center"/>
          </w:tcPr>
          <w:p w14:paraId="3444D98B">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0.8005 </w:t>
            </w:r>
          </w:p>
        </w:tc>
        <w:tc>
          <w:tcPr>
            <w:tcW w:w="1120" w:type="dxa"/>
            <w:tcMar>
              <w:left w:w="28" w:type="dxa"/>
              <w:right w:w="28" w:type="dxa"/>
            </w:tcMar>
            <w:vAlign w:val="center"/>
          </w:tcPr>
          <w:p w14:paraId="7E8AA215">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0.0250 </w:t>
            </w:r>
          </w:p>
        </w:tc>
        <w:tc>
          <w:tcPr>
            <w:tcW w:w="1268" w:type="dxa"/>
            <w:tcMar>
              <w:left w:w="28" w:type="dxa"/>
              <w:right w:w="28" w:type="dxa"/>
            </w:tcMar>
            <w:vAlign w:val="center"/>
          </w:tcPr>
          <w:p w14:paraId="01F38A3D">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0.0120 </w:t>
            </w:r>
          </w:p>
        </w:tc>
        <w:tc>
          <w:tcPr>
            <w:tcW w:w="445" w:type="pct"/>
            <w:vMerge w:val="continue"/>
            <w:noWrap/>
            <w:tcMar>
              <w:left w:w="28" w:type="dxa"/>
              <w:right w:w="28" w:type="dxa"/>
            </w:tcMar>
            <w:vAlign w:val="center"/>
          </w:tcPr>
          <w:p w14:paraId="2397B93E">
            <w:pPr>
              <w:pStyle w:val="85"/>
              <w:rPr>
                <w:color w:val="000000" w:themeColor="text1"/>
                <w:szCs w:val="21"/>
                <w:highlight w:val="none"/>
                <w14:textFill>
                  <w14:solidFill>
                    <w14:schemeClr w14:val="tx1"/>
                  </w14:solidFill>
                </w14:textFill>
              </w:rPr>
            </w:pPr>
          </w:p>
        </w:tc>
        <w:tc>
          <w:tcPr>
            <w:tcW w:w="409" w:type="pct"/>
            <w:vMerge w:val="continue"/>
            <w:noWrap/>
            <w:tcMar>
              <w:left w:w="28" w:type="dxa"/>
              <w:right w:w="28" w:type="dxa"/>
            </w:tcMar>
            <w:vAlign w:val="center"/>
          </w:tcPr>
          <w:p w14:paraId="567C35C4">
            <w:pPr>
              <w:pStyle w:val="85"/>
              <w:rPr>
                <w:color w:val="000000" w:themeColor="text1"/>
                <w:szCs w:val="21"/>
                <w:highlight w:val="none"/>
                <w14:textFill>
                  <w14:solidFill>
                    <w14:schemeClr w14:val="tx1"/>
                  </w14:solidFill>
                </w14:textFill>
              </w:rPr>
            </w:pPr>
          </w:p>
        </w:tc>
        <w:tc>
          <w:tcPr>
            <w:tcW w:w="256" w:type="pct"/>
            <w:vMerge w:val="continue"/>
            <w:noWrap/>
            <w:tcMar>
              <w:left w:w="28" w:type="dxa"/>
              <w:right w:w="28" w:type="dxa"/>
            </w:tcMar>
            <w:vAlign w:val="center"/>
          </w:tcPr>
          <w:p w14:paraId="4B5A3A13">
            <w:pPr>
              <w:pStyle w:val="85"/>
              <w:rPr>
                <w:color w:val="000000" w:themeColor="text1"/>
                <w:szCs w:val="21"/>
                <w:highlight w:val="none"/>
                <w14:textFill>
                  <w14:solidFill>
                    <w14:schemeClr w14:val="tx1"/>
                  </w14:solidFill>
                </w14:textFill>
              </w:rPr>
            </w:pPr>
          </w:p>
        </w:tc>
        <w:tc>
          <w:tcPr>
            <w:tcW w:w="334" w:type="pct"/>
            <w:vMerge w:val="continue"/>
            <w:noWrap/>
            <w:tcMar>
              <w:left w:w="28" w:type="dxa"/>
              <w:right w:w="28" w:type="dxa"/>
            </w:tcMar>
            <w:vAlign w:val="center"/>
          </w:tcPr>
          <w:p w14:paraId="772F2D32">
            <w:pPr>
              <w:pStyle w:val="85"/>
              <w:rPr>
                <w:color w:val="000000" w:themeColor="text1"/>
                <w:szCs w:val="21"/>
                <w:highlight w:val="none"/>
                <w14:textFill>
                  <w14:solidFill>
                    <w14:schemeClr w14:val="tx1"/>
                  </w14:solidFill>
                </w14:textFill>
              </w:rPr>
            </w:pPr>
          </w:p>
        </w:tc>
      </w:tr>
      <w:tr w14:paraId="368E4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2" w:type="pct"/>
            <w:vMerge w:val="continue"/>
            <w:noWrap/>
            <w:tcMar>
              <w:left w:w="28" w:type="dxa"/>
              <w:right w:w="28" w:type="dxa"/>
            </w:tcMar>
            <w:vAlign w:val="center"/>
          </w:tcPr>
          <w:p w14:paraId="361CA149">
            <w:pPr>
              <w:pStyle w:val="85"/>
              <w:rPr>
                <w:color w:val="000000" w:themeColor="text1"/>
                <w:szCs w:val="21"/>
                <w:highlight w:val="none"/>
                <w:lang w:val="en-US"/>
                <w14:textFill>
                  <w14:solidFill>
                    <w14:schemeClr w14:val="tx1"/>
                  </w14:solidFill>
                </w14:textFill>
              </w:rPr>
            </w:pPr>
          </w:p>
        </w:tc>
        <w:tc>
          <w:tcPr>
            <w:tcW w:w="877" w:type="pct"/>
            <w:vMerge w:val="continue"/>
            <w:noWrap/>
            <w:tcMar>
              <w:left w:w="28" w:type="dxa"/>
              <w:right w:w="28" w:type="dxa"/>
            </w:tcMar>
            <w:vAlign w:val="center"/>
          </w:tcPr>
          <w:p w14:paraId="097AD790">
            <w:pPr>
              <w:pStyle w:val="85"/>
              <w:rPr>
                <w:color w:val="000000" w:themeColor="text1"/>
                <w:highlight w:val="none"/>
                <w14:textFill>
                  <w14:solidFill>
                    <w14:schemeClr w14:val="tx1"/>
                  </w14:solidFill>
                </w14:textFill>
              </w:rPr>
            </w:pPr>
          </w:p>
        </w:tc>
        <w:tc>
          <w:tcPr>
            <w:tcW w:w="683" w:type="pct"/>
            <w:tcMar>
              <w:left w:w="28" w:type="dxa"/>
              <w:right w:w="28" w:type="dxa"/>
            </w:tcMar>
            <w:vAlign w:val="center"/>
          </w:tcPr>
          <w:p w14:paraId="27834C8E">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416" w:type="pct"/>
            <w:vMerge w:val="continue"/>
            <w:tcMar>
              <w:left w:w="28" w:type="dxa"/>
              <w:right w:w="28" w:type="dxa"/>
            </w:tcMar>
            <w:vAlign w:val="center"/>
          </w:tcPr>
          <w:p w14:paraId="516BDE94">
            <w:pPr>
              <w:pStyle w:val="85"/>
              <w:rPr>
                <w:color w:val="000000" w:themeColor="text1"/>
                <w:szCs w:val="21"/>
                <w:highlight w:val="none"/>
                <w14:textFill>
                  <w14:solidFill>
                    <w14:schemeClr w14:val="tx1"/>
                  </w14:solidFill>
                </w14:textFill>
              </w:rPr>
            </w:pPr>
          </w:p>
        </w:tc>
        <w:tc>
          <w:tcPr>
            <w:tcW w:w="1402" w:type="dxa"/>
            <w:tcMar>
              <w:left w:w="28" w:type="dxa"/>
              <w:right w:w="28" w:type="dxa"/>
            </w:tcMar>
            <w:vAlign w:val="center"/>
          </w:tcPr>
          <w:p w14:paraId="7E03042B">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0.1298 </w:t>
            </w:r>
          </w:p>
        </w:tc>
        <w:tc>
          <w:tcPr>
            <w:tcW w:w="1120" w:type="dxa"/>
            <w:tcMar>
              <w:left w:w="28" w:type="dxa"/>
              <w:right w:w="28" w:type="dxa"/>
            </w:tcMar>
            <w:vAlign w:val="center"/>
          </w:tcPr>
          <w:p w14:paraId="259BDFBE">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0.0041 </w:t>
            </w:r>
          </w:p>
        </w:tc>
        <w:tc>
          <w:tcPr>
            <w:tcW w:w="1268" w:type="dxa"/>
            <w:tcMar>
              <w:left w:w="28" w:type="dxa"/>
              <w:right w:w="28" w:type="dxa"/>
            </w:tcMar>
            <w:vAlign w:val="center"/>
          </w:tcPr>
          <w:p w14:paraId="4596D7F3">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0.0019 </w:t>
            </w:r>
          </w:p>
        </w:tc>
        <w:tc>
          <w:tcPr>
            <w:tcW w:w="445" w:type="pct"/>
            <w:vMerge w:val="continue"/>
            <w:noWrap/>
            <w:tcMar>
              <w:left w:w="28" w:type="dxa"/>
              <w:right w:w="28" w:type="dxa"/>
            </w:tcMar>
            <w:vAlign w:val="center"/>
          </w:tcPr>
          <w:p w14:paraId="32389927">
            <w:pPr>
              <w:pStyle w:val="85"/>
              <w:rPr>
                <w:color w:val="000000" w:themeColor="text1"/>
                <w:szCs w:val="21"/>
                <w:highlight w:val="none"/>
                <w14:textFill>
                  <w14:solidFill>
                    <w14:schemeClr w14:val="tx1"/>
                  </w14:solidFill>
                </w14:textFill>
              </w:rPr>
            </w:pPr>
          </w:p>
        </w:tc>
        <w:tc>
          <w:tcPr>
            <w:tcW w:w="409" w:type="pct"/>
            <w:vMerge w:val="continue"/>
            <w:noWrap/>
            <w:tcMar>
              <w:left w:w="28" w:type="dxa"/>
              <w:right w:w="28" w:type="dxa"/>
            </w:tcMar>
            <w:vAlign w:val="center"/>
          </w:tcPr>
          <w:p w14:paraId="1C435A16">
            <w:pPr>
              <w:pStyle w:val="85"/>
              <w:rPr>
                <w:color w:val="000000" w:themeColor="text1"/>
                <w:szCs w:val="21"/>
                <w:highlight w:val="none"/>
                <w14:textFill>
                  <w14:solidFill>
                    <w14:schemeClr w14:val="tx1"/>
                  </w14:solidFill>
                </w14:textFill>
              </w:rPr>
            </w:pPr>
          </w:p>
        </w:tc>
        <w:tc>
          <w:tcPr>
            <w:tcW w:w="256" w:type="pct"/>
            <w:vMerge w:val="continue"/>
            <w:noWrap/>
            <w:tcMar>
              <w:left w:w="28" w:type="dxa"/>
              <w:right w:w="28" w:type="dxa"/>
            </w:tcMar>
            <w:vAlign w:val="center"/>
          </w:tcPr>
          <w:p w14:paraId="5D4E9EC5">
            <w:pPr>
              <w:pStyle w:val="85"/>
              <w:rPr>
                <w:color w:val="000000" w:themeColor="text1"/>
                <w:szCs w:val="21"/>
                <w:highlight w:val="none"/>
                <w14:textFill>
                  <w14:solidFill>
                    <w14:schemeClr w14:val="tx1"/>
                  </w14:solidFill>
                </w14:textFill>
              </w:rPr>
            </w:pPr>
          </w:p>
        </w:tc>
        <w:tc>
          <w:tcPr>
            <w:tcW w:w="334" w:type="pct"/>
            <w:vMerge w:val="continue"/>
            <w:noWrap/>
            <w:tcMar>
              <w:left w:w="28" w:type="dxa"/>
              <w:right w:w="28" w:type="dxa"/>
            </w:tcMar>
            <w:vAlign w:val="center"/>
          </w:tcPr>
          <w:p w14:paraId="755CA466">
            <w:pPr>
              <w:pStyle w:val="85"/>
              <w:rPr>
                <w:color w:val="000000" w:themeColor="text1"/>
                <w:szCs w:val="21"/>
                <w:highlight w:val="none"/>
                <w14:textFill>
                  <w14:solidFill>
                    <w14:schemeClr w14:val="tx1"/>
                  </w14:solidFill>
                </w14:textFill>
              </w:rPr>
            </w:pPr>
          </w:p>
        </w:tc>
      </w:tr>
    </w:tbl>
    <w:p w14:paraId="5F451AF7">
      <w:pPr>
        <w:spacing w:line="360" w:lineRule="auto"/>
        <w:jc w:val="center"/>
        <w:rPr>
          <w:b/>
          <w:color w:val="000000" w:themeColor="text1"/>
          <w:sz w:val="24"/>
          <w:highlight w:val="none"/>
          <w14:textFill>
            <w14:solidFill>
              <w14:schemeClr w14:val="tx1"/>
            </w14:solidFill>
          </w14:textFill>
        </w:rPr>
      </w:pPr>
    </w:p>
    <w:p w14:paraId="260FCE9B">
      <w:pP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br w:type="page"/>
      </w:r>
    </w:p>
    <w:p w14:paraId="4D7A15F2">
      <w:pPr>
        <w:spacing w:line="360" w:lineRule="auto"/>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表4</w:t>
      </w:r>
      <w:r>
        <w:rPr>
          <w:rFonts w:hint="eastAsia"/>
          <w:b/>
          <w:color w:val="000000" w:themeColor="text1"/>
          <w:sz w:val="24"/>
          <w:highlight w:val="none"/>
          <w14:textFill>
            <w14:solidFill>
              <w14:schemeClr w14:val="tx1"/>
            </w14:solidFill>
          </w14:textFill>
        </w:rPr>
        <w:t>.2-10</w:t>
      </w:r>
      <w:r>
        <w:rPr>
          <w:b/>
          <w:color w:val="000000" w:themeColor="text1"/>
          <w:sz w:val="24"/>
          <w:highlight w:val="none"/>
          <w14:textFill>
            <w14:solidFill>
              <w14:schemeClr w14:val="tx1"/>
            </w14:solidFill>
          </w14:textFill>
        </w:rPr>
        <w:t xml:space="preserve"> </w:t>
      </w:r>
      <w:r>
        <w:rPr>
          <w:rFonts w:hint="eastAsia"/>
          <w:b/>
          <w:color w:val="000000" w:themeColor="text1"/>
          <w:sz w:val="24"/>
          <w:highlight w:val="none"/>
          <w:lang w:eastAsia="zh-CN"/>
          <w14:textFill>
            <w14:solidFill>
              <w14:schemeClr w14:val="tx1"/>
            </w14:solidFill>
          </w14:textFill>
        </w:rPr>
        <w:t>扩建</w:t>
      </w:r>
      <w:r>
        <w:rPr>
          <w:b/>
          <w:color w:val="000000" w:themeColor="text1"/>
          <w:sz w:val="24"/>
          <w:highlight w:val="none"/>
          <w14:textFill>
            <w14:solidFill>
              <w14:schemeClr w14:val="tx1"/>
            </w14:solidFill>
          </w14:textFill>
        </w:rPr>
        <w:t>项目废气环保措施可行性分析表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1540"/>
        <w:gridCol w:w="2339"/>
        <w:gridCol w:w="1292"/>
        <w:gridCol w:w="3113"/>
        <w:gridCol w:w="1986"/>
        <w:gridCol w:w="1665"/>
      </w:tblGrid>
      <w:tr w14:paraId="72627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03" w:type="pct"/>
            <w:vMerge w:val="restart"/>
            <w:vAlign w:val="center"/>
          </w:tcPr>
          <w:p w14:paraId="7DCCC13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w:t>
            </w:r>
          </w:p>
        </w:tc>
        <w:tc>
          <w:tcPr>
            <w:tcW w:w="541" w:type="pct"/>
            <w:vMerge w:val="restart"/>
            <w:vAlign w:val="center"/>
          </w:tcPr>
          <w:p w14:paraId="3983E60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污染物产生</w:t>
            </w:r>
          </w:p>
          <w:p w14:paraId="7349BEC2">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设施/工艺环节</w:t>
            </w:r>
          </w:p>
        </w:tc>
        <w:tc>
          <w:tcPr>
            <w:tcW w:w="822" w:type="pct"/>
            <w:vMerge w:val="restart"/>
            <w:vAlign w:val="center"/>
          </w:tcPr>
          <w:p w14:paraId="483A686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污染物种类</w:t>
            </w:r>
          </w:p>
        </w:tc>
        <w:tc>
          <w:tcPr>
            <w:tcW w:w="454" w:type="pct"/>
            <w:vMerge w:val="restart"/>
            <w:vAlign w:val="center"/>
          </w:tcPr>
          <w:p w14:paraId="2083C86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排放形式</w:t>
            </w:r>
          </w:p>
        </w:tc>
        <w:tc>
          <w:tcPr>
            <w:tcW w:w="1792" w:type="pct"/>
            <w:gridSpan w:val="2"/>
            <w:vAlign w:val="center"/>
          </w:tcPr>
          <w:p w14:paraId="2D992B44">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污染防治设施</w:t>
            </w:r>
          </w:p>
        </w:tc>
        <w:tc>
          <w:tcPr>
            <w:tcW w:w="585" w:type="pct"/>
            <w:vMerge w:val="restart"/>
            <w:vAlign w:val="center"/>
          </w:tcPr>
          <w:p w14:paraId="5E897EE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排放口类型</w:t>
            </w:r>
          </w:p>
        </w:tc>
      </w:tr>
      <w:tr w14:paraId="22219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03" w:type="pct"/>
            <w:vMerge w:val="continue"/>
            <w:vAlign w:val="center"/>
          </w:tcPr>
          <w:p w14:paraId="1A7B758D">
            <w:pPr>
              <w:adjustRightInd w:val="0"/>
              <w:snapToGrid w:val="0"/>
              <w:jc w:val="center"/>
              <w:rPr>
                <w:color w:val="000000" w:themeColor="text1"/>
                <w:szCs w:val="21"/>
                <w:highlight w:val="none"/>
                <w14:textFill>
                  <w14:solidFill>
                    <w14:schemeClr w14:val="tx1"/>
                  </w14:solidFill>
                </w14:textFill>
              </w:rPr>
            </w:pPr>
          </w:p>
        </w:tc>
        <w:tc>
          <w:tcPr>
            <w:tcW w:w="541" w:type="pct"/>
            <w:vMerge w:val="continue"/>
            <w:vAlign w:val="center"/>
          </w:tcPr>
          <w:p w14:paraId="4BF78022">
            <w:pPr>
              <w:adjustRightInd w:val="0"/>
              <w:snapToGrid w:val="0"/>
              <w:jc w:val="center"/>
              <w:rPr>
                <w:color w:val="000000" w:themeColor="text1"/>
                <w:szCs w:val="21"/>
                <w:highlight w:val="none"/>
                <w14:textFill>
                  <w14:solidFill>
                    <w14:schemeClr w14:val="tx1"/>
                  </w14:solidFill>
                </w14:textFill>
              </w:rPr>
            </w:pPr>
          </w:p>
        </w:tc>
        <w:tc>
          <w:tcPr>
            <w:tcW w:w="822" w:type="pct"/>
            <w:vMerge w:val="continue"/>
            <w:vAlign w:val="center"/>
          </w:tcPr>
          <w:p w14:paraId="1B1F1309">
            <w:pPr>
              <w:adjustRightInd w:val="0"/>
              <w:snapToGrid w:val="0"/>
              <w:jc w:val="center"/>
              <w:rPr>
                <w:color w:val="000000" w:themeColor="text1"/>
                <w:szCs w:val="21"/>
                <w:highlight w:val="none"/>
                <w14:textFill>
                  <w14:solidFill>
                    <w14:schemeClr w14:val="tx1"/>
                  </w14:solidFill>
                </w14:textFill>
              </w:rPr>
            </w:pPr>
          </w:p>
        </w:tc>
        <w:tc>
          <w:tcPr>
            <w:tcW w:w="454" w:type="pct"/>
            <w:vMerge w:val="continue"/>
            <w:vAlign w:val="center"/>
          </w:tcPr>
          <w:p w14:paraId="398D0BDC">
            <w:pPr>
              <w:adjustRightInd w:val="0"/>
              <w:snapToGrid w:val="0"/>
              <w:jc w:val="center"/>
              <w:rPr>
                <w:color w:val="000000" w:themeColor="text1"/>
                <w:szCs w:val="21"/>
                <w:highlight w:val="none"/>
                <w14:textFill>
                  <w14:solidFill>
                    <w14:schemeClr w14:val="tx1"/>
                  </w14:solidFill>
                </w14:textFill>
              </w:rPr>
            </w:pPr>
          </w:p>
        </w:tc>
        <w:tc>
          <w:tcPr>
            <w:tcW w:w="1094" w:type="pct"/>
            <w:vAlign w:val="center"/>
          </w:tcPr>
          <w:p w14:paraId="2351E87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污染防治设施名称及工艺</w:t>
            </w:r>
          </w:p>
        </w:tc>
        <w:tc>
          <w:tcPr>
            <w:tcW w:w="697" w:type="pct"/>
            <w:vAlign w:val="center"/>
          </w:tcPr>
          <w:p w14:paraId="6C31BD42">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是否为可行技术</w:t>
            </w:r>
          </w:p>
        </w:tc>
        <w:tc>
          <w:tcPr>
            <w:tcW w:w="585" w:type="pct"/>
            <w:vMerge w:val="continue"/>
            <w:vAlign w:val="center"/>
          </w:tcPr>
          <w:p w14:paraId="1F71A283">
            <w:pPr>
              <w:adjustRightInd w:val="0"/>
              <w:snapToGrid w:val="0"/>
              <w:jc w:val="center"/>
              <w:rPr>
                <w:color w:val="000000" w:themeColor="text1"/>
                <w:szCs w:val="21"/>
                <w:highlight w:val="none"/>
                <w14:textFill>
                  <w14:solidFill>
                    <w14:schemeClr w14:val="tx1"/>
                  </w14:solidFill>
                </w14:textFill>
              </w:rPr>
            </w:pPr>
          </w:p>
        </w:tc>
      </w:tr>
      <w:tr w14:paraId="3BECF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pct"/>
            <w:vMerge w:val="restart"/>
            <w:vAlign w:val="center"/>
          </w:tcPr>
          <w:p w14:paraId="4883495B">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《排污许可证申请与核发技术规范 </w:t>
            </w:r>
            <w:r>
              <w:rPr>
                <w:rFonts w:hint="eastAsia"/>
                <w:color w:val="000000" w:themeColor="text1"/>
                <w:szCs w:val="21"/>
                <w:highlight w:val="none"/>
                <w14:textFill>
                  <w14:solidFill>
                    <w14:schemeClr w14:val="tx1"/>
                  </w14:solidFill>
                </w14:textFill>
              </w:rPr>
              <w:t>家具制造</w:t>
            </w:r>
            <w:r>
              <w:rPr>
                <w:color w:val="000000" w:themeColor="text1"/>
                <w:szCs w:val="21"/>
                <w:highlight w:val="none"/>
                <w14:textFill>
                  <w14:solidFill>
                    <w14:schemeClr w14:val="tx1"/>
                  </w14:solidFill>
                </w14:textFill>
              </w:rPr>
              <w:t>工业》（HJ</w:t>
            </w:r>
            <w:r>
              <w:rPr>
                <w:rFonts w:hint="eastAsia"/>
                <w:color w:val="000000" w:themeColor="text1"/>
                <w:szCs w:val="21"/>
                <w:highlight w:val="none"/>
                <w14:textFill>
                  <w14:solidFill>
                    <w14:schemeClr w14:val="tx1"/>
                  </w14:solidFill>
                </w14:textFill>
              </w:rPr>
              <w:t>1027</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19</w:t>
            </w:r>
            <w:r>
              <w:rPr>
                <w:color w:val="000000" w:themeColor="text1"/>
                <w:szCs w:val="21"/>
                <w:highlight w:val="none"/>
                <w14:textFill>
                  <w14:solidFill>
                    <w14:schemeClr w14:val="tx1"/>
                  </w14:solidFill>
                </w14:textFill>
              </w:rPr>
              <w:t>）</w:t>
            </w:r>
          </w:p>
        </w:tc>
        <w:tc>
          <w:tcPr>
            <w:tcW w:w="541" w:type="pct"/>
            <w:vAlign w:val="center"/>
          </w:tcPr>
          <w:p w14:paraId="461B05DE">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木工车间废气</w:t>
            </w:r>
          </w:p>
          <w:p w14:paraId="3A9BBB06">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（砂光机）</w:t>
            </w:r>
          </w:p>
        </w:tc>
        <w:tc>
          <w:tcPr>
            <w:tcW w:w="822" w:type="pct"/>
            <w:vAlign w:val="center"/>
          </w:tcPr>
          <w:p w14:paraId="6A7C5F82">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454" w:type="pct"/>
            <w:vAlign w:val="center"/>
          </w:tcPr>
          <w:p w14:paraId="4E1FB95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p w14:paraId="0EA16866">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w:t>
            </w:r>
          </w:p>
        </w:tc>
        <w:tc>
          <w:tcPr>
            <w:tcW w:w="1094" w:type="pct"/>
            <w:vAlign w:val="center"/>
          </w:tcPr>
          <w:p w14:paraId="5C808303">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袋式除尘、中央除尘系统、负压舱、其他</w:t>
            </w:r>
          </w:p>
        </w:tc>
        <w:tc>
          <w:tcPr>
            <w:tcW w:w="697" w:type="pct"/>
            <w:vMerge w:val="restart"/>
            <w:vAlign w:val="center"/>
          </w:tcPr>
          <w:p w14:paraId="27B97E5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w:t>
            </w:r>
          </w:p>
          <w:p w14:paraId="42FCC144">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□否</w:t>
            </w:r>
          </w:p>
        </w:tc>
        <w:tc>
          <w:tcPr>
            <w:tcW w:w="585" w:type="pct"/>
            <w:vAlign w:val="center"/>
          </w:tcPr>
          <w:p w14:paraId="4BEA22E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一般排放口</w:t>
            </w:r>
          </w:p>
        </w:tc>
      </w:tr>
      <w:tr w14:paraId="494C9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pct"/>
            <w:vMerge w:val="continue"/>
            <w:vAlign w:val="center"/>
          </w:tcPr>
          <w:p w14:paraId="3B75AF1D">
            <w:pPr>
              <w:adjustRightInd w:val="0"/>
              <w:snapToGrid w:val="0"/>
              <w:jc w:val="center"/>
              <w:rPr>
                <w:color w:val="000000" w:themeColor="text1"/>
                <w:szCs w:val="21"/>
                <w:highlight w:val="none"/>
                <w14:textFill>
                  <w14:solidFill>
                    <w14:schemeClr w14:val="tx1"/>
                  </w14:solidFill>
                </w14:textFill>
              </w:rPr>
            </w:pPr>
          </w:p>
        </w:tc>
        <w:tc>
          <w:tcPr>
            <w:tcW w:w="541" w:type="pct"/>
            <w:vAlign w:val="center"/>
          </w:tcPr>
          <w:p w14:paraId="2538B6BF">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木工车间废气</w:t>
            </w:r>
          </w:p>
          <w:p w14:paraId="4651F31D">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（封边机、指接机、拼板机）</w:t>
            </w:r>
          </w:p>
        </w:tc>
        <w:tc>
          <w:tcPr>
            <w:tcW w:w="822" w:type="pct"/>
            <w:vAlign w:val="center"/>
          </w:tcPr>
          <w:p w14:paraId="2E6E33C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挥发性有机物</w:t>
            </w:r>
          </w:p>
        </w:tc>
        <w:tc>
          <w:tcPr>
            <w:tcW w:w="454" w:type="pct"/>
            <w:vAlign w:val="center"/>
          </w:tcPr>
          <w:p w14:paraId="1E8EE1FE">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p w14:paraId="5AD0162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w:t>
            </w:r>
          </w:p>
        </w:tc>
        <w:tc>
          <w:tcPr>
            <w:tcW w:w="1094" w:type="pct"/>
            <w:vAlign w:val="center"/>
          </w:tcPr>
          <w:p w14:paraId="7CF6FC94">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活性炭吸附、浓缩+燃烧/催化氧化、其他</w:t>
            </w:r>
          </w:p>
        </w:tc>
        <w:tc>
          <w:tcPr>
            <w:tcW w:w="697" w:type="pct"/>
            <w:vMerge w:val="continue"/>
            <w:vAlign w:val="center"/>
          </w:tcPr>
          <w:p w14:paraId="1B5F85C7">
            <w:pPr>
              <w:adjustRightInd w:val="0"/>
              <w:snapToGrid w:val="0"/>
              <w:jc w:val="center"/>
              <w:rPr>
                <w:color w:val="000000" w:themeColor="text1"/>
                <w:szCs w:val="21"/>
                <w:highlight w:val="none"/>
                <w14:textFill>
                  <w14:solidFill>
                    <w14:schemeClr w14:val="tx1"/>
                  </w14:solidFill>
                </w14:textFill>
              </w:rPr>
            </w:pPr>
          </w:p>
        </w:tc>
        <w:tc>
          <w:tcPr>
            <w:tcW w:w="585" w:type="pct"/>
            <w:vAlign w:val="center"/>
          </w:tcPr>
          <w:p w14:paraId="0640459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一般排放口</w:t>
            </w:r>
          </w:p>
        </w:tc>
      </w:tr>
      <w:tr w14:paraId="055D6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3" w:type="pct"/>
            <w:vAlign w:val="center"/>
          </w:tcPr>
          <w:p w14:paraId="1329E305">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lang w:eastAsia="zh-CN"/>
                <w14:textFill>
                  <w14:solidFill>
                    <w14:schemeClr w14:val="tx1"/>
                  </w14:solidFill>
                </w14:textFill>
              </w:rPr>
              <w:t>扩建</w:t>
            </w:r>
            <w:r>
              <w:rPr>
                <w:rFonts w:ascii="Times New Roman" w:eastAsia="宋体" w:cs="Times New Roman"/>
                <w:color w:val="000000" w:themeColor="text1"/>
                <w:kern w:val="2"/>
                <w:sz w:val="21"/>
                <w:szCs w:val="21"/>
                <w:highlight w:val="none"/>
                <w14:textFill>
                  <w14:solidFill>
                    <w14:schemeClr w14:val="tx1"/>
                  </w14:solidFill>
                </w14:textFill>
              </w:rPr>
              <w:t>项目</w:t>
            </w:r>
          </w:p>
        </w:tc>
        <w:tc>
          <w:tcPr>
            <w:tcW w:w="541" w:type="pct"/>
            <w:vAlign w:val="center"/>
          </w:tcPr>
          <w:p w14:paraId="0EB82605">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w:t>
            </w:r>
            <w:r>
              <w:rPr>
                <w:rFonts w:hint="eastAsia"/>
                <w:color w:val="000000" w:themeColor="text1"/>
                <w:szCs w:val="21"/>
                <w:highlight w:val="none"/>
                <w:lang w:eastAsia="zh-CN"/>
                <w14:textFill>
                  <w14:solidFill>
                    <w14:schemeClr w14:val="tx1"/>
                  </w14:solidFill>
                </w14:textFill>
              </w:rPr>
              <w:t>区</w:t>
            </w:r>
            <w:r>
              <w:rPr>
                <w:rFonts w:hint="eastAsia"/>
                <w:color w:val="000000" w:themeColor="text1"/>
                <w:szCs w:val="21"/>
                <w:highlight w:val="none"/>
                <w14:textFill>
                  <w14:solidFill>
                    <w14:schemeClr w14:val="tx1"/>
                  </w14:solidFill>
                </w14:textFill>
              </w:rPr>
              <w:t>废气</w:t>
            </w:r>
          </w:p>
        </w:tc>
        <w:tc>
          <w:tcPr>
            <w:tcW w:w="822" w:type="pct"/>
            <w:vAlign w:val="center"/>
          </w:tcPr>
          <w:p w14:paraId="7F1F70A5">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颗粒物</w:t>
            </w:r>
          </w:p>
        </w:tc>
        <w:tc>
          <w:tcPr>
            <w:tcW w:w="454" w:type="pct"/>
            <w:vAlign w:val="center"/>
          </w:tcPr>
          <w:p w14:paraId="170B80BE">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有组织</w:t>
            </w:r>
          </w:p>
        </w:tc>
        <w:tc>
          <w:tcPr>
            <w:tcW w:w="1094" w:type="pct"/>
            <w:vAlign w:val="center"/>
          </w:tcPr>
          <w:p w14:paraId="1479BC65">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集气设备+布袋除尘设备+15m排气筒（DA001）</w:t>
            </w:r>
          </w:p>
        </w:tc>
        <w:tc>
          <w:tcPr>
            <w:tcW w:w="697" w:type="pct"/>
            <w:vMerge w:val="continue"/>
            <w:vAlign w:val="center"/>
          </w:tcPr>
          <w:p w14:paraId="1F561E9E">
            <w:pPr>
              <w:adjustRightInd w:val="0"/>
              <w:snapToGrid w:val="0"/>
              <w:jc w:val="center"/>
              <w:rPr>
                <w:color w:val="000000" w:themeColor="text1"/>
                <w:szCs w:val="21"/>
                <w:highlight w:val="none"/>
                <w14:textFill>
                  <w14:solidFill>
                    <w14:schemeClr w14:val="tx1"/>
                  </w14:solidFill>
                </w14:textFill>
              </w:rPr>
            </w:pPr>
          </w:p>
        </w:tc>
        <w:tc>
          <w:tcPr>
            <w:tcW w:w="585" w:type="pct"/>
            <w:vAlign w:val="center"/>
          </w:tcPr>
          <w:p w14:paraId="0962AA2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一般排放口</w:t>
            </w:r>
          </w:p>
        </w:tc>
      </w:tr>
      <w:tr w14:paraId="6510A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3" w:type="pct"/>
            <w:vAlign w:val="center"/>
          </w:tcPr>
          <w:p w14:paraId="517C2591">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 xml:space="preserve">《排污许可证申请与核发技术规范 </w:t>
            </w:r>
            <w:r>
              <w:rPr>
                <w:rFonts w:hint="eastAsia" w:ascii="Times New Roman" w:eastAsia="宋体" w:cs="Times New Roman"/>
                <w:color w:val="000000" w:themeColor="text1"/>
                <w:kern w:val="2"/>
                <w:sz w:val="21"/>
                <w:szCs w:val="21"/>
                <w:highlight w:val="none"/>
                <w14:textFill>
                  <w14:solidFill>
                    <w14:schemeClr w14:val="tx1"/>
                  </w14:solidFill>
                </w14:textFill>
              </w:rPr>
              <w:t>家具制造</w:t>
            </w:r>
            <w:r>
              <w:rPr>
                <w:rFonts w:ascii="Times New Roman" w:eastAsia="宋体" w:cs="Times New Roman"/>
                <w:color w:val="000000" w:themeColor="text1"/>
                <w:kern w:val="2"/>
                <w:sz w:val="21"/>
                <w:szCs w:val="21"/>
                <w:highlight w:val="none"/>
                <w14:textFill>
                  <w14:solidFill>
                    <w14:schemeClr w14:val="tx1"/>
                  </w14:solidFill>
                </w14:textFill>
              </w:rPr>
              <w:t>工业》（HJ</w:t>
            </w:r>
            <w:r>
              <w:rPr>
                <w:rFonts w:hint="eastAsia" w:ascii="Times New Roman" w:eastAsia="宋体" w:cs="Times New Roman"/>
                <w:color w:val="000000" w:themeColor="text1"/>
                <w:kern w:val="2"/>
                <w:sz w:val="21"/>
                <w:szCs w:val="21"/>
                <w:highlight w:val="none"/>
                <w14:textFill>
                  <w14:solidFill>
                    <w14:schemeClr w14:val="tx1"/>
                  </w14:solidFill>
                </w14:textFill>
              </w:rPr>
              <w:t>1027</w:t>
            </w:r>
            <w:r>
              <w:rPr>
                <w:rFonts w:ascii="Times New Roman" w:eastAsia="宋体" w:cs="Times New Roman"/>
                <w:color w:val="000000" w:themeColor="text1"/>
                <w:kern w:val="2"/>
                <w:sz w:val="21"/>
                <w:szCs w:val="21"/>
                <w:highlight w:val="none"/>
                <w14:textFill>
                  <w14:solidFill>
                    <w14:schemeClr w14:val="tx1"/>
                  </w14:solidFill>
                </w14:textFill>
              </w:rPr>
              <w:t>-20</w:t>
            </w:r>
            <w:r>
              <w:rPr>
                <w:rFonts w:hint="eastAsia" w:ascii="Times New Roman" w:eastAsia="宋体" w:cs="Times New Roman"/>
                <w:color w:val="000000" w:themeColor="text1"/>
                <w:kern w:val="2"/>
                <w:sz w:val="21"/>
                <w:szCs w:val="21"/>
                <w:highlight w:val="none"/>
                <w14:textFill>
                  <w14:solidFill>
                    <w14:schemeClr w14:val="tx1"/>
                  </w14:solidFill>
                </w14:textFill>
              </w:rPr>
              <w:t>19</w:t>
            </w:r>
            <w:r>
              <w:rPr>
                <w:rFonts w:ascii="Times New Roman" w:eastAsia="宋体" w:cs="Times New Roman"/>
                <w:color w:val="000000" w:themeColor="text1"/>
                <w:kern w:val="2"/>
                <w:sz w:val="21"/>
                <w:szCs w:val="21"/>
                <w:highlight w:val="none"/>
                <w14:textFill>
                  <w14:solidFill>
                    <w14:schemeClr w14:val="tx1"/>
                  </w14:solidFill>
                </w14:textFill>
              </w:rPr>
              <w:t>）</w:t>
            </w:r>
          </w:p>
        </w:tc>
        <w:tc>
          <w:tcPr>
            <w:tcW w:w="541" w:type="pct"/>
            <w:vAlign w:val="center"/>
          </w:tcPr>
          <w:p w14:paraId="2DD78AA9">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喷漆废气、浸涂废气、干燥废气</w:t>
            </w:r>
          </w:p>
          <w:p w14:paraId="26245DFC">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（底漆房、面漆房、喷漆枪、干燥室/烘干室等）</w:t>
            </w:r>
          </w:p>
        </w:tc>
        <w:tc>
          <w:tcPr>
            <w:tcW w:w="822" w:type="pct"/>
            <w:vAlign w:val="center"/>
          </w:tcPr>
          <w:p w14:paraId="6241AE78">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挥发性有机物、苯、甲苯、二甲苯、颗粒物、特征污染物</w:t>
            </w:r>
          </w:p>
        </w:tc>
        <w:tc>
          <w:tcPr>
            <w:tcW w:w="454" w:type="pct"/>
            <w:vAlign w:val="center"/>
          </w:tcPr>
          <w:p w14:paraId="20E85332">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有组织</w:t>
            </w:r>
          </w:p>
          <w:p w14:paraId="33DC8425">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无组织</w:t>
            </w:r>
          </w:p>
        </w:tc>
        <w:tc>
          <w:tcPr>
            <w:tcW w:w="1094" w:type="pct"/>
            <w:vAlign w:val="center"/>
          </w:tcPr>
          <w:p w14:paraId="61716E0D">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集气设施或密闭车间、干式过滤棉/过滤箱、旋风除尘、活性炭吸附、浓缩+燃烧/催化氧化、其他</w:t>
            </w:r>
          </w:p>
        </w:tc>
        <w:tc>
          <w:tcPr>
            <w:tcW w:w="697" w:type="pct"/>
            <w:vMerge w:val="restart"/>
            <w:vAlign w:val="center"/>
          </w:tcPr>
          <w:p w14:paraId="2C8393D8">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√是</w:t>
            </w:r>
          </w:p>
          <w:p w14:paraId="0F8B5439">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□否</w:t>
            </w:r>
          </w:p>
        </w:tc>
        <w:tc>
          <w:tcPr>
            <w:tcW w:w="585" w:type="pct"/>
            <w:vAlign w:val="center"/>
          </w:tcPr>
          <w:p w14:paraId="63AA2C92">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一般排放口</w:t>
            </w:r>
          </w:p>
        </w:tc>
      </w:tr>
      <w:tr w14:paraId="597D5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3" w:type="pct"/>
            <w:vAlign w:val="center"/>
          </w:tcPr>
          <w:p w14:paraId="1BC5BC15">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lang w:eastAsia="zh-CN"/>
                <w14:textFill>
                  <w14:solidFill>
                    <w14:schemeClr w14:val="tx1"/>
                  </w14:solidFill>
                </w14:textFill>
              </w:rPr>
              <w:t>扩建</w:t>
            </w:r>
            <w:r>
              <w:rPr>
                <w:rFonts w:ascii="Times New Roman" w:eastAsia="宋体" w:cs="Times New Roman"/>
                <w:color w:val="000000" w:themeColor="text1"/>
                <w:kern w:val="2"/>
                <w:sz w:val="21"/>
                <w:szCs w:val="21"/>
                <w:highlight w:val="none"/>
                <w14:textFill>
                  <w14:solidFill>
                    <w14:schemeClr w14:val="tx1"/>
                  </w14:solidFill>
                </w14:textFill>
              </w:rPr>
              <w:t>项目</w:t>
            </w:r>
          </w:p>
        </w:tc>
        <w:tc>
          <w:tcPr>
            <w:tcW w:w="541" w:type="pct"/>
            <w:vAlign w:val="center"/>
          </w:tcPr>
          <w:p w14:paraId="659190FB">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喷漆废气、干燥废气</w:t>
            </w:r>
          </w:p>
          <w:p w14:paraId="4DA9A6CB">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（底漆房、面漆房、喷漆枪、干燥室/烘干室等）</w:t>
            </w:r>
          </w:p>
          <w:p w14:paraId="049AF9B0">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p>
        </w:tc>
        <w:tc>
          <w:tcPr>
            <w:tcW w:w="822" w:type="pct"/>
            <w:vAlign w:val="center"/>
          </w:tcPr>
          <w:p w14:paraId="35C22104">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挥发性有机物</w:t>
            </w:r>
            <w:r>
              <w:rPr>
                <w:rFonts w:hint="eastAsia" w:ascii="Times New Roman" w:eastAsia="宋体" w:cs="Times New Roman"/>
                <w:color w:val="000000" w:themeColor="text1"/>
                <w:kern w:val="2"/>
                <w:sz w:val="21"/>
                <w:szCs w:val="21"/>
                <w:highlight w:val="none"/>
                <w14:textFill>
                  <w14:solidFill>
                    <w14:schemeClr w14:val="tx1"/>
                  </w14:solidFill>
                </w14:textFill>
              </w:rPr>
              <w:t>、二甲苯</w:t>
            </w:r>
          </w:p>
        </w:tc>
        <w:tc>
          <w:tcPr>
            <w:tcW w:w="454" w:type="pct"/>
            <w:vAlign w:val="center"/>
          </w:tcPr>
          <w:p w14:paraId="19D5C9DB">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有组织</w:t>
            </w:r>
          </w:p>
        </w:tc>
        <w:tc>
          <w:tcPr>
            <w:tcW w:w="1094" w:type="pct"/>
            <w:vAlign w:val="center"/>
          </w:tcPr>
          <w:p w14:paraId="2BC9ED3D">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颗粒物：水帘柜+水喷淋+二级活性炭吸附设备+15m排气筒；</w:t>
            </w:r>
          </w:p>
          <w:p w14:paraId="252B37C8">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有机废气：集气设备+水喷淋+二级活性炭吸附设备+15m排气筒</w:t>
            </w:r>
          </w:p>
        </w:tc>
        <w:tc>
          <w:tcPr>
            <w:tcW w:w="697" w:type="pct"/>
            <w:vMerge w:val="continue"/>
            <w:vAlign w:val="center"/>
          </w:tcPr>
          <w:p w14:paraId="6C6813C4">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p>
        </w:tc>
        <w:tc>
          <w:tcPr>
            <w:tcW w:w="585" w:type="pct"/>
            <w:vAlign w:val="center"/>
          </w:tcPr>
          <w:p w14:paraId="2A8A4E22">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一般排放口</w:t>
            </w:r>
          </w:p>
        </w:tc>
      </w:tr>
    </w:tbl>
    <w:p w14:paraId="1A675EF1">
      <w:pPr>
        <w:adjustRightInd w:val="0"/>
        <w:snapToGrid w:val="0"/>
        <w:spacing w:line="360" w:lineRule="auto"/>
        <w:ind w:firstLine="562"/>
        <w:rPr>
          <w:b/>
          <w:color w:val="000000" w:themeColor="text1"/>
          <w:kern w:val="0"/>
          <w:sz w:val="28"/>
          <w:szCs w:val="28"/>
          <w:highlight w:val="none"/>
          <w14:textFill>
            <w14:solidFill>
              <w14:schemeClr w14:val="tx1"/>
            </w14:solidFill>
          </w14:textFill>
        </w:rPr>
        <w:sectPr>
          <w:pgSz w:w="16840" w:h="11907"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37"/>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638"/>
      </w:tblGrid>
      <w:tr w14:paraId="4D34A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49" w:hRule="atLeast"/>
        </w:trPr>
        <w:tc>
          <w:tcPr>
            <w:tcW w:w="569" w:type="dxa"/>
            <w:tcMar>
              <w:left w:w="28" w:type="dxa"/>
              <w:right w:w="28" w:type="dxa"/>
            </w:tcMar>
            <w:vAlign w:val="center"/>
          </w:tcPr>
          <w:p w14:paraId="671DA077">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运营</w:t>
            </w:r>
          </w:p>
          <w:p w14:paraId="536FB792">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期环</w:t>
            </w:r>
          </w:p>
          <w:p w14:paraId="20B7FA5A">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境影</w:t>
            </w:r>
          </w:p>
          <w:p w14:paraId="6A6A1EEA">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响和</w:t>
            </w:r>
          </w:p>
          <w:p w14:paraId="1B0BBEE1">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保护</w:t>
            </w:r>
          </w:p>
          <w:p w14:paraId="603E5D87">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措施</w:t>
            </w:r>
          </w:p>
        </w:tc>
        <w:tc>
          <w:tcPr>
            <w:tcW w:w="8638" w:type="dxa"/>
          </w:tcPr>
          <w:p w14:paraId="2947B576">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4.2.2.2</w:t>
            </w:r>
            <w:r>
              <w:rPr>
                <w:rFonts w:hint="eastAsia"/>
                <w:color w:val="000000" w:themeColor="text1"/>
                <w:highlight w:val="none"/>
                <w14:textFill>
                  <w14:solidFill>
                    <w14:schemeClr w14:val="tx1"/>
                  </w14:solidFill>
                </w14:textFill>
              </w:rPr>
              <w:t>大气</w:t>
            </w:r>
            <w:r>
              <w:rPr>
                <w:color w:val="000000" w:themeColor="text1"/>
                <w:highlight w:val="none"/>
                <w14:textFill>
                  <w14:solidFill>
                    <w14:schemeClr w14:val="tx1"/>
                  </w14:solidFill>
                </w14:textFill>
              </w:rPr>
              <w:t>环境影响分析及</w:t>
            </w:r>
            <w:r>
              <w:rPr>
                <w:rFonts w:hint="eastAsia"/>
                <w:color w:val="000000" w:themeColor="text1"/>
                <w:highlight w:val="none"/>
                <w14:textFill>
                  <w14:solidFill>
                    <w14:schemeClr w14:val="tx1"/>
                  </w14:solidFill>
                </w14:textFill>
              </w:rPr>
              <w:t>保护</w:t>
            </w:r>
            <w:r>
              <w:rPr>
                <w:color w:val="000000" w:themeColor="text1"/>
                <w:highlight w:val="none"/>
                <w14:textFill>
                  <w14:solidFill>
                    <w14:schemeClr w14:val="tx1"/>
                  </w14:solidFill>
                </w14:textFill>
              </w:rPr>
              <w:t>措施</w:t>
            </w:r>
          </w:p>
          <w:p w14:paraId="07E29A16">
            <w:pPr>
              <w:spacing w:line="360" w:lineRule="auto"/>
              <w:ind w:firstLine="482" w:firstLineChars="200"/>
              <w:rPr>
                <w:color w:val="000000" w:themeColor="text1"/>
                <w:highlight w:val="none"/>
                <w14:textFill>
                  <w14:solidFill>
                    <w14:schemeClr w14:val="tx1"/>
                  </w14:solidFill>
                </w14:textFill>
              </w:rPr>
            </w:pPr>
            <w:r>
              <w:rPr>
                <w:b/>
                <w:color w:val="000000" w:themeColor="text1"/>
                <w:sz w:val="24"/>
                <w:highlight w:val="none"/>
                <w14:textFill>
                  <w14:solidFill>
                    <w14:schemeClr w14:val="tx1"/>
                  </w14:solidFill>
                </w14:textFill>
              </w:rPr>
              <w:br w:type="page"/>
            </w:r>
            <w:r>
              <w:rPr>
                <w:rFonts w:hint="eastAsia"/>
                <w:color w:val="000000" w:themeColor="text1"/>
                <w:sz w:val="24"/>
                <w:highlight w:val="none"/>
                <w14:textFill>
                  <w14:solidFill>
                    <w14:schemeClr w14:val="tx1"/>
                  </w14:solidFill>
                </w14:textFill>
              </w:rPr>
              <w:t>（1）有组织废气</w:t>
            </w:r>
            <w:r>
              <w:rPr>
                <w:color w:val="000000" w:themeColor="text1"/>
                <w:sz w:val="24"/>
                <w:highlight w:val="none"/>
                <w14:textFill>
                  <w14:solidFill>
                    <w14:schemeClr w14:val="tx1"/>
                  </w14:solidFill>
                </w14:textFill>
              </w:rPr>
              <w:t>防治措施</w:t>
            </w:r>
          </w:p>
          <w:p w14:paraId="725DD9ED">
            <w:pPr>
              <w:pStyle w:val="86"/>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①木工区废气</w:t>
            </w:r>
          </w:p>
          <w:p w14:paraId="1C3A11C7">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项目拟在1F精锯、砂光等产生粉尘颗粒物的设备上方及3F砂光设备上方设置集气罩，集中收集的木工</w:t>
            </w:r>
            <w:r>
              <w:rPr>
                <w:rFonts w:hint="eastAsia"/>
                <w:color w:val="000000" w:themeColor="text1"/>
                <w:highlight w:val="none"/>
                <w:lang w:eastAsia="zh-CN"/>
                <w14:textFill>
                  <w14:solidFill>
                    <w14:schemeClr w14:val="tx1"/>
                  </w14:solidFill>
                </w14:textFill>
              </w:rPr>
              <w:t>区</w:t>
            </w:r>
            <w:r>
              <w:rPr>
                <w:color w:val="000000" w:themeColor="text1"/>
                <w:highlight w:val="none"/>
                <w14:textFill>
                  <w14:solidFill>
                    <w14:schemeClr w14:val="tx1"/>
                  </w14:solidFill>
                </w14:textFill>
              </w:rPr>
              <w:t>废气通过1套中央除尘器（布袋除尘设施）处理后有组织排放，通过1根15m高排气筒（DA001）排放。</w:t>
            </w:r>
          </w:p>
          <w:p w14:paraId="68436D69">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污染源分析</w:t>
            </w:r>
            <w:r>
              <w:rPr>
                <w:rFonts w:hint="eastAsia"/>
                <w:color w:val="000000" w:themeColor="text1"/>
                <w:highlight w:val="none"/>
                <w14:textFill>
                  <w14:solidFill>
                    <w14:schemeClr w14:val="tx1"/>
                  </w14:solidFill>
                </w14:textFill>
              </w:rPr>
              <w:t>可知</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木工区废气经</w:t>
            </w:r>
            <w:r>
              <w:rPr>
                <w:color w:val="000000" w:themeColor="text1"/>
                <w:highlight w:val="none"/>
                <w14:textFill>
                  <w14:solidFill>
                    <w14:schemeClr w14:val="tx1"/>
                  </w14:solidFill>
                </w14:textFill>
              </w:rPr>
              <w:t>1套中央除尘器（布袋除尘设施）处理后，排气筒</w:t>
            </w:r>
            <w:r>
              <w:rPr>
                <w:rFonts w:hint="eastAsia"/>
                <w:color w:val="000000" w:themeColor="text1"/>
                <w:highlight w:val="none"/>
                <w14:textFill>
                  <w14:solidFill>
                    <w14:schemeClr w14:val="tx1"/>
                  </w14:solidFill>
                </w14:textFill>
              </w:rPr>
              <w:t>（DA001）外排废气</w:t>
            </w:r>
            <w:r>
              <w:rPr>
                <w:color w:val="000000" w:themeColor="text1"/>
                <w:highlight w:val="none"/>
                <w14:textFill>
                  <w14:solidFill>
                    <w14:schemeClr w14:val="tx1"/>
                  </w14:solidFill>
                </w14:textFill>
              </w:rPr>
              <w:t>中</w:t>
            </w:r>
            <w:r>
              <w:rPr>
                <w:rFonts w:hint="eastAsia"/>
                <w:color w:val="000000" w:themeColor="text1"/>
                <w:highlight w:val="none"/>
                <w14:textFill>
                  <w14:solidFill>
                    <w14:schemeClr w14:val="tx1"/>
                  </w14:solidFill>
                </w14:textFill>
              </w:rPr>
              <w:t>颗粒物的排放</w:t>
            </w:r>
            <w:r>
              <w:rPr>
                <w:color w:val="000000" w:themeColor="text1"/>
                <w:highlight w:val="none"/>
                <w14:textFill>
                  <w14:solidFill>
                    <w14:schemeClr w14:val="tx1"/>
                  </w14:solidFill>
                </w14:textFill>
              </w:rPr>
              <w:t>浓度为</w:t>
            </w:r>
            <w:r>
              <w:rPr>
                <w:rFonts w:hint="eastAsia"/>
                <w:color w:val="000000" w:themeColor="text1"/>
                <w:highlight w:val="none"/>
                <w14:textFill>
                  <w14:solidFill>
                    <w14:schemeClr w14:val="tx1"/>
                  </w14:solidFill>
                </w14:textFill>
              </w:rPr>
              <w:t>0.1624</w:t>
            </w:r>
            <w:r>
              <w:rPr>
                <w:color w:val="000000" w:themeColor="text1"/>
                <w:highlight w:val="none"/>
                <w14:textFill>
                  <w14:solidFill>
                    <w14:schemeClr w14:val="tx1"/>
                  </w14:solidFill>
                </w14:textFill>
              </w:rPr>
              <w:t>mg/m</w:t>
            </w:r>
            <w:r>
              <w:rPr>
                <w:color w:val="000000" w:themeColor="text1"/>
                <w:sz w:val="22"/>
                <w:szCs w:val="16"/>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、排放速率为0.0032kg/h，</w:t>
            </w:r>
            <w:r>
              <w:rPr>
                <w:rFonts w:hint="eastAsia"/>
                <w:color w:val="000000" w:themeColor="text1"/>
                <w:szCs w:val="21"/>
                <w:highlight w:val="none"/>
                <w14:textFill>
                  <w14:solidFill>
                    <w14:schemeClr w14:val="tx1"/>
                  </w14:solidFill>
                </w14:textFill>
              </w:rPr>
              <w:t>可</w:t>
            </w:r>
            <w:r>
              <w:rPr>
                <w:rFonts w:hint="eastAsia"/>
                <w:color w:val="000000" w:themeColor="text1"/>
                <w:highlight w:val="none"/>
                <w14:textFill>
                  <w14:solidFill>
                    <w14:schemeClr w14:val="tx1"/>
                  </w14:solidFill>
                </w14:textFill>
              </w:rPr>
              <w:t>满足《大气污染物综合排放标准》（GB16297-1996）二级排放相关标准限值要求（即颗粒物浓度</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120</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1.75kg/h</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p>
          <w:p w14:paraId="7E218C2E">
            <w:pPr>
              <w:pStyle w:val="86"/>
              <w:ind w:firstLine="482"/>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②调漆喷漆及烘干工序有机废气</w:t>
            </w:r>
          </w:p>
          <w:p w14:paraId="2FDE00D1">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项目拟设置相对独立的调漆喷漆及烘干区域（调漆喷漆废气经水帘柜除漆雾后，同烘干工序有机废气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color w:val="000000" w:themeColor="text1"/>
                <w:highlight w:val="none"/>
                <w14:textFill>
                  <w14:solidFill>
                    <w14:schemeClr w14:val="tx1"/>
                  </w14:solidFill>
                </w14:textFill>
              </w:rPr>
              <w:t>一同经1套“水喷淋+二级活性炭吸附”设备处理后有组织排放，通过1根15m高排气筒（DA002）排放。</w:t>
            </w:r>
          </w:p>
          <w:p w14:paraId="5EC121AC">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根据污染源分析可知，</w:t>
            </w:r>
            <w:r>
              <w:rPr>
                <w:color w:val="000000" w:themeColor="text1"/>
                <w:highlight w:val="none"/>
                <w14:textFill>
                  <w14:solidFill>
                    <w14:schemeClr w14:val="tx1"/>
                  </w14:solidFill>
                </w14:textFill>
              </w:rPr>
              <w:t>调漆喷漆及烘干工序有机废气</w:t>
            </w:r>
            <w:r>
              <w:rPr>
                <w:rFonts w:hint="eastAsia"/>
                <w:color w:val="000000" w:themeColor="text1"/>
                <w:highlight w:val="none"/>
                <w14:textFill>
                  <w14:solidFill>
                    <w14:schemeClr w14:val="tx1"/>
                  </w14:solidFill>
                </w14:textFill>
              </w:rPr>
              <w:t>配套净化设施</w:t>
            </w:r>
            <w:r>
              <w:rPr>
                <w:color w:val="000000" w:themeColor="text1"/>
                <w:highlight w:val="none"/>
                <w14:textFill>
                  <w14:solidFill>
                    <w14:schemeClr w14:val="tx1"/>
                  </w14:solidFill>
                </w14:textFill>
              </w:rPr>
              <w:t>处理后</w:t>
            </w:r>
            <w:r>
              <w:rPr>
                <w:rFonts w:hint="eastAsia"/>
                <w:color w:val="000000" w:themeColor="text1"/>
                <w:highlight w:val="none"/>
                <w14:textFill>
                  <w14:solidFill>
                    <w14:schemeClr w14:val="tx1"/>
                  </w14:solidFill>
                </w14:textFill>
              </w:rPr>
              <w:t>，排气筒（DA002）外排废气中颗粒物的排放浓度为0.2228mg/m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、排放速率为0.0033kg/h，可满足《大气污染物综合排放标准》（GB16297-1996）二级排放相关标准限值要求（即颗粒物浓度≤120mg/m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、排放速率≤1.75kg/h）；非甲烷总烃排放浓度为0.5337mg/m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、排放速率为0.0080kg/h，二甲苯排放浓度为0.0865mg/m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、排放速率为0.0013kg/h，均可满足《工业涂装工序挥发性有机物排放标准》(DB35/1783-2018)表1相关标准限值要求（即非甲烷总烃浓度</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2.9kg/h，二甲苯浓度</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0.6kg/h</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p>
          <w:p w14:paraId="4DFA1CE9">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w:t>
            </w:r>
            <w:r>
              <w:rPr>
                <w:rFonts w:hint="eastAsia"/>
                <w:color w:val="000000" w:themeColor="text1"/>
                <w:highlight w:val="none"/>
                <w14:textFill>
                  <w14:solidFill>
                    <w14:schemeClr w14:val="tx1"/>
                  </w14:solidFill>
                </w14:textFill>
              </w:rPr>
              <w:t>分析</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运营期</w:t>
            </w:r>
            <w:r>
              <w:rPr>
                <w:color w:val="000000" w:themeColor="text1"/>
                <w:highlight w:val="none"/>
                <w14:textFill>
                  <w14:solidFill>
                    <w14:schemeClr w14:val="tx1"/>
                  </w14:solidFill>
                </w14:textFill>
              </w:rPr>
              <w:t>项目产生的</w:t>
            </w:r>
            <w:r>
              <w:rPr>
                <w:rFonts w:hint="eastAsia"/>
                <w:color w:val="000000" w:themeColor="text1"/>
                <w:highlight w:val="none"/>
                <w14:textFill>
                  <w14:solidFill>
                    <w14:schemeClr w14:val="tx1"/>
                  </w14:solidFill>
                </w14:textFill>
              </w:rPr>
              <w:t>有机</w:t>
            </w:r>
            <w:r>
              <w:rPr>
                <w:color w:val="000000" w:themeColor="text1"/>
                <w:highlight w:val="none"/>
                <w14:textFill>
                  <w14:solidFill>
                    <w14:schemeClr w14:val="tx1"/>
                  </w14:solidFill>
                </w14:textFill>
              </w:rPr>
              <w:t>废气经以上措施处理后均可实现达标排放，对周边大气环境的影响较小</w:t>
            </w:r>
            <w:r>
              <w:rPr>
                <w:rFonts w:hint="eastAsia"/>
                <w:color w:val="000000" w:themeColor="text1"/>
                <w:highlight w:val="none"/>
                <w14:textFill>
                  <w14:solidFill>
                    <w14:schemeClr w14:val="tx1"/>
                  </w14:solidFill>
                </w14:textFill>
              </w:rPr>
              <w:t>。参照</w:t>
            </w:r>
            <w:r>
              <w:rPr>
                <w:color w:val="000000" w:themeColor="text1"/>
                <w:highlight w:val="none"/>
                <w14:textFill>
                  <w14:solidFill>
                    <w14:schemeClr w14:val="tx1"/>
                  </w14:solidFill>
                </w14:textFill>
              </w:rPr>
              <w:t xml:space="preserve">《排污许可证申请与核发技术规范 </w:t>
            </w:r>
            <w:r>
              <w:rPr>
                <w:rFonts w:hint="eastAsia"/>
                <w:color w:val="000000" w:themeColor="text1"/>
                <w:highlight w:val="none"/>
                <w14:textFill>
                  <w14:solidFill>
                    <w14:schemeClr w14:val="tx1"/>
                  </w14:solidFill>
                </w14:textFill>
              </w:rPr>
              <w:t>家具制造</w:t>
            </w:r>
            <w:r>
              <w:rPr>
                <w:color w:val="000000" w:themeColor="text1"/>
                <w:highlight w:val="none"/>
                <w14:textFill>
                  <w14:solidFill>
                    <w14:schemeClr w14:val="tx1"/>
                  </w14:solidFill>
                </w14:textFill>
              </w:rPr>
              <w:t>工业》（HJ</w:t>
            </w:r>
            <w:r>
              <w:rPr>
                <w:rFonts w:hint="eastAsia"/>
                <w:color w:val="000000" w:themeColor="text1"/>
                <w:highlight w:val="none"/>
                <w14:textFill>
                  <w14:solidFill>
                    <w14:schemeClr w14:val="tx1"/>
                  </w14:solidFill>
                </w14:textFill>
              </w:rPr>
              <w:t>1027</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木工区采用的布袋除尘设施、喷漆区</w:t>
            </w:r>
            <w:r>
              <w:rPr>
                <w:color w:val="000000" w:themeColor="text1"/>
                <w:highlight w:val="none"/>
                <w14:textFill>
                  <w14:solidFill>
                    <w14:schemeClr w14:val="tx1"/>
                  </w14:solidFill>
                </w14:textFill>
              </w:rPr>
              <w:t>采用</w:t>
            </w:r>
            <w:r>
              <w:rPr>
                <w:rFonts w:hint="eastAsia"/>
                <w:color w:val="000000" w:themeColor="text1"/>
                <w:highlight w:val="none"/>
                <w14:textFill>
                  <w14:solidFill>
                    <w14:schemeClr w14:val="tx1"/>
                  </w14:solidFill>
                </w14:textFill>
              </w:rPr>
              <w:t>“水喷淋+二级活性炭吸附”设施均属于其推荐</w:t>
            </w:r>
            <w:r>
              <w:rPr>
                <w:color w:val="000000" w:themeColor="text1"/>
                <w:highlight w:val="none"/>
                <w14:textFill>
                  <w14:solidFill>
                    <w14:schemeClr w14:val="tx1"/>
                  </w14:solidFill>
                </w14:textFill>
              </w:rPr>
              <w:t>的污染防治设施名称及工艺</w:t>
            </w:r>
            <w:r>
              <w:rPr>
                <w:rFonts w:hint="eastAsia"/>
                <w:color w:val="000000" w:themeColor="text1"/>
                <w:highlight w:val="none"/>
                <w14:textFill>
                  <w14:solidFill>
                    <w14:schemeClr w14:val="tx1"/>
                  </w14:solidFill>
                </w14:textFill>
              </w:rPr>
              <w:t>，均</w:t>
            </w:r>
            <w:r>
              <w:rPr>
                <w:color w:val="000000" w:themeColor="text1"/>
                <w:highlight w:val="none"/>
                <w14:textFill>
                  <w14:solidFill>
                    <w14:schemeClr w14:val="tx1"/>
                  </w14:solidFill>
                </w14:textFill>
              </w:rPr>
              <w:t>为可行技术</w:t>
            </w:r>
            <w:r>
              <w:rPr>
                <w:rFonts w:hint="eastAsia"/>
                <w:color w:val="000000" w:themeColor="text1"/>
                <w:highlight w:val="none"/>
                <w14:textFill>
                  <w14:solidFill>
                    <w14:schemeClr w14:val="tx1"/>
                  </w14:solidFill>
                </w14:textFill>
              </w:rPr>
              <w:t>。因此，项目废气治理</w:t>
            </w:r>
            <w:r>
              <w:rPr>
                <w:color w:val="000000" w:themeColor="text1"/>
                <w:highlight w:val="none"/>
                <w14:textFill>
                  <w14:solidFill>
                    <w14:schemeClr w14:val="tx1"/>
                  </w14:solidFill>
                </w14:textFill>
              </w:rPr>
              <w:t>措施可行。</w:t>
            </w:r>
          </w:p>
          <w:p w14:paraId="738D3799">
            <w:pPr>
              <w:pStyle w:val="234"/>
              <w:adjustRightInd/>
              <w:snapToGrid/>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（2）无组织废气</w:t>
            </w:r>
            <w:r>
              <w:rPr>
                <w:color w:val="000000" w:themeColor="text1"/>
                <w:sz w:val="24"/>
                <w:highlight w:val="none"/>
                <w14:textFill>
                  <w14:solidFill>
                    <w14:schemeClr w14:val="tx1"/>
                  </w14:solidFill>
                </w14:textFill>
              </w:rPr>
              <w:t>防治措施</w:t>
            </w:r>
          </w:p>
          <w:p w14:paraId="68F54519">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打磨区废气</w:t>
            </w:r>
          </w:p>
          <w:p w14:paraId="64AE319F">
            <w:pPr>
              <w:pStyle w:val="86"/>
              <w:ind w:firstLine="480"/>
              <w:rPr>
                <w:rFonts w:hint="eastAsia" w:ascii="宋体" w:hAnsi="宋体"/>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设置环保喷淋打磨房，打磨粉尘经密闭打磨房内水除尘系统除尘后，少量颗粒物在车间内无组织排放。</w:t>
            </w:r>
            <w:r>
              <w:rPr>
                <w:rFonts w:hint="eastAsia"/>
                <w:color w:val="000000" w:themeColor="text1"/>
                <w:highlight w:val="none"/>
                <w14:textFill>
                  <w14:solidFill>
                    <w14:schemeClr w14:val="tx1"/>
                  </w14:solidFill>
                </w14:textFill>
              </w:rPr>
              <w:t>运营期间，要求建设单位定期及时清理车间地面沉降的木屑粉尘，项目产生的无组织颗粒物不会对周边环境产生明显影响。</w:t>
            </w:r>
          </w:p>
          <w:p w14:paraId="366DB0A1">
            <w:pPr>
              <w:pStyle w:val="234"/>
              <w:adjustRightInd/>
              <w:snapToGrid/>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②无组织有机废气管控要求</w:t>
            </w:r>
          </w:p>
          <w:p w14:paraId="29DAD9F7">
            <w:pPr>
              <w:pStyle w:val="234"/>
              <w:adjustRightInd/>
              <w:snapToGrid/>
              <w:ind w:firstLine="48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针对</w:t>
            </w:r>
            <w:r>
              <w:rPr>
                <w:rFonts w:hint="eastAsia"/>
                <w:color w:val="000000" w:themeColor="text1"/>
                <w:highlight w:val="none"/>
                <w14:textFill>
                  <w14:solidFill>
                    <w14:schemeClr w14:val="tx1"/>
                  </w14:solidFill>
                </w14:textFill>
              </w:rPr>
              <w:t>喷漆调漆及烘干工序废气中少量</w:t>
            </w:r>
            <w:r>
              <w:rPr>
                <w:color w:val="000000" w:themeColor="text1"/>
                <w:highlight w:val="none"/>
                <w14:textFill>
                  <w14:solidFill>
                    <w14:schemeClr w14:val="tx1"/>
                  </w14:solidFill>
                </w14:textFill>
              </w:rPr>
              <w:t>未经捕集的有机废气</w:t>
            </w:r>
            <w:r>
              <w:rPr>
                <w:rFonts w:hint="eastAsia"/>
                <w:color w:val="000000" w:themeColor="text1"/>
                <w:highlight w:val="none"/>
                <w14:textFill>
                  <w14:solidFill>
                    <w14:schemeClr w14:val="tx1"/>
                  </w14:solidFill>
                </w14:textFill>
              </w:rPr>
              <w:t>，对照《挥发性有机物无组织排放控制标准》（GB37822-2019）、《工业涂装工序挥发性有机物排放标准》(DB35/1783-2018)中关于有机废气无组织排放提出以下控制要求：</w:t>
            </w:r>
          </w:p>
          <w:p w14:paraId="3DBF00F9">
            <w:pPr>
              <w:pStyle w:val="7"/>
              <w:ind w:firstLine="480"/>
              <w:rPr>
                <w:color w:val="000000" w:themeColor="text1"/>
                <w:kern w:val="2"/>
                <w:szCs w:val="30"/>
                <w:highlight w:val="none"/>
                <w14:textFill>
                  <w14:solidFill>
                    <w14:schemeClr w14:val="tx1"/>
                  </w14:solidFill>
                </w14:textFill>
              </w:rPr>
            </w:pPr>
            <w:r>
              <w:rPr>
                <w:rFonts w:hint="eastAsia"/>
                <w:color w:val="000000" w:themeColor="text1"/>
                <w:kern w:val="2"/>
                <w:szCs w:val="30"/>
                <w:highlight w:val="none"/>
                <w14:textFill>
                  <w14:solidFill>
                    <w14:schemeClr w14:val="tx1"/>
                  </w14:solidFill>
                </w14:textFill>
              </w:rPr>
              <w:t>A、</w:t>
            </w:r>
            <w:r>
              <w:rPr>
                <w:color w:val="000000" w:themeColor="text1"/>
                <w:kern w:val="2"/>
                <w:szCs w:val="30"/>
                <w:highlight w:val="none"/>
                <w14:textFill>
                  <w14:solidFill>
                    <w14:schemeClr w14:val="tx1"/>
                  </w14:solidFill>
                </w14:textFill>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p w14:paraId="0C8A7257">
            <w:pPr>
              <w:pStyle w:val="7"/>
              <w:ind w:firstLine="480"/>
              <w:rPr>
                <w:color w:val="000000" w:themeColor="text1"/>
                <w:kern w:val="2"/>
                <w:szCs w:val="30"/>
                <w:highlight w:val="none"/>
                <w14:textFill>
                  <w14:solidFill>
                    <w14:schemeClr w14:val="tx1"/>
                  </w14:solidFill>
                </w14:textFill>
              </w:rPr>
            </w:pPr>
            <w:r>
              <w:rPr>
                <w:rFonts w:hint="eastAsia"/>
                <w:color w:val="000000" w:themeColor="text1"/>
                <w:kern w:val="2"/>
                <w:szCs w:val="30"/>
                <w:highlight w:val="none"/>
                <w14:textFill>
                  <w14:solidFill>
                    <w14:schemeClr w14:val="tx1"/>
                  </w14:solidFill>
                </w14:textFill>
              </w:rPr>
              <w:t>B、</w:t>
            </w:r>
            <w:r>
              <w:rPr>
                <w:color w:val="000000" w:themeColor="text1"/>
                <w:kern w:val="2"/>
                <w:szCs w:val="30"/>
                <w:highlight w:val="none"/>
                <w14:textFill>
                  <w14:solidFill>
                    <w14:schemeClr w14:val="tx1"/>
                  </w14:solidFill>
                </w14:textFill>
              </w:rPr>
              <w:t>严格按照生产工序要求，</w:t>
            </w:r>
            <w:r>
              <w:rPr>
                <w:rFonts w:hint="eastAsia"/>
                <w:color w:val="000000" w:themeColor="text1"/>
                <w:highlight w:val="none"/>
                <w14:textFill>
                  <w14:solidFill>
                    <w14:schemeClr w14:val="tx1"/>
                  </w14:solidFill>
                </w14:textFill>
              </w:rPr>
              <w:t>喷漆调漆及烘干工序</w:t>
            </w:r>
            <w:r>
              <w:rPr>
                <w:color w:val="000000" w:themeColor="text1"/>
                <w:kern w:val="2"/>
                <w:szCs w:val="30"/>
                <w:highlight w:val="none"/>
                <w14:textFill>
                  <w14:solidFill>
                    <w14:schemeClr w14:val="tx1"/>
                  </w14:solidFill>
                </w14:textFill>
              </w:rPr>
              <w:t>作业时按照规范操作，严格控制工作时间，采用低毒、低挥发性的</w:t>
            </w:r>
            <w:r>
              <w:rPr>
                <w:rFonts w:hint="eastAsia"/>
                <w:color w:val="000000" w:themeColor="text1"/>
                <w:kern w:val="2"/>
                <w:szCs w:val="30"/>
                <w:highlight w:val="none"/>
                <w14:textFill>
                  <w14:solidFill>
                    <w14:schemeClr w14:val="tx1"/>
                  </w14:solidFill>
                </w14:textFill>
              </w:rPr>
              <w:t>原</w:t>
            </w:r>
            <w:r>
              <w:rPr>
                <w:color w:val="000000" w:themeColor="text1"/>
                <w:kern w:val="2"/>
                <w:szCs w:val="30"/>
                <w:highlight w:val="none"/>
                <w14:textFill>
                  <w14:solidFill>
                    <w14:schemeClr w14:val="tx1"/>
                  </w14:solidFill>
                </w14:textFill>
              </w:rPr>
              <w:t>料，减少生产过程中的易挥发物质的无组织排放；在</w:t>
            </w:r>
            <w:r>
              <w:rPr>
                <w:rFonts w:hint="eastAsia"/>
                <w:color w:val="000000" w:themeColor="text1"/>
                <w:highlight w:val="none"/>
                <w14:textFill>
                  <w14:solidFill>
                    <w14:schemeClr w14:val="tx1"/>
                  </w14:solidFill>
                </w14:textFill>
              </w:rPr>
              <w:t>喷漆调漆及烘干</w:t>
            </w:r>
            <w:r>
              <w:rPr>
                <w:color w:val="000000" w:themeColor="text1"/>
                <w:kern w:val="2"/>
                <w:szCs w:val="30"/>
                <w:highlight w:val="none"/>
                <w14:textFill>
                  <w14:solidFill>
                    <w14:schemeClr w14:val="tx1"/>
                  </w14:solidFill>
                </w14:textFill>
              </w:rPr>
              <w:t>区域内不能完全密闭的部位设置风幕、软帘阻隔设施，提高废气收集效率，降低无组织废气排放</w:t>
            </w:r>
            <w:r>
              <w:rPr>
                <w:rFonts w:hint="eastAsia"/>
                <w:color w:val="000000" w:themeColor="text1"/>
                <w:kern w:val="2"/>
                <w:szCs w:val="30"/>
                <w:highlight w:val="none"/>
                <w14:textFill>
                  <w14:solidFill>
                    <w14:schemeClr w14:val="tx1"/>
                  </w14:solidFill>
                </w14:textFill>
              </w:rPr>
              <w:t>量</w:t>
            </w:r>
            <w:r>
              <w:rPr>
                <w:color w:val="000000" w:themeColor="text1"/>
                <w:kern w:val="2"/>
                <w:szCs w:val="30"/>
                <w:highlight w:val="none"/>
                <w14:textFill>
                  <w14:solidFill>
                    <w14:schemeClr w14:val="tx1"/>
                  </w14:solidFill>
                </w14:textFill>
              </w:rPr>
              <w:t>。</w:t>
            </w:r>
          </w:p>
          <w:p w14:paraId="1B4628C7">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设置独立、密闭的喷漆调漆及烘干区；保证有机废气的收集效率。通过生产时紧闭门窗，为出入口设置卷帘门或双重门，从源头上缩减无组织废气的产生。同时为了避免影响车间内职工的身体健康，建议为工人配备一定的辅助防护措施。</w:t>
            </w:r>
          </w:p>
          <w:p w14:paraId="7006AAD4">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D、建议建设单位在运营生产期间应加强生产设备及环保设施的日常维护，避免事故生产，保证设施的正常运行。</w:t>
            </w:r>
          </w:p>
          <w:p w14:paraId="09FEEA1F">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E、企业在后续的生产运营过程中应建立台账，记录含VOCs原辅材料和含VOCs产品的名称，使用量、回收量、废弃量、去向以及VOCs含量等信息，台账保存期限不小于3年。</w:t>
            </w:r>
          </w:p>
          <w:p w14:paraId="60F005DE">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F、通风生产设备、操作工位、</w:t>
            </w:r>
            <w:r>
              <w:rPr>
                <w:rFonts w:hint="eastAsia"/>
                <w:color w:val="000000" w:themeColor="text1"/>
                <w:highlight w:val="none"/>
                <w:lang w:eastAsia="zh-CN"/>
                <w14:textFill>
                  <w14:solidFill>
                    <w14:schemeClr w14:val="tx1"/>
                  </w14:solidFill>
                </w14:textFill>
              </w:rPr>
              <w:t>车间</w:t>
            </w:r>
            <w:r>
              <w:rPr>
                <w:rFonts w:hint="eastAsia"/>
                <w:color w:val="000000" w:themeColor="text1"/>
                <w:highlight w:val="none"/>
                <w14:textFill>
                  <w14:solidFill>
                    <w14:schemeClr w14:val="tx1"/>
                  </w14:solidFill>
                </w14:textFill>
              </w:rPr>
              <w:t>等应在符合安全生产、职业卫生相关规定的前提下，根据行业作业规程与标准、工业建筑及洁净车间通风设计规范等的要求，采用合理的通风量。</w:t>
            </w:r>
          </w:p>
          <w:p w14:paraId="3D1DD254">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G、载有VOCs物料的设备及其管道在开停工(车)、检维修和清洗时，应在退料阶段将残存物料净，并用密闭容器盛装，退料过程废气应排至VOCs废气收集处理系统；请洗及吹扫过程排气应排至VOCs废气收集处理系统。</w:t>
            </w:r>
          </w:p>
          <w:p w14:paraId="3DF9F336">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H、工艺过程产生的含VOCs废料(渣、液)，如本项目产生的废活性炭和盛装过VOCs物料的废包装容器在贮存、转运过程中应加盖密闭。</w:t>
            </w:r>
          </w:p>
          <w:p w14:paraId="59C4410E">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I、</w:t>
            </w:r>
            <w:r>
              <w:rPr>
                <w:color w:val="000000" w:themeColor="text1"/>
                <w:highlight w:val="none"/>
                <w14:textFill>
                  <w14:solidFill>
                    <w14:schemeClr w14:val="tx1"/>
                  </w14:solidFill>
                </w14:textFill>
              </w:rPr>
              <w:t>建设单位应配备环保方面专业人员，并定期检查各环保设施，确保不发生非正常工况下的废气排放。同时项目废气处理应加强管理，防止因处理设施故障造成废气非正常排放。加强对操作工的培训和管理，以减少人为造成的废气无组织排放</w:t>
            </w:r>
            <w:r>
              <w:rPr>
                <w:rFonts w:hint="eastAsia"/>
                <w:color w:val="000000" w:themeColor="text1"/>
                <w:highlight w:val="none"/>
                <w14:textFill>
                  <w14:solidFill>
                    <w14:schemeClr w14:val="tx1"/>
                  </w14:solidFill>
                </w14:textFill>
              </w:rPr>
              <w:t>。</w:t>
            </w:r>
          </w:p>
          <w:p w14:paraId="6628C8F5">
            <w:pPr>
              <w:pStyle w:val="294"/>
              <w:ind w:firstLine="480"/>
              <w:jc w:val="left"/>
              <w:rPr>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w:t>通过上述措施，项目产生的有机废气</w:t>
            </w:r>
            <w:r>
              <w:rPr>
                <w:rFonts w:hint="eastAsia"/>
                <w:color w:val="000000" w:themeColor="text1"/>
                <w:highlight w:val="none"/>
                <w14:textFill>
                  <w14:solidFill>
                    <w14:schemeClr w14:val="tx1"/>
                  </w14:solidFill>
                </w14:textFill>
              </w:rPr>
              <w:t>（以</w:t>
            </w:r>
            <w:r>
              <w:rPr>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、二甲苯为主）</w:t>
            </w:r>
            <w:r>
              <w:rPr>
                <w:color w:val="000000" w:themeColor="text1"/>
                <w:highlight w:val="none"/>
                <w14:textFill>
                  <w14:solidFill>
                    <w14:schemeClr w14:val="tx1"/>
                  </w14:solidFill>
                </w14:textFill>
              </w:rPr>
              <w:t>排放指标和废气处置设施的要求均符合</w:t>
            </w:r>
            <w:r>
              <w:rPr>
                <w:rFonts w:hint="eastAsia"/>
                <w:color w:val="000000" w:themeColor="text1"/>
                <w:highlight w:val="none"/>
                <w14:textFill>
                  <w14:solidFill>
                    <w14:schemeClr w14:val="tx1"/>
                  </w14:solidFill>
                </w14:textFill>
              </w:rPr>
              <w:t>《工业涂装工序挥发性有机物排放标准》(DB35/1783-2018)</w:t>
            </w:r>
            <w:r>
              <w:rPr>
                <w:rFonts w:hint="eastAsia"/>
                <w:bCs/>
                <w:color w:val="000000" w:themeColor="text1"/>
                <w:highlight w:val="none"/>
                <w14:textFill>
                  <w14:solidFill>
                    <w14:schemeClr w14:val="tx1"/>
                  </w14:solidFill>
                </w14:textFill>
              </w:rPr>
              <w:t>表4</w:t>
            </w:r>
            <w:r>
              <w:rPr>
                <w:color w:val="000000" w:themeColor="text1"/>
                <w:highlight w:val="none"/>
                <w14:textFill>
                  <w14:solidFill>
                    <w14:schemeClr w14:val="tx1"/>
                  </w14:solidFill>
                </w14:textFill>
              </w:rPr>
              <w:t>中要求的污染物排放限值</w:t>
            </w:r>
            <w:r>
              <w:rPr>
                <w:rFonts w:hint="eastAsia"/>
                <w:color w:val="000000" w:themeColor="text1"/>
                <w:highlight w:val="none"/>
                <w14:textFill>
                  <w14:solidFill>
                    <w14:schemeClr w14:val="tx1"/>
                  </w14:solidFill>
                </w14:textFill>
              </w:rPr>
              <w:t>及</w:t>
            </w:r>
            <w:r>
              <w:rPr>
                <w:rFonts w:hint="eastAsia"/>
                <w:color w:val="000000" w:themeColor="text1"/>
                <w:szCs w:val="24"/>
                <w:highlight w:val="none"/>
                <w14:textFill>
                  <w14:solidFill>
                    <w14:schemeClr w14:val="tx1"/>
                  </w14:solidFill>
                </w14:textFill>
              </w:rPr>
              <w:t>《挥发性有机物无组织排放控制标准》(GB37822-2019）中特别排放限值要求。</w:t>
            </w:r>
          </w:p>
          <w:p w14:paraId="695938FC">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w:t>
            </w:r>
            <w:r>
              <w:rPr>
                <w:color w:val="000000" w:themeColor="text1"/>
                <w:highlight w:val="none"/>
                <w14:textFill>
                  <w14:solidFill>
                    <w14:schemeClr w14:val="tx1"/>
                  </w14:solidFill>
                </w14:textFill>
              </w:rPr>
              <w:t>分析可知，项目运营期采取的大气污染防治措施可行。</w:t>
            </w:r>
          </w:p>
          <w:p w14:paraId="68EF1FA8">
            <w:pPr>
              <w:pStyle w:val="89"/>
              <w:spacing w:before="120" w:beforeLines="50" w:after="120" w:afterLines="50"/>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4.2.2.</w:t>
            </w:r>
            <w:r>
              <w:rPr>
                <w:rFonts w:hint="eastAsia" w:ascii="Times New Roman" w:hAnsi="Times New Roman" w:eastAsia="宋体" w:cs="Times New Roman"/>
                <w:color w:val="000000" w:themeColor="text1"/>
                <w:highlight w:val="none"/>
                <w14:textFill>
                  <w14:solidFill>
                    <w14:schemeClr w14:val="tx1"/>
                  </w14:solidFill>
                </w14:textFill>
              </w:rPr>
              <w:t>3环境防护距离设置要求</w:t>
            </w:r>
          </w:p>
          <w:p w14:paraId="5963A03A">
            <w:pPr>
              <w:pStyle w:val="294"/>
              <w:ind w:firstLine="480"/>
              <w:jc w:val="lef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根据《建设项目环境影响报告表编制技术指南(污染影响类)(试行)》(</w:t>
            </w:r>
            <w:r>
              <w:rPr>
                <w:rFonts w:hint="eastAsia" w:ascii="Times New Roman" w:hAnsi="Times New Roman" w:eastAsia="宋体" w:cs="Times New Roman"/>
                <w:color w:val="000000" w:themeColor="text1"/>
                <w:highlight w:val="none"/>
                <w:lang w:val="zh-CN"/>
                <w14:textFill>
                  <w14:solidFill>
                    <w14:schemeClr w14:val="tx1"/>
                  </w14:solidFill>
                </w14:textFill>
              </w:rPr>
              <w:t>环办环评〔2020〕33号</w:t>
            </w:r>
            <w:r>
              <w:rPr>
                <w:rFonts w:hint="eastAsia" w:ascii="Times New Roman" w:hAnsi="Times New Roman" w:eastAsia="宋体" w:cs="Times New Roman"/>
                <w:color w:val="000000" w:themeColor="text1"/>
                <w:highlight w:val="none"/>
                <w14:textFill>
                  <w14:solidFill>
                    <w14:schemeClr w14:val="tx1"/>
                  </w14:solidFill>
                </w14:textFill>
              </w:rPr>
              <w:t>)要求可知，目前不对项目大气环境防护距离及卫生防护距离进行要求。根据环境影响评价网(</w:t>
            </w:r>
            <w:r>
              <w:rPr>
                <w:rFonts w:hint="eastAsia" w:ascii="Times New Roman" w:hAnsi="Times New Roman" w:eastAsia="宋体" w:cs="Times New Roman"/>
                <w:color w:val="000000" w:themeColor="text1"/>
                <w:highlight w:val="none"/>
                <w:lang w:val="zh-CN"/>
                <w14:textFill>
                  <w14:solidFill>
                    <w14:schemeClr w14:val="tx1"/>
                  </w14:solidFill>
                </w14:textFill>
              </w:rPr>
              <w:t>生态环境部环境工程评估中心</w:t>
            </w:r>
            <w:r>
              <w:rPr>
                <w:rFonts w:hint="eastAsia" w:ascii="Times New Roman" w:hAnsi="Times New Roman" w:eastAsia="宋体" w:cs="Times New Roman"/>
                <w:color w:val="000000" w:themeColor="text1"/>
                <w:highlight w:val="none"/>
                <w14:textFill>
                  <w14:solidFill>
                    <w14:schemeClr w14:val="tx1"/>
                  </w14:solidFill>
                </w14:textFill>
              </w:rPr>
              <w:t>)关于</w:t>
            </w:r>
            <w:r>
              <w:rPr>
                <w:rFonts w:hint="eastAsia" w:ascii="Times New Roman" w:hAnsi="Times New Roman" w:eastAsia="宋体" w:cs="Times New Roman"/>
                <w:color w:val="000000" w:themeColor="text1"/>
                <w:highlight w:val="none"/>
                <w:lang w:val="zh-CN"/>
                <w14:textFill>
                  <w14:solidFill>
                    <w14:schemeClr w14:val="tx1"/>
                  </w14:solidFill>
                </w14:textFill>
              </w:rPr>
              <w:t>《建设项目环境影响报告表》内容、格式及编制技术指南常见问题解答：</w:t>
            </w:r>
            <w:r>
              <w:rPr>
                <w:rFonts w:hint="eastAsia" w:ascii="Times New Roman" w:hAnsi="Times New Roman" w:eastAsia="宋体" w:cs="Times New Roman"/>
                <w:color w:val="000000" w:themeColor="text1"/>
                <w:highlight w:val="none"/>
                <w14:textFill>
                  <w14:solidFill>
                    <w14:schemeClr w14:val="tx1"/>
                  </w14:solidFill>
                </w14:textFill>
              </w:rPr>
              <w:t>“《建设项目环境影响评价技术导则 总纲》(HJ2.1-2016)未对卫生防护距离提出评价要求，建设项目环境影响报告表编制技术指南(以下简称技术指南)不做要求。对于判定为需要开展大气专项评价的建设项目，根据《环境影响评价技术导则 大气环境》(HJ2.2-2018)需要计算大气环境防护距离的，应按要求计算”。</w:t>
            </w:r>
            <w:r>
              <w:rPr>
                <w:rFonts w:hint="eastAsia" w:cs="Times New Roman"/>
                <w:color w:val="000000" w:themeColor="text1"/>
                <w:highlight w:val="none"/>
                <w:lang w:eastAsia="zh-CN"/>
                <w14:textFill>
                  <w14:solidFill>
                    <w14:schemeClr w14:val="tx1"/>
                  </w14:solidFill>
                </w14:textFill>
              </w:rPr>
              <w:t>扩建</w:t>
            </w:r>
            <w:r>
              <w:rPr>
                <w:rFonts w:hint="eastAsia" w:ascii="Times New Roman" w:hAnsi="Times New Roman" w:eastAsia="宋体" w:cs="Times New Roman"/>
                <w:color w:val="000000" w:themeColor="text1"/>
                <w:highlight w:val="none"/>
                <w14:textFill>
                  <w14:solidFill>
                    <w14:schemeClr w14:val="tx1"/>
                  </w14:solidFill>
                </w14:textFill>
              </w:rPr>
              <w:t>项目不涉及大气专项评价，因此，在企业落实有效的废气收集、处理措施的前提下，本项目可不设置大气环境防护距离和卫生防护距离。</w:t>
            </w:r>
          </w:p>
          <w:p w14:paraId="333ACAC9">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4.2.3</w:t>
            </w:r>
            <w:r>
              <w:rPr>
                <w:rFonts w:hint="eastAsia"/>
                <w:color w:val="000000" w:themeColor="text1"/>
                <w:sz w:val="28"/>
                <w:szCs w:val="28"/>
                <w:highlight w:val="none"/>
                <w14:textFill>
                  <w14:solidFill>
                    <w14:schemeClr w14:val="tx1"/>
                  </w14:solidFill>
                </w14:textFill>
              </w:rPr>
              <w:t>噪声</w:t>
            </w:r>
          </w:p>
          <w:p w14:paraId="60B5AC07">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4.2.3.1</w:t>
            </w:r>
            <w:r>
              <w:rPr>
                <w:rFonts w:hint="eastAsia"/>
                <w:color w:val="000000" w:themeColor="text1"/>
                <w:highlight w:val="none"/>
                <w14:textFill>
                  <w14:solidFill>
                    <w14:schemeClr w14:val="tx1"/>
                  </w14:solidFill>
                </w14:textFill>
              </w:rPr>
              <w:t>噪声污染源强</w:t>
            </w:r>
            <w:r>
              <w:rPr>
                <w:color w:val="000000" w:themeColor="text1"/>
                <w:highlight w:val="none"/>
                <w14:textFill>
                  <w14:solidFill>
                    <w14:schemeClr w14:val="tx1"/>
                  </w14:solidFill>
                </w14:textFill>
              </w:rPr>
              <w:t>分析</w:t>
            </w:r>
          </w:p>
          <w:p w14:paraId="0E0B291B">
            <w:pPr>
              <w:pStyle w:val="237"/>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项目主要</w:t>
            </w:r>
            <w:r>
              <w:rPr>
                <w:rFonts w:hint="eastAsia"/>
                <w:color w:val="000000" w:themeColor="text1"/>
                <w:highlight w:val="none"/>
                <w14:textFill>
                  <w14:solidFill>
                    <w14:schemeClr w14:val="tx1"/>
                  </w14:solidFill>
                </w14:textFill>
              </w:rPr>
              <w:t>生产</w:t>
            </w:r>
            <w:r>
              <w:rPr>
                <w:color w:val="000000" w:themeColor="text1"/>
                <w:highlight w:val="none"/>
                <w14:textFill>
                  <w14:solidFill>
                    <w14:schemeClr w14:val="tx1"/>
                  </w14:solidFill>
                </w14:textFill>
              </w:rPr>
              <w:t>设备</w:t>
            </w:r>
            <w:r>
              <w:rPr>
                <w:rFonts w:hint="eastAsia"/>
                <w:color w:val="000000" w:themeColor="text1"/>
                <w:highlight w:val="none"/>
                <w14:textFill>
                  <w14:solidFill>
                    <w14:schemeClr w14:val="tx1"/>
                  </w14:solidFill>
                </w14:textFill>
              </w:rPr>
              <w:t>机械</w:t>
            </w:r>
            <w:r>
              <w:rPr>
                <w:color w:val="000000" w:themeColor="text1"/>
                <w:highlight w:val="none"/>
                <w14:textFill>
                  <w14:solidFill>
                    <w14:schemeClr w14:val="tx1"/>
                  </w14:solidFill>
                </w14:textFill>
              </w:rPr>
              <w:t>噪声</w:t>
            </w:r>
            <w:r>
              <w:rPr>
                <w:rFonts w:hint="eastAsia"/>
                <w:color w:val="000000" w:themeColor="text1"/>
                <w:highlight w:val="none"/>
                <w14:textFill>
                  <w14:solidFill>
                    <w14:schemeClr w14:val="tx1"/>
                  </w14:solidFill>
                </w14:textFill>
              </w:rPr>
              <w:t>源强详见</w:t>
            </w: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4.2-11，</w:t>
            </w:r>
            <w:r>
              <w:rPr>
                <w:color w:val="000000" w:themeColor="text1"/>
                <w:highlight w:val="none"/>
                <w14:textFill>
                  <w14:solidFill>
                    <w14:schemeClr w14:val="tx1"/>
                  </w14:solidFill>
                </w14:textFill>
              </w:rPr>
              <w:t>建设单位</w:t>
            </w:r>
            <w:r>
              <w:rPr>
                <w:rFonts w:hint="eastAsia"/>
                <w:color w:val="000000" w:themeColor="text1"/>
                <w:highlight w:val="none"/>
                <w14:textFill>
                  <w14:solidFill>
                    <w14:schemeClr w14:val="tx1"/>
                  </w14:solidFill>
                </w14:textFill>
              </w:rPr>
              <w:t>拟</w:t>
            </w:r>
            <w:r>
              <w:rPr>
                <w:color w:val="000000" w:themeColor="text1"/>
                <w:highlight w:val="none"/>
                <w14:textFill>
                  <w14:solidFill>
                    <w14:schemeClr w14:val="tx1"/>
                  </w14:solidFill>
                </w14:textFill>
              </w:rPr>
              <w:t>对运营期间的生产噪声采取</w:t>
            </w:r>
            <w:r>
              <w:rPr>
                <w:rFonts w:hint="eastAsia"/>
                <w:color w:val="000000" w:themeColor="text1"/>
                <w:highlight w:val="none"/>
                <w14:textFill>
                  <w14:solidFill>
                    <w14:schemeClr w14:val="tx1"/>
                  </w14:solidFill>
                </w14:textFill>
              </w:rPr>
              <w:t>设备基础</w:t>
            </w:r>
            <w:r>
              <w:rPr>
                <w:color w:val="000000" w:themeColor="text1"/>
                <w:highlight w:val="none"/>
                <w14:textFill>
                  <w14:solidFill>
                    <w14:schemeClr w14:val="tx1"/>
                  </w14:solidFill>
                </w14:textFill>
              </w:rPr>
              <w:t>减振</w:t>
            </w:r>
            <w:r>
              <w:rPr>
                <w:rFonts w:hint="eastAsia"/>
                <w:color w:val="000000" w:themeColor="text1"/>
                <w:highlight w:val="none"/>
                <w14:textFill>
                  <w14:solidFill>
                    <w14:schemeClr w14:val="tx1"/>
                  </w14:solidFill>
                </w14:textFill>
              </w:rPr>
              <w:t>及厂房</w:t>
            </w:r>
            <w:r>
              <w:rPr>
                <w:color w:val="000000" w:themeColor="text1"/>
                <w:highlight w:val="none"/>
                <w14:textFill>
                  <w14:solidFill>
                    <w14:schemeClr w14:val="tx1"/>
                  </w14:solidFill>
                </w14:textFill>
              </w:rPr>
              <w:t>隔声等</w:t>
            </w:r>
            <w:r>
              <w:rPr>
                <w:rFonts w:hint="eastAsia"/>
                <w:color w:val="000000" w:themeColor="text1"/>
                <w:highlight w:val="none"/>
                <w14:textFill>
                  <w14:solidFill>
                    <w14:schemeClr w14:val="tx1"/>
                  </w14:solidFill>
                </w14:textFill>
              </w:rPr>
              <w:t>综合</w:t>
            </w:r>
            <w:r>
              <w:rPr>
                <w:color w:val="000000" w:themeColor="text1"/>
                <w:highlight w:val="none"/>
                <w14:textFill>
                  <w14:solidFill>
                    <w14:schemeClr w14:val="tx1"/>
                  </w14:solidFill>
                </w14:textFill>
              </w:rPr>
              <w:t>措施</w:t>
            </w:r>
            <w:r>
              <w:rPr>
                <w:rFonts w:hint="eastAsia"/>
                <w:color w:val="000000" w:themeColor="text1"/>
                <w:highlight w:val="none"/>
                <w14:textFill>
                  <w14:solidFill>
                    <w14:schemeClr w14:val="tx1"/>
                  </w14:solidFill>
                </w14:textFill>
              </w:rPr>
              <w:t>进行</w:t>
            </w:r>
            <w:r>
              <w:rPr>
                <w:color w:val="000000" w:themeColor="text1"/>
                <w:highlight w:val="none"/>
                <w14:textFill>
                  <w14:solidFill>
                    <w14:schemeClr w14:val="tx1"/>
                  </w14:solidFill>
                </w14:textFill>
              </w:rPr>
              <w:t>降噪，降噪效果约为</w:t>
            </w:r>
            <w:r>
              <w:rPr>
                <w:rFonts w:hint="eastAsia"/>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14:paraId="595A1986">
            <w:pPr>
              <w:pStyle w:val="237"/>
              <w:ind w:firstLine="482"/>
              <w:jc w:val="center"/>
              <w:rPr>
                <w:b/>
                <w:bCs/>
                <w:color w:val="000000" w:themeColor="text1"/>
                <w:szCs w:val="22"/>
                <w:highlight w:val="none"/>
                <w14:textFill>
                  <w14:solidFill>
                    <w14:schemeClr w14:val="tx1"/>
                  </w14:solidFill>
                </w14:textFill>
              </w:rPr>
            </w:pPr>
            <w:r>
              <w:rPr>
                <w:b/>
                <w:bCs/>
                <w:color w:val="000000" w:themeColor="text1"/>
                <w:szCs w:val="22"/>
                <w:highlight w:val="none"/>
                <w14:textFill>
                  <w14:solidFill>
                    <w14:schemeClr w14:val="tx1"/>
                  </w14:solidFill>
                </w14:textFill>
              </w:rPr>
              <w:t>表4.2-</w:t>
            </w:r>
            <w:r>
              <w:rPr>
                <w:rFonts w:hint="eastAsia"/>
                <w:b/>
                <w:bCs/>
                <w:color w:val="000000" w:themeColor="text1"/>
                <w:szCs w:val="22"/>
                <w:highlight w:val="none"/>
                <w14:textFill>
                  <w14:solidFill>
                    <w14:schemeClr w14:val="tx1"/>
                  </w14:solidFill>
                </w14:textFill>
              </w:rPr>
              <w:t>11</w:t>
            </w:r>
            <w:r>
              <w:rPr>
                <w:b/>
                <w:bCs/>
                <w:color w:val="000000" w:themeColor="text1"/>
                <w:szCs w:val="22"/>
                <w:highlight w:val="none"/>
                <w14:textFill>
                  <w14:solidFill>
                    <w14:schemeClr w14:val="tx1"/>
                  </w14:solidFill>
                </w14:textFill>
              </w:rPr>
              <w:t>工程主要</w:t>
            </w:r>
            <w:r>
              <w:rPr>
                <w:rFonts w:hint="eastAsia"/>
                <w:b/>
                <w:bCs/>
                <w:color w:val="000000" w:themeColor="text1"/>
                <w:szCs w:val="22"/>
                <w:highlight w:val="none"/>
                <w14:textFill>
                  <w14:solidFill>
                    <w14:schemeClr w14:val="tx1"/>
                  </w14:solidFill>
                </w14:textFill>
              </w:rPr>
              <w:t>机械</w:t>
            </w:r>
            <w:r>
              <w:rPr>
                <w:b/>
                <w:bCs/>
                <w:color w:val="000000" w:themeColor="text1"/>
                <w:szCs w:val="22"/>
                <w:highlight w:val="none"/>
                <w14:textFill>
                  <w14:solidFill>
                    <w14:schemeClr w14:val="tx1"/>
                  </w14:solidFill>
                </w14:textFill>
              </w:rPr>
              <w:t>设备噪声</w:t>
            </w:r>
            <w:r>
              <w:rPr>
                <w:rFonts w:hint="eastAsia"/>
                <w:b/>
                <w:bCs/>
                <w:color w:val="000000" w:themeColor="text1"/>
                <w:szCs w:val="22"/>
                <w:highlight w:val="none"/>
                <w14:textFill>
                  <w14:solidFill>
                    <w14:schemeClr w14:val="tx1"/>
                  </w14:solidFill>
                </w14:textFill>
              </w:rPr>
              <w:t>一览表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08"/>
              <w:gridCol w:w="1849"/>
              <w:gridCol w:w="576"/>
              <w:gridCol w:w="905"/>
              <w:gridCol w:w="1354"/>
              <w:gridCol w:w="1204"/>
              <w:gridCol w:w="985"/>
              <w:gridCol w:w="911"/>
            </w:tblGrid>
            <w:tr w14:paraId="456621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1907F7DA">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101" w:type="pct"/>
                  <w:vAlign w:val="center"/>
                </w:tcPr>
                <w:p w14:paraId="29C1C2D8">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噪声源名称</w:t>
                  </w:r>
                </w:p>
              </w:tc>
              <w:tc>
                <w:tcPr>
                  <w:tcW w:w="343" w:type="pct"/>
                  <w:vAlign w:val="center"/>
                </w:tcPr>
                <w:p w14:paraId="260BEA14">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数量</w:t>
                  </w:r>
                </w:p>
              </w:tc>
              <w:tc>
                <w:tcPr>
                  <w:tcW w:w="539" w:type="pct"/>
                  <w:vAlign w:val="center"/>
                </w:tcPr>
                <w:p w14:paraId="254DD771">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治理前声级dB(A)</w:t>
                  </w:r>
                </w:p>
              </w:tc>
              <w:tc>
                <w:tcPr>
                  <w:tcW w:w="806" w:type="pct"/>
                  <w:vAlign w:val="center"/>
                </w:tcPr>
                <w:p w14:paraId="2E2E1C39">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治理措施</w:t>
                  </w:r>
                </w:p>
              </w:tc>
              <w:tc>
                <w:tcPr>
                  <w:tcW w:w="717" w:type="pct"/>
                  <w:vAlign w:val="center"/>
                </w:tcPr>
                <w:p w14:paraId="780FB791">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降噪效果</w:t>
                  </w:r>
                </w:p>
                <w:p w14:paraId="1AB3221C">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dB(A)</w:t>
                  </w:r>
                </w:p>
              </w:tc>
              <w:tc>
                <w:tcPr>
                  <w:tcW w:w="586" w:type="pct"/>
                  <w:vAlign w:val="center"/>
                </w:tcPr>
                <w:p w14:paraId="35C192BD">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治理后声级dB(A)</w:t>
                  </w:r>
                </w:p>
              </w:tc>
              <w:tc>
                <w:tcPr>
                  <w:tcW w:w="542" w:type="pct"/>
                  <w:vAlign w:val="center"/>
                </w:tcPr>
                <w:p w14:paraId="256D39B3">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持续时间(h/d)</w:t>
                  </w:r>
                </w:p>
              </w:tc>
            </w:tr>
            <w:tr w14:paraId="243918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0EDAFFD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1101" w:type="pct"/>
                  <w:vAlign w:val="center"/>
                </w:tcPr>
                <w:p w14:paraId="645B319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封边机</w:t>
                  </w:r>
                </w:p>
              </w:tc>
              <w:tc>
                <w:tcPr>
                  <w:tcW w:w="343" w:type="pct"/>
                  <w:vAlign w:val="center"/>
                </w:tcPr>
                <w:p w14:paraId="7336495E">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0195B25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restart"/>
                  <w:vAlign w:val="center"/>
                </w:tcPr>
                <w:p w14:paraId="22F33E82">
                  <w:pPr>
                    <w:pStyle w:val="67"/>
                    <w:adjustRightInd w:val="0"/>
                    <w:snapToGrid w:val="0"/>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设备减振、厂房隔声等综合治理措施</w:t>
                  </w:r>
                </w:p>
              </w:tc>
              <w:tc>
                <w:tcPr>
                  <w:tcW w:w="717" w:type="pct"/>
                  <w:vMerge w:val="restart"/>
                  <w:vAlign w:val="center"/>
                </w:tcPr>
                <w:p w14:paraId="51C458A9">
                  <w:pPr>
                    <w:pStyle w:val="67"/>
                    <w:adjustRightInd w:val="0"/>
                    <w:snapToGrid w:val="0"/>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586" w:type="pct"/>
                  <w:vAlign w:val="center"/>
                </w:tcPr>
                <w:p w14:paraId="424066FC">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14:paraId="37FF01CB">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35406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58BB9EE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1101" w:type="pct"/>
                  <w:vAlign w:val="center"/>
                </w:tcPr>
                <w:p w14:paraId="11F4EA25">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数控裁板锯</w:t>
                  </w:r>
                </w:p>
                <w:p w14:paraId="57B3BEC8">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（电脑锯）</w:t>
                  </w:r>
                </w:p>
              </w:tc>
              <w:tc>
                <w:tcPr>
                  <w:tcW w:w="343" w:type="pct"/>
                  <w:vAlign w:val="center"/>
                </w:tcPr>
                <w:p w14:paraId="25367C6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7AFBC15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7D4735DA">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7BE9CC9D">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583DA9B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542" w:type="pct"/>
                  <w:vAlign w:val="center"/>
                </w:tcPr>
                <w:p w14:paraId="573F42D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6A2FCE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151A25C3">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1101" w:type="pct"/>
                  <w:vAlign w:val="center"/>
                </w:tcPr>
                <w:p w14:paraId="4922BFB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数控六面钻孔</w:t>
                  </w:r>
                </w:p>
                <w:p w14:paraId="7ED19A64">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(数控钻孔中心）</w:t>
                  </w:r>
                </w:p>
              </w:tc>
              <w:tc>
                <w:tcPr>
                  <w:tcW w:w="343" w:type="pct"/>
                  <w:vAlign w:val="center"/>
                </w:tcPr>
                <w:p w14:paraId="55257FA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201F50A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244913C0">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0F7D6D27">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2BDED81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542" w:type="pct"/>
                  <w:vAlign w:val="center"/>
                </w:tcPr>
                <w:p w14:paraId="46CC8155">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22C8B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23C94D9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1101" w:type="pct"/>
                  <w:vAlign w:val="center"/>
                </w:tcPr>
                <w:p w14:paraId="597137C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排钻</w:t>
                  </w:r>
                </w:p>
              </w:tc>
              <w:tc>
                <w:tcPr>
                  <w:tcW w:w="343" w:type="pct"/>
                  <w:vAlign w:val="center"/>
                </w:tcPr>
                <w:p w14:paraId="706AD0D5">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0BC2974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588991B7">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68126FAD">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52F34902">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14:paraId="325909A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6088C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0BA7D74E">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1101" w:type="pct"/>
                  <w:vAlign w:val="center"/>
                </w:tcPr>
                <w:p w14:paraId="699C28C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台钻</w:t>
                  </w:r>
                </w:p>
              </w:tc>
              <w:tc>
                <w:tcPr>
                  <w:tcW w:w="343" w:type="pct"/>
                  <w:vAlign w:val="center"/>
                </w:tcPr>
                <w:p w14:paraId="5ABCB789">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5BFDE90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6893CA63">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22075B02">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5DE2A883">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14:paraId="7B5DAC9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71AD65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216C9CE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p>
              </w:tc>
              <w:tc>
                <w:tcPr>
                  <w:tcW w:w="1101" w:type="pct"/>
                  <w:vAlign w:val="center"/>
                </w:tcPr>
                <w:p w14:paraId="14DD2DD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空压机</w:t>
                  </w:r>
                </w:p>
              </w:tc>
              <w:tc>
                <w:tcPr>
                  <w:tcW w:w="343" w:type="pct"/>
                  <w:vAlign w:val="center"/>
                </w:tcPr>
                <w:p w14:paraId="7ABD5984">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57C0B4C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w:t>
                  </w:r>
                </w:p>
              </w:tc>
              <w:tc>
                <w:tcPr>
                  <w:tcW w:w="806" w:type="pct"/>
                  <w:vMerge w:val="continue"/>
                  <w:vAlign w:val="center"/>
                </w:tcPr>
                <w:p w14:paraId="05F3EE3C">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53321524">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7514C04E">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70</w:t>
                  </w:r>
                </w:p>
              </w:tc>
              <w:tc>
                <w:tcPr>
                  <w:tcW w:w="542" w:type="pct"/>
                  <w:vAlign w:val="center"/>
                </w:tcPr>
                <w:p w14:paraId="0B9DBC6E">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0AD41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1DFC23A6">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w:t>
                  </w:r>
                </w:p>
              </w:tc>
              <w:tc>
                <w:tcPr>
                  <w:tcW w:w="1101" w:type="pct"/>
                  <w:vAlign w:val="center"/>
                </w:tcPr>
                <w:p w14:paraId="22573F52">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冷压机</w:t>
                  </w:r>
                </w:p>
              </w:tc>
              <w:tc>
                <w:tcPr>
                  <w:tcW w:w="343" w:type="pct"/>
                  <w:vAlign w:val="center"/>
                </w:tcPr>
                <w:p w14:paraId="063FE49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14:paraId="62300CB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0AA7B690">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7E512ECE">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4237879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542" w:type="pct"/>
                  <w:vAlign w:val="center"/>
                </w:tcPr>
                <w:p w14:paraId="5255260F">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4BBCD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09A62532">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c>
                <w:tcPr>
                  <w:tcW w:w="1101" w:type="pct"/>
                  <w:vAlign w:val="center"/>
                </w:tcPr>
                <w:p w14:paraId="3699018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电脑数控雕刻机</w:t>
                  </w:r>
                </w:p>
              </w:tc>
              <w:tc>
                <w:tcPr>
                  <w:tcW w:w="343" w:type="pct"/>
                  <w:vAlign w:val="center"/>
                </w:tcPr>
                <w:p w14:paraId="32425095">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2C9B987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0F005581">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6BF3BB5D">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717B27FE">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14:paraId="691C333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1F720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464538E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w:t>
                  </w:r>
                </w:p>
              </w:tc>
              <w:tc>
                <w:tcPr>
                  <w:tcW w:w="1101" w:type="pct"/>
                  <w:vAlign w:val="center"/>
                </w:tcPr>
                <w:p w14:paraId="3202842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精锯</w:t>
                  </w:r>
                </w:p>
              </w:tc>
              <w:tc>
                <w:tcPr>
                  <w:tcW w:w="343" w:type="pct"/>
                  <w:vAlign w:val="center"/>
                </w:tcPr>
                <w:p w14:paraId="78F751C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539" w:type="pct"/>
                  <w:vAlign w:val="center"/>
                </w:tcPr>
                <w:p w14:paraId="5A62F87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32898BB7">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2D3AE53D">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07DE7139">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542" w:type="pct"/>
                  <w:vAlign w:val="center"/>
                </w:tcPr>
                <w:p w14:paraId="47129248">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7EF156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135BC9C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1101" w:type="pct"/>
                  <w:vAlign w:val="center"/>
                </w:tcPr>
                <w:p w14:paraId="1B192E0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压刨机</w:t>
                  </w:r>
                </w:p>
              </w:tc>
              <w:tc>
                <w:tcPr>
                  <w:tcW w:w="343" w:type="pct"/>
                  <w:vAlign w:val="center"/>
                </w:tcPr>
                <w:p w14:paraId="677F2FF5">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14:paraId="3EEC8E7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3A5E58F7">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4AE9E86C">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094D136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14:paraId="439DAAC2">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6A6A3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683F2B2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w:t>
                  </w:r>
                </w:p>
              </w:tc>
              <w:tc>
                <w:tcPr>
                  <w:tcW w:w="1101" w:type="pct"/>
                  <w:vAlign w:val="center"/>
                </w:tcPr>
                <w:p w14:paraId="7765CC78">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平刨机</w:t>
                  </w:r>
                </w:p>
              </w:tc>
              <w:tc>
                <w:tcPr>
                  <w:tcW w:w="343" w:type="pct"/>
                  <w:vAlign w:val="center"/>
                </w:tcPr>
                <w:p w14:paraId="0DFB1E5F">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14:paraId="523AB21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0183A6DD">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00E98C62">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2DF0E494">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14:paraId="7205C008">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07223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7EF8E61F">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w:t>
                  </w:r>
                </w:p>
              </w:tc>
              <w:tc>
                <w:tcPr>
                  <w:tcW w:w="1101" w:type="pct"/>
                  <w:vAlign w:val="center"/>
                </w:tcPr>
                <w:p w14:paraId="1BB7355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双面锯</w:t>
                  </w:r>
                </w:p>
              </w:tc>
              <w:tc>
                <w:tcPr>
                  <w:tcW w:w="343" w:type="pct"/>
                  <w:vAlign w:val="center"/>
                </w:tcPr>
                <w:p w14:paraId="1235479D">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56A37E6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369A5686">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0A540F7A">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3AC26FD9">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14:paraId="3662ECE8">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1CA92B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4E78D1B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w:t>
                  </w:r>
                </w:p>
              </w:tc>
              <w:tc>
                <w:tcPr>
                  <w:tcW w:w="1101" w:type="pct"/>
                  <w:vAlign w:val="center"/>
                </w:tcPr>
                <w:p w14:paraId="408255C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重锯</w:t>
                  </w:r>
                </w:p>
              </w:tc>
              <w:tc>
                <w:tcPr>
                  <w:tcW w:w="343" w:type="pct"/>
                  <w:vAlign w:val="center"/>
                </w:tcPr>
                <w:p w14:paraId="3517F388">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0D62538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48810776">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3C7C3663">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7AA283C3">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14:paraId="6C5C326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68D5E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67F29273">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14</w:t>
                  </w:r>
                </w:p>
              </w:tc>
              <w:tc>
                <w:tcPr>
                  <w:tcW w:w="1101" w:type="pct"/>
                  <w:vAlign w:val="center"/>
                </w:tcPr>
                <w:p w14:paraId="06D8545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线条机</w:t>
                  </w:r>
                </w:p>
              </w:tc>
              <w:tc>
                <w:tcPr>
                  <w:tcW w:w="343" w:type="pct"/>
                  <w:vAlign w:val="center"/>
                </w:tcPr>
                <w:p w14:paraId="56906695">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14:paraId="7866BF1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73096C10">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764C1AE7">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16E036AF">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14:paraId="19E6CB13">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11D76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4811FD8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1101" w:type="pct"/>
                  <w:vAlign w:val="center"/>
                </w:tcPr>
                <w:p w14:paraId="6491562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带锯</w:t>
                  </w:r>
                </w:p>
              </w:tc>
              <w:tc>
                <w:tcPr>
                  <w:tcW w:w="343" w:type="pct"/>
                  <w:vAlign w:val="center"/>
                </w:tcPr>
                <w:p w14:paraId="2DAA45B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14:paraId="11927E9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085E9535">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2ED4FBB8">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6B48063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14:paraId="479E0E2F">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3011A8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4BC8474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16</w:t>
                  </w:r>
                </w:p>
              </w:tc>
              <w:tc>
                <w:tcPr>
                  <w:tcW w:w="1101" w:type="pct"/>
                  <w:vAlign w:val="center"/>
                </w:tcPr>
                <w:p w14:paraId="774BA766">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五叠锯</w:t>
                  </w:r>
                </w:p>
              </w:tc>
              <w:tc>
                <w:tcPr>
                  <w:tcW w:w="343" w:type="pct"/>
                  <w:vAlign w:val="center"/>
                </w:tcPr>
                <w:p w14:paraId="7A5B2AC2">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14:paraId="7BAE126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39287D74">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1675AC46">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410D493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14:paraId="0C3B1F34">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7D03BA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04E79D78">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w:t>
                  </w:r>
                </w:p>
              </w:tc>
              <w:tc>
                <w:tcPr>
                  <w:tcW w:w="1101" w:type="pct"/>
                  <w:vAlign w:val="center"/>
                </w:tcPr>
                <w:p w14:paraId="3AA57038">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立铣</w:t>
                  </w:r>
                </w:p>
              </w:tc>
              <w:tc>
                <w:tcPr>
                  <w:tcW w:w="343" w:type="pct"/>
                  <w:vAlign w:val="center"/>
                </w:tcPr>
                <w:p w14:paraId="416B43A6">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539" w:type="pct"/>
                  <w:vAlign w:val="center"/>
                </w:tcPr>
                <w:p w14:paraId="298CB9C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02F8551B">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323504F4">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4EC314DE">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14:paraId="1B7E519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06E0D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51B0B79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18</w:t>
                  </w:r>
                </w:p>
              </w:tc>
              <w:tc>
                <w:tcPr>
                  <w:tcW w:w="1101" w:type="pct"/>
                  <w:vAlign w:val="center"/>
                </w:tcPr>
                <w:p w14:paraId="4BB9CABF">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打眼机</w:t>
                  </w:r>
                </w:p>
              </w:tc>
              <w:tc>
                <w:tcPr>
                  <w:tcW w:w="343" w:type="pct"/>
                  <w:vAlign w:val="center"/>
                </w:tcPr>
                <w:p w14:paraId="379F86E3">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3F325914">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4C9D9EEC">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747A2C99">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6BA95D6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14:paraId="0842EAD6">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31E2A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452B6823">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19</w:t>
                  </w:r>
                </w:p>
              </w:tc>
              <w:tc>
                <w:tcPr>
                  <w:tcW w:w="1101" w:type="pct"/>
                  <w:vAlign w:val="center"/>
                </w:tcPr>
                <w:p w14:paraId="00222C84">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侧眼机</w:t>
                  </w:r>
                </w:p>
              </w:tc>
              <w:tc>
                <w:tcPr>
                  <w:tcW w:w="343" w:type="pct"/>
                  <w:vAlign w:val="center"/>
                </w:tcPr>
                <w:p w14:paraId="3963F8B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3EE15FD0">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296E3303">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010C49A1">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254850D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14:paraId="2040D8C8">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4E8A3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36397224">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w:t>
                  </w:r>
                </w:p>
              </w:tc>
              <w:tc>
                <w:tcPr>
                  <w:tcW w:w="1101" w:type="pct"/>
                  <w:vAlign w:val="center"/>
                </w:tcPr>
                <w:p w14:paraId="7114E3DF">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地锣</w:t>
                  </w:r>
                </w:p>
              </w:tc>
              <w:tc>
                <w:tcPr>
                  <w:tcW w:w="343" w:type="pct"/>
                  <w:vAlign w:val="center"/>
                </w:tcPr>
                <w:p w14:paraId="7748BCE9">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54315CE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27E42AA6">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35830A85">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49A91B4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14:paraId="49DC2245">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35E62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31629ED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21</w:t>
                  </w:r>
                </w:p>
              </w:tc>
              <w:tc>
                <w:tcPr>
                  <w:tcW w:w="1101" w:type="pct"/>
                  <w:vAlign w:val="center"/>
                </w:tcPr>
                <w:p w14:paraId="1F7C019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弧形封边机</w:t>
                  </w:r>
                </w:p>
              </w:tc>
              <w:tc>
                <w:tcPr>
                  <w:tcW w:w="343" w:type="pct"/>
                  <w:vAlign w:val="center"/>
                </w:tcPr>
                <w:p w14:paraId="2DAC2ED5">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7434F26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33B8A6AD">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2BF515AF">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35C66C4D">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14:paraId="18760D4C">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026C9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549A3523">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22</w:t>
                  </w:r>
                </w:p>
              </w:tc>
              <w:tc>
                <w:tcPr>
                  <w:tcW w:w="1101" w:type="pct"/>
                  <w:vAlign w:val="center"/>
                </w:tcPr>
                <w:p w14:paraId="59C031F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倒角机</w:t>
                  </w:r>
                </w:p>
              </w:tc>
              <w:tc>
                <w:tcPr>
                  <w:tcW w:w="343" w:type="pct"/>
                  <w:vAlign w:val="center"/>
                </w:tcPr>
                <w:p w14:paraId="0E9D081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396D17A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14D40C71">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708BB628">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201DAB3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14:paraId="457A6CF8">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4BAE2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0B03C6C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23</w:t>
                  </w:r>
                </w:p>
              </w:tc>
              <w:tc>
                <w:tcPr>
                  <w:tcW w:w="1101" w:type="pct"/>
                  <w:vAlign w:val="center"/>
                </w:tcPr>
                <w:p w14:paraId="39DD918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砂光机</w:t>
                  </w:r>
                </w:p>
              </w:tc>
              <w:tc>
                <w:tcPr>
                  <w:tcW w:w="343" w:type="pct"/>
                  <w:vAlign w:val="center"/>
                </w:tcPr>
                <w:p w14:paraId="73FC2A3C">
                  <w:pPr>
                    <w:pStyle w:val="67"/>
                    <w:adjustRightInd w:val="0"/>
                    <w:snapToGrid w:val="0"/>
                    <w:textAlignment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c>
                <w:tcPr>
                  <w:tcW w:w="539" w:type="pct"/>
                  <w:vAlign w:val="center"/>
                </w:tcPr>
                <w:p w14:paraId="6A466F6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50E7D95A">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3D72C308">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76BA476D">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14:paraId="17A1D69D">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523D3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6B2FA8AF">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24</w:t>
                  </w:r>
                </w:p>
              </w:tc>
              <w:tc>
                <w:tcPr>
                  <w:tcW w:w="1101" w:type="pct"/>
                  <w:vAlign w:val="center"/>
                </w:tcPr>
                <w:p w14:paraId="1C268F1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手持打磨机</w:t>
                  </w:r>
                </w:p>
              </w:tc>
              <w:tc>
                <w:tcPr>
                  <w:tcW w:w="343" w:type="pct"/>
                  <w:vAlign w:val="center"/>
                </w:tcPr>
                <w:p w14:paraId="2410153D">
                  <w:pPr>
                    <w:pStyle w:val="67"/>
                    <w:adjustRightInd w:val="0"/>
                    <w:snapToGrid w:val="0"/>
                    <w:textAlignment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539" w:type="pct"/>
                  <w:vAlign w:val="center"/>
                </w:tcPr>
                <w:p w14:paraId="245A19A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14:paraId="51D956FC">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7788A161">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274470F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14:paraId="44040C8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21B3E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780526F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25</w:t>
                  </w:r>
                </w:p>
              </w:tc>
              <w:tc>
                <w:tcPr>
                  <w:tcW w:w="1101" w:type="pct"/>
                  <w:vAlign w:val="center"/>
                </w:tcPr>
                <w:p w14:paraId="00F4247E">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水帘喷漆台</w:t>
                  </w:r>
                </w:p>
              </w:tc>
              <w:tc>
                <w:tcPr>
                  <w:tcW w:w="343" w:type="pct"/>
                  <w:vAlign w:val="center"/>
                </w:tcPr>
                <w:p w14:paraId="07BC89C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539" w:type="pct"/>
                  <w:vAlign w:val="center"/>
                </w:tcPr>
                <w:p w14:paraId="017C401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14:paraId="1F63B25F">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3D48B480">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62DA8DA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14:paraId="11CAAFF6">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00DB9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7AFFF6A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26</w:t>
                  </w:r>
                </w:p>
              </w:tc>
              <w:tc>
                <w:tcPr>
                  <w:tcW w:w="1101" w:type="pct"/>
                  <w:vAlign w:val="center"/>
                </w:tcPr>
                <w:p w14:paraId="65F59E87">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无尘表干房</w:t>
                  </w:r>
                </w:p>
              </w:tc>
              <w:tc>
                <w:tcPr>
                  <w:tcW w:w="343" w:type="pct"/>
                  <w:vAlign w:val="center"/>
                </w:tcPr>
                <w:p w14:paraId="781E244D">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39D7957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806" w:type="pct"/>
                  <w:vMerge w:val="continue"/>
                  <w:vAlign w:val="center"/>
                </w:tcPr>
                <w:p w14:paraId="3E46EB45">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26BCA3B8">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17B252A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55</w:t>
                  </w:r>
                </w:p>
              </w:tc>
              <w:tc>
                <w:tcPr>
                  <w:tcW w:w="911" w:type="dxa"/>
                  <w:vAlign w:val="center"/>
                </w:tcPr>
                <w:p w14:paraId="7B61456D">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14:paraId="7D43F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14:paraId="3FE7B1B0">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27</w:t>
                  </w:r>
                </w:p>
              </w:tc>
              <w:tc>
                <w:tcPr>
                  <w:tcW w:w="1101" w:type="pct"/>
                  <w:vAlign w:val="center"/>
                </w:tcPr>
                <w:p w14:paraId="09473731">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水性漆烤房</w:t>
                  </w:r>
                </w:p>
              </w:tc>
              <w:tc>
                <w:tcPr>
                  <w:tcW w:w="343" w:type="pct"/>
                  <w:vAlign w:val="center"/>
                </w:tcPr>
                <w:p w14:paraId="706C8EAC">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14:paraId="3324416A">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806" w:type="pct"/>
                  <w:vMerge w:val="continue"/>
                  <w:vAlign w:val="center"/>
                </w:tcPr>
                <w:p w14:paraId="56B0C8DA">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14:paraId="6212F1B3">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14:paraId="3A5ACF9B">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55</w:t>
                  </w:r>
                </w:p>
              </w:tc>
              <w:tc>
                <w:tcPr>
                  <w:tcW w:w="911" w:type="dxa"/>
                  <w:vAlign w:val="center"/>
                </w:tcPr>
                <w:p w14:paraId="3BD9E84A">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bl>
          <w:p w14:paraId="522A0BC2">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4.2.3.2</w:t>
            </w:r>
            <w:r>
              <w:rPr>
                <w:rFonts w:hint="eastAsia"/>
                <w:color w:val="000000" w:themeColor="text1"/>
                <w:highlight w:val="none"/>
                <w14:textFill>
                  <w14:solidFill>
                    <w14:schemeClr w14:val="tx1"/>
                  </w14:solidFill>
                </w14:textFill>
              </w:rPr>
              <w:t>噪声达标</w:t>
            </w:r>
            <w:r>
              <w:rPr>
                <w:color w:val="000000" w:themeColor="text1"/>
                <w:highlight w:val="none"/>
                <w14:textFill>
                  <w14:solidFill>
                    <w14:schemeClr w14:val="tx1"/>
                  </w14:solidFill>
                </w14:textFill>
              </w:rPr>
              <w:t>分析</w:t>
            </w:r>
          </w:p>
          <w:p w14:paraId="6532128A">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噪声点源距离衰减公式</w:t>
            </w:r>
          </w:p>
          <w:p w14:paraId="51A61CB5">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根据工业噪声源的特点，本次评价采用无指向性点源的集几何可近似认为是半发散衰减公式进行预测：</w:t>
            </w:r>
          </w:p>
          <w:p w14:paraId="41F34F36">
            <w:pPr>
              <w:pStyle w:val="86"/>
              <w:ind w:firstLine="480"/>
              <w:jc w:val="center"/>
              <w:rPr>
                <w:color w:val="000000" w:themeColor="text1"/>
                <w:highlight w:val="none"/>
                <w14:textFill>
                  <w14:solidFill>
                    <w14:schemeClr w14:val="tx1"/>
                  </w14:solidFill>
                </w14:textFill>
              </w:rPr>
            </w:pPr>
            <w:r>
              <w:rPr>
                <w:color w:val="000000" w:themeColor="text1"/>
                <w:position w:val="-32"/>
                <w:highlight w:val="none"/>
                <w14:textFill>
                  <w14:solidFill>
                    <w14:schemeClr w14:val="tx1"/>
                  </w14:solidFill>
                </w14:textFill>
              </w:rPr>
              <w:object>
                <v:shape id="_x0000_i1028" o:spt="75" type="#_x0000_t75" style="height:38.6pt;width:155.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p>
          <w:p w14:paraId="1005E5F1">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式中：L</w:t>
            </w:r>
            <w:r>
              <w:rPr>
                <w:color w:val="000000" w:themeColor="text1"/>
                <w:highlight w:val="none"/>
                <w:vertAlign w:val="subscript"/>
                <w14:textFill>
                  <w14:solidFill>
                    <w14:schemeClr w14:val="tx1"/>
                  </w14:solidFill>
                </w14:textFill>
              </w:rPr>
              <w:t>A(r)</w:t>
            </w:r>
            <w:r>
              <w:rPr>
                <w:color w:val="000000" w:themeColor="text1"/>
                <w:highlight w:val="none"/>
                <w14:textFill>
                  <w14:solidFill>
                    <w14:schemeClr w14:val="tx1"/>
                  </w14:solidFill>
                </w14:textFill>
              </w:rPr>
              <w:t>——距声源r处的A声级，dB；</w:t>
            </w:r>
          </w:p>
          <w:p w14:paraId="1AB60FE2">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w:t>
            </w:r>
            <w:r>
              <w:rPr>
                <w:color w:val="000000" w:themeColor="text1"/>
                <w:highlight w:val="none"/>
                <w:vertAlign w:val="subscript"/>
                <w14:textFill>
                  <w14:solidFill>
                    <w14:schemeClr w14:val="tx1"/>
                  </w14:solidFill>
                </w14:textFill>
              </w:rPr>
              <w:t>A(r0)</w:t>
            </w:r>
            <w:r>
              <w:rPr>
                <w:color w:val="000000" w:themeColor="text1"/>
                <w:highlight w:val="none"/>
                <w14:textFill>
                  <w14:solidFill>
                    <w14:schemeClr w14:val="tx1"/>
                  </w14:solidFill>
                </w14:textFill>
              </w:rPr>
              <w:t>——参考位置r</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处的A声级，dB；</w:t>
            </w:r>
          </w:p>
          <w:p w14:paraId="461665A0">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r——预测点距声源的距离，m；</w:t>
            </w:r>
          </w:p>
          <w:p w14:paraId="7A4EF10A">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r</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——参考位置距声源的距离，m；</w:t>
            </w:r>
          </w:p>
          <w:p w14:paraId="075BD170">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ΔL</w:t>
            </w:r>
            <w:r>
              <w:rPr>
                <w:color w:val="000000" w:themeColor="text1"/>
                <w:highlight w:val="none"/>
                <w:vertAlign w:val="subscript"/>
                <w14:textFill>
                  <w14:solidFill>
                    <w14:schemeClr w14:val="tx1"/>
                  </w14:solidFill>
                </w14:textFill>
              </w:rPr>
              <w:t>A</w:t>
            </w:r>
            <w:r>
              <w:rPr>
                <w:color w:val="000000" w:themeColor="text1"/>
                <w:highlight w:val="none"/>
                <w14:textFill>
                  <w14:solidFill>
                    <w14:schemeClr w14:val="tx1"/>
                  </w14:solidFill>
                </w14:textFill>
              </w:rPr>
              <w:t>——因各种因素引起的衰减量，dB。</w:t>
            </w:r>
          </w:p>
          <w:p w14:paraId="10A41E47">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多声源叠加公式</w:t>
            </w:r>
          </w:p>
          <w:p w14:paraId="5B4CAD7F">
            <w:pPr>
              <w:pStyle w:val="86"/>
              <w:ind w:firstLine="48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9" o:spt="75" type="#_x0000_t75" style="height:36pt;width:116.05pt;" o:ole="t" fillcolor="#000011"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p>
          <w:p w14:paraId="0DBBEE8F">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式中：Leq——预测点的总声压级，dB(A)；</w:t>
            </w:r>
          </w:p>
          <w:p w14:paraId="295667D9">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w:t>
            </w:r>
            <w:r>
              <w:rPr>
                <w:color w:val="000000" w:themeColor="text1"/>
                <w:highlight w:val="none"/>
                <w:vertAlign w:val="subscript"/>
                <w14:textFill>
                  <w14:solidFill>
                    <w14:schemeClr w14:val="tx1"/>
                  </w14:solidFill>
                </w14:textFill>
              </w:rPr>
              <w:t>A,i</w:t>
            </w:r>
            <w:r>
              <w:rPr>
                <w:color w:val="000000" w:themeColor="text1"/>
                <w:highlight w:val="none"/>
                <w14:textFill>
                  <w14:solidFill>
                    <w14:schemeClr w14:val="tx1"/>
                  </w14:solidFill>
                </w14:textFill>
              </w:rPr>
              <w:t>——第i个声源对预测点的影响值，dB(A)；</w:t>
            </w:r>
          </w:p>
          <w:p w14:paraId="6581F04C">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N——声源个数。</w:t>
            </w:r>
          </w:p>
          <w:p w14:paraId="74F83E4C">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建筑围护结构的隔声量</w:t>
            </w:r>
          </w:p>
          <w:p w14:paraId="76A36649">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建筑围护结构的隔声量取决于墙体、门窗所占面积及其透声系数。</w:t>
            </w:r>
          </w:p>
          <w:p w14:paraId="65E1934A">
            <w:pPr>
              <w:pStyle w:val="86"/>
              <w:ind w:firstLine="480"/>
              <w:rPr>
                <w:b/>
                <w:bCs/>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扩建后</w:t>
            </w:r>
            <w:r>
              <w:rPr>
                <w:color w:val="000000" w:themeColor="text1"/>
                <w:highlight w:val="none"/>
                <w14:textFill>
                  <w14:solidFill>
                    <w14:schemeClr w14:val="tx1"/>
                  </w14:solidFill>
                </w14:textFill>
              </w:rPr>
              <w:t>为单班制，夜间不生产，则夜间对周边声环境没有影响。采用上述预测模式计算厂界处的噪声排放声级及其对周边声环境的影响，预测结果见</w:t>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4.2-1</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p>
          <w:p w14:paraId="1E4D5BC2">
            <w:pPr>
              <w:pStyle w:val="97"/>
              <w:ind w:firstLine="2" w:firstLineChars="1"/>
              <w:jc w:val="center"/>
              <w:rPr>
                <w:rFonts w:ascii="Times New Roman" w:hAnsi="Times New Roman"/>
                <w:b/>
                <w:bCs/>
                <w:color w:val="000000" w:themeColor="text1"/>
                <w:szCs w:val="22"/>
                <w:highlight w:val="none"/>
                <w14:textFill>
                  <w14:solidFill>
                    <w14:schemeClr w14:val="tx1"/>
                  </w14:solidFill>
                </w14:textFill>
              </w:rPr>
            </w:pPr>
            <w:r>
              <w:rPr>
                <w:rFonts w:ascii="Times New Roman" w:hAnsi="Times New Roman"/>
                <w:b/>
                <w:bCs/>
                <w:color w:val="000000" w:themeColor="text1"/>
                <w:szCs w:val="22"/>
                <w:highlight w:val="none"/>
                <w14:textFill>
                  <w14:solidFill>
                    <w14:schemeClr w14:val="tx1"/>
                  </w14:solidFill>
                </w14:textFill>
              </w:rPr>
              <w:t>表4.2-1</w:t>
            </w:r>
            <w:r>
              <w:rPr>
                <w:rFonts w:hint="eastAsia" w:ascii="Times New Roman" w:hAnsi="Times New Roman"/>
                <w:b/>
                <w:bCs/>
                <w:color w:val="000000" w:themeColor="text1"/>
                <w:szCs w:val="22"/>
                <w:highlight w:val="none"/>
                <w14:textFill>
                  <w14:solidFill>
                    <w14:schemeClr w14:val="tx1"/>
                  </w14:solidFill>
                </w14:textFill>
              </w:rPr>
              <w:t>2</w:t>
            </w:r>
            <w:r>
              <w:rPr>
                <w:rFonts w:ascii="Times New Roman" w:hAnsi="Times New Roman"/>
                <w:b/>
                <w:bCs/>
                <w:color w:val="000000" w:themeColor="text1"/>
                <w:szCs w:val="22"/>
                <w:highlight w:val="none"/>
                <w14:textFill>
                  <w14:solidFill>
                    <w14:schemeClr w14:val="tx1"/>
                  </w14:solidFill>
                </w14:textFill>
              </w:rPr>
              <w:t xml:space="preserve">  噪声预测结果一览表   </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8"/>
              <w:gridCol w:w="1344"/>
              <w:gridCol w:w="951"/>
              <w:gridCol w:w="799"/>
              <w:gridCol w:w="1261"/>
              <w:gridCol w:w="1402"/>
              <w:gridCol w:w="1019"/>
              <w:gridCol w:w="1018"/>
            </w:tblGrid>
            <w:tr w14:paraId="2EFDD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 w:hRule="atLeast"/>
                <w:jc w:val="center"/>
              </w:trPr>
              <w:tc>
                <w:tcPr>
                  <w:tcW w:w="356" w:type="pct"/>
                  <w:vMerge w:val="restart"/>
                  <w:vAlign w:val="center"/>
                </w:tcPr>
                <w:p w14:paraId="3D12BC15">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800" w:type="pct"/>
                  <w:vMerge w:val="restart"/>
                  <w:vAlign w:val="center"/>
                </w:tcPr>
                <w:p w14:paraId="0D4F8CFD">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点位</w:t>
                  </w:r>
                </w:p>
              </w:tc>
              <w:tc>
                <w:tcPr>
                  <w:tcW w:w="566" w:type="pct"/>
                  <w:vMerge w:val="restart"/>
                  <w:vAlign w:val="center"/>
                </w:tcPr>
                <w:p w14:paraId="0794A319">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叠加噪声源dB(A)</w:t>
                  </w:r>
                </w:p>
              </w:tc>
              <w:tc>
                <w:tcPr>
                  <w:tcW w:w="476" w:type="pct"/>
                  <w:vMerge w:val="restart"/>
                  <w:vAlign w:val="center"/>
                </w:tcPr>
                <w:p w14:paraId="2DA743E2">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衰减量dB(A)</w:t>
                  </w:r>
                </w:p>
              </w:tc>
              <w:tc>
                <w:tcPr>
                  <w:tcW w:w="751" w:type="pct"/>
                  <w:vMerge w:val="restart"/>
                  <w:vAlign w:val="center"/>
                </w:tcPr>
                <w:p w14:paraId="178C0434">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与预测点距离(m)</w:t>
                  </w:r>
                </w:p>
              </w:tc>
              <w:tc>
                <w:tcPr>
                  <w:tcW w:w="835" w:type="pct"/>
                  <w:vMerge w:val="restart"/>
                  <w:vAlign w:val="center"/>
                </w:tcPr>
                <w:p w14:paraId="19F1698F">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贡献值dB(A)</w:t>
                  </w:r>
                </w:p>
              </w:tc>
              <w:tc>
                <w:tcPr>
                  <w:tcW w:w="1213" w:type="pct"/>
                  <w:gridSpan w:val="2"/>
                  <w:vAlign w:val="center"/>
                </w:tcPr>
                <w:p w14:paraId="058E7F6A">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标准限值dB(A)</w:t>
                  </w:r>
                </w:p>
              </w:tc>
            </w:tr>
            <w:tr w14:paraId="2C5EF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 w:hRule="atLeast"/>
                <w:jc w:val="center"/>
              </w:trPr>
              <w:tc>
                <w:tcPr>
                  <w:tcW w:w="356" w:type="pct"/>
                  <w:vMerge w:val="continue"/>
                  <w:vAlign w:val="center"/>
                </w:tcPr>
                <w:p w14:paraId="2C8549C7">
                  <w:pPr>
                    <w:pStyle w:val="67"/>
                    <w:rPr>
                      <w:color w:val="000000" w:themeColor="text1"/>
                      <w:highlight w:val="none"/>
                      <w14:textFill>
                        <w14:solidFill>
                          <w14:schemeClr w14:val="tx1"/>
                        </w14:solidFill>
                      </w14:textFill>
                    </w:rPr>
                  </w:pPr>
                </w:p>
              </w:tc>
              <w:tc>
                <w:tcPr>
                  <w:tcW w:w="800" w:type="pct"/>
                  <w:vMerge w:val="continue"/>
                  <w:vAlign w:val="center"/>
                </w:tcPr>
                <w:p w14:paraId="1C7B0CA8">
                  <w:pPr>
                    <w:pStyle w:val="67"/>
                    <w:rPr>
                      <w:color w:val="000000" w:themeColor="text1"/>
                      <w:highlight w:val="none"/>
                      <w14:textFill>
                        <w14:solidFill>
                          <w14:schemeClr w14:val="tx1"/>
                        </w14:solidFill>
                      </w14:textFill>
                    </w:rPr>
                  </w:pPr>
                </w:p>
              </w:tc>
              <w:tc>
                <w:tcPr>
                  <w:tcW w:w="566" w:type="pct"/>
                  <w:vMerge w:val="continue"/>
                  <w:vAlign w:val="center"/>
                </w:tcPr>
                <w:p w14:paraId="0822CC82">
                  <w:pPr>
                    <w:pStyle w:val="67"/>
                    <w:rPr>
                      <w:color w:val="000000" w:themeColor="text1"/>
                      <w:highlight w:val="none"/>
                      <w14:textFill>
                        <w14:solidFill>
                          <w14:schemeClr w14:val="tx1"/>
                        </w14:solidFill>
                      </w14:textFill>
                    </w:rPr>
                  </w:pPr>
                </w:p>
              </w:tc>
              <w:tc>
                <w:tcPr>
                  <w:tcW w:w="476" w:type="pct"/>
                  <w:vMerge w:val="continue"/>
                  <w:vAlign w:val="center"/>
                </w:tcPr>
                <w:p w14:paraId="4FD3DEBD">
                  <w:pPr>
                    <w:pStyle w:val="67"/>
                    <w:rPr>
                      <w:color w:val="000000" w:themeColor="text1"/>
                      <w:highlight w:val="none"/>
                      <w14:textFill>
                        <w14:solidFill>
                          <w14:schemeClr w14:val="tx1"/>
                        </w14:solidFill>
                      </w14:textFill>
                    </w:rPr>
                  </w:pPr>
                </w:p>
              </w:tc>
              <w:tc>
                <w:tcPr>
                  <w:tcW w:w="751" w:type="pct"/>
                  <w:vMerge w:val="continue"/>
                  <w:vAlign w:val="center"/>
                </w:tcPr>
                <w:p w14:paraId="1DDF0813">
                  <w:pPr>
                    <w:pStyle w:val="67"/>
                    <w:rPr>
                      <w:color w:val="000000" w:themeColor="text1"/>
                      <w:highlight w:val="none"/>
                      <w14:textFill>
                        <w14:solidFill>
                          <w14:schemeClr w14:val="tx1"/>
                        </w14:solidFill>
                      </w14:textFill>
                    </w:rPr>
                  </w:pPr>
                </w:p>
              </w:tc>
              <w:tc>
                <w:tcPr>
                  <w:tcW w:w="835" w:type="pct"/>
                  <w:vMerge w:val="continue"/>
                  <w:vAlign w:val="center"/>
                </w:tcPr>
                <w:p w14:paraId="4144AB01">
                  <w:pPr>
                    <w:pStyle w:val="67"/>
                    <w:rPr>
                      <w:color w:val="000000" w:themeColor="text1"/>
                      <w:highlight w:val="none"/>
                      <w14:textFill>
                        <w14:solidFill>
                          <w14:schemeClr w14:val="tx1"/>
                        </w14:solidFill>
                      </w14:textFill>
                    </w:rPr>
                  </w:pPr>
                </w:p>
              </w:tc>
              <w:tc>
                <w:tcPr>
                  <w:tcW w:w="607" w:type="pct"/>
                  <w:vAlign w:val="center"/>
                </w:tcPr>
                <w:p w14:paraId="36428535">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605" w:type="pct"/>
                  <w:vAlign w:val="center"/>
                </w:tcPr>
                <w:p w14:paraId="507F8A97">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w:t>
                  </w:r>
                </w:p>
              </w:tc>
            </w:tr>
            <w:tr w14:paraId="693BE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356" w:type="pct"/>
                  <w:vAlign w:val="center"/>
                </w:tcPr>
                <w:p w14:paraId="289E3B5D">
                  <w:pPr>
                    <w:pStyle w:val="67"/>
                    <w:rPr>
                      <w:color w:val="000000" w:themeColor="text1"/>
                      <w:highlight w:val="none"/>
                      <w14:textFill>
                        <w14:solidFill>
                          <w14:schemeClr w14:val="tx1"/>
                        </w14:solidFill>
                      </w14:textFill>
                    </w:rPr>
                  </w:pPr>
                  <w:bookmarkStart w:id="7" w:name="_Hlk275158107"/>
                  <w:r>
                    <w:rPr>
                      <w:color w:val="000000" w:themeColor="text1"/>
                      <w:highlight w:val="none"/>
                      <w14:textFill>
                        <w14:solidFill>
                          <w14:schemeClr w14:val="tx1"/>
                        </w14:solidFill>
                      </w14:textFill>
                    </w:rPr>
                    <w:t>1</w:t>
                  </w:r>
                </w:p>
              </w:tc>
              <w:tc>
                <w:tcPr>
                  <w:tcW w:w="800" w:type="pct"/>
                  <w:vAlign w:val="center"/>
                </w:tcPr>
                <w:p w14:paraId="136168B7">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北侧厂界</w:t>
                  </w:r>
                </w:p>
              </w:tc>
              <w:tc>
                <w:tcPr>
                  <w:tcW w:w="566" w:type="pct"/>
                  <w:vMerge w:val="restart"/>
                  <w:vAlign w:val="center"/>
                </w:tcPr>
                <w:p w14:paraId="61A92CDB">
                  <w:pPr>
                    <w:pStyle w:val="6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100.</w:t>
                  </w:r>
                  <w:r>
                    <w:rPr>
                      <w:rFonts w:hint="eastAsia"/>
                      <w:color w:val="000000" w:themeColor="text1"/>
                      <w:highlight w:val="none"/>
                      <w:lang w:val="en-US" w:eastAsia="zh-CN"/>
                      <w14:textFill>
                        <w14:solidFill>
                          <w14:schemeClr w14:val="tx1"/>
                        </w14:solidFill>
                      </w14:textFill>
                    </w:rPr>
                    <w:t>88</w:t>
                  </w:r>
                </w:p>
              </w:tc>
              <w:tc>
                <w:tcPr>
                  <w:tcW w:w="476" w:type="pct"/>
                  <w:vMerge w:val="restart"/>
                  <w:vAlign w:val="center"/>
                </w:tcPr>
                <w:p w14:paraId="0BCA12D8">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w:t>
                  </w:r>
                </w:p>
              </w:tc>
              <w:tc>
                <w:tcPr>
                  <w:tcW w:w="751" w:type="pct"/>
                  <w:vAlign w:val="center"/>
                </w:tcPr>
                <w:p w14:paraId="2423227E">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24</w:t>
                  </w:r>
                </w:p>
              </w:tc>
              <w:tc>
                <w:tcPr>
                  <w:tcW w:w="835" w:type="pct"/>
                  <w:vAlign w:val="center"/>
                </w:tcPr>
                <w:p w14:paraId="47CF2156">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3</w:t>
                  </w:r>
                </w:p>
              </w:tc>
              <w:tc>
                <w:tcPr>
                  <w:tcW w:w="607" w:type="pct"/>
                  <w:vAlign w:val="center"/>
                </w:tcPr>
                <w:p w14:paraId="49C89BB0">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605" w:type="pct"/>
                  <w:vAlign w:val="center"/>
                </w:tcPr>
                <w:p w14:paraId="1B963869">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r>
            <w:tr w14:paraId="5CCA7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356" w:type="pct"/>
                  <w:vAlign w:val="center"/>
                </w:tcPr>
                <w:p w14:paraId="0A11803C">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800" w:type="pct"/>
                  <w:vAlign w:val="center"/>
                </w:tcPr>
                <w:p w14:paraId="6B8655D6">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东侧厂界</w:t>
                  </w:r>
                </w:p>
              </w:tc>
              <w:tc>
                <w:tcPr>
                  <w:tcW w:w="566" w:type="pct"/>
                  <w:vMerge w:val="continue"/>
                  <w:vAlign w:val="center"/>
                </w:tcPr>
                <w:p w14:paraId="2F52B580">
                  <w:pPr>
                    <w:pStyle w:val="67"/>
                    <w:rPr>
                      <w:color w:val="000000" w:themeColor="text1"/>
                      <w:highlight w:val="none"/>
                      <w14:textFill>
                        <w14:solidFill>
                          <w14:schemeClr w14:val="tx1"/>
                        </w14:solidFill>
                      </w14:textFill>
                    </w:rPr>
                  </w:pPr>
                </w:p>
              </w:tc>
              <w:tc>
                <w:tcPr>
                  <w:tcW w:w="476" w:type="pct"/>
                  <w:vMerge w:val="continue"/>
                  <w:vAlign w:val="center"/>
                </w:tcPr>
                <w:p w14:paraId="2101BBF4">
                  <w:pPr>
                    <w:pStyle w:val="67"/>
                    <w:rPr>
                      <w:color w:val="000000" w:themeColor="text1"/>
                      <w:highlight w:val="none"/>
                      <w14:textFill>
                        <w14:solidFill>
                          <w14:schemeClr w14:val="tx1"/>
                        </w14:solidFill>
                      </w14:textFill>
                    </w:rPr>
                  </w:pPr>
                </w:p>
              </w:tc>
              <w:tc>
                <w:tcPr>
                  <w:tcW w:w="751" w:type="pct"/>
                  <w:vAlign w:val="center"/>
                </w:tcPr>
                <w:p w14:paraId="3DED489C">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w:t>
                  </w:r>
                </w:p>
              </w:tc>
              <w:tc>
                <w:tcPr>
                  <w:tcW w:w="835" w:type="pct"/>
                  <w:vAlign w:val="center"/>
                </w:tcPr>
                <w:p w14:paraId="6A31BE00">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49.</w:t>
                  </w:r>
                  <w:r>
                    <w:rPr>
                      <w:rFonts w:hint="eastAsia"/>
                      <w:color w:val="000000" w:themeColor="text1"/>
                      <w:highlight w:val="none"/>
                      <w:lang w:val="en-US" w:eastAsia="zh-CN"/>
                      <w14:textFill>
                        <w14:solidFill>
                          <w14:schemeClr w14:val="tx1"/>
                        </w14:solidFill>
                      </w14:textFill>
                    </w:rPr>
                    <w:t>8</w:t>
                  </w:r>
                </w:p>
              </w:tc>
              <w:tc>
                <w:tcPr>
                  <w:tcW w:w="607" w:type="pct"/>
                  <w:vAlign w:val="center"/>
                </w:tcPr>
                <w:p w14:paraId="7F83C0D6">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605" w:type="pct"/>
                  <w:vAlign w:val="center"/>
                </w:tcPr>
                <w:p w14:paraId="0D1CE0F3">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r>
            <w:tr w14:paraId="7F78DA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356" w:type="pct"/>
                  <w:vAlign w:val="center"/>
                </w:tcPr>
                <w:p w14:paraId="259DE8BF">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800" w:type="pct"/>
                  <w:vAlign w:val="center"/>
                </w:tcPr>
                <w:p w14:paraId="311BDBBE">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南侧厂界</w:t>
                  </w:r>
                </w:p>
              </w:tc>
              <w:tc>
                <w:tcPr>
                  <w:tcW w:w="566" w:type="pct"/>
                  <w:vMerge w:val="continue"/>
                  <w:vAlign w:val="center"/>
                </w:tcPr>
                <w:p w14:paraId="4B294936">
                  <w:pPr>
                    <w:pStyle w:val="67"/>
                    <w:rPr>
                      <w:color w:val="000000" w:themeColor="text1"/>
                      <w:highlight w:val="none"/>
                      <w14:textFill>
                        <w14:solidFill>
                          <w14:schemeClr w14:val="tx1"/>
                        </w14:solidFill>
                      </w14:textFill>
                    </w:rPr>
                  </w:pPr>
                </w:p>
              </w:tc>
              <w:tc>
                <w:tcPr>
                  <w:tcW w:w="476" w:type="pct"/>
                  <w:vMerge w:val="continue"/>
                  <w:vAlign w:val="center"/>
                </w:tcPr>
                <w:p w14:paraId="7B17FE16">
                  <w:pPr>
                    <w:pStyle w:val="67"/>
                    <w:rPr>
                      <w:color w:val="000000" w:themeColor="text1"/>
                      <w:highlight w:val="none"/>
                      <w14:textFill>
                        <w14:solidFill>
                          <w14:schemeClr w14:val="tx1"/>
                        </w14:solidFill>
                      </w14:textFill>
                    </w:rPr>
                  </w:pPr>
                </w:p>
              </w:tc>
              <w:tc>
                <w:tcPr>
                  <w:tcW w:w="751" w:type="pct"/>
                  <w:vAlign w:val="center"/>
                </w:tcPr>
                <w:p w14:paraId="7522B537">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w:t>
                  </w:r>
                </w:p>
              </w:tc>
              <w:tc>
                <w:tcPr>
                  <w:tcW w:w="835" w:type="pct"/>
                  <w:vAlign w:val="center"/>
                </w:tcPr>
                <w:p w14:paraId="51E61BF9">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51.</w:t>
                  </w:r>
                  <w:r>
                    <w:rPr>
                      <w:rFonts w:hint="eastAsia"/>
                      <w:color w:val="000000" w:themeColor="text1"/>
                      <w:highlight w:val="none"/>
                      <w:lang w:val="en-US" w:eastAsia="zh-CN"/>
                      <w14:textFill>
                        <w14:solidFill>
                          <w14:schemeClr w14:val="tx1"/>
                        </w14:solidFill>
                      </w14:textFill>
                    </w:rPr>
                    <w:t>9</w:t>
                  </w:r>
                </w:p>
              </w:tc>
              <w:tc>
                <w:tcPr>
                  <w:tcW w:w="607" w:type="pct"/>
                  <w:vAlign w:val="center"/>
                </w:tcPr>
                <w:p w14:paraId="2B730663">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605" w:type="pct"/>
                  <w:vAlign w:val="center"/>
                </w:tcPr>
                <w:p w14:paraId="65F5ADF6">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r>
            <w:tr w14:paraId="4E1E6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356" w:type="pct"/>
                  <w:vAlign w:val="center"/>
                </w:tcPr>
                <w:p w14:paraId="0D9EB4CD">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800" w:type="pct"/>
                  <w:vAlign w:val="center"/>
                </w:tcPr>
                <w:p w14:paraId="3FCA9B15">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西侧厂界</w:t>
                  </w:r>
                </w:p>
              </w:tc>
              <w:tc>
                <w:tcPr>
                  <w:tcW w:w="566" w:type="pct"/>
                  <w:vMerge w:val="continue"/>
                  <w:vAlign w:val="center"/>
                </w:tcPr>
                <w:p w14:paraId="437BC03F">
                  <w:pPr>
                    <w:pStyle w:val="67"/>
                    <w:rPr>
                      <w:color w:val="000000" w:themeColor="text1"/>
                      <w:highlight w:val="none"/>
                      <w14:textFill>
                        <w14:solidFill>
                          <w14:schemeClr w14:val="tx1"/>
                        </w14:solidFill>
                      </w14:textFill>
                    </w:rPr>
                  </w:pPr>
                </w:p>
              </w:tc>
              <w:tc>
                <w:tcPr>
                  <w:tcW w:w="476" w:type="pct"/>
                  <w:vMerge w:val="continue"/>
                  <w:vAlign w:val="center"/>
                </w:tcPr>
                <w:p w14:paraId="3456F325">
                  <w:pPr>
                    <w:pStyle w:val="67"/>
                    <w:rPr>
                      <w:color w:val="000000" w:themeColor="text1"/>
                      <w:highlight w:val="none"/>
                      <w14:textFill>
                        <w14:solidFill>
                          <w14:schemeClr w14:val="tx1"/>
                        </w14:solidFill>
                      </w14:textFill>
                    </w:rPr>
                  </w:pPr>
                </w:p>
              </w:tc>
              <w:tc>
                <w:tcPr>
                  <w:tcW w:w="751" w:type="pct"/>
                  <w:vAlign w:val="center"/>
                </w:tcPr>
                <w:p w14:paraId="0E1B06B8">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p>
              </w:tc>
              <w:tc>
                <w:tcPr>
                  <w:tcW w:w="835" w:type="pct"/>
                  <w:vAlign w:val="center"/>
                </w:tcPr>
                <w:p w14:paraId="7AF7AD41">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50.</w:t>
                  </w:r>
                  <w:r>
                    <w:rPr>
                      <w:rFonts w:hint="eastAsia"/>
                      <w:color w:val="000000" w:themeColor="text1"/>
                      <w:highlight w:val="none"/>
                      <w:lang w:val="en-US" w:eastAsia="zh-CN"/>
                      <w14:textFill>
                        <w14:solidFill>
                          <w14:schemeClr w14:val="tx1"/>
                        </w14:solidFill>
                      </w14:textFill>
                    </w:rPr>
                    <w:t>8</w:t>
                  </w:r>
                </w:p>
              </w:tc>
              <w:tc>
                <w:tcPr>
                  <w:tcW w:w="607" w:type="pct"/>
                  <w:vAlign w:val="center"/>
                </w:tcPr>
                <w:p w14:paraId="6FC0B880">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605" w:type="pct"/>
                  <w:vAlign w:val="center"/>
                </w:tcPr>
                <w:p w14:paraId="0700A10D">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r>
            <w:bookmarkEnd w:id="7"/>
          </w:tbl>
          <w:p w14:paraId="1389BDA8">
            <w:pPr>
              <w:pStyle w:val="294"/>
              <w:ind w:firstLine="480"/>
              <w:rPr>
                <w:bCs/>
                <w:color w:val="000000" w:themeColor="text1"/>
                <w:kern w:val="0"/>
                <w:szCs w:val="24"/>
                <w:highlight w:val="none"/>
                <w14:textFill>
                  <w14:solidFill>
                    <w14:schemeClr w14:val="tx1"/>
                  </w14:solidFill>
                </w14:textFill>
              </w:rPr>
            </w:pPr>
            <w:r>
              <w:rPr>
                <w:bCs/>
                <w:color w:val="000000" w:themeColor="text1"/>
                <w:kern w:val="0"/>
                <w:szCs w:val="24"/>
                <w:highlight w:val="none"/>
                <w14:textFill>
                  <w14:solidFill>
                    <w14:schemeClr w14:val="tx1"/>
                  </w14:solidFill>
                </w14:textFill>
              </w:rPr>
              <w:t>由预测结果可以看出，建设项目营运期厂界噪声昼间、夜间均可满足《工业企业厂界环境噪声排放标准》</w:t>
            </w:r>
            <w:r>
              <w:rPr>
                <w:rFonts w:hint="eastAsia"/>
                <w:bCs/>
                <w:color w:val="000000" w:themeColor="text1"/>
                <w:kern w:val="0"/>
                <w:szCs w:val="24"/>
                <w:highlight w:val="none"/>
                <w14:textFill>
                  <w14:solidFill>
                    <w14:schemeClr w14:val="tx1"/>
                  </w14:solidFill>
                </w14:textFill>
              </w:rPr>
              <w:t>（</w:t>
            </w:r>
            <w:r>
              <w:rPr>
                <w:bCs/>
                <w:color w:val="000000" w:themeColor="text1"/>
                <w:kern w:val="0"/>
                <w:szCs w:val="24"/>
                <w:highlight w:val="none"/>
                <w14:textFill>
                  <w14:solidFill>
                    <w14:schemeClr w14:val="tx1"/>
                  </w14:solidFill>
                </w14:textFill>
              </w:rPr>
              <w:t>GB12348-2008</w:t>
            </w:r>
            <w:r>
              <w:rPr>
                <w:rFonts w:hint="eastAsia"/>
                <w:bCs/>
                <w:color w:val="000000" w:themeColor="text1"/>
                <w:kern w:val="0"/>
                <w:szCs w:val="24"/>
                <w:highlight w:val="none"/>
                <w14:textFill>
                  <w14:solidFill>
                    <w14:schemeClr w14:val="tx1"/>
                  </w14:solidFill>
                </w14:textFill>
              </w:rPr>
              <w:t>）3</w:t>
            </w:r>
            <w:r>
              <w:rPr>
                <w:bCs/>
                <w:color w:val="000000" w:themeColor="text1"/>
                <w:kern w:val="0"/>
                <w:szCs w:val="24"/>
                <w:highlight w:val="none"/>
                <w14:textFill>
                  <w14:solidFill>
                    <w14:schemeClr w14:val="tx1"/>
                  </w14:solidFill>
                </w14:textFill>
              </w:rPr>
              <w:t>类标准要求。</w:t>
            </w:r>
            <w:r>
              <w:rPr>
                <w:rFonts w:hint="eastAsia"/>
                <w:color w:val="000000" w:themeColor="text1"/>
                <w:highlight w:val="none"/>
                <w14:textFill>
                  <w14:solidFill>
                    <w14:schemeClr w14:val="tx1"/>
                  </w14:solidFill>
                </w14:textFill>
              </w:rPr>
              <w:t>因此</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生产机械设备噪声对周边声环境影响较小。</w:t>
            </w:r>
          </w:p>
          <w:p w14:paraId="3F105B05">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4.2.4</w:t>
            </w:r>
            <w:r>
              <w:rPr>
                <w:rFonts w:hint="eastAsia"/>
                <w:color w:val="000000" w:themeColor="text1"/>
                <w:sz w:val="28"/>
                <w:szCs w:val="28"/>
                <w:highlight w:val="none"/>
                <w14:textFill>
                  <w14:solidFill>
                    <w14:schemeClr w14:val="tx1"/>
                  </w14:solidFill>
                </w14:textFill>
              </w:rPr>
              <w:t>固体</w:t>
            </w:r>
            <w:r>
              <w:rPr>
                <w:color w:val="000000" w:themeColor="text1"/>
                <w:sz w:val="28"/>
                <w:szCs w:val="28"/>
                <w:highlight w:val="none"/>
                <w14:textFill>
                  <w14:solidFill>
                    <w14:schemeClr w14:val="tx1"/>
                  </w14:solidFill>
                </w14:textFill>
              </w:rPr>
              <w:t>废物</w:t>
            </w:r>
          </w:p>
          <w:p w14:paraId="16C4502A">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4.2.4.1</w:t>
            </w:r>
            <w:r>
              <w:rPr>
                <w:rFonts w:hint="eastAsia"/>
                <w:color w:val="000000" w:themeColor="text1"/>
                <w:highlight w:val="none"/>
                <w14:textFill>
                  <w14:solidFill>
                    <w14:schemeClr w14:val="tx1"/>
                  </w14:solidFill>
                </w14:textFill>
              </w:rPr>
              <w:t>固体废物</w:t>
            </w:r>
            <w:r>
              <w:rPr>
                <w:color w:val="000000" w:themeColor="text1"/>
                <w:highlight w:val="none"/>
                <w14:textFill>
                  <w14:solidFill>
                    <w14:schemeClr w14:val="tx1"/>
                  </w14:solidFill>
                </w14:textFill>
              </w:rPr>
              <w:t>源强分析</w:t>
            </w:r>
          </w:p>
          <w:p w14:paraId="2A00F649">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项目产生的固体废物主要为一般工业固废、危险废物及员工生活垃圾。</w:t>
            </w:r>
          </w:p>
          <w:p w14:paraId="26056F12">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（1）一般工业固废</w:t>
            </w:r>
          </w:p>
          <w:p w14:paraId="1FC16C2C">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①废</w:t>
            </w:r>
            <w:r>
              <w:rPr>
                <w:color w:val="000000" w:themeColor="text1"/>
                <w:highlight w:val="none"/>
                <w14:textFill>
                  <w14:solidFill>
                    <w14:schemeClr w14:val="tx1"/>
                  </w14:solidFill>
                </w14:textFill>
              </w:rPr>
              <w:t>边角料</w:t>
            </w:r>
          </w:p>
          <w:p w14:paraId="39A55EFF">
            <w:pPr>
              <w:pStyle w:val="33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木工加工</w:t>
            </w:r>
            <w:r>
              <w:rPr>
                <w:color w:val="000000" w:themeColor="text1"/>
                <w:highlight w:val="none"/>
                <w14:textFill>
                  <w14:solidFill>
                    <w14:schemeClr w14:val="tx1"/>
                  </w14:solidFill>
                </w14:textFill>
              </w:rPr>
              <w:t>过程中</w:t>
            </w:r>
            <w:r>
              <w:rPr>
                <w:rFonts w:hint="eastAsia"/>
                <w:color w:val="000000" w:themeColor="text1"/>
                <w:highlight w:val="none"/>
                <w14:textFill>
                  <w14:solidFill>
                    <w14:schemeClr w14:val="tx1"/>
                  </w14:solidFill>
                </w14:textFill>
              </w:rPr>
              <w:t>，由于切割造型会</w:t>
            </w:r>
            <w:r>
              <w:rPr>
                <w:color w:val="000000" w:themeColor="text1"/>
                <w:highlight w:val="none"/>
                <w14:textFill>
                  <w14:solidFill>
                    <w14:schemeClr w14:val="tx1"/>
                  </w14:solidFill>
                </w14:textFill>
              </w:rPr>
              <w:t>产生的</w:t>
            </w:r>
            <w:r>
              <w:rPr>
                <w:rFonts w:hint="eastAsia"/>
                <w:color w:val="000000" w:themeColor="text1"/>
                <w:highlight w:val="none"/>
                <w14:textFill>
                  <w14:solidFill>
                    <w14:schemeClr w14:val="tx1"/>
                  </w14:solidFill>
                </w14:textFill>
              </w:rPr>
              <w:t>木料</w:t>
            </w:r>
            <w:r>
              <w:rPr>
                <w:color w:val="000000" w:themeColor="text1"/>
                <w:highlight w:val="none"/>
                <w14:textFill>
                  <w14:solidFill>
                    <w14:schemeClr w14:val="tx1"/>
                  </w14:solidFill>
                </w14:textFill>
              </w:rPr>
              <w:t>边角料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根据建设单位提供的资料，</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项目木板原料用量约</w:t>
            </w:r>
            <w:r>
              <w:rPr>
                <w:rFonts w:hint="eastAsia"/>
                <w:color w:val="000000" w:themeColor="text1"/>
                <w:highlight w:val="none"/>
                <w:lang w:val="en-US" w:eastAsia="zh-CN"/>
                <w14:textFill>
                  <w14:solidFill>
                    <w14:schemeClr w14:val="tx1"/>
                  </w14:solidFill>
                </w14:textFill>
              </w:rPr>
              <w:t>990</w:t>
            </w:r>
            <w:r>
              <w:rPr>
                <w:rFonts w:hint="eastAsia"/>
                <w:color w:val="000000" w:themeColor="text1"/>
                <w:highlight w:val="none"/>
                <w:lang w:val="en-US"/>
                <w14:textFill>
                  <w14:solidFill>
                    <w14:schemeClr w14:val="tx1"/>
                  </w14:solidFill>
                </w14:textFill>
              </w:rPr>
              <w:t>t/a，</w:t>
            </w:r>
            <w:r>
              <w:rPr>
                <w:color w:val="000000" w:themeColor="text1"/>
                <w:highlight w:val="none"/>
                <w14:textFill>
                  <w14:solidFill>
                    <w14:schemeClr w14:val="tx1"/>
                  </w14:solidFill>
                </w14:textFill>
              </w:rPr>
              <w:t>边角料</w:t>
            </w:r>
            <w:r>
              <w:rPr>
                <w:rFonts w:hint="eastAsia"/>
                <w:color w:val="000000" w:themeColor="text1"/>
                <w:highlight w:val="none"/>
                <w14:textFill>
                  <w14:solidFill>
                    <w14:schemeClr w14:val="tx1"/>
                  </w14:solidFill>
                </w14:textFill>
              </w:rPr>
              <w:t>产生量约为原料的</w:t>
            </w:r>
            <w:r>
              <w:rPr>
                <w:rFonts w:hint="eastAsia"/>
                <w:color w:val="000000" w:themeColor="text1"/>
                <w:highlight w:val="none"/>
                <w:lang w:val="en-US"/>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99</w:t>
            </w:r>
            <w:r>
              <w:rPr>
                <w:rFonts w:hint="eastAsia"/>
                <w:color w:val="000000" w:themeColor="text1"/>
                <w:highlight w:val="none"/>
                <w:lang w:val="en-US"/>
                <w14:textFill>
                  <w14:solidFill>
                    <w14:schemeClr w14:val="tx1"/>
                  </w14:solidFill>
                </w14:textFill>
              </w:rPr>
              <w:t>t/a；</w:t>
            </w:r>
            <w:r>
              <w:rPr>
                <w:color w:val="000000" w:themeColor="text1"/>
                <w:highlight w:val="none"/>
                <w14:textFill>
                  <w14:solidFill>
                    <w14:schemeClr w14:val="tx1"/>
                  </w14:solidFill>
                </w14:textFill>
              </w:rPr>
              <w:t>集中收集于一般固废暂存间后</w:t>
            </w:r>
            <w:r>
              <w:rPr>
                <w:rFonts w:hint="eastAsia"/>
                <w:color w:val="000000" w:themeColor="text1"/>
                <w:highlight w:val="none"/>
                <w:lang w:val="en-US"/>
                <w14:textFill>
                  <w14:solidFill>
                    <w14:schemeClr w14:val="tx1"/>
                  </w14:solidFill>
                </w14:textFill>
              </w:rPr>
              <w:t>定期</w:t>
            </w:r>
            <w:r>
              <w:rPr>
                <w:rFonts w:hint="eastAsia"/>
                <w:color w:val="000000" w:themeColor="text1"/>
                <w:highlight w:val="none"/>
                <w14:textFill>
                  <w14:solidFill>
                    <w14:schemeClr w14:val="tx1"/>
                  </w14:solidFill>
                </w14:textFill>
              </w:rPr>
              <w:t>外售给生物质燃料加工企业综合利用</w:t>
            </w:r>
            <w:r>
              <w:rPr>
                <w:color w:val="000000" w:themeColor="text1"/>
                <w:highlight w:val="none"/>
                <w14:textFill>
                  <w14:solidFill>
                    <w14:schemeClr w14:val="tx1"/>
                  </w14:solidFill>
                </w14:textFill>
              </w:rPr>
              <w:t>。</w:t>
            </w:r>
          </w:p>
          <w:p w14:paraId="1A2B3096">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布袋除尘收集的</w:t>
            </w:r>
            <w:r>
              <w:rPr>
                <w:rFonts w:hint="eastAsia"/>
                <w:color w:val="000000" w:themeColor="text1"/>
                <w:highlight w:val="none"/>
                <w14:textFill>
                  <w14:solidFill>
                    <w14:schemeClr w14:val="tx1"/>
                  </w14:solidFill>
                </w14:textFill>
              </w:rPr>
              <w:t>颗粒物</w:t>
            </w:r>
          </w:p>
          <w:p w14:paraId="6A30D995">
            <w:pPr>
              <w:pStyle w:val="332"/>
              <w:ind w:firstLine="484"/>
              <w:rPr>
                <w:color w:val="000000" w:themeColor="text1"/>
                <w:highlight w:val="none"/>
                <w:lang w:val="en-US"/>
                <w14:textFill>
                  <w14:solidFill>
                    <w14:schemeClr w14:val="tx1"/>
                  </w14:solidFill>
                </w14:textFill>
              </w:rPr>
            </w:pPr>
            <w:r>
              <w:rPr>
                <w:color w:val="000000" w:themeColor="text1"/>
                <w:spacing w:val="1"/>
                <w:highlight w:val="none"/>
                <w14:textFill>
                  <w14:solidFill>
                    <w14:schemeClr w14:val="tx1"/>
                  </w14:solidFill>
                </w14:textFill>
              </w:rPr>
              <w:t>根据工程分</w:t>
            </w:r>
            <w:r>
              <w:rPr>
                <w:color w:val="000000" w:themeColor="text1"/>
                <w:highlight w:val="none"/>
                <w14:textFill>
                  <w14:solidFill>
                    <w14:schemeClr w14:val="tx1"/>
                  </w14:solidFill>
                </w14:textFill>
              </w:rPr>
              <w:t>析，布袋除尘收集</w:t>
            </w:r>
            <w:r>
              <w:rPr>
                <w:rFonts w:hint="eastAsia"/>
                <w:color w:val="000000" w:themeColor="text1"/>
                <w:highlight w:val="none"/>
                <w14:textFill>
                  <w14:solidFill>
                    <w14:schemeClr w14:val="tx1"/>
                  </w14:solidFill>
                </w14:textFill>
              </w:rPr>
              <w:t>颗粒物产生量约</w:t>
            </w:r>
            <w:r>
              <w:rPr>
                <w:rFonts w:hint="eastAsia"/>
                <w:color w:val="000000" w:themeColor="text1"/>
                <w:highlight w:val="none"/>
                <w:lang w:val="en-US" w:eastAsia="zh-CN"/>
                <w14:textFill>
                  <w14:solidFill>
                    <w14:schemeClr w14:val="tx1"/>
                  </w14:solidFill>
                </w14:textFill>
              </w:rPr>
              <w:t>0.0912</w:t>
            </w:r>
            <w:r>
              <w:rPr>
                <w:rFonts w:hint="eastAsia"/>
                <w:color w:val="000000" w:themeColor="text1"/>
                <w:highlight w:val="none"/>
                <w:lang w:val="en-US"/>
                <w14:textFill>
                  <w14:solidFill>
                    <w14:schemeClr w14:val="tx1"/>
                  </w14:solidFill>
                </w14:textFill>
              </w:rPr>
              <w:t>t/a</w:t>
            </w:r>
            <w:r>
              <w:rPr>
                <w:color w:val="000000" w:themeColor="text1"/>
                <w:highlight w:val="none"/>
                <w14:textFill>
                  <w14:solidFill>
                    <w14:schemeClr w14:val="tx1"/>
                  </w14:solidFill>
                </w14:textFill>
              </w:rPr>
              <w:t>，布袋除尘收集</w:t>
            </w:r>
            <w:r>
              <w:rPr>
                <w:rFonts w:hint="eastAsia"/>
                <w:color w:val="000000" w:themeColor="text1"/>
                <w:highlight w:val="none"/>
                <w14:textFill>
                  <w14:solidFill>
                    <w14:schemeClr w14:val="tx1"/>
                  </w14:solidFill>
                </w14:textFill>
              </w:rPr>
              <w:t>颗粒物</w:t>
            </w:r>
            <w:r>
              <w:rPr>
                <w:rFonts w:hint="eastAsia"/>
                <w:color w:val="000000" w:themeColor="text1"/>
                <w:highlight w:val="none"/>
                <w:lang w:val="en-US"/>
                <w14:textFill>
                  <w14:solidFill>
                    <w14:schemeClr w14:val="tx1"/>
                  </w14:solidFill>
                </w14:textFill>
              </w:rPr>
              <w:t>收集在布袋除尘设备配套的料仓内定期</w:t>
            </w:r>
            <w:r>
              <w:rPr>
                <w:rFonts w:hint="eastAsia"/>
                <w:color w:val="000000" w:themeColor="text1"/>
                <w:highlight w:val="none"/>
                <w14:textFill>
                  <w14:solidFill>
                    <w14:schemeClr w14:val="tx1"/>
                  </w14:solidFill>
                </w14:textFill>
              </w:rPr>
              <w:t>外售给生物质燃料加工企业综合利用</w:t>
            </w:r>
            <w:r>
              <w:rPr>
                <w:color w:val="000000" w:themeColor="text1"/>
                <w:highlight w:val="none"/>
                <w14:textFill>
                  <w14:solidFill>
                    <w14:schemeClr w14:val="tx1"/>
                  </w14:solidFill>
                </w14:textFill>
              </w:rPr>
              <w:t>。</w:t>
            </w:r>
          </w:p>
          <w:p w14:paraId="0F371777">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危险废物</w:t>
            </w:r>
          </w:p>
          <w:p w14:paraId="2B94C188">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①废漆渣</w:t>
            </w:r>
          </w:p>
          <w:p w14:paraId="45560C29">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喷漆工序涉及溶剂漆，则喷漆工序产生的固体废物主要为喷漆工作台面沉降形成漆渣及水帘柜处理漆雾产生的漆渣。根据工程分析，其中喷漆工作台面沉降形成漆渣产生量约为涂料固份占比的5%，则沉降漆渣产生量约为0.0</w:t>
            </w:r>
            <w:r>
              <w:rPr>
                <w:rFonts w:hint="eastAsia"/>
                <w:color w:val="000000" w:themeColor="text1"/>
                <w:highlight w:val="none"/>
                <w:lang w:val="en-US" w:eastAsia="zh-CN"/>
                <w14:textFill>
                  <w14:solidFill>
                    <w14:schemeClr w14:val="tx1"/>
                  </w14:solidFill>
                </w14:textFill>
              </w:rPr>
              <w:t>38</w:t>
            </w:r>
            <w:r>
              <w:rPr>
                <w:rFonts w:hint="eastAsia"/>
                <w:color w:val="000000" w:themeColor="text1"/>
                <w:highlight w:val="none"/>
                <w14:textFill>
                  <w14:solidFill>
                    <w14:schemeClr w14:val="tx1"/>
                  </w14:solidFill>
                </w14:textFill>
              </w:rPr>
              <w:t>t/a。固份占比的15%的漆雾中90%被收集漆雾的处理效率为90%，则水帘柜漆渣产生量约为</w:t>
            </w:r>
            <w:r>
              <w:rPr>
                <w:rFonts w:hint="eastAsia"/>
                <w:color w:val="000000" w:themeColor="text1"/>
                <w:highlight w:val="none"/>
                <w:lang w:val="en-US" w:eastAsia="zh-CN"/>
                <w14:textFill>
                  <w14:solidFill>
                    <w14:schemeClr w14:val="tx1"/>
                  </w14:solidFill>
                </w14:textFill>
              </w:rPr>
              <w:t>0.094</w:t>
            </w:r>
            <w:r>
              <w:rPr>
                <w:rFonts w:hint="eastAsia"/>
                <w:color w:val="000000" w:themeColor="text1"/>
                <w:highlight w:val="none"/>
                <w14:textFill>
                  <w14:solidFill>
                    <w14:schemeClr w14:val="tx1"/>
                  </w14:solidFill>
                </w14:textFill>
              </w:rPr>
              <w:t>t/a。</w:t>
            </w:r>
          </w:p>
          <w:p w14:paraId="7FDC7BDB">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根据《国家危险废物名录》（2025年版），废漆渣属于危险废物（废物类别：HW12，废物代码：900-252-12），使用油漆（不包括水性漆）、有机溶剂进行喷漆、上漆过程中过喷漆雾湿法捕集产生的漆渣</w:t>
            </w:r>
            <w:r>
              <w:rPr>
                <w:rFonts w:hint="eastAsia"/>
                <w:color w:val="000000" w:themeColor="text1"/>
                <w:highlight w:val="none"/>
                <w:lang w:eastAsia="zh-CN"/>
                <w14:textFill>
                  <w14:solidFill>
                    <w14:schemeClr w14:val="tx1"/>
                  </w14:solidFill>
                </w14:textFill>
              </w:rPr>
              <w:t>以及</w:t>
            </w:r>
            <w:r>
              <w:rPr>
                <w:rFonts w:hint="eastAsia"/>
                <w:color w:val="000000" w:themeColor="text1"/>
                <w:highlight w:val="none"/>
                <w14:textFill>
                  <w14:solidFill>
                    <w14:schemeClr w14:val="tx1"/>
                  </w14:solidFill>
                </w14:textFill>
              </w:rPr>
              <w:t>喷涂工位和管道清理过程产生的落地漆渣。</w:t>
            </w:r>
          </w:p>
          <w:p w14:paraId="7A9EBDA5">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②废活性炭</w:t>
            </w:r>
          </w:p>
          <w:p w14:paraId="7D55FC48">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参考《挥发性有机物的物化性质与活性炭饱和吸附量的相关性研究》（陈良杰，化工环保，200727(5):409-412）相关文献，颗粒活性炭对不同种类的挥发性有机物饱和吸附量为0.22~0.31kg/kg活性炭，本报告取0.3kg/kg活性炭，为保证活性炭吸附箱的吸附效率，防止活性炭被穿透，活性炭吸附箱中活性炭的放置量一般比理论所需活性炭用量多5%，则本项目</w:t>
            </w:r>
            <w:r>
              <w:rPr>
                <w:rFonts w:hint="eastAsia"/>
                <w:color w:val="000000" w:themeColor="text1"/>
                <w:highlight w:val="none"/>
                <w:lang w:eastAsia="zh-CN"/>
                <w14:textFill>
                  <w14:solidFill>
                    <w14:schemeClr w14:val="tx1"/>
                  </w14:solidFill>
                </w14:textFill>
              </w:rPr>
              <w:t>扩</w:t>
            </w:r>
            <w:r>
              <w:rPr>
                <w:rFonts w:hint="eastAsia"/>
                <w:color w:val="000000" w:themeColor="text1"/>
                <w:highlight w:val="none"/>
                <w14:textFill>
                  <w14:solidFill>
                    <w14:schemeClr w14:val="tx1"/>
                  </w14:solidFill>
                </w14:textFill>
              </w:rPr>
              <w:t>建后全厂废气治理废活性炭理论产生量约</w:t>
            </w:r>
            <w:r>
              <w:rPr>
                <w:rFonts w:hint="eastAsia"/>
                <w:color w:val="000000" w:themeColor="text1"/>
                <w:highlight w:val="none"/>
                <w:lang w:val="en-US" w:eastAsia="zh-CN"/>
                <w14:textFill>
                  <w14:solidFill>
                    <w14:schemeClr w14:val="tx1"/>
                  </w14:solidFill>
                </w14:textFill>
              </w:rPr>
              <w:t>0.642</w:t>
            </w:r>
            <w:r>
              <w:rPr>
                <w:rFonts w:hint="eastAsia"/>
                <w:color w:val="000000" w:themeColor="text1"/>
                <w:highlight w:val="none"/>
                <w14:textFill>
                  <w14:solidFill>
                    <w14:schemeClr w14:val="tx1"/>
                  </w14:solidFill>
                </w14:textFill>
              </w:rPr>
              <w:t>t/a；为确保项目有机废气净化效率，企业需定期对“活性炭吸附装置”内的活性炭进行更换。吸附装置活性炭约每季度更换一次，每次更换产生废活性炭约为0.</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t，则年产生废活性炭总量为0.</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t/a。</w:t>
            </w:r>
          </w:p>
          <w:p w14:paraId="084C6DAC">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根据《国家危险废物名录》（2025年版），废活性炭属于危险废物（废物类别：HW49，废物代码：900-041-49），含有或者沾染毒性、感染性危险废物的废弃的包装物、容器、过滤吸附介质。</w:t>
            </w:r>
          </w:p>
          <w:p w14:paraId="3B955372">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③废水处理污泥</w:t>
            </w:r>
          </w:p>
          <w:p w14:paraId="4E391A63">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项目喷漆水帘柜废水、打磨房喷淋废水、喷淋塔废水，经过项目配套废水处理设施（混凝压滤）处理后循环使用，不外排。生产废水工艺主要为混凝压滤，处理过程中产生的污泥（压滤渣）含有少量漆渣。根据</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项目配套废水处理设施规模（1t/h），日运行8h，根据处理工艺投加絮凝剂，每半个月进行一次污泥压滤清理，每次污泥产生量约5.8kg，则污泥产生量约0.14t/a。</w:t>
            </w:r>
          </w:p>
          <w:p w14:paraId="5ADAEC9F">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危险废物名录》（2025年版），废污泥属于危险废物（废物类别：HW49，废物代码：772-006-49），采用物理、化学、物理化学或者生物方法处理或者处置毒性或者感染性危险废物过程中产生的废水处理污泥和废水处理残渣（液）。</w:t>
            </w:r>
          </w:p>
          <w:p w14:paraId="5C241AAA">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④涂料废包装</w:t>
            </w:r>
          </w:p>
          <w:p w14:paraId="1C977D43">
            <w:pPr>
              <w:pStyle w:val="282"/>
              <w:spacing w:line="36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根据国家《危险废物名录（</w:t>
            </w:r>
            <w:r>
              <w:rPr>
                <w:rFonts w:hint="eastAsia"/>
                <w:color w:val="000000" w:themeColor="text1"/>
                <w:highlight w:val="none"/>
                <w:lang w:val="en-US" w:eastAsia="zh-CN"/>
                <w14:textFill>
                  <w14:solidFill>
                    <w14:schemeClr w14:val="tx1"/>
                  </w14:solidFill>
                </w14:textFill>
              </w:rPr>
              <w:t>2025版</w:t>
            </w:r>
            <w:r>
              <w:rPr>
                <w:rFonts w:hint="eastAsia"/>
                <w:color w:val="000000" w:themeColor="text1"/>
                <w:highlight w:val="none"/>
                <w:lang w:eastAsia="zh-CN"/>
                <w14:textFill>
                  <w14:solidFill>
                    <w14:schemeClr w14:val="tx1"/>
                  </w14:solidFill>
                </w14:textFill>
              </w:rPr>
              <w:t>）》：使用油漆（不包括水性漆）、有机溶剂进行喷漆、上漆过程中产生的废物属于危险废物（代码900-252-12），但水性漆未被列入该名录。然而，未列入名录的废物若不能排除危险特性，仍需通过鉴别确定是否属于危险废物；故本项目产生的</w:t>
            </w:r>
            <w:r>
              <w:rPr>
                <w:rFonts w:hint="eastAsia"/>
                <w:color w:val="000000" w:themeColor="text1"/>
                <w:highlight w:val="none"/>
                <w14:textFill>
                  <w14:solidFill>
                    <w14:schemeClr w14:val="tx1"/>
                  </w14:solidFill>
                </w14:textFill>
              </w:rPr>
              <w:t>水性涂料废包装</w:t>
            </w:r>
            <w:r>
              <w:rPr>
                <w:rFonts w:hint="eastAsia"/>
                <w:color w:val="000000" w:themeColor="text1"/>
                <w:highlight w:val="none"/>
                <w:lang w:eastAsia="zh-CN"/>
                <w14:textFill>
                  <w14:solidFill>
                    <w14:schemeClr w14:val="tx1"/>
                  </w14:solidFill>
                </w14:textFill>
              </w:rPr>
              <w:t>视作危废管理。扩建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水性漆用量约0.</w:t>
            </w:r>
            <w:r>
              <w:rPr>
                <w:rFonts w:hint="eastAsia"/>
                <w:color w:val="000000" w:themeColor="text1"/>
                <w:highlight w:val="none"/>
                <w:lang w:val="en-US" w:eastAsia="zh-CN"/>
                <w14:textFill>
                  <w14:solidFill>
                    <w14:schemeClr w14:val="tx1"/>
                  </w14:solidFill>
                </w14:textFill>
              </w:rPr>
              <w:t>75</w:t>
            </w:r>
            <w:r>
              <w:rPr>
                <w:rFonts w:hint="eastAsia"/>
                <w:color w:val="000000" w:themeColor="text1"/>
                <w:highlight w:val="none"/>
                <w14:textFill>
                  <w14:solidFill>
                    <w14:schemeClr w14:val="tx1"/>
                  </w14:solidFill>
                </w14:textFill>
              </w:rPr>
              <w:t>t/a，产生废水性漆空桶约0.0</w:t>
            </w:r>
            <w:r>
              <w:rPr>
                <w:rFonts w:hint="eastAsia"/>
                <w:color w:val="000000" w:themeColor="text1"/>
                <w:highlight w:val="none"/>
                <w:lang w:val="en-US" w:eastAsia="zh-CN"/>
                <w14:textFill>
                  <w14:solidFill>
                    <w14:schemeClr w14:val="tx1"/>
                  </w14:solidFill>
                </w14:textFill>
              </w:rPr>
              <w:t>375</w:t>
            </w:r>
            <w:r>
              <w:rPr>
                <w:rFonts w:hint="eastAsia"/>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溶剂型涂料用量约0.</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t/a，产生废溶剂型涂料空桶约0.01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项目涂料废包装产生总量约</w:t>
            </w:r>
            <w:r>
              <w:rPr>
                <w:rFonts w:hint="eastAsia"/>
                <w:color w:val="000000" w:themeColor="text1"/>
                <w:highlight w:val="none"/>
                <w:lang w:val="en-US" w:eastAsia="zh-CN"/>
                <w14:textFill>
                  <w14:solidFill>
                    <w14:schemeClr w14:val="tx1"/>
                  </w14:solidFill>
                </w14:textFill>
              </w:rPr>
              <w:t>0.0525t/a。</w:t>
            </w:r>
          </w:p>
          <w:p w14:paraId="234D3303">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根据《国家危险废物名录》（2025年版），涂料</w:t>
            </w:r>
            <w:r>
              <w:rPr>
                <w:rFonts w:hint="eastAsia"/>
                <w:color w:val="000000" w:themeColor="text1"/>
                <w:highlight w:val="none"/>
                <w:lang w:eastAsia="zh-CN"/>
                <w14:textFill>
                  <w14:solidFill>
                    <w14:schemeClr w14:val="tx1"/>
                  </w14:solidFill>
                </w14:textFill>
              </w:rPr>
              <w:t>废</w:t>
            </w:r>
            <w:r>
              <w:rPr>
                <w:rFonts w:hint="eastAsia"/>
                <w:color w:val="000000" w:themeColor="text1"/>
                <w:highlight w:val="none"/>
                <w14:textFill>
                  <w14:solidFill>
                    <w14:schemeClr w14:val="tx1"/>
                  </w14:solidFill>
                </w14:textFill>
              </w:rPr>
              <w:t>空桶属于危险废物（废物类别：HW49，废物代码：900-041-49），含有或者沾染毒性、感染性危险废物的废弃的包装物、容器、过滤吸附介质。</w:t>
            </w:r>
          </w:p>
          <w:p w14:paraId="620B63CF">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项目产生的危险废物经分类收集后在厂区危险废物暂存间暂存，并</w:t>
            </w:r>
            <w:r>
              <w:rPr>
                <w:color w:val="000000" w:themeColor="text1"/>
                <w:highlight w:val="none"/>
                <w14:textFill>
                  <w14:solidFill>
                    <w14:schemeClr w14:val="tx1"/>
                  </w14:solidFill>
                </w14:textFill>
              </w:rPr>
              <w:t>委托有资质单位处置</w:t>
            </w:r>
            <w:r>
              <w:rPr>
                <w:rFonts w:hint="eastAsia"/>
                <w:color w:val="000000" w:themeColor="text1"/>
                <w:highlight w:val="none"/>
                <w14:textFill>
                  <w14:solidFill>
                    <w14:schemeClr w14:val="tx1"/>
                  </w14:solidFill>
                </w14:textFill>
              </w:rPr>
              <w:t>。</w:t>
            </w:r>
          </w:p>
          <w:p w14:paraId="7AADE44C">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生活垃圾</w:t>
            </w:r>
          </w:p>
          <w:p w14:paraId="7EA9A2F8">
            <w:pPr>
              <w:pStyle w:val="115"/>
              <w:ind w:firstLine="480"/>
              <w:rPr>
                <w:rFonts w:hint="eastAsia"/>
                <w:color w:val="000000" w:themeColor="text1"/>
                <w:highlight w:val="none"/>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扩建后</w:t>
            </w:r>
            <w:r>
              <w:rPr>
                <w:rFonts w:ascii="Times New Roman" w:hAnsi="Times New Roman"/>
                <w:color w:val="000000" w:themeColor="text1"/>
                <w:sz w:val="24"/>
                <w:szCs w:val="24"/>
                <w:highlight w:val="none"/>
                <w14:textFill>
                  <w14:solidFill>
                    <w14:schemeClr w14:val="tx1"/>
                  </w14:solidFill>
                </w14:textFill>
              </w:rPr>
              <w:t>项目</w:t>
            </w:r>
            <w:r>
              <w:rPr>
                <w:rFonts w:hint="eastAsia" w:ascii="Times New Roman" w:hAnsi="Times New Roman"/>
                <w:color w:val="000000" w:themeColor="text1"/>
                <w:sz w:val="24"/>
                <w:szCs w:val="24"/>
                <w:highlight w:val="none"/>
                <w14:textFill>
                  <w14:solidFill>
                    <w14:schemeClr w14:val="tx1"/>
                  </w14:solidFill>
                </w14:textFill>
              </w:rPr>
              <w:t>员</w:t>
            </w:r>
            <w:r>
              <w:rPr>
                <w:rFonts w:ascii="Times New Roman" w:hAnsi="Times New Roman"/>
                <w:color w:val="000000" w:themeColor="text1"/>
                <w:sz w:val="24"/>
                <w:szCs w:val="24"/>
                <w:highlight w:val="none"/>
                <w14:textFill>
                  <w14:solidFill>
                    <w14:schemeClr w14:val="tx1"/>
                  </w14:solidFill>
                </w14:textFill>
              </w:rPr>
              <w:t>工人数</w:t>
            </w:r>
            <w:r>
              <w:rPr>
                <w:rFonts w:hint="eastAsia" w:ascii="Times New Roman" w:hAnsi="Times New Roman"/>
                <w:color w:val="000000" w:themeColor="text1"/>
                <w:sz w:val="24"/>
                <w:szCs w:val="24"/>
                <w:highlight w:val="none"/>
                <w14:textFill>
                  <w14:solidFill>
                    <w14:schemeClr w14:val="tx1"/>
                  </w14:solidFill>
                </w14:textFill>
              </w:rPr>
              <w:t>6</w:t>
            </w:r>
            <w:r>
              <w:rPr>
                <w:rFonts w:ascii="Times New Roman" w:hAnsi="Times New Roman"/>
                <w:color w:val="000000" w:themeColor="text1"/>
                <w:sz w:val="24"/>
                <w:szCs w:val="24"/>
                <w:highlight w:val="none"/>
                <w14:textFill>
                  <w14:solidFill>
                    <w14:schemeClr w14:val="tx1"/>
                  </w14:solidFill>
                </w14:textFill>
              </w:rPr>
              <w:t>人，</w:t>
            </w:r>
            <w:r>
              <w:rPr>
                <w:rFonts w:hint="eastAsia" w:ascii="Times New Roman" w:hAnsi="Times New Roman"/>
                <w:color w:val="000000" w:themeColor="text1"/>
                <w:sz w:val="24"/>
                <w:szCs w:val="24"/>
                <w:highlight w:val="none"/>
                <w14:textFill>
                  <w14:solidFill>
                    <w14:schemeClr w14:val="tx1"/>
                  </w14:solidFill>
                </w14:textFill>
              </w:rPr>
              <w:t>均不住厂</w:t>
            </w:r>
            <w:r>
              <w:rPr>
                <w:rFonts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14:textFill>
                  <w14:solidFill>
                    <w14:schemeClr w14:val="tx1"/>
                  </w14:solidFill>
                </w14:textFill>
              </w:rPr>
              <w:t>不住厂</w:t>
            </w:r>
            <w:r>
              <w:rPr>
                <w:rFonts w:ascii="Times New Roman" w:hAnsi="Times New Roman"/>
                <w:color w:val="000000" w:themeColor="text1"/>
                <w:sz w:val="24"/>
                <w:szCs w:val="24"/>
                <w:highlight w:val="none"/>
                <w14:textFill>
                  <w14:solidFill>
                    <w14:schemeClr w14:val="tx1"/>
                  </w14:solidFill>
                </w14:textFill>
              </w:rPr>
              <w:t>职工生活垃圾的产生量按每人每天0.5kg 计，项目年生产</w:t>
            </w:r>
            <w:r>
              <w:rPr>
                <w:rFonts w:hint="eastAsia" w:ascii="Times New Roman" w:hAnsi="Times New Roman"/>
                <w:color w:val="000000" w:themeColor="text1"/>
                <w:sz w:val="24"/>
                <w:szCs w:val="24"/>
                <w:highlight w:val="none"/>
                <w14:textFill>
                  <w14:solidFill>
                    <w14:schemeClr w14:val="tx1"/>
                  </w14:solidFill>
                </w14:textFill>
              </w:rPr>
              <w:t>260</w:t>
            </w:r>
            <w:r>
              <w:rPr>
                <w:rFonts w:ascii="Times New Roman" w:hAnsi="Times New Roman"/>
                <w:color w:val="000000" w:themeColor="text1"/>
                <w:sz w:val="24"/>
                <w:szCs w:val="24"/>
                <w:highlight w:val="none"/>
                <w14:textFill>
                  <w14:solidFill>
                    <w14:schemeClr w14:val="tx1"/>
                  </w14:solidFill>
                </w14:textFill>
              </w:rPr>
              <w:t>天，运营期生活垃圾产生量为</w:t>
            </w:r>
            <w:r>
              <w:rPr>
                <w:rFonts w:hint="eastAsia" w:ascii="Times New Roman" w:hAnsi="Times New Roman"/>
                <w:color w:val="000000" w:themeColor="text1"/>
                <w:sz w:val="24"/>
                <w:szCs w:val="24"/>
                <w:highlight w:val="none"/>
                <w14:textFill>
                  <w14:solidFill>
                    <w14:schemeClr w14:val="tx1"/>
                  </w14:solidFill>
                </w14:textFill>
              </w:rPr>
              <w:t>0.78</w:t>
            </w:r>
            <w:r>
              <w:rPr>
                <w:rFonts w:ascii="Times New Roman" w:hAnsi="Times New Roman"/>
                <w:color w:val="000000" w:themeColor="text1"/>
                <w:sz w:val="24"/>
                <w:szCs w:val="24"/>
                <w:highlight w:val="none"/>
                <w14:textFill>
                  <w14:solidFill>
                    <w14:schemeClr w14:val="tx1"/>
                  </w14:solidFill>
                </w14:textFill>
              </w:rPr>
              <w:t>t/a</w:t>
            </w:r>
            <w:r>
              <w:rPr>
                <w:rFonts w:hint="eastAsia" w:ascii="Times New Roman" w:hAnsi="Times New Roman"/>
                <w:color w:val="000000" w:themeColor="text1"/>
                <w:sz w:val="24"/>
                <w:szCs w:val="24"/>
                <w:highlight w:val="none"/>
                <w14:textFill>
                  <w14:solidFill>
                    <w14:schemeClr w14:val="tx1"/>
                  </w14:solidFill>
                </w14:textFill>
              </w:rPr>
              <w:t>；分类</w:t>
            </w:r>
            <w:r>
              <w:rPr>
                <w:rFonts w:ascii="Times New Roman" w:hAnsi="Times New Roman"/>
                <w:color w:val="000000" w:themeColor="text1"/>
                <w:sz w:val="24"/>
                <w:szCs w:val="24"/>
                <w:highlight w:val="none"/>
                <w14:textFill>
                  <w14:solidFill>
                    <w14:schemeClr w14:val="tx1"/>
                  </w14:solidFill>
                </w14:textFill>
              </w:rPr>
              <w:t>收集后交由环卫部门清运处置</w:t>
            </w:r>
            <w:r>
              <w:rPr>
                <w:rFonts w:hint="eastAsia" w:ascii="Times New Roman" w:hAnsi="Times New Roman"/>
                <w:color w:val="000000" w:themeColor="text1"/>
                <w:sz w:val="24"/>
                <w:szCs w:val="24"/>
                <w:highlight w:val="none"/>
                <w14:textFill>
                  <w14:solidFill>
                    <w14:schemeClr w14:val="tx1"/>
                  </w14:solidFill>
                </w14:textFill>
              </w:rPr>
              <w:t>。</w:t>
            </w:r>
          </w:p>
          <w:p w14:paraId="2309CE8F">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综上分析，本项目</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固体废物的产生和处置情况详见表</w:t>
            </w:r>
            <w:r>
              <w:rPr>
                <w:color w:val="000000" w:themeColor="text1"/>
                <w:highlight w:val="none"/>
                <w14:textFill>
                  <w14:solidFill>
                    <w14:schemeClr w14:val="tx1"/>
                  </w14:solidFill>
                </w14:textFill>
              </w:rPr>
              <w:t>4.2-1</w:t>
            </w:r>
            <w:r>
              <w:rPr>
                <w:rFonts w:hint="eastAsia"/>
                <w:color w:val="000000" w:themeColor="text1"/>
                <w:highlight w:val="none"/>
                <w14:textFill>
                  <w14:solidFill>
                    <w14:schemeClr w14:val="tx1"/>
                  </w14:solidFill>
                </w14:textFill>
              </w:rPr>
              <w:t>3。</w:t>
            </w:r>
          </w:p>
          <w:p w14:paraId="739E70D6">
            <w:pPr>
              <w:pStyle w:val="97"/>
              <w:ind w:firstLine="2" w:firstLineChars="1"/>
              <w:jc w:val="center"/>
              <w:rPr>
                <w:rFonts w:ascii="Times New Roman" w:hAnsi="Times New Roman"/>
                <w:b/>
                <w:bCs/>
                <w:color w:val="000000" w:themeColor="text1"/>
                <w:szCs w:val="22"/>
                <w:highlight w:val="none"/>
                <w14:textFill>
                  <w14:solidFill>
                    <w14:schemeClr w14:val="tx1"/>
                  </w14:solidFill>
                </w14:textFill>
              </w:rPr>
            </w:pPr>
            <w:r>
              <w:rPr>
                <w:rFonts w:ascii="Times New Roman" w:hAnsi="Times New Roman"/>
                <w:b/>
                <w:bCs/>
                <w:color w:val="000000" w:themeColor="text1"/>
                <w:szCs w:val="22"/>
                <w:highlight w:val="none"/>
                <w14:textFill>
                  <w14:solidFill>
                    <w14:schemeClr w14:val="tx1"/>
                  </w14:solidFill>
                </w14:textFill>
              </w:rPr>
              <w:t>表4.2-1</w:t>
            </w:r>
            <w:r>
              <w:rPr>
                <w:rFonts w:hint="eastAsia" w:ascii="Times New Roman" w:hAnsi="Times New Roman"/>
                <w:b/>
                <w:bCs/>
                <w:color w:val="000000" w:themeColor="text1"/>
                <w:szCs w:val="22"/>
                <w:highlight w:val="none"/>
                <w14:textFill>
                  <w14:solidFill>
                    <w14:schemeClr w14:val="tx1"/>
                  </w14:solidFill>
                </w14:textFill>
              </w:rPr>
              <w:t>3</w:t>
            </w:r>
            <w:r>
              <w:rPr>
                <w:rFonts w:ascii="Times New Roman" w:hAnsi="Times New Roman"/>
                <w:b/>
                <w:bCs/>
                <w:color w:val="000000" w:themeColor="text1"/>
                <w:szCs w:val="22"/>
                <w:highlight w:val="none"/>
                <w14:textFill>
                  <w14:solidFill>
                    <w14:schemeClr w14:val="tx1"/>
                  </w14:solidFill>
                </w14:textFill>
              </w:rPr>
              <w:t xml:space="preserve">  </w:t>
            </w:r>
            <w:r>
              <w:rPr>
                <w:rFonts w:hint="eastAsia" w:ascii="Times New Roman" w:hAnsi="Times New Roman"/>
                <w:b/>
                <w:bCs/>
                <w:color w:val="000000" w:themeColor="text1"/>
                <w:szCs w:val="22"/>
                <w:highlight w:val="none"/>
                <w:lang w:eastAsia="zh-CN"/>
                <w14:textFill>
                  <w14:solidFill>
                    <w14:schemeClr w14:val="tx1"/>
                  </w14:solidFill>
                </w14:textFill>
              </w:rPr>
              <w:t>扩建</w:t>
            </w:r>
            <w:r>
              <w:rPr>
                <w:rFonts w:hint="eastAsia" w:ascii="Times New Roman" w:hAnsi="Times New Roman"/>
                <w:b/>
                <w:bCs/>
                <w:color w:val="000000" w:themeColor="text1"/>
                <w:szCs w:val="22"/>
                <w:highlight w:val="none"/>
                <w14:textFill>
                  <w14:solidFill>
                    <w14:schemeClr w14:val="tx1"/>
                  </w14:solidFill>
                </w14:textFill>
              </w:rPr>
              <w:t>项目</w:t>
            </w:r>
            <w:r>
              <w:rPr>
                <w:rFonts w:ascii="Times New Roman" w:hAnsi="Times New Roman"/>
                <w:b/>
                <w:bCs/>
                <w:color w:val="000000" w:themeColor="text1"/>
                <w:szCs w:val="22"/>
                <w:highlight w:val="none"/>
                <w14:textFill>
                  <w14:solidFill>
                    <w14:schemeClr w14:val="tx1"/>
                  </w14:solidFill>
                </w14:textFill>
              </w:rPr>
              <w:t>固体废物产生及处置</w:t>
            </w:r>
            <w:r>
              <w:rPr>
                <w:rFonts w:hint="eastAsia" w:ascii="Times New Roman" w:hAnsi="Times New Roman"/>
                <w:b/>
                <w:bCs/>
                <w:color w:val="000000" w:themeColor="text1"/>
                <w:szCs w:val="22"/>
                <w:highlight w:val="none"/>
                <w14:textFill>
                  <w14:solidFill>
                    <w14:schemeClr w14:val="tx1"/>
                  </w14:solidFill>
                </w14:textFill>
              </w:rPr>
              <w:t>情况一览表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25"/>
              <w:gridCol w:w="880"/>
              <w:gridCol w:w="982"/>
              <w:gridCol w:w="996"/>
              <w:gridCol w:w="566"/>
              <w:gridCol w:w="710"/>
              <w:gridCol w:w="1182"/>
              <w:gridCol w:w="794"/>
              <w:gridCol w:w="479"/>
              <w:gridCol w:w="584"/>
              <w:gridCol w:w="789"/>
            </w:tblGrid>
            <w:tr w14:paraId="62145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14:paraId="56E860AB">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524" w:type="pct"/>
                  <w:vAlign w:val="center"/>
                </w:tcPr>
                <w:p w14:paraId="2E6B8BF7">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w:t>
                  </w:r>
                </w:p>
                <w:p w14:paraId="5B8115AB">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环节</w:t>
                  </w:r>
                </w:p>
              </w:tc>
              <w:tc>
                <w:tcPr>
                  <w:tcW w:w="585" w:type="pct"/>
                  <w:vAlign w:val="center"/>
                </w:tcPr>
                <w:p w14:paraId="43235BD0">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w:t>
                  </w:r>
                </w:p>
                <w:p w14:paraId="272FBBE9">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名称</w:t>
                  </w:r>
                </w:p>
              </w:tc>
              <w:tc>
                <w:tcPr>
                  <w:tcW w:w="593" w:type="pct"/>
                  <w:vAlign w:val="center"/>
                </w:tcPr>
                <w:p w14:paraId="64C28A83">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主要物质</w:t>
                  </w:r>
                </w:p>
                <w:p w14:paraId="06EF0850">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成分</w:t>
                  </w:r>
                </w:p>
              </w:tc>
              <w:tc>
                <w:tcPr>
                  <w:tcW w:w="337" w:type="pct"/>
                  <w:vAlign w:val="center"/>
                </w:tcPr>
                <w:p w14:paraId="1236D90D">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属性</w:t>
                  </w:r>
                </w:p>
              </w:tc>
              <w:tc>
                <w:tcPr>
                  <w:tcW w:w="423" w:type="pct"/>
                  <w:vAlign w:val="center"/>
                </w:tcPr>
                <w:p w14:paraId="44B3011D">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废物</w:t>
                  </w:r>
                </w:p>
                <w:p w14:paraId="009254E5">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w:t>
                  </w:r>
                </w:p>
              </w:tc>
              <w:tc>
                <w:tcPr>
                  <w:tcW w:w="704" w:type="pct"/>
                  <w:vAlign w:val="center"/>
                </w:tcPr>
                <w:p w14:paraId="0845715D">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废物代码</w:t>
                  </w:r>
                </w:p>
              </w:tc>
              <w:tc>
                <w:tcPr>
                  <w:tcW w:w="473" w:type="pct"/>
                  <w:vAlign w:val="center"/>
                </w:tcPr>
                <w:p w14:paraId="1FC6B700">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产生量t/a</w:t>
                  </w:r>
                </w:p>
              </w:tc>
              <w:tc>
                <w:tcPr>
                  <w:tcW w:w="285" w:type="pct"/>
                  <w:vAlign w:val="center"/>
                </w:tcPr>
                <w:p w14:paraId="6B4B4E4B">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危险特性</w:t>
                  </w:r>
                </w:p>
              </w:tc>
              <w:tc>
                <w:tcPr>
                  <w:tcW w:w="348" w:type="pct"/>
                  <w:vAlign w:val="center"/>
                </w:tcPr>
                <w:p w14:paraId="66182450">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储存方式</w:t>
                  </w:r>
                </w:p>
              </w:tc>
              <w:tc>
                <w:tcPr>
                  <w:tcW w:w="470" w:type="pct"/>
                  <w:vAlign w:val="center"/>
                </w:tcPr>
                <w:p w14:paraId="0BF71EA3">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处置方式/去向</w:t>
                  </w:r>
                </w:p>
              </w:tc>
            </w:tr>
            <w:tr w14:paraId="57058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7" w:hRule="atLeast"/>
                <w:jc w:val="center"/>
              </w:trPr>
              <w:tc>
                <w:tcPr>
                  <w:tcW w:w="253" w:type="pct"/>
                  <w:vAlign w:val="center"/>
                </w:tcPr>
                <w:p w14:paraId="7E22A7C8">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524" w:type="pct"/>
                  <w:vAlign w:val="center"/>
                </w:tcPr>
                <w:p w14:paraId="65B4A719">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木工加工工序</w:t>
                  </w:r>
                </w:p>
              </w:tc>
              <w:tc>
                <w:tcPr>
                  <w:tcW w:w="585" w:type="pct"/>
                  <w:vAlign w:val="center"/>
                </w:tcPr>
                <w:p w14:paraId="16EB3096">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废边角料</w:t>
                  </w:r>
                </w:p>
              </w:tc>
              <w:tc>
                <w:tcPr>
                  <w:tcW w:w="593" w:type="pct"/>
                  <w:vAlign w:val="center"/>
                </w:tcPr>
                <w:p w14:paraId="38F6274F">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木屑</w:t>
                  </w:r>
                </w:p>
              </w:tc>
              <w:tc>
                <w:tcPr>
                  <w:tcW w:w="337" w:type="pct"/>
                  <w:vMerge w:val="restart"/>
                  <w:vAlign w:val="center"/>
                </w:tcPr>
                <w:p w14:paraId="770104A9">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一般工业固废</w:t>
                  </w:r>
                </w:p>
              </w:tc>
              <w:tc>
                <w:tcPr>
                  <w:tcW w:w="423" w:type="pct"/>
                  <w:vAlign w:val="center"/>
                </w:tcPr>
                <w:p w14:paraId="4D64C883">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SW59</w:t>
                  </w:r>
                </w:p>
              </w:tc>
              <w:tc>
                <w:tcPr>
                  <w:tcW w:w="704" w:type="pct"/>
                  <w:vAlign w:val="center"/>
                </w:tcPr>
                <w:p w14:paraId="48365D03">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900-099-S59</w:t>
                  </w:r>
                </w:p>
              </w:tc>
              <w:tc>
                <w:tcPr>
                  <w:tcW w:w="473" w:type="pct"/>
                  <w:vAlign w:val="center"/>
                </w:tcPr>
                <w:p w14:paraId="11EA7670">
                  <w:pPr>
                    <w:pStyle w:val="6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99</w:t>
                  </w:r>
                </w:p>
              </w:tc>
              <w:tc>
                <w:tcPr>
                  <w:tcW w:w="285" w:type="pct"/>
                  <w:vAlign w:val="center"/>
                </w:tcPr>
                <w:p w14:paraId="1B51CEA3">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348" w:type="pct"/>
                  <w:vMerge w:val="restart"/>
                  <w:vAlign w:val="center"/>
                </w:tcPr>
                <w:p w14:paraId="055BCAA1">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一般固废暂存间</w:t>
                  </w:r>
                </w:p>
              </w:tc>
              <w:tc>
                <w:tcPr>
                  <w:tcW w:w="470" w:type="pct"/>
                  <w:vMerge w:val="restart"/>
                  <w:vAlign w:val="center"/>
                </w:tcPr>
                <w:p w14:paraId="7AFB4C02">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外售其他单位再</w:t>
                  </w:r>
                  <w:r>
                    <w:rPr>
                      <w:color w:val="000000" w:themeColor="text1"/>
                      <w:highlight w:val="none"/>
                      <w14:textFill>
                        <w14:solidFill>
                          <w14:schemeClr w14:val="tx1"/>
                        </w14:solidFill>
                      </w14:textFill>
                    </w:rPr>
                    <w:t>利用</w:t>
                  </w:r>
                </w:p>
              </w:tc>
            </w:tr>
            <w:tr w14:paraId="0BF16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7" w:hRule="atLeast"/>
                <w:jc w:val="center"/>
              </w:trPr>
              <w:tc>
                <w:tcPr>
                  <w:tcW w:w="253" w:type="pct"/>
                  <w:vAlign w:val="center"/>
                </w:tcPr>
                <w:p w14:paraId="6DC24DE0">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524" w:type="pct"/>
                  <w:vAlign w:val="center"/>
                </w:tcPr>
                <w:p w14:paraId="49B85D1C">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p w14:paraId="16881CAE">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治理</w:t>
                  </w:r>
                </w:p>
              </w:tc>
              <w:tc>
                <w:tcPr>
                  <w:tcW w:w="585" w:type="pct"/>
                  <w:vAlign w:val="center"/>
                </w:tcPr>
                <w:p w14:paraId="506C016E">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布袋除尘颗粒物</w:t>
                  </w:r>
                </w:p>
              </w:tc>
              <w:tc>
                <w:tcPr>
                  <w:tcW w:w="593" w:type="pct"/>
                  <w:vAlign w:val="center"/>
                </w:tcPr>
                <w:p w14:paraId="2CE11E56">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颗粒物（木屑）</w:t>
                  </w:r>
                </w:p>
              </w:tc>
              <w:tc>
                <w:tcPr>
                  <w:tcW w:w="337" w:type="pct"/>
                  <w:vMerge w:val="continue"/>
                  <w:vAlign w:val="center"/>
                </w:tcPr>
                <w:p w14:paraId="5E0DF626">
                  <w:pPr>
                    <w:pStyle w:val="67"/>
                    <w:rPr>
                      <w:color w:val="000000" w:themeColor="text1"/>
                      <w:highlight w:val="none"/>
                      <w14:textFill>
                        <w14:solidFill>
                          <w14:schemeClr w14:val="tx1"/>
                        </w14:solidFill>
                      </w14:textFill>
                    </w:rPr>
                  </w:pPr>
                </w:p>
              </w:tc>
              <w:tc>
                <w:tcPr>
                  <w:tcW w:w="423" w:type="pct"/>
                  <w:vAlign w:val="center"/>
                </w:tcPr>
                <w:p w14:paraId="086885BC">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SW59</w:t>
                  </w:r>
                </w:p>
              </w:tc>
              <w:tc>
                <w:tcPr>
                  <w:tcW w:w="704" w:type="pct"/>
                  <w:vAlign w:val="center"/>
                </w:tcPr>
                <w:p w14:paraId="186967B7">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900-099-S59</w:t>
                  </w:r>
                </w:p>
              </w:tc>
              <w:tc>
                <w:tcPr>
                  <w:tcW w:w="473" w:type="pct"/>
                  <w:vAlign w:val="center"/>
                </w:tcPr>
                <w:p w14:paraId="3DFC97C4">
                  <w:pPr>
                    <w:pStyle w:val="6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912</w:t>
                  </w:r>
                </w:p>
              </w:tc>
              <w:tc>
                <w:tcPr>
                  <w:tcW w:w="285" w:type="pct"/>
                  <w:vAlign w:val="center"/>
                </w:tcPr>
                <w:p w14:paraId="3824D7D1">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48" w:type="pct"/>
                  <w:vMerge w:val="continue"/>
                  <w:vAlign w:val="center"/>
                </w:tcPr>
                <w:p w14:paraId="35519374">
                  <w:pPr>
                    <w:pStyle w:val="67"/>
                    <w:rPr>
                      <w:color w:val="000000" w:themeColor="text1"/>
                      <w:highlight w:val="none"/>
                      <w14:textFill>
                        <w14:solidFill>
                          <w14:schemeClr w14:val="tx1"/>
                        </w14:solidFill>
                      </w14:textFill>
                    </w:rPr>
                  </w:pPr>
                </w:p>
              </w:tc>
              <w:tc>
                <w:tcPr>
                  <w:tcW w:w="470" w:type="pct"/>
                  <w:vMerge w:val="continue"/>
                  <w:vAlign w:val="center"/>
                </w:tcPr>
                <w:p w14:paraId="531E6699">
                  <w:pPr>
                    <w:pStyle w:val="67"/>
                    <w:rPr>
                      <w:color w:val="000000" w:themeColor="text1"/>
                      <w:highlight w:val="none"/>
                      <w14:textFill>
                        <w14:solidFill>
                          <w14:schemeClr w14:val="tx1"/>
                        </w14:solidFill>
                      </w14:textFill>
                    </w:rPr>
                  </w:pPr>
                </w:p>
              </w:tc>
            </w:tr>
            <w:tr w14:paraId="06007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253" w:type="pct"/>
                  <w:vAlign w:val="center"/>
                </w:tcPr>
                <w:p w14:paraId="01F5A0D0">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524" w:type="pct"/>
                  <w:vAlign w:val="center"/>
                </w:tcPr>
                <w:p w14:paraId="7B864C2F">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喷漆</w:t>
                  </w:r>
                </w:p>
                <w:p w14:paraId="53472F79">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工序</w:t>
                  </w:r>
                </w:p>
              </w:tc>
              <w:tc>
                <w:tcPr>
                  <w:tcW w:w="585" w:type="pct"/>
                  <w:vAlign w:val="center"/>
                </w:tcPr>
                <w:p w14:paraId="34A0F45B">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废漆渣</w:t>
                  </w:r>
                </w:p>
              </w:tc>
              <w:tc>
                <w:tcPr>
                  <w:tcW w:w="593" w:type="pct"/>
                  <w:vAlign w:val="center"/>
                </w:tcPr>
                <w:p w14:paraId="15A79CF6">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漆渣</w:t>
                  </w:r>
                </w:p>
              </w:tc>
              <w:tc>
                <w:tcPr>
                  <w:tcW w:w="337" w:type="pct"/>
                  <w:vMerge w:val="restart"/>
                  <w:vAlign w:val="center"/>
                </w:tcPr>
                <w:p w14:paraId="1428ED5A">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w:t>
                  </w:r>
                </w:p>
              </w:tc>
              <w:tc>
                <w:tcPr>
                  <w:tcW w:w="423" w:type="pct"/>
                  <w:vAlign w:val="center"/>
                </w:tcPr>
                <w:p w14:paraId="7ADC6372">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HW12</w:t>
                  </w:r>
                </w:p>
              </w:tc>
              <w:tc>
                <w:tcPr>
                  <w:tcW w:w="704" w:type="pct"/>
                  <w:vAlign w:val="center"/>
                </w:tcPr>
                <w:p w14:paraId="36802626">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900-252-12</w:t>
                  </w:r>
                </w:p>
              </w:tc>
              <w:tc>
                <w:tcPr>
                  <w:tcW w:w="473" w:type="pct"/>
                  <w:vAlign w:val="center"/>
                </w:tcPr>
                <w:p w14:paraId="4E71D0C0">
                  <w:pPr>
                    <w:pStyle w:val="6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0.132</w:t>
                  </w:r>
                </w:p>
              </w:tc>
              <w:tc>
                <w:tcPr>
                  <w:tcW w:w="285" w:type="pct"/>
                  <w:vAlign w:val="center"/>
                </w:tcPr>
                <w:p w14:paraId="2FEDBA51">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T/I</w:t>
                  </w:r>
                </w:p>
              </w:tc>
              <w:tc>
                <w:tcPr>
                  <w:tcW w:w="348" w:type="pct"/>
                  <w:vMerge w:val="restart"/>
                  <w:vAlign w:val="center"/>
                </w:tcPr>
                <w:p w14:paraId="3452AA34">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危废间暂存</w:t>
                  </w:r>
                </w:p>
              </w:tc>
              <w:tc>
                <w:tcPr>
                  <w:tcW w:w="470" w:type="pct"/>
                  <w:vMerge w:val="restart"/>
                  <w:vAlign w:val="center"/>
                </w:tcPr>
                <w:p w14:paraId="38A5F9E1">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委托有</w:t>
                  </w:r>
                </w:p>
                <w:p w14:paraId="28151C75">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资质单位处置</w:t>
                  </w:r>
                </w:p>
              </w:tc>
            </w:tr>
            <w:tr w14:paraId="4E793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14:paraId="5B9F81F7">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524" w:type="pct"/>
                  <w:vAlign w:val="center"/>
                </w:tcPr>
                <w:p w14:paraId="791B5015">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p w14:paraId="502A94E6">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处理</w:t>
                  </w:r>
                </w:p>
              </w:tc>
              <w:tc>
                <w:tcPr>
                  <w:tcW w:w="585" w:type="pct"/>
                  <w:vAlign w:val="center"/>
                </w:tcPr>
                <w:p w14:paraId="6BD9C174">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废活</w:t>
                  </w:r>
                </w:p>
                <w:p w14:paraId="0436B093">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性炭</w:t>
                  </w:r>
                </w:p>
              </w:tc>
              <w:tc>
                <w:tcPr>
                  <w:tcW w:w="593" w:type="pct"/>
                  <w:vAlign w:val="center"/>
                </w:tcPr>
                <w:p w14:paraId="76579462">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有机废气</w:t>
                  </w:r>
                </w:p>
              </w:tc>
              <w:tc>
                <w:tcPr>
                  <w:tcW w:w="337" w:type="pct"/>
                  <w:vMerge w:val="continue"/>
                  <w:vAlign w:val="center"/>
                </w:tcPr>
                <w:p w14:paraId="2D49DD01">
                  <w:pPr>
                    <w:pStyle w:val="67"/>
                    <w:rPr>
                      <w:color w:val="000000" w:themeColor="text1"/>
                      <w:highlight w:val="none"/>
                      <w14:textFill>
                        <w14:solidFill>
                          <w14:schemeClr w14:val="tx1"/>
                        </w14:solidFill>
                      </w14:textFill>
                    </w:rPr>
                  </w:pPr>
                </w:p>
              </w:tc>
              <w:tc>
                <w:tcPr>
                  <w:tcW w:w="423" w:type="pct"/>
                  <w:vAlign w:val="center"/>
                </w:tcPr>
                <w:p w14:paraId="367F729F">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HW49</w:t>
                  </w:r>
                </w:p>
              </w:tc>
              <w:tc>
                <w:tcPr>
                  <w:tcW w:w="704" w:type="pct"/>
                  <w:vAlign w:val="center"/>
                </w:tcPr>
                <w:p w14:paraId="42205881">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900-041-49</w:t>
                  </w:r>
                </w:p>
              </w:tc>
              <w:tc>
                <w:tcPr>
                  <w:tcW w:w="473" w:type="pct"/>
                  <w:vAlign w:val="center"/>
                </w:tcPr>
                <w:p w14:paraId="52A153AB">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8</w:t>
                  </w:r>
                </w:p>
              </w:tc>
              <w:tc>
                <w:tcPr>
                  <w:tcW w:w="285" w:type="pct"/>
                  <w:vAlign w:val="center"/>
                </w:tcPr>
                <w:p w14:paraId="78598BF4">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T/In</w:t>
                  </w:r>
                </w:p>
              </w:tc>
              <w:tc>
                <w:tcPr>
                  <w:tcW w:w="348" w:type="pct"/>
                  <w:vMerge w:val="continue"/>
                  <w:vAlign w:val="center"/>
                </w:tcPr>
                <w:p w14:paraId="3F9F338E">
                  <w:pPr>
                    <w:pStyle w:val="67"/>
                    <w:rPr>
                      <w:color w:val="000000" w:themeColor="text1"/>
                      <w:highlight w:val="none"/>
                      <w14:textFill>
                        <w14:solidFill>
                          <w14:schemeClr w14:val="tx1"/>
                        </w14:solidFill>
                      </w14:textFill>
                    </w:rPr>
                  </w:pPr>
                </w:p>
              </w:tc>
              <w:tc>
                <w:tcPr>
                  <w:tcW w:w="470" w:type="pct"/>
                  <w:vMerge w:val="continue"/>
                  <w:vAlign w:val="center"/>
                </w:tcPr>
                <w:p w14:paraId="7CAE7DB7">
                  <w:pPr>
                    <w:pStyle w:val="67"/>
                    <w:rPr>
                      <w:color w:val="000000" w:themeColor="text1"/>
                      <w:highlight w:val="none"/>
                      <w14:textFill>
                        <w14:solidFill>
                          <w14:schemeClr w14:val="tx1"/>
                        </w14:solidFill>
                      </w14:textFill>
                    </w:rPr>
                  </w:pPr>
                </w:p>
              </w:tc>
            </w:tr>
            <w:tr w14:paraId="75B9A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14:paraId="37F1EA05">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524" w:type="pct"/>
                  <w:vAlign w:val="center"/>
                </w:tcPr>
                <w:p w14:paraId="6EEECD60">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w:t>
                  </w:r>
                </w:p>
                <w:p w14:paraId="1C02EFF4">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治理</w:t>
                  </w:r>
                </w:p>
              </w:tc>
              <w:tc>
                <w:tcPr>
                  <w:tcW w:w="585" w:type="pct"/>
                  <w:vAlign w:val="center"/>
                </w:tcPr>
                <w:p w14:paraId="12EF2717">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废污泥</w:t>
                  </w:r>
                </w:p>
              </w:tc>
              <w:tc>
                <w:tcPr>
                  <w:tcW w:w="593" w:type="pct"/>
                  <w:vAlign w:val="center"/>
                </w:tcPr>
                <w:p w14:paraId="5437727E">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漆渣</w:t>
                  </w:r>
                </w:p>
              </w:tc>
              <w:tc>
                <w:tcPr>
                  <w:tcW w:w="337" w:type="pct"/>
                  <w:vMerge w:val="continue"/>
                  <w:vAlign w:val="center"/>
                </w:tcPr>
                <w:p w14:paraId="26EDA214">
                  <w:pPr>
                    <w:pStyle w:val="67"/>
                    <w:rPr>
                      <w:color w:val="000000" w:themeColor="text1"/>
                      <w:highlight w:val="none"/>
                      <w14:textFill>
                        <w14:solidFill>
                          <w14:schemeClr w14:val="tx1"/>
                        </w14:solidFill>
                      </w14:textFill>
                    </w:rPr>
                  </w:pPr>
                </w:p>
              </w:tc>
              <w:tc>
                <w:tcPr>
                  <w:tcW w:w="423" w:type="pct"/>
                  <w:vAlign w:val="center"/>
                </w:tcPr>
                <w:p w14:paraId="1C65467B">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HW49</w:t>
                  </w:r>
                </w:p>
              </w:tc>
              <w:tc>
                <w:tcPr>
                  <w:tcW w:w="704" w:type="pct"/>
                  <w:vAlign w:val="center"/>
                </w:tcPr>
                <w:p w14:paraId="055C2567">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772-006-49</w:t>
                  </w:r>
                </w:p>
              </w:tc>
              <w:tc>
                <w:tcPr>
                  <w:tcW w:w="473" w:type="pct"/>
                  <w:vAlign w:val="center"/>
                </w:tcPr>
                <w:p w14:paraId="5771B33A">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0.14</w:t>
                  </w:r>
                </w:p>
              </w:tc>
              <w:tc>
                <w:tcPr>
                  <w:tcW w:w="285" w:type="pct"/>
                  <w:vAlign w:val="center"/>
                </w:tcPr>
                <w:p w14:paraId="3C610C4C">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T/In</w:t>
                  </w:r>
                </w:p>
              </w:tc>
              <w:tc>
                <w:tcPr>
                  <w:tcW w:w="348" w:type="pct"/>
                  <w:vMerge w:val="continue"/>
                  <w:vAlign w:val="center"/>
                </w:tcPr>
                <w:p w14:paraId="60489459">
                  <w:pPr>
                    <w:pStyle w:val="67"/>
                    <w:rPr>
                      <w:color w:val="000000" w:themeColor="text1"/>
                      <w:highlight w:val="none"/>
                      <w14:textFill>
                        <w14:solidFill>
                          <w14:schemeClr w14:val="tx1"/>
                        </w14:solidFill>
                      </w14:textFill>
                    </w:rPr>
                  </w:pPr>
                </w:p>
              </w:tc>
              <w:tc>
                <w:tcPr>
                  <w:tcW w:w="470" w:type="pct"/>
                  <w:vMerge w:val="continue"/>
                  <w:vAlign w:val="center"/>
                </w:tcPr>
                <w:p w14:paraId="04496347">
                  <w:pPr>
                    <w:pStyle w:val="67"/>
                    <w:rPr>
                      <w:color w:val="000000" w:themeColor="text1"/>
                      <w:highlight w:val="none"/>
                      <w14:textFill>
                        <w14:solidFill>
                          <w14:schemeClr w14:val="tx1"/>
                        </w14:solidFill>
                      </w14:textFill>
                    </w:rPr>
                  </w:pPr>
                </w:p>
              </w:tc>
            </w:tr>
            <w:tr w14:paraId="484A4E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14:paraId="1B624380">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524" w:type="pct"/>
                  <w:vAlign w:val="center"/>
                </w:tcPr>
                <w:p w14:paraId="4F6E305F">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喷漆</w:t>
                  </w:r>
                </w:p>
                <w:p w14:paraId="295A94A8">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工序</w:t>
                  </w:r>
                </w:p>
              </w:tc>
              <w:tc>
                <w:tcPr>
                  <w:tcW w:w="585" w:type="pct"/>
                  <w:vAlign w:val="center"/>
                </w:tcPr>
                <w:p w14:paraId="07E5ABF3">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涂料废包装</w:t>
                  </w:r>
                </w:p>
              </w:tc>
              <w:tc>
                <w:tcPr>
                  <w:tcW w:w="593" w:type="pct"/>
                  <w:vAlign w:val="center"/>
                </w:tcPr>
                <w:p w14:paraId="06CE2B41">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塑料、涂料</w:t>
                  </w:r>
                </w:p>
              </w:tc>
              <w:tc>
                <w:tcPr>
                  <w:tcW w:w="337" w:type="pct"/>
                  <w:vMerge w:val="continue"/>
                  <w:vAlign w:val="center"/>
                </w:tcPr>
                <w:p w14:paraId="58D30EE5">
                  <w:pPr>
                    <w:pStyle w:val="67"/>
                    <w:rPr>
                      <w:color w:val="000000" w:themeColor="text1"/>
                      <w:highlight w:val="none"/>
                      <w14:textFill>
                        <w14:solidFill>
                          <w14:schemeClr w14:val="tx1"/>
                        </w14:solidFill>
                      </w14:textFill>
                    </w:rPr>
                  </w:pPr>
                </w:p>
              </w:tc>
              <w:tc>
                <w:tcPr>
                  <w:tcW w:w="423" w:type="pct"/>
                  <w:vAlign w:val="center"/>
                </w:tcPr>
                <w:p w14:paraId="214E2BA1">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HW49</w:t>
                  </w:r>
                </w:p>
              </w:tc>
              <w:tc>
                <w:tcPr>
                  <w:tcW w:w="704" w:type="pct"/>
                  <w:vAlign w:val="center"/>
                </w:tcPr>
                <w:p w14:paraId="171CFF1F">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900-041-49</w:t>
                  </w:r>
                </w:p>
              </w:tc>
              <w:tc>
                <w:tcPr>
                  <w:tcW w:w="473" w:type="pct"/>
                  <w:vAlign w:val="center"/>
                </w:tcPr>
                <w:p w14:paraId="68BF8D7B">
                  <w:pPr>
                    <w:pStyle w:val="67"/>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0525</w:t>
                  </w:r>
                </w:p>
              </w:tc>
              <w:tc>
                <w:tcPr>
                  <w:tcW w:w="285" w:type="pct"/>
                  <w:vAlign w:val="center"/>
                </w:tcPr>
                <w:p w14:paraId="1B00E3E5">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T/In</w:t>
                  </w:r>
                </w:p>
              </w:tc>
              <w:tc>
                <w:tcPr>
                  <w:tcW w:w="348" w:type="pct"/>
                  <w:vMerge w:val="continue"/>
                  <w:vAlign w:val="center"/>
                </w:tcPr>
                <w:p w14:paraId="73D12142">
                  <w:pPr>
                    <w:pStyle w:val="67"/>
                    <w:rPr>
                      <w:color w:val="000000" w:themeColor="text1"/>
                      <w:highlight w:val="none"/>
                      <w14:textFill>
                        <w14:solidFill>
                          <w14:schemeClr w14:val="tx1"/>
                        </w14:solidFill>
                      </w14:textFill>
                    </w:rPr>
                  </w:pPr>
                </w:p>
              </w:tc>
              <w:tc>
                <w:tcPr>
                  <w:tcW w:w="470" w:type="pct"/>
                  <w:vMerge w:val="continue"/>
                  <w:vAlign w:val="center"/>
                </w:tcPr>
                <w:p w14:paraId="0E911B48">
                  <w:pPr>
                    <w:pStyle w:val="67"/>
                    <w:rPr>
                      <w:color w:val="000000" w:themeColor="text1"/>
                      <w:highlight w:val="none"/>
                      <w14:textFill>
                        <w14:solidFill>
                          <w14:schemeClr w14:val="tx1"/>
                        </w14:solidFill>
                      </w14:textFill>
                    </w:rPr>
                  </w:pPr>
                </w:p>
              </w:tc>
            </w:tr>
            <w:tr w14:paraId="2A6CB2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14:paraId="5A58B283">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524" w:type="pct"/>
                  <w:vAlign w:val="center"/>
                </w:tcPr>
                <w:p w14:paraId="03768303">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员工</w:t>
                  </w:r>
                </w:p>
                <w:p w14:paraId="474A36D8">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w:t>
                  </w:r>
                </w:p>
              </w:tc>
              <w:tc>
                <w:tcPr>
                  <w:tcW w:w="585" w:type="pct"/>
                  <w:vAlign w:val="center"/>
                </w:tcPr>
                <w:p w14:paraId="79362A2C">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w:t>
                  </w:r>
                </w:p>
                <w:p w14:paraId="60454AFF">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垃圾</w:t>
                  </w:r>
                </w:p>
              </w:tc>
              <w:tc>
                <w:tcPr>
                  <w:tcW w:w="593" w:type="pct"/>
                  <w:vAlign w:val="center"/>
                </w:tcPr>
                <w:p w14:paraId="0B441C9A">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纸屑、果皮、塑料盒等</w:t>
                  </w:r>
                </w:p>
              </w:tc>
              <w:tc>
                <w:tcPr>
                  <w:tcW w:w="337" w:type="pct"/>
                  <w:vAlign w:val="center"/>
                </w:tcPr>
                <w:p w14:paraId="757DCE3A">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w:t>
                  </w:r>
                </w:p>
              </w:tc>
              <w:tc>
                <w:tcPr>
                  <w:tcW w:w="423" w:type="pct"/>
                  <w:vAlign w:val="center"/>
                </w:tcPr>
                <w:p w14:paraId="2B345EEE">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704" w:type="pct"/>
                  <w:vAlign w:val="center"/>
                </w:tcPr>
                <w:p w14:paraId="4364D5C7">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473" w:type="pct"/>
                  <w:vAlign w:val="center"/>
                </w:tcPr>
                <w:p w14:paraId="04F4ED7C">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0.78</w:t>
                  </w:r>
                </w:p>
              </w:tc>
              <w:tc>
                <w:tcPr>
                  <w:tcW w:w="285" w:type="pct"/>
                  <w:vAlign w:val="center"/>
                </w:tcPr>
                <w:p w14:paraId="1CD2B1E0">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348" w:type="pct"/>
                  <w:vAlign w:val="center"/>
                </w:tcPr>
                <w:p w14:paraId="637FDB56">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垃圾桶收集</w:t>
                  </w:r>
                </w:p>
              </w:tc>
              <w:tc>
                <w:tcPr>
                  <w:tcW w:w="470" w:type="pct"/>
                  <w:vAlign w:val="center"/>
                </w:tcPr>
                <w:p w14:paraId="24846524">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委托环卫部门清运</w:t>
                  </w:r>
                </w:p>
              </w:tc>
            </w:tr>
          </w:tbl>
          <w:p w14:paraId="6BDBDF4D">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4.2.4.2</w:t>
            </w:r>
            <w:r>
              <w:rPr>
                <w:rFonts w:hint="eastAsia"/>
                <w:color w:val="000000" w:themeColor="text1"/>
                <w:highlight w:val="none"/>
                <w14:textFill>
                  <w14:solidFill>
                    <w14:schemeClr w14:val="tx1"/>
                  </w14:solidFill>
                </w14:textFill>
              </w:rPr>
              <w:t>固体废物管理</w:t>
            </w:r>
            <w:r>
              <w:rPr>
                <w:color w:val="000000" w:themeColor="text1"/>
                <w:highlight w:val="none"/>
                <w14:textFill>
                  <w14:solidFill>
                    <w14:schemeClr w14:val="tx1"/>
                  </w14:solidFill>
                </w14:textFill>
              </w:rPr>
              <w:t>要求</w:t>
            </w:r>
          </w:p>
          <w:p w14:paraId="6246B677">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一般</w:t>
            </w:r>
            <w:r>
              <w:rPr>
                <w:color w:val="000000" w:themeColor="text1"/>
                <w:highlight w:val="none"/>
                <w14:textFill>
                  <w14:solidFill>
                    <w14:schemeClr w14:val="tx1"/>
                  </w14:solidFill>
                </w14:textFill>
              </w:rPr>
              <w:t>工业固体废物的贮存和管理</w:t>
            </w:r>
          </w:p>
          <w:p w14:paraId="3074614A">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根据国家《一般工业固体废物贮存、处置场污染控制标准》（</w:t>
            </w:r>
            <w:r>
              <w:rPr>
                <w:color w:val="000000" w:themeColor="text1"/>
                <w:highlight w:val="none"/>
                <w14:textFill>
                  <w14:solidFill>
                    <w14:schemeClr w14:val="tx1"/>
                  </w14:solidFill>
                </w14:textFill>
              </w:rPr>
              <w:t>GB18599-2001</w:t>
            </w:r>
            <w:r>
              <w:rPr>
                <w:rFonts w:hint="eastAsia"/>
                <w:color w:val="000000" w:themeColor="text1"/>
                <w:highlight w:val="none"/>
                <w14:textFill>
                  <w14:solidFill>
                    <w14:schemeClr w14:val="tx1"/>
                  </w14:solidFill>
                </w14:textFill>
              </w:rPr>
              <w:t>）及修改单中的要求，一般工业固体废物的贮存和管理应做到：</w:t>
            </w:r>
          </w:p>
          <w:p w14:paraId="79B151E4">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①</w:t>
            </w:r>
            <w:r>
              <w:rPr>
                <w:rFonts w:hint="eastAsia"/>
                <w:color w:val="000000" w:themeColor="text1"/>
                <w:highlight w:val="none"/>
                <w14:textFill>
                  <w14:solidFill>
                    <w14:schemeClr w14:val="tx1"/>
                  </w14:solidFill>
                </w14:textFill>
              </w:rPr>
              <w:t>一般工业固体废物应按Ⅰ类和Ⅱ类废物分别储存，建立分类收集房。不允许将危险废物和生活垃圾混入。</w:t>
            </w:r>
          </w:p>
          <w:p w14:paraId="4FA409E6">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②</w:t>
            </w:r>
            <w:r>
              <w:rPr>
                <w:rFonts w:hint="eastAsia"/>
                <w:color w:val="000000" w:themeColor="text1"/>
                <w:highlight w:val="none"/>
                <w14:textFill>
                  <w14:solidFill>
                    <w14:schemeClr w14:val="tx1"/>
                  </w14:solidFill>
                </w14:textFill>
              </w:rPr>
              <w:t>尽量将可利用的一般工业固体废物回收、利用。</w:t>
            </w:r>
          </w:p>
          <w:p w14:paraId="485D85C2">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③</w:t>
            </w:r>
            <w:r>
              <w:rPr>
                <w:rFonts w:hint="eastAsia"/>
                <w:color w:val="000000" w:themeColor="text1"/>
                <w:highlight w:val="none"/>
                <w14:textFill>
                  <w14:solidFill>
                    <w14:schemeClr w14:val="tx1"/>
                  </w14:solidFill>
                </w14:textFill>
              </w:rPr>
              <w:t>临时储存地点必须建有雨棚，不允许露天堆放，以防止雨水冲刷，雨水应通过场地四周导流渠流向雨水排放管；临时堆放场地为水泥铺设地面，以防渗漏。</w:t>
            </w:r>
          </w:p>
          <w:p w14:paraId="78BA1B23">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④</w:t>
            </w:r>
            <w:r>
              <w:rPr>
                <w:rFonts w:hint="eastAsia"/>
                <w:color w:val="000000" w:themeColor="text1"/>
                <w:highlight w:val="none"/>
                <w14:textFill>
                  <w14:solidFill>
                    <w14:schemeClr w14:val="tx1"/>
                  </w14:solidFill>
                </w14:textFill>
              </w:rPr>
              <w:t>为加强管理监督，贮存、处置场所地应按《环境保护图形标志－固体废物贮存（处置）场所》（</w:t>
            </w:r>
            <w:r>
              <w:rPr>
                <w:color w:val="000000" w:themeColor="text1"/>
                <w:highlight w:val="none"/>
                <w14:textFill>
                  <w14:solidFill>
                    <w14:schemeClr w14:val="tx1"/>
                  </w14:solidFill>
                </w14:textFill>
              </w:rPr>
              <w:t>GB15562.2-1995</w:t>
            </w:r>
            <w:r>
              <w:rPr>
                <w:rFonts w:hint="eastAsia"/>
                <w:color w:val="000000" w:themeColor="text1"/>
                <w:highlight w:val="none"/>
                <w14:textFill>
                  <w14:solidFill>
                    <w14:schemeClr w14:val="tx1"/>
                  </w14:solidFill>
                </w14:textFill>
              </w:rPr>
              <w:t>）设置环境保护图形标志。</w:t>
            </w:r>
          </w:p>
          <w:p w14:paraId="40C3E392">
            <w:pPr>
              <w:pStyle w:val="282"/>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（2）危险废物的贮存和管理</w:t>
            </w:r>
          </w:p>
          <w:p w14:paraId="149B7969">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危险废物的收集和贮存应遵循以下要求：</w:t>
            </w:r>
          </w:p>
          <w:p w14:paraId="68FE721A">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应按照《危险废物污染防治技术政策》（环发〔2001〕199号）、《危险废物贮存污染控制标准》（GB18597-2023）、《建设项目危险废物环境影响评价指南》（2017.10.1实施）等文件、技术规范要求设置危险废物临时贮存间。</w:t>
            </w:r>
          </w:p>
          <w:p w14:paraId="6746FB4F">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危险废物临时贮存的几点要求：</w:t>
            </w:r>
          </w:p>
          <w:p w14:paraId="04BE633D">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产生、收集、贮存、利用、处置危险废物的单位应建造危险废物贮存设施或设置贮存场所，并根据需要选择贮存设施类型；贮存危险废物应根据危险废物的类别、数量、形态、物理化学性质和环境风险等因素，确定贮存设施或场所类型和规模；贮存危险废物应根据危险废物的类别、形态、物理化学性质和污染防治要求进行分类贮存</w:t>
            </w:r>
            <w:r>
              <w:rPr>
                <w:rFonts w:hint="eastAsia"/>
                <w:color w:val="000000" w:themeColor="text1"/>
                <w:highlight w:val="none"/>
                <w:lang w:eastAsia="zh-CN"/>
                <w14:textFill>
                  <w14:solidFill>
                    <w14:schemeClr w14:val="tx1"/>
                  </w14:solidFill>
                </w14:textFill>
              </w:rPr>
              <w:t>且</w:t>
            </w:r>
            <w:r>
              <w:rPr>
                <w:color w:val="000000" w:themeColor="text1"/>
                <w:highlight w:val="none"/>
                <w14:textFill>
                  <w14:solidFill>
                    <w14:schemeClr w14:val="tx1"/>
                  </w14:solidFill>
                </w14:textFill>
              </w:rPr>
              <w:t>应避免危险废物与不相容的物质或材料接触；贮存设施应根据危险废物的形态、物理化学性质、包装形式和污染物迁移途径，采取必要的防风、防晒、防雨、防漏、防渗、防腐以及其他环境污染防治措施，不应露天堆放危险废物。</w:t>
            </w:r>
          </w:p>
          <w:p w14:paraId="3D1B3BD3">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14:paraId="28F55687">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C.危险废物贮存过程产生的液态废物和固态废物应分类收集，按环境管理要求妥善处理。</w:t>
            </w:r>
          </w:p>
          <w:p w14:paraId="7390CF64">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D.贮存设施或场所、容器和包装物应按 HJ 1276 要求设置危险废物贮存设施或场所标志、危险废物贮存分区标志和危险废物标签等危险废物识别标志。</w:t>
            </w:r>
          </w:p>
          <w:p w14:paraId="61CDE592">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E.危险废物贮存除应满足环境保护相关要求外，还应执行国家安全生产、职业健康、交通运输、消防等法律法规和标准的相关要求；贮存设施应采取技术和管理措施防止无关人员进入。</w:t>
            </w:r>
          </w:p>
          <w:p w14:paraId="096FE242">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 xml:space="preserve"> cm/s），或至少2 mm 厚高密度聚乙烯膜等人工防渗材料（渗透系数不大于 10</w:t>
            </w:r>
            <w:r>
              <w:rPr>
                <w:color w:val="000000" w:themeColor="text1"/>
                <w:highlight w:val="none"/>
                <w:vertAlign w:val="superscript"/>
                <w14:textFill>
                  <w14:solidFill>
                    <w14:schemeClr w14:val="tx1"/>
                  </w14:solidFill>
                </w14:textFill>
              </w:rPr>
              <w:t>-10</w:t>
            </w:r>
            <w:r>
              <w:rPr>
                <w:color w:val="000000" w:themeColor="text1"/>
                <w:highlight w:val="none"/>
                <w14:textFill>
                  <w14:solidFill>
                    <w14:schemeClr w14:val="tx1"/>
                  </w14:solidFill>
                </w14:textFill>
              </w:rPr>
              <w:t xml:space="preserve"> cm/s），或其他防渗性能等效的材料。</w:t>
            </w:r>
          </w:p>
          <w:p w14:paraId="6EE5661B">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w:t>
            </w:r>
          </w:p>
          <w:p w14:paraId="2571DCB4">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6F5094C3">
            <w:pPr>
              <w:pStyle w:val="333"/>
              <w:ind w:firstLine="480"/>
              <w:rPr>
                <w:color w:val="000000" w:themeColor="text1"/>
                <w:szCs w:val="24"/>
                <w:highlight w:val="none"/>
                <w:lang w:val="zh-CN"/>
                <w14:textFill>
                  <w14:solidFill>
                    <w14:schemeClr w14:val="tx1"/>
                  </w14:solidFill>
                </w14:textFill>
              </w:rPr>
            </w:pPr>
            <w:r>
              <w:rPr>
                <w:color w:val="000000" w:themeColor="text1"/>
                <w:highlight w:val="none"/>
                <w14:textFill>
                  <w14:solidFill>
                    <w14:schemeClr w14:val="tx1"/>
                  </w14:solidFill>
                </w14:textFill>
              </w:rPr>
              <w:t>I.</w:t>
            </w:r>
            <w:r>
              <w:rPr>
                <w:color w:val="000000" w:themeColor="text1"/>
                <w:szCs w:val="24"/>
                <w:highlight w:val="none"/>
                <w:lang w:val="zh-CN"/>
                <w14:textFill>
                  <w14:solidFill>
                    <w14:schemeClr w14:val="tx1"/>
                  </w14:solidFill>
                </w14:textFill>
              </w:rPr>
              <w:t>贮存易产生粉尘、VOCs、酸雾、有毒有害大气污染物和刺激性气味气体的危险废物贮存库，应设置气体收集装置和气体净化设施；气体净化设施的排气筒高度应符合GB 16297要求。</w:t>
            </w:r>
          </w:p>
          <w:p w14:paraId="7FD9BB7C">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建立危废申报登记制度，由专门人员负责危险废物的日常收集和管理，对任何进出临时贮存场所的危险废物都要记录在案，按国家有关标准和规定建立做好管理台账并保存；贮存设施所有者或运营者应建立贮存设施全部档案，包括设计、施工、验收、运行、监测和环境应急等，应按国家有关档案管理的法律法规进行整理和归档；贮存设施所有者或运营者应建立贮存设施环境管理制度、管理人员岗位职责制度、设施运行操作制度、人员岗位培训制度等；贮存设施所有者或运营者应依据国家土壤和地下水污染防治的有关规定，结合贮存设施特点建立土壤和地下水污染隐患排查制度，并定期开展隐患排查，发现隐患应及时采取措施消除隐患，并建立档案。</w:t>
            </w:r>
          </w:p>
          <w:p w14:paraId="206B581C">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危险废物存入贮存设施前应对危险废物类别和特性与危险废物标签等危险废物识别标志的一致性进行核验，不一致的或类别、特性不明的不应存入；应定期检查危险废物的贮存状况，及时清理贮存设施地面，更换破损泄漏的危险废物贮存容器和包装物，保证堆存危险废物的防雨、防风、防扬尘等设施功能完好；作业设备及车辆等结束作业离开贮存设施时，应对其残留的危险废物进行清理，清理的废物或清洗废水应收集处理；储存过程不同状态的危险废物应按照规定使用相应的容器贮存。</w:t>
            </w:r>
          </w:p>
          <w:p w14:paraId="1EA48772">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贮存点应具有固定的区域边界，并应采取与其他区域进行隔离的措施；贮存点应采取防风、防雨、防晒和防止危险废物流失、扬散等措施；贮存点贮存的危险废物应置于容器或包装物中，不应直接散堆，贮存点应根据危险废物的形态、物理化学性质、包装形式等，采取防渗、防漏等污染防治措施或采用具有相应功能的装置，贮存点应及时清运贮存的危险废物。</w:t>
            </w:r>
          </w:p>
          <w:p w14:paraId="78B226DC">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⑤贮存设施所有者或运营者应按照国家有关规定编制突发环境事件应急预案，定期开展必要的培训和环境应急演练，并做好培训、演练记录；贮存设施所有者或运营者应配备满足其突发环境事件应急要求的应急人员、装备和物资，并应设置应急照明系统；相关部门发布自然灾害或恶劣天气预警后，贮存设施所有者或运营者应启动相应防控措施，若有必要可将危险废物转移至其他具有防护条件的地点贮存。</w:t>
            </w:r>
          </w:p>
          <w:p w14:paraId="6722CA80">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⑥应将危险废物提供或者委托给有危险废物经营许可证的单位从事利用和处置，并签订处置合同。</w:t>
            </w:r>
          </w:p>
          <w:p w14:paraId="2D10E4AE">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⑦应按照《危险废物管理计划和管理台账制定技术导则》（HJ1259-2022）的要求制定危险废物管理计划及管理台账：根据《危险废物管理计划和管理台账制定技术导则》（HJ 1259-2022），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14:paraId="1389238C">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⑧危险废物网络平台管理</w:t>
            </w:r>
          </w:p>
          <w:p w14:paraId="65F0DF6C">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建设单位登录“福建省生态环境亲清服务平台”注册后，进入固废管理系统，按以下步骤填报危险废物的贮存、转移信息：</w:t>
            </w:r>
          </w:p>
          <w:p w14:paraId="18926763">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a完善企业信息，包括产废信息和贮存点信息；</w:t>
            </w:r>
          </w:p>
          <w:p w14:paraId="5E6D1852">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b填报每年度的危险废物管理计划：</w:t>
            </w:r>
          </w:p>
          <w:p w14:paraId="5D2ADBF9">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c填写危废管理信息，包括建设单位危废入库台账信息，危废转移信息（在系统中填报运输单位、经营单位和转移批次）；危废运输单位和接收单位完成转移，接收后，填报相应信息，形成危废转移电子三联单；</w:t>
            </w:r>
          </w:p>
          <w:p w14:paraId="7B055CAD">
            <w:pPr>
              <w:spacing w:line="360" w:lineRule="auto"/>
              <w:ind w:firstLine="480" w:firstLineChars="200"/>
              <w:rPr>
                <w:color w:val="000000" w:themeColor="text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d建设单位在管理系统中进行月度申报，每月初申报上个月危废生产、转移、贮存等情况。</w:t>
            </w:r>
          </w:p>
          <w:p w14:paraId="641DCF30">
            <w:pPr>
              <w:pStyle w:val="89"/>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4.2.5地下水环境影响分析</w:t>
            </w:r>
          </w:p>
          <w:p w14:paraId="62BC2D74">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对照《环境影响评价技术导则 地下水环境》（HJ610-2016）附录A中</w:t>
            </w:r>
            <w:r>
              <w:rPr>
                <w:rFonts w:hint="eastAsia"/>
                <w:color w:val="000000" w:themeColor="text1"/>
                <w:highlight w:val="none"/>
                <w14:textFill>
                  <w14:solidFill>
                    <w14:schemeClr w14:val="tx1"/>
                  </w14:solidFill>
                </w14:textFill>
              </w:rPr>
              <w:t>“109、锯材、木片加工、家具制造—其他”</w:t>
            </w:r>
            <w:r>
              <w:rPr>
                <w:color w:val="000000" w:themeColor="text1"/>
                <w:highlight w:val="none"/>
                <w14:textFill>
                  <w14:solidFill>
                    <w14:schemeClr w14:val="tx1"/>
                  </w14:solidFill>
                </w14:textFill>
              </w:rPr>
              <w:t>，报告表类别属于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IV类项目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，可不进行地下水环境影响评价</w:t>
            </w:r>
            <w:r>
              <w:rPr>
                <w:rFonts w:hint="eastAsia"/>
                <w:color w:val="000000" w:themeColor="text1"/>
                <w:highlight w:val="none"/>
                <w14:textFill>
                  <w14:solidFill>
                    <w14:schemeClr w14:val="tx1"/>
                  </w14:solidFill>
                </w14:textFill>
              </w:rPr>
              <w:t>。</w:t>
            </w:r>
          </w:p>
          <w:p w14:paraId="7D91A07A">
            <w:pPr>
              <w:pStyle w:val="89"/>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4.2.6土壤环境影响分析</w:t>
            </w:r>
          </w:p>
          <w:p w14:paraId="5700B85D">
            <w:pPr>
              <w:pStyle w:val="189"/>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土壤环境</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试行</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HJ964-2018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附录A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土壤环境影响评价项目类别表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项目土壤环境影响评价类别属于</w:t>
            </w:r>
            <w:r>
              <w:rPr>
                <w:rFonts w:hint="eastAsia"/>
                <w:color w:val="000000" w:themeColor="text1"/>
                <w:highlight w:val="none"/>
                <w14:textFill>
                  <w14:solidFill>
                    <w14:schemeClr w14:val="tx1"/>
                  </w14:solidFill>
                </w14:textFill>
              </w:rPr>
              <w:t>“其他行</w:t>
            </w:r>
            <w:r>
              <w:rPr>
                <w:color w:val="000000" w:themeColor="text1"/>
                <w:highlight w:val="none"/>
                <w14:textFill>
                  <w14:solidFill>
                    <w14:schemeClr w14:val="tx1"/>
                  </w14:solidFill>
                </w14:textFill>
              </w:rPr>
              <w:t>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，本项目属于IV类建设项目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根据导则项目不开展土壤环境影响评价。</w:t>
            </w:r>
          </w:p>
          <w:p w14:paraId="391DB988">
            <w:pPr>
              <w:pStyle w:val="89"/>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4.2.7环境风险分析</w:t>
            </w:r>
          </w:p>
          <w:p w14:paraId="517B64D9">
            <w:pPr>
              <w:pStyle w:val="89"/>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4.2.7.1评价等级</w:t>
            </w:r>
          </w:p>
          <w:p w14:paraId="63161156">
            <w:pPr>
              <w:pStyle w:val="92"/>
              <w:jc w:val="both"/>
              <w:rPr>
                <w:iCs/>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使用的</w:t>
            </w:r>
            <w:r>
              <w:rPr>
                <w:color w:val="000000" w:themeColor="text1"/>
                <w:highlight w:val="none"/>
                <w14:textFill>
                  <w14:solidFill>
                    <w14:schemeClr w14:val="tx1"/>
                  </w14:solidFill>
                </w14:textFill>
              </w:rPr>
              <w:t>化学品为</w:t>
            </w:r>
            <w:r>
              <w:rPr>
                <w:rFonts w:hint="eastAsia"/>
                <w:color w:val="000000" w:themeColor="text1"/>
                <w:highlight w:val="none"/>
                <w14:textFill>
                  <w14:solidFill>
                    <w14:schemeClr w14:val="tx1"/>
                  </w14:solidFill>
                </w14:textFill>
              </w:rPr>
              <w:t>聚氨酯漆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水性漆等，对照</w:t>
            </w:r>
            <w:r>
              <w:rPr>
                <w:color w:val="000000" w:themeColor="text1"/>
                <w:highlight w:val="none"/>
                <w14:textFill>
                  <w14:solidFill>
                    <w14:schemeClr w14:val="tx1"/>
                  </w14:solidFill>
                </w14:textFill>
              </w:rPr>
              <w:t>危险化学品重大危险源辨识》(GB18218-2019)</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《建设项目环境风险评价技术导则》（HJ169-20</w:t>
            </w:r>
            <w:r>
              <w:rPr>
                <w:rFonts w:hint="eastAsia"/>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，本项目使用原料成分中涉及二甲苯属于</w:t>
            </w:r>
            <w:r>
              <w:rPr>
                <w:iCs/>
                <w:color w:val="000000" w:themeColor="text1"/>
                <w:highlight w:val="none"/>
                <w14:textFill>
                  <w14:solidFill>
                    <w14:schemeClr w14:val="tx1"/>
                  </w14:solidFill>
                </w14:textFill>
              </w:rPr>
              <w:t>《建设项目环境风险评价技术导则》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HJ169-2018</w:t>
            </w:r>
            <w:r>
              <w:rPr>
                <w:rFonts w:hint="eastAsia"/>
                <w:color w:val="000000" w:themeColor="text1"/>
                <w:highlight w:val="none"/>
                <w14:textFill>
                  <w14:solidFill>
                    <w14:schemeClr w14:val="tx1"/>
                  </w14:solidFill>
                </w14:textFill>
              </w:rPr>
              <w:t>）</w:t>
            </w:r>
            <w:r>
              <w:rPr>
                <w:iCs/>
                <w:color w:val="000000" w:themeColor="text1"/>
                <w:highlight w:val="none"/>
                <w14:textFill>
                  <w14:solidFill>
                    <w14:schemeClr w14:val="tx1"/>
                  </w14:solidFill>
                </w14:textFill>
              </w:rPr>
              <w:t>附录B</w:t>
            </w:r>
            <w:r>
              <w:rPr>
                <w:rFonts w:hint="eastAsia"/>
                <w:iCs/>
                <w:color w:val="000000" w:themeColor="text1"/>
                <w:highlight w:val="none"/>
                <w14:textFill>
                  <w14:solidFill>
                    <w14:schemeClr w14:val="tx1"/>
                  </w14:solidFill>
                </w14:textFill>
              </w:rPr>
              <w:t>中</w:t>
            </w:r>
            <w:r>
              <w:rPr>
                <w:iCs/>
                <w:color w:val="000000" w:themeColor="text1"/>
                <w:highlight w:val="none"/>
                <w14:textFill>
                  <w14:solidFill>
                    <w14:schemeClr w14:val="tx1"/>
                  </w14:solidFill>
                </w14:textFill>
              </w:rPr>
              <w:t>风险物质</w:t>
            </w:r>
            <w:r>
              <w:rPr>
                <w:rFonts w:hint="eastAsia"/>
                <w:iCs/>
                <w:color w:val="000000" w:themeColor="text1"/>
                <w:highlight w:val="none"/>
                <w14:textFill>
                  <w14:solidFill>
                    <w14:schemeClr w14:val="tx1"/>
                  </w14:solidFill>
                </w14:textFill>
              </w:rPr>
              <w:t>。</w:t>
            </w:r>
          </w:p>
          <w:p w14:paraId="597D12A4">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HJ169-2018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以及《关于进一步加强环境影响评价管理防范环境风险的通知》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环发[2012]77号</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，环境风险评价应以突发性事故导致的危险物质环境急性损害防控为目标，对建设项目的环境风险进行分析、预测和评估，提出环境风险预防、控制、减缓措施。</w:t>
            </w:r>
          </w:p>
          <w:p w14:paraId="3E476EB2">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建设项目环境风险潜势划分为</w:t>
            </w:r>
            <w:r>
              <w:rPr>
                <w:rFonts w:hint="eastAsia" w:ascii="宋体" w:hAnsi="宋体" w:cs="宋体"/>
                <w:color w:val="000000" w:themeColor="text1"/>
                <w:highlight w:val="none"/>
                <w14:textFill>
                  <w14:solidFill>
                    <w14:schemeClr w14:val="tx1"/>
                  </w14:solidFill>
                </w14:textFill>
              </w:rPr>
              <w:t>Ⅰ</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Ⅱ</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Ⅳ</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Ⅳ</w:t>
            </w:r>
            <w:r>
              <w:rPr>
                <w:color w:val="000000" w:themeColor="text1"/>
                <w:highlight w:val="none"/>
                <w:vertAlign w:val="superscript"/>
                <w14:textFill>
                  <w14:solidFill>
                    <w14:schemeClr w14:val="tx1"/>
                  </w14:solidFill>
                </w14:textFill>
              </w:rPr>
              <w:t>+</w:t>
            </w:r>
            <w:r>
              <w:rPr>
                <w:color w:val="000000" w:themeColor="text1"/>
                <w:highlight w:val="none"/>
                <w14:textFill>
                  <w14:solidFill>
                    <w14:schemeClr w14:val="tx1"/>
                  </w14:solidFill>
                </w14:textFill>
              </w:rPr>
              <w:t>级。根据建设项目涉及的物质和工艺系统的危险性及其所在地的环境敏感程度，结合事故情形下环境影响途径，对建设项目潜在环境危害程度进行概化分析，根据危险物质及工艺系统危险性（P）、环境敏感程度（E）进行判定。</w:t>
            </w:r>
          </w:p>
          <w:p w14:paraId="351EE18D">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危险物质数量与临界量比值（Q）：</w:t>
            </w:r>
          </w:p>
          <w:p w14:paraId="61B8CC6C">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计算所涉及的每种危险物质在厂界内的最大存在总量与其在附录 B 中对应临界量的比值 Q。在不同厂区的同一种物质，按其在厂界内的最大存在总量计算。对于长输管线项目，按照两个截断阀室之间管段危险物质最大存在总量计算。</w:t>
            </w:r>
          </w:p>
          <w:p w14:paraId="26413C50">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当只涉及一种危险物质时，计算该物质的总量与其临界量比值，即为 Q；当存在多种危险物质时，则按式（C.1）计算物质总量与其临界量比值（Q）：</w:t>
            </w:r>
          </w:p>
          <w:p w14:paraId="78D0D1AF">
            <w:pPr>
              <w:pStyle w:val="92"/>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867910" cy="1452880"/>
                  <wp:effectExtent l="0" t="0" r="8890" b="1397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4"/>
                          <a:stretch>
                            <a:fillRect/>
                          </a:stretch>
                        </pic:blipFill>
                        <pic:spPr>
                          <a:xfrm>
                            <a:off x="0" y="0"/>
                            <a:ext cx="4867910" cy="1452880"/>
                          </a:xfrm>
                          <a:prstGeom prst="rect">
                            <a:avLst/>
                          </a:prstGeom>
                          <a:noFill/>
                          <a:ln>
                            <a:noFill/>
                          </a:ln>
                        </pic:spPr>
                      </pic:pic>
                    </a:graphicData>
                  </a:graphic>
                </wp:inline>
              </w:drawing>
            </w:r>
          </w:p>
          <w:p w14:paraId="34B6C315">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项目涉及</w:t>
            </w:r>
            <w:r>
              <w:rPr>
                <w:color w:val="000000" w:themeColor="text1"/>
                <w:highlight w:val="none"/>
                <w14:textFill>
                  <w14:solidFill>
                    <w14:schemeClr w14:val="tx1"/>
                  </w14:solidFill>
                </w14:textFill>
              </w:rPr>
              <w:t>的风险物质为</w:t>
            </w:r>
            <w:r>
              <w:rPr>
                <w:rFonts w:hint="eastAsia"/>
                <w:color w:val="000000" w:themeColor="text1"/>
                <w:highlight w:val="none"/>
                <w14:textFill>
                  <w14:solidFill>
                    <w14:schemeClr w14:val="tx1"/>
                  </w14:solidFill>
                </w14:textFill>
              </w:rPr>
              <w:t>二甲苯</w:t>
            </w:r>
            <w:r>
              <w:rPr>
                <w:color w:val="000000" w:themeColor="text1"/>
                <w:highlight w:val="none"/>
                <w14:textFill>
                  <w14:solidFill>
                    <w14:schemeClr w14:val="tx1"/>
                  </w14:solidFill>
                </w14:textFill>
              </w:rPr>
              <w:t>，危险物质数量与临界量比值</w:t>
            </w:r>
            <w:r>
              <w:rPr>
                <w:rFonts w:hint="eastAsia"/>
                <w:color w:val="000000" w:themeColor="text1"/>
                <w:highlight w:val="none"/>
                <w14:textFill>
                  <w14:solidFill>
                    <w14:schemeClr w14:val="tx1"/>
                  </w14:solidFill>
                </w14:textFill>
              </w:rPr>
              <w:t>计算</w:t>
            </w:r>
            <w:r>
              <w:rPr>
                <w:color w:val="000000" w:themeColor="text1"/>
                <w:highlight w:val="none"/>
                <w14:textFill>
                  <w14:solidFill>
                    <w14:schemeClr w14:val="tx1"/>
                  </w14:solidFill>
                </w14:textFill>
              </w:rPr>
              <w:t>见表4.2-</w:t>
            </w:r>
            <w:r>
              <w:rPr>
                <w:rFonts w:hint="eastAsia"/>
                <w:color w:val="000000" w:themeColor="text1"/>
                <w:highlight w:val="none"/>
                <w14:textFill>
                  <w14:solidFill>
                    <w14:schemeClr w14:val="tx1"/>
                  </w14:solidFill>
                </w14:textFill>
              </w:rPr>
              <w:t>14。</w:t>
            </w:r>
          </w:p>
          <w:p w14:paraId="1AE2525E">
            <w:pPr>
              <w:pStyle w:val="180"/>
              <w:ind w:firstLine="482"/>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表4.2-</w:t>
            </w:r>
            <w:r>
              <w:rPr>
                <w:rFonts w:hint="eastAsia" w:eastAsia="宋体"/>
                <w:b/>
                <w:bCs/>
                <w:color w:val="000000" w:themeColor="text1"/>
                <w:highlight w:val="none"/>
                <w14:textFill>
                  <w14:solidFill>
                    <w14:schemeClr w14:val="tx1"/>
                  </w14:solidFill>
                </w14:textFill>
              </w:rPr>
              <w:t>14</w:t>
            </w:r>
            <w:r>
              <w:rPr>
                <w:rFonts w:eastAsia="宋体"/>
                <w:b/>
                <w:bCs/>
                <w:color w:val="000000" w:themeColor="text1"/>
                <w:highlight w:val="none"/>
                <w14:textFill>
                  <w14:solidFill>
                    <w14:schemeClr w14:val="tx1"/>
                  </w14:solidFill>
                </w14:textFill>
              </w:rPr>
              <w:t xml:space="preserve">  危险物质数量与临界量比值计算</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096"/>
              <w:gridCol w:w="2305"/>
              <w:gridCol w:w="1660"/>
              <w:gridCol w:w="1142"/>
            </w:tblGrid>
            <w:tr w14:paraId="0F7C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7" w:type="pct"/>
                  <w:vAlign w:val="center"/>
                </w:tcPr>
                <w:p w14:paraId="0A29FF77">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246" w:type="pct"/>
                  <w:vAlign w:val="center"/>
                </w:tcPr>
                <w:p w14:paraId="6CB09BB1">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物料名称</w:t>
                  </w:r>
                </w:p>
              </w:tc>
              <w:tc>
                <w:tcPr>
                  <w:tcW w:w="1370" w:type="pct"/>
                  <w:vAlign w:val="center"/>
                </w:tcPr>
                <w:p w14:paraId="24AD0A1E">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厂内设计最大储存量</w:t>
                  </w:r>
                  <w:r>
                    <w:rPr>
                      <w:rFonts w:hint="eastAsia"/>
                      <w:color w:val="000000" w:themeColor="text1"/>
                      <w:highlight w:val="none"/>
                      <w14:textFill>
                        <w14:solidFill>
                          <w14:schemeClr w14:val="tx1"/>
                        </w14:solidFill>
                      </w14:textFill>
                    </w:rPr>
                    <w:t>（管道存量）</w:t>
                  </w:r>
                  <w:r>
                    <w:rPr>
                      <w:color w:val="000000" w:themeColor="text1"/>
                      <w:highlight w:val="none"/>
                      <w14:textFill>
                        <w14:solidFill>
                          <w14:schemeClr w14:val="tx1"/>
                        </w14:solidFill>
                      </w14:textFill>
                    </w:rPr>
                    <w:t>q（t）</w:t>
                  </w:r>
                </w:p>
              </w:tc>
              <w:tc>
                <w:tcPr>
                  <w:tcW w:w="986" w:type="pct"/>
                  <w:vAlign w:val="center"/>
                </w:tcPr>
                <w:p w14:paraId="46D02C99">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贮存场所临界量Q（t）</w:t>
                  </w:r>
                </w:p>
              </w:tc>
              <w:tc>
                <w:tcPr>
                  <w:tcW w:w="679" w:type="pct"/>
                  <w:vAlign w:val="center"/>
                </w:tcPr>
                <w:p w14:paraId="07BD83A3">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q/Q</w:t>
                  </w:r>
                </w:p>
              </w:tc>
            </w:tr>
            <w:tr w14:paraId="45BD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7" w:type="pct"/>
                  <w:vAlign w:val="center"/>
                </w:tcPr>
                <w:p w14:paraId="0F719A1D">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246" w:type="pct"/>
                  <w:vAlign w:val="center"/>
                </w:tcPr>
                <w:p w14:paraId="7AB0E42D">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二甲苯</w:t>
                  </w:r>
                </w:p>
              </w:tc>
              <w:tc>
                <w:tcPr>
                  <w:tcW w:w="1370" w:type="pct"/>
                  <w:vAlign w:val="center"/>
                </w:tcPr>
                <w:p w14:paraId="741C58EB">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14:textFill>
                        <w14:solidFill>
                          <w14:schemeClr w14:val="tx1"/>
                        </w14:solidFill>
                      </w14:textFill>
                    </w:rPr>
                    <w:t>5</w:t>
                  </w:r>
                </w:p>
              </w:tc>
              <w:tc>
                <w:tcPr>
                  <w:tcW w:w="986" w:type="pct"/>
                  <w:vAlign w:val="center"/>
                </w:tcPr>
                <w:p w14:paraId="2236D530">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679" w:type="pct"/>
                  <w:vAlign w:val="center"/>
                </w:tcPr>
                <w:p w14:paraId="79C9441A">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225</w:t>
                  </w:r>
                </w:p>
              </w:tc>
            </w:tr>
            <w:tr w14:paraId="4CDA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0" w:type="pct"/>
                  <w:gridSpan w:val="4"/>
                  <w:vAlign w:val="center"/>
                </w:tcPr>
                <w:p w14:paraId="084D17CA">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w:t>
                  </w:r>
                </w:p>
              </w:tc>
              <w:tc>
                <w:tcPr>
                  <w:tcW w:w="679" w:type="pct"/>
                  <w:vAlign w:val="center"/>
                </w:tcPr>
                <w:p w14:paraId="6972E213">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14:textFill>
                        <w14:solidFill>
                          <w14:schemeClr w14:val="tx1"/>
                        </w14:solidFill>
                      </w14:textFill>
                    </w:rPr>
                    <w:t>5</w:t>
                  </w:r>
                </w:p>
              </w:tc>
            </w:tr>
          </w:tbl>
          <w:p w14:paraId="2237D803">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根据《建设项目环境风险评价技术导则》（HJ169-2018）附录C，当Q＜1时，该项目环境风险潜势为Ⅰ，无需进行P、E值的计算，评价等级为“简单分析”。</w:t>
            </w:r>
          </w:p>
          <w:p w14:paraId="48965DDD">
            <w:pPr>
              <w:pStyle w:val="89"/>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4.2.7.2环境风险防范措施</w:t>
            </w:r>
          </w:p>
          <w:p w14:paraId="15E54EEB">
            <w:pPr>
              <w:pStyle w:val="332"/>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14:textFill>
                  <w14:solidFill>
                    <w14:schemeClr w14:val="tx1"/>
                  </w14:solidFill>
                </w14:textFill>
              </w:rPr>
              <w:t>1</w:t>
            </w:r>
            <w:r>
              <w:rPr>
                <w:rFonts w:hint="eastAsia"/>
                <w:b/>
                <w:bCs/>
                <w:color w:val="000000" w:themeColor="text1"/>
                <w:highlight w:val="none"/>
                <w14:textFill>
                  <w14:solidFill>
                    <w14:schemeClr w14:val="tx1"/>
                  </w14:solidFill>
                </w14:textFill>
              </w:rPr>
              <w:t>）风险防范措施</w:t>
            </w:r>
          </w:p>
          <w:p w14:paraId="75E57906">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①油漆管理、储存、使用、运输中的防范措施</w:t>
            </w:r>
          </w:p>
          <w:p w14:paraId="17DCB33B">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公司应建立一套完整的管理和操作制度，并定期根据实际情况及出现的问题进行修订和检查，危险物品、易燃易爆物品等应与一般物品和原料分开保存并有专人管理和检查，公司应有一套紧急状态下的应急对策、设备和人员，并定期演练，一旦出现紧急状态在采取相应对策的同时应考虑疏散无关原料、设备和人员，将损失减低至最低限度。</w:t>
            </w:r>
          </w:p>
          <w:p w14:paraId="0845D607">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b、尽可能减少原材料的储备量。</w:t>
            </w:r>
          </w:p>
          <w:p w14:paraId="57E403B7">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从事喷漆工作的工人，工作时要做好相应防护。工作现场禁止吸烟、进食和饮水。工作结束后，要沐浴更衣。同时工作环境要符合《工业企业设计卫生标准》（GBZ1-2002）中规定的要求并且每半年对工人进行一次全面身体健康状况检查。</w:t>
            </w:r>
          </w:p>
          <w:p w14:paraId="626BBC67">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d、储存场所地面须作硬化及防渗处理，贮存液态或半固态的物品，必须有奶腐蚀的硬化地面且表面无缝隙，场地四周设置</w:t>
            </w:r>
            <w:r>
              <w:rPr>
                <w:rFonts w:hint="eastAsia"/>
                <w:color w:val="000000" w:themeColor="text1"/>
                <w:highlight w:val="none"/>
                <w:lang w:eastAsia="zh-CN"/>
                <w14:textFill>
                  <w14:solidFill>
                    <w14:schemeClr w14:val="tx1"/>
                  </w14:solidFill>
                </w14:textFill>
              </w:rPr>
              <w:t>泄漏</w:t>
            </w:r>
            <w:r>
              <w:rPr>
                <w:rFonts w:hint="eastAsia"/>
                <w:color w:val="000000" w:themeColor="text1"/>
                <w:highlight w:val="none"/>
                <w14:textFill>
                  <w14:solidFill>
                    <w14:schemeClr w14:val="tx1"/>
                  </w14:solidFill>
                </w14:textFill>
              </w:rPr>
              <w:t>液体收集装置；场所应当设置警示标志。</w:t>
            </w:r>
          </w:p>
          <w:p w14:paraId="5E02CFBA">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②</w:t>
            </w:r>
            <w:r>
              <w:rPr>
                <w:rFonts w:hint="eastAsia"/>
                <w:color w:val="000000" w:themeColor="text1"/>
                <w:highlight w:val="none"/>
                <w14:textFill>
                  <w14:solidFill>
                    <w14:schemeClr w14:val="tx1"/>
                  </w14:solidFill>
                </w14:textFill>
              </w:rPr>
              <w:t>油漆</w:t>
            </w:r>
            <w:r>
              <w:rPr>
                <w:rFonts w:hint="eastAsia"/>
                <w:color w:val="000000" w:themeColor="text1"/>
                <w:highlight w:val="none"/>
                <w:lang w:eastAsia="zh-CN"/>
                <w14:textFill>
                  <w14:solidFill>
                    <w14:schemeClr w14:val="tx1"/>
                  </w14:solidFill>
                </w14:textFill>
              </w:rPr>
              <w:t>泄漏</w:t>
            </w:r>
            <w:r>
              <w:rPr>
                <w:rFonts w:hint="eastAsia"/>
                <w:color w:val="000000" w:themeColor="text1"/>
                <w:highlight w:val="none"/>
                <w14:textFill>
                  <w14:solidFill>
                    <w14:schemeClr w14:val="tx1"/>
                  </w14:solidFill>
                </w14:textFill>
              </w:rPr>
              <w:t>的应急措施</w:t>
            </w:r>
          </w:p>
          <w:p w14:paraId="4DF6555D">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a、少量</w:t>
            </w:r>
            <w:r>
              <w:rPr>
                <w:rFonts w:hint="eastAsia"/>
                <w:color w:val="000000" w:themeColor="text1"/>
                <w:highlight w:val="none"/>
                <w:lang w:eastAsia="zh-CN"/>
                <w14:textFill>
                  <w14:solidFill>
                    <w14:schemeClr w14:val="tx1"/>
                  </w14:solidFill>
                </w14:textFill>
              </w:rPr>
              <w:t>泄漏</w:t>
            </w:r>
            <w:r>
              <w:rPr>
                <w:rFonts w:hint="eastAsia"/>
                <w:color w:val="000000" w:themeColor="text1"/>
                <w:highlight w:val="none"/>
                <w14:textFill>
                  <w14:solidFill>
                    <w14:schemeClr w14:val="tx1"/>
                  </w14:solidFill>
                </w14:textFill>
              </w:rPr>
              <w:t>时先进行为围堵，避免污染面积扩散；</w:t>
            </w:r>
          </w:p>
          <w:p w14:paraId="59521BF1">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b、用沙或泥土吸收液体，临时存放于固体废物暂存间，并最终由有资质的单位处理；</w:t>
            </w:r>
          </w:p>
          <w:p w14:paraId="462EBCE1">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c、大量</w:t>
            </w:r>
            <w:r>
              <w:rPr>
                <w:rFonts w:hint="eastAsia"/>
                <w:color w:val="000000" w:themeColor="text1"/>
                <w:highlight w:val="none"/>
                <w:lang w:eastAsia="zh-CN"/>
                <w14:textFill>
                  <w14:solidFill>
                    <w14:schemeClr w14:val="tx1"/>
                  </w14:solidFill>
                </w14:textFill>
              </w:rPr>
              <w:t>泄漏</w:t>
            </w:r>
            <w:r>
              <w:rPr>
                <w:rFonts w:hint="eastAsia"/>
                <w:color w:val="000000" w:themeColor="text1"/>
                <w:highlight w:val="none"/>
                <w14:textFill>
                  <w14:solidFill>
                    <w14:schemeClr w14:val="tx1"/>
                  </w14:solidFill>
                </w14:textFill>
              </w:rPr>
              <w:t>时，溢出液体进入下水道，则有地表水会污染或毒性的潜在风险，应立即通知有关部门。</w:t>
            </w:r>
          </w:p>
          <w:p w14:paraId="08A79B44">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③</w:t>
            </w:r>
            <w:r>
              <w:rPr>
                <w:color w:val="000000" w:themeColor="text1"/>
                <w:highlight w:val="none"/>
                <w14:textFill>
                  <w14:solidFill>
                    <w14:schemeClr w14:val="tx1"/>
                  </w14:solidFill>
                </w14:textFill>
              </w:rPr>
              <w:t>火灾衍生环境事故污染</w:t>
            </w:r>
            <w:r>
              <w:rPr>
                <w:rFonts w:hint="eastAsia"/>
                <w:color w:val="000000" w:themeColor="text1"/>
                <w:highlight w:val="none"/>
                <w14:textFill>
                  <w14:solidFill>
                    <w14:schemeClr w14:val="tx1"/>
                  </w14:solidFill>
                </w14:textFill>
              </w:rPr>
              <w:t>防控</w:t>
            </w:r>
            <w:r>
              <w:rPr>
                <w:color w:val="000000" w:themeColor="text1"/>
                <w:highlight w:val="none"/>
                <w14:textFill>
                  <w14:solidFill>
                    <w14:schemeClr w14:val="tx1"/>
                  </w14:solidFill>
                </w14:textFill>
              </w:rPr>
              <w:t>措施</w:t>
            </w:r>
          </w:p>
          <w:p w14:paraId="692018FA">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项目在保安室、生产车间、仓库等均配备灭火器材和消防器材，均张贴应急人员联系方式和信息报告流程图，以便发生事故时第一发现者可立即上报。</w:t>
            </w:r>
          </w:p>
          <w:p w14:paraId="375AF6B8">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w:t>
            </w:r>
            <w:r>
              <w:rPr>
                <w:color w:val="000000" w:themeColor="text1"/>
                <w:highlight w:val="none"/>
                <w14:textFill>
                  <w14:solidFill>
                    <w14:schemeClr w14:val="tx1"/>
                  </w14:solidFill>
                </w14:textFill>
              </w:rPr>
              <w:t>项目与</w:t>
            </w:r>
            <w:r>
              <w:rPr>
                <w:rFonts w:hint="eastAsia"/>
                <w:color w:val="000000" w:themeColor="text1"/>
                <w:highlight w:val="none"/>
                <w14:textFill>
                  <w14:solidFill>
                    <w14:schemeClr w14:val="tx1"/>
                  </w14:solidFill>
                </w14:textFill>
              </w:rPr>
              <w:t>应急管理局</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福州市福清生态环境局</w:t>
            </w:r>
            <w:r>
              <w:rPr>
                <w:color w:val="000000" w:themeColor="text1"/>
                <w:highlight w:val="none"/>
                <w14:textFill>
                  <w14:solidFill>
                    <w14:schemeClr w14:val="tx1"/>
                  </w14:solidFill>
                </w14:textFill>
              </w:rPr>
              <w:t>、消防大队等政府主管部门建立了紧急应急救援联系通道，发生事故时能有效依托外部力量协助事故处置。</w:t>
            </w:r>
          </w:p>
          <w:p w14:paraId="536A0D93">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c、全厂每年结合消防演练进行一次突发环境事件应急预案演练，各风险岗位每季度进行一次应急演练。</w:t>
            </w:r>
          </w:p>
          <w:p w14:paraId="31B5A78B">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w:t>
            </w:r>
            <w:r>
              <w:rPr>
                <w:color w:val="000000" w:themeColor="text1"/>
                <w:highlight w:val="none"/>
                <w14:textFill>
                  <w14:solidFill>
                    <w14:schemeClr w14:val="tx1"/>
                  </w14:solidFill>
                </w14:textFill>
              </w:rPr>
              <w:t>通过新闻媒体</w:t>
            </w:r>
            <w:r>
              <w:rPr>
                <w:rFonts w:hint="eastAsia"/>
                <w:color w:val="000000" w:themeColor="text1"/>
                <w:highlight w:val="none"/>
                <w14:textFill>
                  <w14:solidFill>
                    <w14:schemeClr w14:val="tx1"/>
                  </w14:solidFill>
                </w14:textFill>
              </w:rPr>
              <w:t>关注</w:t>
            </w:r>
            <w:r>
              <w:rPr>
                <w:color w:val="000000" w:themeColor="text1"/>
                <w:highlight w:val="none"/>
                <w14:textFill>
                  <w14:solidFill>
                    <w14:schemeClr w14:val="tx1"/>
                  </w14:solidFill>
                </w14:textFill>
              </w:rPr>
              <w:t>公开发布的暴雨、</w:t>
            </w:r>
            <w:r>
              <w:rPr>
                <w:rFonts w:hint="eastAsia"/>
                <w:color w:val="000000" w:themeColor="text1"/>
                <w:highlight w:val="none"/>
                <w14:textFill>
                  <w14:solidFill>
                    <w14:schemeClr w14:val="tx1"/>
                  </w14:solidFill>
                </w14:textFill>
              </w:rPr>
              <w:t>雷电、</w:t>
            </w:r>
            <w:r>
              <w:rPr>
                <w:color w:val="000000" w:themeColor="text1"/>
                <w:highlight w:val="none"/>
                <w14:textFill>
                  <w14:solidFill>
                    <w14:schemeClr w14:val="tx1"/>
                  </w14:solidFill>
                </w14:textFill>
              </w:rPr>
              <w:t>地震等预警信息</w:t>
            </w:r>
            <w:r>
              <w:rPr>
                <w:rFonts w:hint="eastAsia"/>
                <w:color w:val="000000" w:themeColor="text1"/>
                <w:highlight w:val="none"/>
                <w14:textFill>
                  <w14:solidFill>
                    <w14:schemeClr w14:val="tx1"/>
                  </w14:solidFill>
                </w14:textFill>
              </w:rPr>
              <w:t>；</w:t>
            </w:r>
          </w:p>
          <w:p w14:paraId="6FD8DF0D">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e</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在暴雨、</w:t>
            </w:r>
            <w:r>
              <w:rPr>
                <w:rFonts w:hint="eastAsia"/>
                <w:color w:val="000000" w:themeColor="text1"/>
                <w:highlight w:val="none"/>
                <w14:textFill>
                  <w14:solidFill>
                    <w14:schemeClr w14:val="tx1"/>
                  </w14:solidFill>
                </w14:textFill>
              </w:rPr>
              <w:t>雷电</w:t>
            </w:r>
            <w:r>
              <w:rPr>
                <w:color w:val="000000" w:themeColor="text1"/>
                <w:highlight w:val="none"/>
                <w14:textFill>
                  <w14:solidFill>
                    <w14:schemeClr w14:val="tx1"/>
                  </w14:solidFill>
                </w14:textFill>
              </w:rPr>
              <w:t>等自然灾害来临之前</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应急办公室根据天气预报发布预警信息并组织相关人员预先对各设备、管道及应急设施进行检查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并对厂区雨水管线进行疏通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确保畅通</w:t>
            </w:r>
            <w:r>
              <w:rPr>
                <w:rFonts w:hint="eastAsia"/>
                <w:color w:val="000000" w:themeColor="text1"/>
                <w:highlight w:val="none"/>
                <w:lang w:val="en-US"/>
                <w14:textFill>
                  <w14:solidFill>
                    <w14:schemeClr w14:val="tx1"/>
                  </w14:solidFill>
                </w14:textFill>
              </w:rPr>
              <w:t>。</w:t>
            </w:r>
          </w:p>
          <w:p w14:paraId="36B113E8">
            <w:pPr>
              <w:pStyle w:val="332"/>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14:textFill>
                  <w14:solidFill>
                    <w14:schemeClr w14:val="tx1"/>
                  </w14:solidFill>
                </w14:textFill>
              </w:rPr>
              <w:t>2</w:t>
            </w:r>
            <w:r>
              <w:rPr>
                <w:rFonts w:hint="eastAsia"/>
                <w:b/>
                <w:bCs/>
                <w:color w:val="000000" w:themeColor="text1"/>
                <w:highlight w:val="none"/>
                <w14:textFill>
                  <w14:solidFill>
                    <w14:schemeClr w14:val="tx1"/>
                  </w14:solidFill>
                </w14:textFill>
              </w:rPr>
              <w:t>）应急措施</w:t>
            </w:r>
          </w:p>
          <w:p w14:paraId="0374E9B5">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危化品泄漏事故的应急处置</w:t>
            </w:r>
          </w:p>
          <w:p w14:paraId="4CB8E9DD">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a</w:t>
            </w:r>
            <w:r>
              <w:rPr>
                <w:rFonts w:hint="eastAsia"/>
                <w:color w:val="000000" w:themeColor="text1"/>
                <w:highlight w:val="none"/>
                <w14:textFill>
                  <w14:solidFill>
                    <w14:schemeClr w14:val="tx1"/>
                  </w14:solidFill>
                </w14:textFill>
              </w:rPr>
              <w:t>、当发现仓库内化学品泄漏，控制和隔离现场，切断事故现场电源；将泄漏化学品至专用桶内，并用沙土或者吸附棉覆盖、吸附泄漏的化学品。</w:t>
            </w:r>
          </w:p>
          <w:p w14:paraId="6404A2B1">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b</w:t>
            </w:r>
            <w:r>
              <w:rPr>
                <w:rFonts w:hint="eastAsia"/>
                <w:color w:val="000000" w:themeColor="text1"/>
                <w:highlight w:val="none"/>
                <w14:textFill>
                  <w14:solidFill>
                    <w14:schemeClr w14:val="tx1"/>
                  </w14:solidFill>
                </w14:textFill>
              </w:rPr>
              <w:t>、生产车间设备和管道化学品泄漏</w:t>
            </w:r>
          </w:p>
          <w:p w14:paraId="27196373">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当发现生产车间内使用设备和输送管道发生化学品泄漏应立即停止事故现场生产作业，关闭管道阀门；将泄漏化学品至专用桶内，并用沙土或者吸附棉覆盖、吸附泄漏的化学品。</w:t>
            </w:r>
          </w:p>
          <w:p w14:paraId="7B6E341A">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c</w:t>
            </w:r>
            <w:r>
              <w:rPr>
                <w:rFonts w:hint="eastAsia"/>
                <w:color w:val="000000" w:themeColor="text1"/>
                <w:highlight w:val="none"/>
                <w14:textFill>
                  <w14:solidFill>
                    <w14:schemeClr w14:val="tx1"/>
                  </w14:solidFill>
                </w14:textFill>
              </w:rPr>
              <w:t>、人员中毒：当工作人员身体感觉不适时，应立即停止工作，</w:t>
            </w:r>
            <w:r>
              <w:rPr>
                <w:color w:val="000000" w:themeColor="text1"/>
                <w:highlight w:val="none"/>
                <w14:textFill>
                  <w14:solidFill>
                    <w14:schemeClr w14:val="tx1"/>
                  </w14:solidFill>
                </w14:textFill>
              </w:rPr>
              <w:t>并立即</w:t>
            </w:r>
            <w:r>
              <w:rPr>
                <w:rFonts w:hint="eastAsia"/>
                <w:color w:val="000000" w:themeColor="text1"/>
                <w:highlight w:val="none"/>
                <w14:textFill>
                  <w14:solidFill>
                    <w14:schemeClr w14:val="tx1"/>
                  </w14:solidFill>
                </w14:textFill>
              </w:rPr>
              <w:t>上报当班主管，送医院体检治疗。</w:t>
            </w:r>
          </w:p>
          <w:p w14:paraId="4B8CF2FE">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火灾衍生环境事故的应急处置</w:t>
            </w:r>
          </w:p>
          <w:p w14:paraId="569A96EF">
            <w:pPr>
              <w:pStyle w:val="29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当发生</w:t>
            </w:r>
            <w:r>
              <w:rPr>
                <w:rFonts w:hint="eastAsia"/>
                <w:color w:val="000000" w:themeColor="text1"/>
                <w:highlight w:val="none"/>
                <w14:textFill>
                  <w14:solidFill>
                    <w14:schemeClr w14:val="tx1"/>
                  </w14:solidFill>
                </w14:textFill>
              </w:rPr>
              <w:t>火灾</w:t>
            </w:r>
            <w:r>
              <w:rPr>
                <w:color w:val="000000" w:themeColor="text1"/>
                <w:highlight w:val="none"/>
                <w14:textFill>
                  <w14:solidFill>
                    <w14:schemeClr w14:val="tx1"/>
                  </w14:solidFill>
                </w14:textFill>
              </w:rPr>
              <w:t>事故时，应首先组织人员疏散，在确保安全的前提下，尝试进行以下应急处理措施：</w:t>
            </w:r>
            <w:r>
              <w:rPr>
                <w:rFonts w:hint="eastAsia"/>
                <w:color w:val="000000" w:themeColor="text1"/>
                <w:highlight w:val="none"/>
                <w14:textFill>
                  <w14:solidFill>
                    <w14:schemeClr w14:val="tx1"/>
                  </w14:solidFill>
                </w14:textFill>
              </w:rPr>
              <w:t>在厂区范围内配置喷淋、灭火器等消防措施。</w:t>
            </w:r>
          </w:p>
          <w:p w14:paraId="7D4534DA">
            <w:pPr>
              <w:pStyle w:val="89"/>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4.2.7.3风险分析结论</w:t>
            </w:r>
          </w:p>
          <w:p w14:paraId="1611AB2B">
            <w:pPr>
              <w:pStyle w:val="294"/>
              <w:ind w:firstLine="480"/>
              <w:rPr>
                <w:color w:val="000000" w:themeColor="text1"/>
                <w:sz w:val="28"/>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根据《建设项目环境风险评价技术导则》(HJ169-2018)，</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项目环境风险潜势初判为Ⅰ，风险评价等级为简单分析，在采取有效环境风险防范措施后，可将风险减小到最低，控制在可接受水平，不对周围环境造成较大影响。</w:t>
            </w:r>
          </w:p>
          <w:p w14:paraId="19AB19DD">
            <w:pPr>
              <w:pStyle w:val="89"/>
              <w:spacing w:before="120" w:beforeLines="50"/>
              <w:textAlignment w:val="center"/>
              <w:rPr>
                <w:color w:val="000000" w:themeColor="text1"/>
                <w:highlight w:val="none"/>
                <w14:textFill>
                  <w14:solidFill>
                    <w14:schemeClr w14:val="tx1"/>
                  </w14:solidFill>
                </w14:textFill>
              </w:rPr>
            </w:pPr>
            <w:r>
              <w:rPr>
                <w:color w:val="000000" w:themeColor="text1"/>
                <w:sz w:val="28"/>
                <w:szCs w:val="28"/>
                <w:highlight w:val="none"/>
                <w14:textFill>
                  <w14:solidFill>
                    <w14:schemeClr w14:val="tx1"/>
                  </w14:solidFill>
                </w14:textFill>
              </w:rPr>
              <w:t>4.2.</w:t>
            </w:r>
            <w:r>
              <w:rPr>
                <w:rFonts w:hint="eastAsia"/>
                <w:color w:val="000000" w:themeColor="text1"/>
                <w:sz w:val="28"/>
                <w:szCs w:val="28"/>
                <w:highlight w:val="none"/>
                <w14:textFill>
                  <w14:solidFill>
                    <w14:schemeClr w14:val="tx1"/>
                  </w14:solidFill>
                </w14:textFill>
              </w:rPr>
              <w:t>8其他环境管理</w:t>
            </w:r>
            <w:r>
              <w:rPr>
                <w:color w:val="000000" w:themeColor="text1"/>
                <w:sz w:val="28"/>
                <w:szCs w:val="28"/>
                <w:highlight w:val="none"/>
                <w14:textFill>
                  <w14:solidFill>
                    <w14:schemeClr w14:val="tx1"/>
                  </w14:solidFill>
                </w14:textFill>
              </w:rPr>
              <w:t>要求</w:t>
            </w:r>
          </w:p>
          <w:p w14:paraId="035194EA">
            <w:pPr>
              <w:pStyle w:val="282"/>
              <w:numPr>
                <w:ilvl w:val="0"/>
                <w:numId w:val="6"/>
              </w:numPr>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环境管理制度</w:t>
            </w:r>
          </w:p>
          <w:p w14:paraId="5C8A15B3">
            <w:pPr>
              <w:pStyle w:val="29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设置环境管理机构，建立环境管理制度、委托相关单位对项目的环保设施制定环境监测计划。</w:t>
            </w:r>
          </w:p>
          <w:p w14:paraId="79B1C323">
            <w:pPr>
              <w:pStyle w:val="282"/>
              <w:numPr>
                <w:ilvl w:val="0"/>
                <w:numId w:val="6"/>
              </w:numPr>
              <w:spacing w:line="360" w:lineRule="auto"/>
              <w:ind w:firstLine="482"/>
              <w:rPr>
                <w:b/>
                <w:bCs w:val="0"/>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排污许可管理要求</w:t>
            </w:r>
          </w:p>
          <w:p w14:paraId="72F2EE2C">
            <w:pPr>
              <w:pStyle w:val="282"/>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根据《固定污染源排污许可分类管理名录（2019年版）》，</w:t>
            </w:r>
            <w:r>
              <w:rPr>
                <w:rFonts w:hint="eastAsia"/>
                <w:color w:val="000000" w:themeColor="text1"/>
                <w:highlight w:val="none"/>
                <w:lang w:eastAsia="zh-CN"/>
                <w14:textFill>
                  <w14:solidFill>
                    <w14:schemeClr w14:val="tx1"/>
                  </w14:solidFill>
                </w14:textFill>
              </w:rPr>
              <w:t>扩建项目</w:t>
            </w:r>
            <w:r>
              <w:rPr>
                <w:color w:val="000000" w:themeColor="text1"/>
                <w:highlight w:val="none"/>
                <w14:textFill>
                  <w14:solidFill>
                    <w14:schemeClr w14:val="tx1"/>
                  </w14:solidFill>
                </w14:textFill>
              </w:rPr>
              <w:t>属于</w:t>
            </w:r>
            <w:r>
              <w:rPr>
                <w:rFonts w:hint="eastAsia"/>
                <w:color w:val="000000" w:themeColor="text1"/>
                <w:highlight w:val="none"/>
                <w14:textFill>
                  <w14:solidFill>
                    <w14:schemeClr w14:val="tx1"/>
                  </w14:solidFill>
                </w14:textFill>
              </w:rPr>
              <w:t>木质家具制造211</w:t>
            </w:r>
            <w:r>
              <w:rPr>
                <w:color w:val="000000" w:themeColor="text1"/>
                <w:highlight w:val="none"/>
                <w14:textFill>
                  <w14:solidFill>
                    <w14:schemeClr w14:val="tx1"/>
                  </w14:solidFill>
                </w14:textFill>
              </w:rPr>
              <w:t>的管理行业，</w:t>
            </w:r>
            <w:r>
              <w:rPr>
                <w:rFonts w:hint="eastAsia"/>
                <w:color w:val="000000" w:themeColor="text1"/>
                <w:highlight w:val="none"/>
                <w14:textFill>
                  <w14:solidFill>
                    <w14:schemeClr w14:val="tx1"/>
                  </w14:solidFill>
                </w14:textFill>
              </w:rPr>
              <w:t>项目使用溶剂型涂料，</w:t>
            </w:r>
            <w:r>
              <w:rPr>
                <w:color w:val="000000" w:themeColor="text1"/>
                <w:highlight w:val="none"/>
                <w14:textFill>
                  <w14:solidFill>
                    <w14:schemeClr w14:val="tx1"/>
                  </w14:solidFill>
                </w14:textFill>
              </w:rPr>
              <w:t>排污许可</w:t>
            </w:r>
            <w:r>
              <w:rPr>
                <w:rFonts w:hint="eastAsia"/>
                <w:color w:val="000000" w:themeColor="text1"/>
                <w:highlight w:val="none"/>
                <w:lang w:eastAsia="zh-CN"/>
                <w14:textFill>
                  <w14:solidFill>
                    <w14:schemeClr w14:val="tx1"/>
                  </w14:solidFill>
                </w14:textFill>
              </w:rPr>
              <w:t>管理</w:t>
            </w:r>
            <w:r>
              <w:rPr>
                <w:rFonts w:hint="eastAsia"/>
                <w:color w:val="000000" w:themeColor="text1"/>
                <w:highlight w:val="none"/>
                <w14:textFill>
                  <w14:solidFill>
                    <w14:schemeClr w14:val="tx1"/>
                  </w14:solidFill>
                </w14:textFill>
              </w:rPr>
              <w:t>属于登记管理类别</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实行登记管理的排污单位，不需要申请取得排污许可证，应当在全国排污许可证管理信用平台填报排污登记表，登记基本信息、污染物排放去向、执行的污染物排放标准以及采取的污染防治措施等信息。</w:t>
            </w:r>
          </w:p>
          <w:p w14:paraId="30B3DA79">
            <w:pPr>
              <w:pStyle w:val="282"/>
              <w:spacing w:line="360" w:lineRule="auto"/>
              <w:rPr>
                <w:rFonts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扩建</w:t>
            </w:r>
            <w:r>
              <w:rPr>
                <w:rFonts w:hint="eastAsia" w:ascii="Times New Roman" w:hAnsi="Times New Roman" w:eastAsia="宋体" w:cs="Times New Roman"/>
                <w:color w:val="000000" w:themeColor="text1"/>
                <w:highlight w:val="none"/>
                <w14:textFill>
                  <w14:solidFill>
                    <w14:schemeClr w14:val="tx1"/>
                  </w14:solidFill>
                </w14:textFill>
              </w:rPr>
              <w:t>项目属于登记管理行业，</w:t>
            </w:r>
            <w:r>
              <w:rPr>
                <w:rFonts w:hint="eastAsia" w:ascii="Times New Roman" w:hAnsi="Times New Roman" w:eastAsia="宋体" w:cs="Times New Roman"/>
                <w:color w:val="000000" w:themeColor="text1"/>
                <w:highlight w:val="none"/>
                <w:lang w:val="en-GB"/>
                <w14:textFill>
                  <w14:solidFill>
                    <w14:schemeClr w14:val="tx1"/>
                  </w14:solidFill>
                </w14:textFill>
              </w:rPr>
              <w:t>本项目在排放污染物前，建设单位应完成排污登记变更。</w:t>
            </w:r>
          </w:p>
          <w:p w14:paraId="39220E4F">
            <w:pPr>
              <w:pStyle w:val="282"/>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（3）竣工环境保护验收</w:t>
            </w:r>
          </w:p>
          <w:p w14:paraId="107D72DC">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根据《建设项目竣工环境保护验收暂行办法》的规定：</w:t>
            </w:r>
          </w:p>
          <w:p w14:paraId="3A9B92F2">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①建设项目主体工程竣工后，其配套建设的环境保护设施必须与主体工程同时投入生产或者运行。需要进行试生产或试运行的，其配套建设的环境保护设施必须与主体工程同时投入试生产或试运行。</w:t>
            </w:r>
          </w:p>
          <w:p w14:paraId="380C9227">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②建设项目主体工程竣工后、正式投产或运行前，企业应自行组织开展建设项目竣工环境保护验收，并编制建设项目竣工环境保护验收监测报告表。</w:t>
            </w:r>
          </w:p>
          <w:p w14:paraId="5E25F56E">
            <w:pPr>
              <w:pStyle w:val="282"/>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（4）排污口规范化管理要求</w:t>
            </w:r>
          </w:p>
          <w:p w14:paraId="0C2ABF78">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排放口应预留监测口做到便于采样和测定流量，并设立专门的 标志（有要求监控的项目应论述），执行《环境保护图形标志—排放口（源）》（G B15562.1-1995）及《环境保护图形标志—固体废物贮存（处置）场》（GB 15562. 2-1995）。标志牌应设在与之功能相应的醒目处，并保持清晰、完整。</w:t>
            </w:r>
          </w:p>
          <w:p w14:paraId="28AD0FBD">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项目排污口规范化图标按照《环境保护图形标志—排放口(源)》(GB15562.1-19 95)要求进行，具体详见表4.2-15。</w:t>
            </w:r>
          </w:p>
          <w:p w14:paraId="10E5C661">
            <w:pPr>
              <w:jc w:val="center"/>
              <w:rPr>
                <w:b/>
                <w:bCs/>
                <w:color w:val="000000" w:themeColor="text1"/>
                <w:spacing w:val="8"/>
                <w:sz w:val="24"/>
                <w:highlight w:val="none"/>
                <w:lang w:bidi="ar"/>
                <w14:textFill>
                  <w14:solidFill>
                    <w14:schemeClr w14:val="tx1"/>
                  </w14:solidFill>
                </w14:textFill>
              </w:rPr>
            </w:pPr>
            <w:r>
              <w:rPr>
                <w:b/>
                <w:bCs/>
                <w:color w:val="000000" w:themeColor="text1"/>
                <w:spacing w:val="8"/>
                <w:sz w:val="24"/>
                <w:highlight w:val="none"/>
                <w:lang w:bidi="ar"/>
                <w14:textFill>
                  <w14:solidFill>
                    <w14:schemeClr w14:val="tx1"/>
                  </w14:solidFill>
                </w14:textFill>
              </w:rPr>
              <w:t>表</w:t>
            </w:r>
            <w:r>
              <w:rPr>
                <w:rFonts w:hint="eastAsia"/>
                <w:b/>
                <w:bCs/>
                <w:color w:val="000000" w:themeColor="text1"/>
                <w:spacing w:val="8"/>
                <w:sz w:val="24"/>
                <w:highlight w:val="none"/>
                <w:lang w:bidi="ar"/>
                <w14:textFill>
                  <w14:solidFill>
                    <w14:schemeClr w14:val="tx1"/>
                  </w14:solidFill>
                </w14:textFill>
              </w:rPr>
              <w:t>4.2-15</w:t>
            </w:r>
            <w:r>
              <w:rPr>
                <w:b/>
                <w:bCs/>
                <w:color w:val="000000" w:themeColor="text1"/>
                <w:spacing w:val="8"/>
                <w:sz w:val="24"/>
                <w:highlight w:val="none"/>
                <w:lang w:bidi="ar"/>
                <w14:textFill>
                  <w14:solidFill>
                    <w14:schemeClr w14:val="tx1"/>
                  </w14:solidFill>
                </w14:textFill>
              </w:rPr>
              <w:t xml:space="preserve">  排污口图形符号</w:t>
            </w:r>
            <w:r>
              <w:rPr>
                <w:rFonts w:hint="eastAsia"/>
                <w:b/>
                <w:bCs/>
                <w:color w:val="000000" w:themeColor="text1"/>
                <w:spacing w:val="8"/>
                <w:sz w:val="24"/>
                <w:highlight w:val="none"/>
                <w:lang w:bidi="ar"/>
                <w14:textFill>
                  <w14:solidFill>
                    <w14:schemeClr w14:val="tx1"/>
                  </w14:solidFill>
                </w14:textFill>
              </w:rPr>
              <w:t>（</w:t>
            </w:r>
            <w:r>
              <w:rPr>
                <w:b/>
                <w:bCs/>
                <w:color w:val="000000" w:themeColor="text1"/>
                <w:spacing w:val="8"/>
                <w:sz w:val="24"/>
                <w:highlight w:val="none"/>
                <w:lang w:bidi="ar"/>
                <w14:textFill>
                  <w14:solidFill>
                    <w14:schemeClr w14:val="tx1"/>
                  </w14:solidFill>
                </w14:textFill>
              </w:rPr>
              <w:t>提示标志</w:t>
            </w:r>
            <w:r>
              <w:rPr>
                <w:rFonts w:hint="eastAsia"/>
                <w:b/>
                <w:bCs/>
                <w:color w:val="000000" w:themeColor="text1"/>
                <w:spacing w:val="8"/>
                <w:sz w:val="24"/>
                <w:highlight w:val="none"/>
                <w:lang w:bidi="ar"/>
                <w14:textFill>
                  <w14:solidFill>
                    <w14:schemeClr w14:val="tx1"/>
                  </w14:solidFill>
                </w14:textFill>
              </w:rPr>
              <w:t>）</w:t>
            </w:r>
            <w:r>
              <w:rPr>
                <w:b/>
                <w:bCs/>
                <w:color w:val="000000" w:themeColor="text1"/>
                <w:spacing w:val="8"/>
                <w:sz w:val="24"/>
                <w:highlight w:val="none"/>
                <w:lang w:bidi="ar"/>
                <w14:textFill>
                  <w14:solidFill>
                    <w14:schemeClr w14:val="tx1"/>
                  </w14:solidFill>
                </w14:textFill>
              </w:rPr>
              <w:t>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13"/>
              <w:gridCol w:w="1369"/>
              <w:gridCol w:w="1370"/>
              <w:gridCol w:w="1370"/>
              <w:gridCol w:w="1511"/>
              <w:gridCol w:w="1256"/>
            </w:tblGrid>
            <w:tr w14:paraId="6DB77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47" w:hRule="atLeast"/>
                <w:jc w:val="center"/>
              </w:trPr>
              <w:tc>
                <w:tcPr>
                  <w:tcW w:w="904" w:type="pct"/>
                  <w:tcBorders>
                    <w:tl2br w:val="nil"/>
                    <w:tr2bl w:val="nil"/>
                  </w:tcBorders>
                  <w:vAlign w:val="center"/>
                </w:tcPr>
                <w:p w14:paraId="209DE1E5">
                  <w:pPr>
                    <w:pStyle w:val="67"/>
                    <w:adjustRightInd w:val="0"/>
                    <w:snapToGrid w:val="0"/>
                    <w:jc w:val="right"/>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排放部位</w:t>
                  </w:r>
                </w:p>
                <w:p w14:paraId="17489B03">
                  <w:pPr>
                    <w:pStyle w:val="67"/>
                    <w:adjustRightInd w:val="0"/>
                    <w:snapToGrid w:val="0"/>
                    <w:jc w:val="both"/>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项目</w:t>
                  </w:r>
                </w:p>
              </w:tc>
              <w:tc>
                <w:tcPr>
                  <w:tcW w:w="818" w:type="pct"/>
                  <w:tcBorders>
                    <w:tl2br w:val="nil"/>
                    <w:tr2bl w:val="nil"/>
                  </w:tcBorders>
                  <w:vAlign w:val="center"/>
                </w:tcPr>
                <w:p w14:paraId="1E54CB4A">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污水排放口</w:t>
                  </w:r>
                </w:p>
              </w:tc>
              <w:tc>
                <w:tcPr>
                  <w:tcW w:w="818" w:type="pct"/>
                  <w:tcBorders>
                    <w:tl2br w:val="nil"/>
                    <w:tr2bl w:val="nil"/>
                  </w:tcBorders>
                  <w:vAlign w:val="center"/>
                </w:tcPr>
                <w:p w14:paraId="4B905F0A">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废气排放口</w:t>
                  </w:r>
                </w:p>
              </w:tc>
              <w:tc>
                <w:tcPr>
                  <w:tcW w:w="818" w:type="pct"/>
                  <w:tcBorders>
                    <w:tl2br w:val="nil"/>
                    <w:tr2bl w:val="nil"/>
                  </w:tcBorders>
                  <w:vAlign w:val="center"/>
                </w:tcPr>
                <w:p w14:paraId="7AE920DF">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噪声排放源</w:t>
                  </w:r>
                </w:p>
              </w:tc>
              <w:tc>
                <w:tcPr>
                  <w:tcW w:w="902" w:type="pct"/>
                  <w:tcBorders>
                    <w:tl2br w:val="nil"/>
                    <w:tr2bl w:val="nil"/>
                  </w:tcBorders>
                  <w:vAlign w:val="center"/>
                </w:tcPr>
                <w:p w14:paraId="0CE71CE0">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一般工业固废</w:t>
                  </w:r>
                </w:p>
              </w:tc>
              <w:tc>
                <w:tcPr>
                  <w:tcW w:w="736" w:type="pct"/>
                  <w:tcBorders>
                    <w:tl2br w:val="nil"/>
                    <w:tr2bl w:val="nil"/>
                  </w:tcBorders>
                  <w:vAlign w:val="center"/>
                </w:tcPr>
                <w:p w14:paraId="3CA8906E">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危险废物</w:t>
                  </w:r>
                </w:p>
              </w:tc>
            </w:tr>
            <w:tr w14:paraId="07A41A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017" w:hRule="atLeast"/>
                <w:jc w:val="center"/>
              </w:trPr>
              <w:tc>
                <w:tcPr>
                  <w:tcW w:w="904" w:type="pct"/>
                  <w:tcBorders>
                    <w:tl2br w:val="nil"/>
                    <w:tr2bl w:val="nil"/>
                  </w:tcBorders>
                  <w:vAlign w:val="center"/>
                </w:tcPr>
                <w:p w14:paraId="548EC6BF">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图形符号</w:t>
                  </w:r>
                </w:p>
              </w:tc>
              <w:tc>
                <w:tcPr>
                  <w:tcW w:w="818" w:type="pct"/>
                  <w:tcBorders>
                    <w:tl2br w:val="nil"/>
                    <w:tr2bl w:val="nil"/>
                  </w:tcBorders>
                  <w:vAlign w:val="center"/>
                </w:tcPr>
                <w:p w14:paraId="2FD521FB">
                  <w:pPr>
                    <w:widowControl w:val="0"/>
                    <w:jc w:val="center"/>
                    <w:rPr>
                      <w:color w:val="000000" w:themeColor="text1"/>
                      <w:sz w:val="18"/>
                      <w:szCs w:val="18"/>
                      <w:highlight w:val="none"/>
                      <w:lang w:val="en-GB"/>
                      <w14:textFill>
                        <w14:solidFill>
                          <w14:schemeClr w14:val="tx1"/>
                        </w14:solidFill>
                      </w14:textFill>
                    </w:rPr>
                  </w:pPr>
                  <w:r>
                    <w:rPr>
                      <w:color w:val="000000" w:themeColor="text1"/>
                      <w:sz w:val="18"/>
                      <w:szCs w:val="18"/>
                      <w:highlight w:val="none"/>
                      <w14:textFill>
                        <w14:solidFill>
                          <w14:schemeClr w14:val="tx1"/>
                        </w14:solidFill>
                      </w14:textFill>
                    </w:rPr>
                    <w:drawing>
                      <wp:inline distT="0" distB="0" distL="114300" distR="114300">
                        <wp:extent cx="639445" cy="639445"/>
                        <wp:effectExtent l="0" t="0" r="8255" b="8255"/>
                        <wp:docPr id="13"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
                                <pic:cNvPicPr>
                                  <a:picLocks noChangeAspect="1"/>
                                </pic:cNvPicPr>
                              </pic:nvPicPr>
                              <pic:blipFill>
                                <a:blip r:embed="rId25"/>
                                <a:stretch>
                                  <a:fillRect/>
                                </a:stretch>
                              </pic:blipFill>
                              <pic:spPr>
                                <a:xfrm>
                                  <a:off x="0" y="0"/>
                                  <a:ext cx="639445" cy="639445"/>
                                </a:xfrm>
                                <a:prstGeom prst="rect">
                                  <a:avLst/>
                                </a:prstGeom>
                                <a:noFill/>
                                <a:ln>
                                  <a:noFill/>
                                </a:ln>
                              </pic:spPr>
                            </pic:pic>
                          </a:graphicData>
                        </a:graphic>
                      </wp:inline>
                    </w:drawing>
                  </w:r>
                </w:p>
              </w:tc>
              <w:tc>
                <w:tcPr>
                  <w:tcW w:w="818" w:type="pct"/>
                  <w:tcBorders>
                    <w:tl2br w:val="nil"/>
                    <w:tr2bl w:val="nil"/>
                  </w:tcBorders>
                  <w:vAlign w:val="center"/>
                </w:tcPr>
                <w:p w14:paraId="5E29E5F2">
                  <w:pPr>
                    <w:widowControl w:val="0"/>
                    <w:jc w:val="center"/>
                    <w:rPr>
                      <w:color w:val="000000" w:themeColor="text1"/>
                      <w:sz w:val="18"/>
                      <w:szCs w:val="18"/>
                      <w:highlight w:val="none"/>
                      <w:lang w:val="en-GB"/>
                      <w14:textFill>
                        <w14:solidFill>
                          <w14:schemeClr w14:val="tx1"/>
                        </w14:solidFill>
                      </w14:textFill>
                    </w:rPr>
                  </w:pPr>
                  <w:r>
                    <w:rPr>
                      <w:color w:val="000000" w:themeColor="text1"/>
                      <w:sz w:val="18"/>
                      <w:szCs w:val="18"/>
                      <w:highlight w:val="none"/>
                      <w14:textFill>
                        <w14:solidFill>
                          <w14:schemeClr w14:val="tx1"/>
                        </w14:solidFill>
                      </w14:textFill>
                    </w:rPr>
                    <w:drawing>
                      <wp:inline distT="0" distB="0" distL="114300" distR="114300">
                        <wp:extent cx="640715" cy="640715"/>
                        <wp:effectExtent l="0" t="0" r="6985" b="6985"/>
                        <wp:docPr id="55" name="图片 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点击看大图及详细资料"/>
                                <pic:cNvPicPr>
                                  <a:picLocks noChangeAspect="1"/>
                                </pic:cNvPicPr>
                              </pic:nvPicPr>
                              <pic:blipFill>
                                <a:blip r:embed="rId26"/>
                                <a:stretch>
                                  <a:fillRect/>
                                </a:stretch>
                              </pic:blipFill>
                              <pic:spPr>
                                <a:xfrm>
                                  <a:off x="0" y="0"/>
                                  <a:ext cx="640715" cy="640715"/>
                                </a:xfrm>
                                <a:prstGeom prst="rect">
                                  <a:avLst/>
                                </a:prstGeom>
                                <a:noFill/>
                                <a:ln>
                                  <a:noFill/>
                                </a:ln>
                              </pic:spPr>
                            </pic:pic>
                          </a:graphicData>
                        </a:graphic>
                      </wp:inline>
                    </w:drawing>
                  </w:r>
                </w:p>
              </w:tc>
              <w:tc>
                <w:tcPr>
                  <w:tcW w:w="818" w:type="pct"/>
                  <w:tcBorders>
                    <w:tl2br w:val="nil"/>
                    <w:tr2bl w:val="nil"/>
                  </w:tcBorders>
                  <w:vAlign w:val="center"/>
                </w:tcPr>
                <w:p w14:paraId="71ECA5F5">
                  <w:pPr>
                    <w:widowControl w:val="0"/>
                    <w:jc w:val="center"/>
                    <w:rPr>
                      <w:color w:val="000000" w:themeColor="text1"/>
                      <w:sz w:val="18"/>
                      <w:szCs w:val="18"/>
                      <w:highlight w:val="none"/>
                      <w:lang w:val="en-GB"/>
                      <w14:textFill>
                        <w14:solidFill>
                          <w14:schemeClr w14:val="tx1"/>
                        </w14:solidFill>
                      </w14:textFill>
                    </w:rPr>
                  </w:pPr>
                  <w:r>
                    <w:rPr>
                      <w:color w:val="000000" w:themeColor="text1"/>
                      <w:sz w:val="18"/>
                      <w:szCs w:val="18"/>
                      <w:highlight w:val="none"/>
                      <w14:textFill>
                        <w14:solidFill>
                          <w14:schemeClr w14:val="tx1"/>
                        </w14:solidFill>
                      </w14:textFill>
                    </w:rPr>
                    <w:drawing>
                      <wp:inline distT="0" distB="0" distL="114300" distR="114300">
                        <wp:extent cx="640715" cy="640715"/>
                        <wp:effectExtent l="0" t="0" r="6985" b="6985"/>
                        <wp:docPr id="17" name="图片 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点击看大图及详细资料"/>
                                <pic:cNvPicPr>
                                  <a:picLocks noChangeAspect="1"/>
                                </pic:cNvPicPr>
                              </pic:nvPicPr>
                              <pic:blipFill>
                                <a:blip r:embed="rId27"/>
                                <a:stretch>
                                  <a:fillRect/>
                                </a:stretch>
                              </pic:blipFill>
                              <pic:spPr>
                                <a:xfrm>
                                  <a:off x="0" y="0"/>
                                  <a:ext cx="640715" cy="640715"/>
                                </a:xfrm>
                                <a:prstGeom prst="rect">
                                  <a:avLst/>
                                </a:prstGeom>
                                <a:noFill/>
                                <a:ln>
                                  <a:noFill/>
                                </a:ln>
                              </pic:spPr>
                            </pic:pic>
                          </a:graphicData>
                        </a:graphic>
                      </wp:inline>
                    </w:drawing>
                  </w:r>
                </w:p>
              </w:tc>
              <w:tc>
                <w:tcPr>
                  <w:tcW w:w="902" w:type="pct"/>
                  <w:tcBorders>
                    <w:tl2br w:val="nil"/>
                    <w:tr2bl w:val="nil"/>
                  </w:tcBorders>
                  <w:vAlign w:val="center"/>
                </w:tcPr>
                <w:p w14:paraId="6C9C0012">
                  <w:pPr>
                    <w:widowControl w:val="0"/>
                    <w:jc w:val="center"/>
                    <w:rPr>
                      <w:color w:val="000000" w:themeColor="text1"/>
                      <w:sz w:val="18"/>
                      <w:szCs w:val="18"/>
                      <w:highlight w:val="none"/>
                      <w:lang w:val="en-GB"/>
                      <w14:textFill>
                        <w14:solidFill>
                          <w14:schemeClr w14:val="tx1"/>
                        </w14:solidFill>
                      </w14:textFill>
                    </w:rPr>
                  </w:pPr>
                  <w:r>
                    <w:rPr>
                      <w:color w:val="000000" w:themeColor="text1"/>
                      <w:sz w:val="18"/>
                      <w:szCs w:val="18"/>
                      <w:highlight w:val="none"/>
                      <w14:textFill>
                        <w14:solidFill>
                          <w14:schemeClr w14:val="tx1"/>
                        </w14:solidFill>
                      </w14:textFill>
                    </w:rPr>
                    <w:drawing>
                      <wp:inline distT="0" distB="0" distL="114300" distR="114300">
                        <wp:extent cx="640715" cy="640715"/>
                        <wp:effectExtent l="0" t="0" r="6985" b="6985"/>
                        <wp:docPr id="57" name="图片 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descr="一般固废"/>
                                <pic:cNvPicPr>
                                  <a:picLocks noChangeAspect="1"/>
                                </pic:cNvPicPr>
                              </pic:nvPicPr>
                              <pic:blipFill>
                                <a:blip r:embed="rId28"/>
                                <a:stretch>
                                  <a:fillRect/>
                                </a:stretch>
                              </pic:blipFill>
                              <pic:spPr>
                                <a:xfrm>
                                  <a:off x="0" y="0"/>
                                  <a:ext cx="640715" cy="640715"/>
                                </a:xfrm>
                                <a:prstGeom prst="rect">
                                  <a:avLst/>
                                </a:prstGeom>
                                <a:noFill/>
                                <a:ln>
                                  <a:noFill/>
                                </a:ln>
                              </pic:spPr>
                            </pic:pic>
                          </a:graphicData>
                        </a:graphic>
                      </wp:inline>
                    </w:drawing>
                  </w:r>
                </w:p>
              </w:tc>
              <w:tc>
                <w:tcPr>
                  <w:tcW w:w="736" w:type="pct"/>
                  <w:tcBorders>
                    <w:tl2br w:val="nil"/>
                    <w:tr2bl w:val="nil"/>
                  </w:tcBorders>
                  <w:vAlign w:val="center"/>
                </w:tcPr>
                <w:p w14:paraId="6ED61FDA">
                  <w:pPr>
                    <w:widowControl w:val="0"/>
                    <w:jc w:val="center"/>
                    <w:rPr>
                      <w:color w:val="000000" w:themeColor="text1"/>
                      <w:sz w:val="18"/>
                      <w:szCs w:val="18"/>
                      <w:highlight w:val="none"/>
                      <w:lang w:val="en-GB"/>
                      <w14:textFill>
                        <w14:solidFill>
                          <w14:schemeClr w14:val="tx1"/>
                        </w14:solidFill>
                      </w14:textFill>
                    </w:rPr>
                  </w:pPr>
                  <w:r>
                    <w:rPr>
                      <w:rFonts w:hint="eastAsia"/>
                      <w:color w:val="000000" w:themeColor="text1"/>
                      <w:sz w:val="18"/>
                      <w:szCs w:val="18"/>
                      <w:highlight w:val="none"/>
                      <w:lang w:val="en-GB"/>
                      <w14:textFill>
                        <w14:solidFill>
                          <w14:schemeClr w14:val="tx1"/>
                        </w14:solidFill>
                      </w14:textFill>
                    </w:rPr>
                    <w:drawing>
                      <wp:inline distT="0" distB="0" distL="114300" distR="114300">
                        <wp:extent cx="747395" cy="652780"/>
                        <wp:effectExtent l="0" t="0" r="14605" b="13970"/>
                        <wp:docPr id="60" name="图片 60" descr="173147648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31476485965"/>
                                <pic:cNvPicPr>
                                  <a:picLocks noChangeAspect="1"/>
                                </pic:cNvPicPr>
                              </pic:nvPicPr>
                              <pic:blipFill>
                                <a:blip r:embed="rId29"/>
                                <a:srcRect b="14882"/>
                                <a:stretch>
                                  <a:fillRect/>
                                </a:stretch>
                              </pic:blipFill>
                              <pic:spPr>
                                <a:xfrm>
                                  <a:off x="0" y="0"/>
                                  <a:ext cx="747395" cy="652780"/>
                                </a:xfrm>
                                <a:prstGeom prst="rect">
                                  <a:avLst/>
                                </a:prstGeom>
                              </pic:spPr>
                            </pic:pic>
                          </a:graphicData>
                        </a:graphic>
                      </wp:inline>
                    </w:drawing>
                  </w:r>
                </w:p>
              </w:tc>
            </w:tr>
            <w:tr w14:paraId="1E743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pct"/>
                  <w:tcBorders>
                    <w:tl2br w:val="nil"/>
                    <w:tr2bl w:val="nil"/>
                  </w:tcBorders>
                  <w:vAlign w:val="center"/>
                </w:tcPr>
                <w:p w14:paraId="0EA79101">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形状</w:t>
                  </w:r>
                </w:p>
              </w:tc>
              <w:tc>
                <w:tcPr>
                  <w:tcW w:w="818" w:type="pct"/>
                  <w:tcBorders>
                    <w:tl2br w:val="nil"/>
                    <w:tr2bl w:val="nil"/>
                  </w:tcBorders>
                  <w:vAlign w:val="center"/>
                </w:tcPr>
                <w:p w14:paraId="0EE5C259">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正方形边框</w:t>
                  </w:r>
                </w:p>
              </w:tc>
              <w:tc>
                <w:tcPr>
                  <w:tcW w:w="818" w:type="pct"/>
                  <w:tcBorders>
                    <w:tl2br w:val="nil"/>
                    <w:tr2bl w:val="nil"/>
                  </w:tcBorders>
                  <w:vAlign w:val="center"/>
                </w:tcPr>
                <w:p w14:paraId="40F620FC">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正方形边框</w:t>
                  </w:r>
                </w:p>
              </w:tc>
              <w:tc>
                <w:tcPr>
                  <w:tcW w:w="818" w:type="pct"/>
                  <w:tcBorders>
                    <w:tl2br w:val="nil"/>
                    <w:tr2bl w:val="nil"/>
                  </w:tcBorders>
                  <w:vAlign w:val="center"/>
                </w:tcPr>
                <w:p w14:paraId="2729BD5D">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正方形边框</w:t>
                  </w:r>
                </w:p>
              </w:tc>
              <w:tc>
                <w:tcPr>
                  <w:tcW w:w="902" w:type="pct"/>
                  <w:tcBorders>
                    <w:tl2br w:val="nil"/>
                    <w:tr2bl w:val="nil"/>
                  </w:tcBorders>
                  <w:vAlign w:val="center"/>
                </w:tcPr>
                <w:p w14:paraId="0CD6F36E">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三角形边框</w:t>
                  </w:r>
                </w:p>
              </w:tc>
              <w:tc>
                <w:tcPr>
                  <w:tcW w:w="736" w:type="pct"/>
                  <w:tcBorders>
                    <w:tl2br w:val="nil"/>
                    <w:tr2bl w:val="nil"/>
                  </w:tcBorders>
                  <w:vAlign w:val="center"/>
                </w:tcPr>
                <w:p w14:paraId="24DAB649">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三角形边框</w:t>
                  </w:r>
                </w:p>
              </w:tc>
            </w:tr>
            <w:tr w14:paraId="55563A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pct"/>
                  <w:tcBorders>
                    <w:tl2br w:val="nil"/>
                    <w:tr2bl w:val="nil"/>
                  </w:tcBorders>
                  <w:vAlign w:val="center"/>
                </w:tcPr>
                <w:p w14:paraId="27AA5984">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背景颜色</w:t>
                  </w:r>
                </w:p>
              </w:tc>
              <w:tc>
                <w:tcPr>
                  <w:tcW w:w="818" w:type="pct"/>
                  <w:tcBorders>
                    <w:tl2br w:val="nil"/>
                    <w:tr2bl w:val="nil"/>
                  </w:tcBorders>
                  <w:vAlign w:val="center"/>
                </w:tcPr>
                <w:p w14:paraId="7D057962">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绿色</w:t>
                  </w:r>
                </w:p>
              </w:tc>
              <w:tc>
                <w:tcPr>
                  <w:tcW w:w="818" w:type="pct"/>
                  <w:tcBorders>
                    <w:tl2br w:val="nil"/>
                    <w:tr2bl w:val="nil"/>
                  </w:tcBorders>
                  <w:vAlign w:val="center"/>
                </w:tcPr>
                <w:p w14:paraId="2993216E">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绿色</w:t>
                  </w:r>
                </w:p>
              </w:tc>
              <w:tc>
                <w:tcPr>
                  <w:tcW w:w="818" w:type="pct"/>
                  <w:tcBorders>
                    <w:tl2br w:val="nil"/>
                    <w:tr2bl w:val="nil"/>
                  </w:tcBorders>
                  <w:vAlign w:val="center"/>
                </w:tcPr>
                <w:p w14:paraId="206EA383">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绿色</w:t>
                  </w:r>
                </w:p>
              </w:tc>
              <w:tc>
                <w:tcPr>
                  <w:tcW w:w="902" w:type="pct"/>
                  <w:tcBorders>
                    <w:tl2br w:val="nil"/>
                    <w:tr2bl w:val="nil"/>
                  </w:tcBorders>
                  <w:vAlign w:val="center"/>
                </w:tcPr>
                <w:p w14:paraId="10FD2DA1">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黄色</w:t>
                  </w:r>
                </w:p>
              </w:tc>
              <w:tc>
                <w:tcPr>
                  <w:tcW w:w="736" w:type="pct"/>
                  <w:tcBorders>
                    <w:tl2br w:val="nil"/>
                    <w:tr2bl w:val="nil"/>
                  </w:tcBorders>
                  <w:vAlign w:val="center"/>
                </w:tcPr>
                <w:p w14:paraId="7041685D">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黄色</w:t>
                  </w:r>
                </w:p>
              </w:tc>
            </w:tr>
            <w:tr w14:paraId="099A2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pct"/>
                  <w:tcBorders>
                    <w:tl2br w:val="nil"/>
                    <w:tr2bl w:val="nil"/>
                  </w:tcBorders>
                  <w:vAlign w:val="center"/>
                </w:tcPr>
                <w:p w14:paraId="4EA5BB71">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图形颜色</w:t>
                  </w:r>
                </w:p>
              </w:tc>
              <w:tc>
                <w:tcPr>
                  <w:tcW w:w="818" w:type="pct"/>
                  <w:tcBorders>
                    <w:tl2br w:val="nil"/>
                    <w:tr2bl w:val="nil"/>
                  </w:tcBorders>
                  <w:vAlign w:val="center"/>
                </w:tcPr>
                <w:p w14:paraId="6B936867">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白色</w:t>
                  </w:r>
                </w:p>
              </w:tc>
              <w:tc>
                <w:tcPr>
                  <w:tcW w:w="818" w:type="pct"/>
                  <w:tcBorders>
                    <w:tl2br w:val="nil"/>
                    <w:tr2bl w:val="nil"/>
                  </w:tcBorders>
                  <w:vAlign w:val="center"/>
                </w:tcPr>
                <w:p w14:paraId="0A9C8962">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白色</w:t>
                  </w:r>
                </w:p>
              </w:tc>
              <w:tc>
                <w:tcPr>
                  <w:tcW w:w="818" w:type="pct"/>
                  <w:tcBorders>
                    <w:tl2br w:val="nil"/>
                    <w:tr2bl w:val="nil"/>
                  </w:tcBorders>
                  <w:vAlign w:val="center"/>
                </w:tcPr>
                <w:p w14:paraId="2AE335DC">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白色</w:t>
                  </w:r>
                </w:p>
              </w:tc>
              <w:tc>
                <w:tcPr>
                  <w:tcW w:w="902" w:type="pct"/>
                  <w:tcBorders>
                    <w:tl2br w:val="nil"/>
                    <w:tr2bl w:val="nil"/>
                  </w:tcBorders>
                  <w:vAlign w:val="center"/>
                </w:tcPr>
                <w:p w14:paraId="076237C6">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黑色</w:t>
                  </w:r>
                </w:p>
              </w:tc>
              <w:tc>
                <w:tcPr>
                  <w:tcW w:w="736" w:type="pct"/>
                  <w:tcBorders>
                    <w:tl2br w:val="nil"/>
                    <w:tr2bl w:val="nil"/>
                  </w:tcBorders>
                  <w:vAlign w:val="center"/>
                </w:tcPr>
                <w:p w14:paraId="62D36611">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黑色</w:t>
                  </w:r>
                </w:p>
              </w:tc>
            </w:tr>
          </w:tbl>
          <w:p w14:paraId="5A264105">
            <w:pPr>
              <w:pStyle w:val="282"/>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（5）自行监测管理要求</w:t>
            </w:r>
          </w:p>
          <w:p w14:paraId="58AD135E">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项目属于登记管理行业，无需开展自行监测。</w:t>
            </w:r>
            <w:r>
              <w:rPr>
                <w:color w:val="000000" w:themeColor="text1"/>
                <w:highlight w:val="none"/>
                <w14:textFill>
                  <w14:solidFill>
                    <w14:schemeClr w14:val="tx1"/>
                  </w14:solidFill>
                </w14:textFill>
              </w:rPr>
              <w:t>建设单位</w:t>
            </w:r>
            <w:r>
              <w:rPr>
                <w:rFonts w:hint="eastAsia"/>
                <w:color w:val="000000" w:themeColor="text1"/>
                <w:highlight w:val="none"/>
                <w14:textFill>
                  <w14:solidFill>
                    <w14:schemeClr w14:val="tx1"/>
                  </w14:solidFill>
                </w14:textFill>
              </w:rPr>
              <w:t>可</w:t>
            </w:r>
            <w:r>
              <w:rPr>
                <w:color w:val="000000" w:themeColor="text1"/>
                <w:highlight w:val="none"/>
                <w14:textFill>
                  <w14:solidFill>
                    <w14:schemeClr w14:val="tx1"/>
                  </w14:solidFill>
                </w14:textFill>
              </w:rPr>
              <w:t>根据《排污单位自行监测技术指南-总则》（HJ819-2017）的要求，对项目运营期开展自行监测。环境监测工作拟由建设单位委托有资质的监测单位按已制定的环境监测计划进行监测。</w:t>
            </w:r>
          </w:p>
          <w:p w14:paraId="6D7690E7">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从保护环境出发，根据本建设项目的特点和周边环境特点，以及相应的环保设施，制定环保监测计划，其目的是要监测本建设项目在今后运行期间的各种环境因素，应用监测得到的反馈信息，及时发现生产过程中对环境产生的不利影响，或环保措施的不正常运作，及时修正和改进，使出现的环境问题能得到及时解决，防止环境质量下降，保障经济和社会的可持续发展。</w:t>
            </w:r>
          </w:p>
          <w:p w14:paraId="15821B3A">
            <w:pPr>
              <w:spacing w:line="360" w:lineRule="auto"/>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建成后</w:t>
            </w:r>
            <w:r>
              <w:rPr>
                <w:bCs/>
                <w:color w:val="000000" w:themeColor="text1"/>
                <w:sz w:val="24"/>
                <w:highlight w:val="none"/>
                <w14:textFill>
                  <w14:solidFill>
                    <w14:schemeClr w14:val="tx1"/>
                  </w14:solidFill>
                </w14:textFill>
              </w:rPr>
              <w:t>各监测点、监测项目、监测频次</w:t>
            </w:r>
            <w:r>
              <w:rPr>
                <w:rFonts w:hint="eastAsia"/>
                <w:bCs/>
                <w:color w:val="000000" w:themeColor="text1"/>
                <w:sz w:val="24"/>
                <w:highlight w:val="none"/>
                <w:lang w:eastAsia="zh-CN"/>
                <w14:textFill>
                  <w14:solidFill>
                    <w14:schemeClr w14:val="tx1"/>
                  </w14:solidFill>
                </w14:textFill>
              </w:rPr>
              <w:t>可参照</w:t>
            </w:r>
            <w:r>
              <w:rPr>
                <w:bCs/>
                <w:color w:val="000000" w:themeColor="text1"/>
                <w:sz w:val="24"/>
                <w:highlight w:val="none"/>
                <w14:textFill>
                  <w14:solidFill>
                    <w14:schemeClr w14:val="tx1"/>
                  </w14:solidFill>
                </w14:textFill>
              </w:rPr>
              <w:t>表</w:t>
            </w:r>
            <w:r>
              <w:rPr>
                <w:rFonts w:hint="eastAsia"/>
                <w:bCs/>
                <w:color w:val="000000" w:themeColor="text1"/>
                <w:sz w:val="24"/>
                <w:highlight w:val="none"/>
                <w14:textFill>
                  <w14:solidFill>
                    <w14:schemeClr w14:val="tx1"/>
                  </w14:solidFill>
                </w14:textFill>
              </w:rPr>
              <w:t>4.2-16</w:t>
            </w:r>
            <w:r>
              <w:rPr>
                <w:rFonts w:hint="eastAsia"/>
                <w:bCs/>
                <w:color w:val="000000" w:themeColor="text1"/>
                <w:sz w:val="24"/>
                <w:highlight w:val="none"/>
                <w:lang w:eastAsia="zh-CN"/>
                <w14:textFill>
                  <w14:solidFill>
                    <w14:schemeClr w14:val="tx1"/>
                  </w14:solidFill>
                </w14:textFill>
              </w:rPr>
              <w:t>开展企业自行监测</w:t>
            </w:r>
            <w:r>
              <w:rPr>
                <w:bCs/>
                <w:color w:val="000000" w:themeColor="text1"/>
                <w:sz w:val="24"/>
                <w:highlight w:val="none"/>
                <w14:textFill>
                  <w14:solidFill>
                    <w14:schemeClr w14:val="tx1"/>
                  </w14:solidFill>
                </w14:textFill>
              </w:rPr>
              <w:t>。</w:t>
            </w:r>
          </w:p>
          <w:p w14:paraId="087AE6A8">
            <w:pPr>
              <w:pStyle w:val="277"/>
              <w:spacing w:line="360" w:lineRule="auto"/>
              <w:ind w:left="0"/>
              <w:rPr>
                <w:rFonts w:eastAsia="宋体"/>
                <w:b/>
                <w:color w:val="000000" w:themeColor="text1"/>
                <w:highlight w:val="none"/>
                <w14:textFill>
                  <w14:solidFill>
                    <w14:schemeClr w14:val="tx1"/>
                  </w14:solidFill>
                </w14:textFill>
              </w:rPr>
            </w:pPr>
            <w:r>
              <w:rPr>
                <w:rFonts w:eastAsia="宋体"/>
                <w:b/>
                <w:color w:val="000000" w:themeColor="text1"/>
                <w:highlight w:val="none"/>
                <w14:textFill>
                  <w14:solidFill>
                    <w14:schemeClr w14:val="tx1"/>
                  </w14:solidFill>
                </w14:textFill>
              </w:rPr>
              <w:t>表</w:t>
            </w:r>
            <w:r>
              <w:rPr>
                <w:rFonts w:hint="eastAsia" w:eastAsia="宋体"/>
                <w:b/>
                <w:color w:val="000000" w:themeColor="text1"/>
                <w:highlight w:val="none"/>
                <w14:textFill>
                  <w14:solidFill>
                    <w14:schemeClr w14:val="tx1"/>
                  </w14:solidFill>
                </w14:textFill>
              </w:rPr>
              <w:t xml:space="preserve">4.2-16 </w:t>
            </w:r>
            <w:r>
              <w:rPr>
                <w:rFonts w:eastAsia="宋体"/>
                <w:b/>
                <w:color w:val="000000" w:themeColor="text1"/>
                <w:highlight w:val="none"/>
                <w14:textFill>
                  <w14:solidFill>
                    <w14:schemeClr w14:val="tx1"/>
                  </w14:solidFill>
                </w14:textFill>
              </w:rPr>
              <w:t>监测计划一览表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08"/>
              <w:gridCol w:w="1126"/>
              <w:gridCol w:w="2276"/>
              <w:gridCol w:w="3372"/>
              <w:gridCol w:w="1007"/>
            </w:tblGrid>
            <w:tr w14:paraId="07D18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Align w:val="center"/>
                </w:tcPr>
                <w:p w14:paraId="227FB9D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671" w:type="pct"/>
                  <w:vAlign w:val="center"/>
                </w:tcPr>
                <w:p w14:paraId="036C47EB">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污染源名称</w:t>
                  </w:r>
                </w:p>
              </w:tc>
              <w:tc>
                <w:tcPr>
                  <w:tcW w:w="1356" w:type="pct"/>
                  <w:vAlign w:val="center"/>
                </w:tcPr>
                <w:p w14:paraId="3D99AF0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监测位置</w:t>
                  </w:r>
                </w:p>
              </w:tc>
              <w:tc>
                <w:tcPr>
                  <w:tcW w:w="2009" w:type="pct"/>
                  <w:vAlign w:val="center"/>
                </w:tcPr>
                <w:p w14:paraId="718DD5EE">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监测项目</w:t>
                  </w:r>
                </w:p>
              </w:tc>
              <w:tc>
                <w:tcPr>
                  <w:tcW w:w="600" w:type="pct"/>
                  <w:vAlign w:val="center"/>
                </w:tcPr>
                <w:p w14:paraId="7C44D380">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监测频次</w:t>
                  </w:r>
                </w:p>
              </w:tc>
            </w:tr>
            <w:tr w14:paraId="78FEA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Merge w:val="restart"/>
                  <w:vAlign w:val="center"/>
                </w:tcPr>
                <w:p w14:paraId="3DD5BB2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671" w:type="pct"/>
                  <w:vMerge w:val="restart"/>
                  <w:vAlign w:val="center"/>
                </w:tcPr>
                <w:p w14:paraId="7503356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w:t>
                  </w:r>
                </w:p>
              </w:tc>
              <w:tc>
                <w:tcPr>
                  <w:tcW w:w="1356" w:type="pct"/>
                  <w:vAlign w:val="center"/>
                </w:tcPr>
                <w:p w14:paraId="539B6A6A">
                  <w:pPr>
                    <w:jc w:val="center"/>
                    <w:rPr>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DA001排气筒出口</w:t>
                  </w:r>
                </w:p>
              </w:tc>
              <w:tc>
                <w:tcPr>
                  <w:tcW w:w="2009" w:type="pct"/>
                  <w:vAlign w:val="center"/>
                </w:tcPr>
                <w:p w14:paraId="784FD71A">
                  <w:pPr>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600" w:type="pct"/>
                  <w:vAlign w:val="center"/>
                </w:tcPr>
                <w:p w14:paraId="10BD6AB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1次/年</w:t>
                  </w:r>
                </w:p>
              </w:tc>
            </w:tr>
            <w:tr w14:paraId="11819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Merge w:val="continue"/>
                  <w:vAlign w:val="center"/>
                </w:tcPr>
                <w:p w14:paraId="0CEE7659">
                  <w:pPr>
                    <w:jc w:val="center"/>
                    <w:rPr>
                      <w:color w:val="000000" w:themeColor="text1"/>
                      <w:szCs w:val="21"/>
                      <w:highlight w:val="none"/>
                      <w14:textFill>
                        <w14:solidFill>
                          <w14:schemeClr w14:val="tx1"/>
                        </w14:solidFill>
                      </w14:textFill>
                    </w:rPr>
                  </w:pPr>
                </w:p>
              </w:tc>
              <w:tc>
                <w:tcPr>
                  <w:tcW w:w="671" w:type="pct"/>
                  <w:vMerge w:val="continue"/>
                  <w:vAlign w:val="center"/>
                </w:tcPr>
                <w:p w14:paraId="2F012513">
                  <w:pPr>
                    <w:jc w:val="center"/>
                    <w:rPr>
                      <w:color w:val="000000" w:themeColor="text1"/>
                      <w:szCs w:val="21"/>
                      <w:highlight w:val="none"/>
                      <w14:textFill>
                        <w14:solidFill>
                          <w14:schemeClr w14:val="tx1"/>
                        </w14:solidFill>
                      </w14:textFill>
                    </w:rPr>
                  </w:pPr>
                </w:p>
              </w:tc>
              <w:tc>
                <w:tcPr>
                  <w:tcW w:w="1356" w:type="pct"/>
                  <w:vAlign w:val="center"/>
                </w:tcPr>
                <w:p w14:paraId="59BFFE81">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DA002排气筒出口</w:t>
                  </w:r>
                </w:p>
              </w:tc>
              <w:tc>
                <w:tcPr>
                  <w:tcW w:w="2009" w:type="pct"/>
                  <w:vAlign w:val="center"/>
                </w:tcPr>
                <w:p w14:paraId="54D5F888">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r>
                    <w:rPr>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、二甲苯</w:t>
                  </w:r>
                </w:p>
              </w:tc>
              <w:tc>
                <w:tcPr>
                  <w:tcW w:w="600" w:type="pct"/>
                  <w:vAlign w:val="center"/>
                </w:tcPr>
                <w:p w14:paraId="74C3EE01">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1次/年</w:t>
                  </w:r>
                </w:p>
              </w:tc>
            </w:tr>
            <w:tr w14:paraId="24550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Merge w:val="continue"/>
                  <w:vAlign w:val="center"/>
                </w:tcPr>
                <w:p w14:paraId="04415A15">
                  <w:pPr>
                    <w:jc w:val="center"/>
                    <w:rPr>
                      <w:color w:val="000000" w:themeColor="text1"/>
                      <w:szCs w:val="21"/>
                      <w:highlight w:val="none"/>
                      <w14:textFill>
                        <w14:solidFill>
                          <w14:schemeClr w14:val="tx1"/>
                        </w14:solidFill>
                      </w14:textFill>
                    </w:rPr>
                  </w:pPr>
                </w:p>
              </w:tc>
              <w:tc>
                <w:tcPr>
                  <w:tcW w:w="671" w:type="pct"/>
                  <w:vMerge w:val="continue"/>
                  <w:vAlign w:val="center"/>
                </w:tcPr>
                <w:p w14:paraId="3C3DEA46">
                  <w:pPr>
                    <w:jc w:val="center"/>
                    <w:rPr>
                      <w:color w:val="000000" w:themeColor="text1"/>
                      <w:szCs w:val="21"/>
                      <w:highlight w:val="none"/>
                      <w14:textFill>
                        <w14:solidFill>
                          <w14:schemeClr w14:val="tx1"/>
                        </w14:solidFill>
                      </w14:textFill>
                    </w:rPr>
                  </w:pPr>
                </w:p>
              </w:tc>
              <w:tc>
                <w:tcPr>
                  <w:tcW w:w="1356" w:type="pct"/>
                  <w:vAlign w:val="center"/>
                </w:tcPr>
                <w:p w14:paraId="5A162F31">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厂区内（喷漆区外）</w:t>
                  </w:r>
                </w:p>
              </w:tc>
              <w:tc>
                <w:tcPr>
                  <w:tcW w:w="2009" w:type="pct"/>
                  <w:vAlign w:val="center"/>
                </w:tcPr>
                <w:p w14:paraId="1B2634EE">
                  <w:pPr>
                    <w:jc w:val="center"/>
                    <w:rPr>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非甲烷总烃</w:t>
                  </w:r>
                </w:p>
              </w:tc>
              <w:tc>
                <w:tcPr>
                  <w:tcW w:w="600" w:type="pct"/>
                  <w:vAlign w:val="center"/>
                </w:tcPr>
                <w:p w14:paraId="34DCF44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1次/年</w:t>
                  </w:r>
                </w:p>
              </w:tc>
            </w:tr>
            <w:tr w14:paraId="35288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Merge w:val="continue"/>
                  <w:vAlign w:val="center"/>
                </w:tcPr>
                <w:p w14:paraId="3AFC62FC">
                  <w:pPr>
                    <w:jc w:val="center"/>
                    <w:rPr>
                      <w:color w:val="000000" w:themeColor="text1"/>
                      <w:szCs w:val="21"/>
                      <w:highlight w:val="none"/>
                      <w14:textFill>
                        <w14:solidFill>
                          <w14:schemeClr w14:val="tx1"/>
                        </w14:solidFill>
                      </w14:textFill>
                    </w:rPr>
                  </w:pPr>
                </w:p>
              </w:tc>
              <w:tc>
                <w:tcPr>
                  <w:tcW w:w="671" w:type="pct"/>
                  <w:vMerge w:val="continue"/>
                  <w:vAlign w:val="center"/>
                </w:tcPr>
                <w:p w14:paraId="35355BD8">
                  <w:pPr>
                    <w:jc w:val="center"/>
                    <w:rPr>
                      <w:color w:val="000000" w:themeColor="text1"/>
                      <w:szCs w:val="21"/>
                      <w:highlight w:val="none"/>
                      <w14:textFill>
                        <w14:solidFill>
                          <w14:schemeClr w14:val="tx1"/>
                        </w14:solidFill>
                      </w14:textFill>
                    </w:rPr>
                  </w:pPr>
                </w:p>
              </w:tc>
              <w:tc>
                <w:tcPr>
                  <w:tcW w:w="1356" w:type="pct"/>
                  <w:vAlign w:val="center"/>
                </w:tcPr>
                <w:p w14:paraId="0173AAFC">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厂界</w:t>
                  </w:r>
                </w:p>
              </w:tc>
              <w:tc>
                <w:tcPr>
                  <w:tcW w:w="2009" w:type="pct"/>
                  <w:vAlign w:val="center"/>
                </w:tcPr>
                <w:p w14:paraId="16112785">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r>
                    <w:rPr>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、二甲苯</w:t>
                  </w:r>
                </w:p>
              </w:tc>
              <w:tc>
                <w:tcPr>
                  <w:tcW w:w="600" w:type="pct"/>
                  <w:vAlign w:val="center"/>
                </w:tcPr>
                <w:p w14:paraId="4445EC1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1次/年</w:t>
                  </w:r>
                </w:p>
              </w:tc>
            </w:tr>
            <w:tr w14:paraId="52EE9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Align w:val="center"/>
                </w:tcPr>
                <w:p w14:paraId="2A0F9DA2">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671" w:type="pct"/>
                  <w:vAlign w:val="center"/>
                </w:tcPr>
                <w:p w14:paraId="334AE9C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噪声</w:t>
                  </w:r>
                </w:p>
              </w:tc>
              <w:tc>
                <w:tcPr>
                  <w:tcW w:w="1356" w:type="pct"/>
                  <w:vAlign w:val="center"/>
                </w:tcPr>
                <w:p w14:paraId="4986314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厂界</w:t>
                  </w:r>
                </w:p>
              </w:tc>
              <w:tc>
                <w:tcPr>
                  <w:tcW w:w="2009" w:type="pct"/>
                  <w:vAlign w:val="center"/>
                </w:tcPr>
                <w:p w14:paraId="59301177">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等效连续</w:t>
                  </w:r>
                  <w:r>
                    <w:rPr>
                      <w:color w:val="000000" w:themeColor="text1"/>
                      <w:spacing w:val="-46"/>
                      <w:szCs w:val="21"/>
                      <w:highlight w:val="none"/>
                      <w14:textFill>
                        <w14:solidFill>
                          <w14:schemeClr w14:val="tx1"/>
                        </w14:solidFill>
                      </w14:textFill>
                    </w:rPr>
                    <w:t xml:space="preserve"> </w:t>
                  </w:r>
                  <w:r>
                    <w:rPr>
                      <w:rFonts w:eastAsia="Times New Roman"/>
                      <w:color w:val="000000" w:themeColor="text1"/>
                      <w:szCs w:val="21"/>
                      <w:highlight w:val="none"/>
                      <w14:textFill>
                        <w14:solidFill>
                          <w14:schemeClr w14:val="tx1"/>
                        </w14:solidFill>
                      </w14:textFill>
                    </w:rPr>
                    <w:t>A</w:t>
                  </w:r>
                  <w:r>
                    <w:rPr>
                      <w:rFonts w:eastAsia="Times New Roman"/>
                      <w:color w:val="000000" w:themeColor="text1"/>
                      <w:spacing w:val="-10"/>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声级</w:t>
                  </w:r>
                </w:p>
              </w:tc>
              <w:tc>
                <w:tcPr>
                  <w:tcW w:w="600" w:type="pct"/>
                  <w:vAlign w:val="center"/>
                </w:tcPr>
                <w:p w14:paraId="33853C37">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次/</w:t>
                  </w:r>
                  <w:r>
                    <w:rPr>
                      <w:rFonts w:hint="eastAsia"/>
                      <w:color w:val="000000" w:themeColor="text1"/>
                      <w:szCs w:val="21"/>
                      <w:highlight w:val="none"/>
                      <w14:textFill>
                        <w14:solidFill>
                          <w14:schemeClr w14:val="tx1"/>
                        </w14:solidFill>
                      </w14:textFill>
                    </w:rPr>
                    <w:t>季</w:t>
                  </w:r>
                </w:p>
              </w:tc>
            </w:tr>
          </w:tbl>
          <w:p w14:paraId="0A92C52D">
            <w:pPr>
              <w:pStyle w:val="282"/>
              <w:spacing w:line="360" w:lineRule="auto"/>
              <w:ind w:firstLine="602"/>
              <w:rPr>
                <w:b/>
                <w:color w:val="000000" w:themeColor="text1"/>
                <w:sz w:val="30"/>
                <w:szCs w:val="30"/>
                <w:highlight w:val="none"/>
                <w14:textFill>
                  <w14:solidFill>
                    <w14:schemeClr w14:val="tx1"/>
                  </w14:solidFill>
                </w14:textFill>
              </w:rPr>
            </w:pPr>
          </w:p>
        </w:tc>
      </w:tr>
    </w:tbl>
    <w:p w14:paraId="59AE1941">
      <w:pPr>
        <w:adjustRightInd w:val="0"/>
        <w:snapToGrid w:val="0"/>
        <w:spacing w:line="360" w:lineRule="auto"/>
        <w:ind w:firstLine="562"/>
        <w:rPr>
          <w:b/>
          <w:color w:val="000000" w:themeColor="text1"/>
          <w:kern w:val="0"/>
          <w:sz w:val="28"/>
          <w:szCs w:val="28"/>
          <w:highlight w:val="none"/>
          <w14:textFill>
            <w14:solidFill>
              <w14:schemeClr w14:val="tx1"/>
            </w14:solidFill>
          </w14:textFill>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2F231ADF">
      <w:pPr>
        <w:pStyle w:val="24"/>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8"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8"/>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45" w:type="dxa"/>
          <w:bottom w:w="0" w:type="dxa"/>
          <w:right w:w="45" w:type="dxa"/>
        </w:tblCellMar>
      </w:tblPr>
      <w:tblGrid>
        <w:gridCol w:w="1094"/>
        <w:gridCol w:w="947"/>
        <w:gridCol w:w="757"/>
        <w:gridCol w:w="1177"/>
        <w:gridCol w:w="1916"/>
        <w:gridCol w:w="2909"/>
      </w:tblGrid>
      <w:tr w14:paraId="159D2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tcBorders>
              <w:tl2br w:val="single" w:color="auto" w:sz="4" w:space="0"/>
            </w:tcBorders>
          </w:tcPr>
          <w:p w14:paraId="46254649">
            <w:pPr>
              <w:adjustRightInd w:val="0"/>
              <w:snapToGrid w:val="0"/>
              <w:ind w:firstLine="525" w:firstLineChars="25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内容</w:t>
            </w:r>
          </w:p>
          <w:p w14:paraId="06416D85">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要素</w:t>
            </w:r>
          </w:p>
        </w:tc>
        <w:tc>
          <w:tcPr>
            <w:tcW w:w="1704" w:type="dxa"/>
            <w:gridSpan w:val="2"/>
            <w:vAlign w:val="center"/>
          </w:tcPr>
          <w:p w14:paraId="6ED215BA">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排放口(编号、名称)/污染源</w:t>
            </w:r>
          </w:p>
        </w:tc>
        <w:tc>
          <w:tcPr>
            <w:tcW w:w="1177" w:type="dxa"/>
            <w:vAlign w:val="center"/>
          </w:tcPr>
          <w:p w14:paraId="304A148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p w14:paraId="77538FD0">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w:t>
            </w:r>
          </w:p>
        </w:tc>
        <w:tc>
          <w:tcPr>
            <w:tcW w:w="1916" w:type="dxa"/>
            <w:vAlign w:val="center"/>
          </w:tcPr>
          <w:p w14:paraId="7F944F8B">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环境保护措施</w:t>
            </w:r>
          </w:p>
        </w:tc>
        <w:tc>
          <w:tcPr>
            <w:tcW w:w="2909" w:type="dxa"/>
            <w:vAlign w:val="center"/>
          </w:tcPr>
          <w:p w14:paraId="358F494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执行标准</w:t>
            </w:r>
          </w:p>
        </w:tc>
      </w:tr>
      <w:tr w14:paraId="549E0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501" w:hRule="atLeast"/>
          <w:jc w:val="center"/>
        </w:trPr>
        <w:tc>
          <w:tcPr>
            <w:tcW w:w="1094" w:type="dxa"/>
            <w:vMerge w:val="restart"/>
            <w:vAlign w:val="center"/>
          </w:tcPr>
          <w:p w14:paraId="7639114D">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大气环境</w:t>
            </w:r>
          </w:p>
        </w:tc>
        <w:tc>
          <w:tcPr>
            <w:tcW w:w="947" w:type="dxa"/>
            <w:vAlign w:val="center"/>
          </w:tcPr>
          <w:p w14:paraId="2AB9365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DA001</w:t>
            </w:r>
          </w:p>
        </w:tc>
        <w:tc>
          <w:tcPr>
            <w:tcW w:w="757" w:type="dxa"/>
            <w:vAlign w:val="center"/>
          </w:tcPr>
          <w:p w14:paraId="18E53A7A">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木工区废气</w:t>
            </w:r>
          </w:p>
          <w:p w14:paraId="7194DF33">
            <w:pPr>
              <w:adjustRightInd w:val="0"/>
              <w:snapToGrid w:val="0"/>
              <w:jc w:val="center"/>
              <w:rPr>
                <w:rFonts w:hint="eastAsia"/>
                <w:color w:val="000000" w:themeColor="text1"/>
                <w:szCs w:val="21"/>
                <w:highlight w:val="none"/>
                <w14:textFill>
                  <w14:solidFill>
                    <w14:schemeClr w14:val="tx1"/>
                  </w14:solidFill>
                </w14:textFill>
              </w:rPr>
            </w:pPr>
          </w:p>
        </w:tc>
        <w:tc>
          <w:tcPr>
            <w:tcW w:w="1177" w:type="dxa"/>
            <w:vAlign w:val="center"/>
          </w:tcPr>
          <w:p w14:paraId="57061D1A">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916" w:type="dxa"/>
            <w:vAlign w:val="center"/>
          </w:tcPr>
          <w:p w14:paraId="7012E101">
            <w:pPr>
              <w:pStyle w:val="9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在1F精锯、砂光等产生粉尘颗粒物的设备上方及3F砂光设备上方</w:t>
            </w:r>
            <w:r>
              <w:rPr>
                <w:color w:val="000000" w:themeColor="text1"/>
                <w:highlight w:val="none"/>
                <w14:textFill>
                  <w14:solidFill>
                    <w14:schemeClr w14:val="tx1"/>
                  </w14:solidFill>
                </w14:textFill>
              </w:rPr>
              <w:t>设置</w:t>
            </w:r>
            <w:r>
              <w:rPr>
                <w:rFonts w:hint="eastAsia"/>
                <w:color w:val="000000" w:themeColor="text1"/>
                <w:highlight w:val="none"/>
                <w14:textFill>
                  <w14:solidFill>
                    <w14:schemeClr w14:val="tx1"/>
                  </w14:solidFill>
                </w14:textFill>
              </w:rPr>
              <w:t>集气罩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集中收集的木工</w:t>
            </w:r>
            <w:r>
              <w:rPr>
                <w:rFonts w:hint="eastAsia"/>
                <w:color w:val="000000" w:themeColor="text1"/>
                <w:highlight w:val="none"/>
                <w:lang w:eastAsia="zh-CN"/>
                <w14:textFill>
                  <w14:solidFill>
                    <w14:schemeClr w14:val="tx1"/>
                  </w14:solidFill>
                </w14:textFill>
              </w:rPr>
              <w:t>区</w:t>
            </w:r>
            <w:r>
              <w:rPr>
                <w:rFonts w:hint="eastAsia"/>
                <w:color w:val="000000" w:themeColor="text1"/>
                <w:highlight w:val="none"/>
                <w14:textFill>
                  <w14:solidFill>
                    <w14:schemeClr w14:val="tx1"/>
                  </w14:solidFill>
                </w14:textFill>
              </w:rPr>
              <w:t>废气通过1套中央除尘器（布袋除尘设施）处理后有组织排放，通过1根</w:t>
            </w:r>
            <w:r>
              <w:rPr>
                <w:color w:val="000000" w:themeColor="text1"/>
                <w:highlight w:val="none"/>
                <w14:textFill>
                  <w14:solidFill>
                    <w14:schemeClr w14:val="tx1"/>
                  </w14:solidFill>
                </w14:textFill>
              </w:rPr>
              <w:t>15m高排气筒排放</w:t>
            </w:r>
          </w:p>
        </w:tc>
        <w:tc>
          <w:tcPr>
            <w:tcW w:w="2909" w:type="dxa"/>
            <w:vAlign w:val="center"/>
          </w:tcPr>
          <w:p w14:paraId="2F662236">
            <w:pPr>
              <w:adjustRightInd w:val="0"/>
              <w:snapToGrid w:val="0"/>
              <w:jc w:val="both"/>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有组织</w:t>
            </w:r>
            <w:r>
              <w:rPr>
                <w:rFonts w:hint="eastAsia"/>
                <w:color w:val="000000" w:themeColor="text1"/>
                <w:kern w:val="0"/>
                <w:szCs w:val="21"/>
                <w:highlight w:val="none"/>
                <w:lang w:eastAsia="zh-CN"/>
                <w14:textFill>
                  <w14:solidFill>
                    <w14:schemeClr w14:val="tx1"/>
                  </w14:solidFill>
                </w14:textFill>
              </w:rPr>
              <w:t>排放</w:t>
            </w:r>
            <w:r>
              <w:rPr>
                <w:rFonts w:hint="eastAsia"/>
                <w:color w:val="000000" w:themeColor="text1"/>
                <w:kern w:val="0"/>
                <w:szCs w:val="21"/>
                <w:highlight w:val="none"/>
                <w14:textFill>
                  <w14:solidFill>
                    <w14:schemeClr w14:val="tx1"/>
                  </w14:solidFill>
                </w14:textFill>
              </w:rPr>
              <w:t>执行</w:t>
            </w:r>
            <w:r>
              <w:rPr>
                <w:color w:val="000000" w:themeColor="text1"/>
                <w:kern w:val="0"/>
                <w:szCs w:val="21"/>
                <w:highlight w:val="none"/>
                <w14:textFill>
                  <w14:solidFill>
                    <w14:schemeClr w14:val="tx1"/>
                  </w14:solidFill>
                </w14:textFill>
              </w:rPr>
              <w:t>《大气污染物综合排放标准》(GB16297-1996)表2</w:t>
            </w:r>
            <w:r>
              <w:rPr>
                <w:rFonts w:hint="eastAsia"/>
                <w:color w:val="000000" w:themeColor="text1"/>
                <w:kern w:val="0"/>
                <w:szCs w:val="21"/>
                <w:highlight w:val="none"/>
                <w14:textFill>
                  <w14:solidFill>
                    <w14:schemeClr w14:val="tx1"/>
                  </w14:solidFill>
                </w14:textFill>
              </w:rPr>
              <w:t>中</w:t>
            </w:r>
            <w:r>
              <w:rPr>
                <w:bCs/>
                <w:color w:val="000000" w:themeColor="text1"/>
                <w:szCs w:val="20"/>
                <w:highlight w:val="none"/>
                <w14:textFill>
                  <w14:solidFill>
                    <w14:schemeClr w14:val="tx1"/>
                  </w14:solidFill>
                </w14:textFill>
              </w:rPr>
              <w:t>相应标准值</w:t>
            </w:r>
            <w:r>
              <w:rPr>
                <w:rFonts w:hint="eastAsia"/>
                <w:bCs/>
                <w:color w:val="000000" w:themeColor="text1"/>
                <w:szCs w:val="20"/>
                <w:highlight w:val="none"/>
                <w14:textFill>
                  <w14:solidFill>
                    <w14:schemeClr w14:val="tx1"/>
                  </w14:solidFill>
                </w14:textFill>
              </w:rPr>
              <w:t>。</w:t>
            </w:r>
          </w:p>
        </w:tc>
      </w:tr>
      <w:tr w14:paraId="2B764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Merge w:val="continue"/>
            <w:vAlign w:val="center"/>
          </w:tcPr>
          <w:p w14:paraId="5FDE4FC0">
            <w:pPr>
              <w:adjustRightInd w:val="0"/>
              <w:snapToGrid w:val="0"/>
              <w:jc w:val="center"/>
              <w:rPr>
                <w:color w:val="000000" w:themeColor="text1"/>
                <w:szCs w:val="21"/>
                <w:highlight w:val="none"/>
                <w14:textFill>
                  <w14:solidFill>
                    <w14:schemeClr w14:val="tx1"/>
                  </w14:solidFill>
                </w14:textFill>
              </w:rPr>
            </w:pPr>
          </w:p>
        </w:tc>
        <w:tc>
          <w:tcPr>
            <w:tcW w:w="947" w:type="dxa"/>
            <w:vAlign w:val="center"/>
          </w:tcPr>
          <w:p w14:paraId="4A305CC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w:t>
            </w:r>
            <w:r>
              <w:rPr>
                <w:rFonts w:hint="eastAsia"/>
                <w:color w:val="000000" w:themeColor="text1"/>
                <w:szCs w:val="21"/>
                <w:highlight w:val="none"/>
                <w14:textFill>
                  <w14:solidFill>
                    <w14:schemeClr w14:val="tx1"/>
                  </w14:solidFill>
                </w14:textFill>
              </w:rPr>
              <w:t>2</w:t>
            </w:r>
          </w:p>
        </w:tc>
        <w:tc>
          <w:tcPr>
            <w:tcW w:w="757" w:type="dxa"/>
            <w:vAlign w:val="center"/>
          </w:tcPr>
          <w:p w14:paraId="3C2CAC37">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调漆喷漆及烘干工序有机废气</w:t>
            </w:r>
          </w:p>
        </w:tc>
        <w:tc>
          <w:tcPr>
            <w:tcW w:w="1177" w:type="dxa"/>
            <w:vAlign w:val="center"/>
          </w:tcPr>
          <w:p w14:paraId="3EBC364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颗粒物、非甲烷总烃、二甲苯</w:t>
            </w:r>
          </w:p>
        </w:tc>
        <w:tc>
          <w:tcPr>
            <w:tcW w:w="1916" w:type="dxa"/>
            <w:vAlign w:val="center"/>
          </w:tcPr>
          <w:p w14:paraId="193A6170">
            <w:pPr>
              <w:pStyle w:val="9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设置相对独立的调漆喷漆及烘干区域，调漆喷漆废气经水帘柜除漆雾后，同烘干工序有机废气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rFonts w:hint="eastAsia"/>
                <w:color w:val="000000" w:themeColor="text1"/>
                <w:highlight w:val="none"/>
                <w14:textFill>
                  <w14:solidFill>
                    <w14:schemeClr w14:val="tx1"/>
                  </w14:solidFill>
                </w14:textFill>
              </w:rPr>
              <w:t>一同经1套“水喷淋+二级活性炭吸附”设备处理后有组织排放，通过1根</w:t>
            </w:r>
            <w:r>
              <w:rPr>
                <w:color w:val="000000" w:themeColor="text1"/>
                <w:highlight w:val="none"/>
                <w14:textFill>
                  <w14:solidFill>
                    <w14:schemeClr w14:val="tx1"/>
                  </w14:solidFill>
                </w14:textFill>
              </w:rPr>
              <w:t>15m高排气筒排放</w:t>
            </w:r>
          </w:p>
        </w:tc>
        <w:tc>
          <w:tcPr>
            <w:tcW w:w="2909" w:type="dxa"/>
            <w:vAlign w:val="center"/>
          </w:tcPr>
          <w:p w14:paraId="651F5D4B">
            <w:pPr>
              <w:adjustRightInd w:val="0"/>
              <w:snapToGrid w:val="0"/>
              <w:jc w:val="center"/>
              <w:rPr>
                <w:bCs/>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非甲烷总烃、二甲苯有组织执行</w:t>
            </w:r>
            <w:r>
              <w:rPr>
                <w:rFonts w:hint="eastAsia"/>
                <w:color w:val="000000" w:themeColor="text1"/>
                <w:highlight w:val="none"/>
                <w14:textFill>
                  <w14:solidFill>
                    <w14:schemeClr w14:val="tx1"/>
                  </w14:solidFill>
                </w14:textFill>
              </w:rPr>
              <w:t>《工业涂装工序挥发性有机物排放标准》(DB35/1783-2018)表1中</w:t>
            </w:r>
            <w:r>
              <w:rPr>
                <w:bCs/>
                <w:color w:val="000000" w:themeColor="text1"/>
                <w:szCs w:val="20"/>
                <w:highlight w:val="none"/>
                <w14:textFill>
                  <w14:solidFill>
                    <w14:schemeClr w14:val="tx1"/>
                  </w14:solidFill>
                </w14:textFill>
              </w:rPr>
              <w:t>相应标准值</w:t>
            </w:r>
            <w:r>
              <w:rPr>
                <w:rFonts w:hint="eastAsia"/>
                <w:bCs/>
                <w:color w:val="000000" w:themeColor="text1"/>
                <w:szCs w:val="20"/>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t>颗粒物有组织</w:t>
            </w:r>
            <w:r>
              <w:rPr>
                <w:rFonts w:hint="eastAsia"/>
                <w:color w:val="000000" w:themeColor="text1"/>
                <w:kern w:val="0"/>
                <w:szCs w:val="21"/>
                <w:highlight w:val="none"/>
                <w:lang w:eastAsia="zh-CN"/>
                <w14:textFill>
                  <w14:solidFill>
                    <w14:schemeClr w14:val="tx1"/>
                  </w14:solidFill>
                </w14:textFill>
              </w:rPr>
              <w:t>排放</w:t>
            </w:r>
            <w:r>
              <w:rPr>
                <w:rFonts w:hint="eastAsia"/>
                <w:color w:val="000000" w:themeColor="text1"/>
                <w:kern w:val="0"/>
                <w:szCs w:val="21"/>
                <w:highlight w:val="none"/>
                <w14:textFill>
                  <w14:solidFill>
                    <w14:schemeClr w14:val="tx1"/>
                  </w14:solidFill>
                </w14:textFill>
              </w:rPr>
              <w:t>执行</w:t>
            </w:r>
            <w:r>
              <w:rPr>
                <w:color w:val="000000" w:themeColor="text1"/>
                <w:kern w:val="0"/>
                <w:szCs w:val="21"/>
                <w:highlight w:val="none"/>
                <w14:textFill>
                  <w14:solidFill>
                    <w14:schemeClr w14:val="tx1"/>
                  </w14:solidFill>
                </w14:textFill>
              </w:rPr>
              <w:t>《大气污染物综合排放标准》(GB16297-1996)表2</w:t>
            </w:r>
            <w:r>
              <w:rPr>
                <w:rFonts w:hint="eastAsia"/>
                <w:color w:val="000000" w:themeColor="text1"/>
                <w:kern w:val="0"/>
                <w:szCs w:val="21"/>
                <w:highlight w:val="none"/>
                <w14:textFill>
                  <w14:solidFill>
                    <w14:schemeClr w14:val="tx1"/>
                  </w14:solidFill>
                </w14:textFill>
              </w:rPr>
              <w:t>中</w:t>
            </w:r>
            <w:r>
              <w:rPr>
                <w:bCs/>
                <w:color w:val="000000" w:themeColor="text1"/>
                <w:szCs w:val="20"/>
                <w:highlight w:val="none"/>
                <w14:textFill>
                  <w14:solidFill>
                    <w14:schemeClr w14:val="tx1"/>
                  </w14:solidFill>
                </w14:textFill>
              </w:rPr>
              <w:t>相应标准值</w:t>
            </w:r>
            <w:r>
              <w:rPr>
                <w:rFonts w:hint="eastAsia"/>
                <w:bCs/>
                <w:color w:val="000000" w:themeColor="text1"/>
                <w:szCs w:val="20"/>
                <w:highlight w:val="none"/>
                <w14:textFill>
                  <w14:solidFill>
                    <w14:schemeClr w14:val="tx1"/>
                  </w14:solidFill>
                </w14:textFill>
              </w:rPr>
              <w:t>。</w:t>
            </w:r>
          </w:p>
        </w:tc>
      </w:tr>
      <w:tr w14:paraId="50283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Merge w:val="continue"/>
            <w:vAlign w:val="center"/>
          </w:tcPr>
          <w:p w14:paraId="55F46F5E">
            <w:pPr>
              <w:adjustRightInd w:val="0"/>
              <w:snapToGrid w:val="0"/>
              <w:jc w:val="center"/>
              <w:rPr>
                <w:color w:val="000000" w:themeColor="text1"/>
                <w:szCs w:val="21"/>
                <w:highlight w:val="none"/>
                <w14:textFill>
                  <w14:solidFill>
                    <w14:schemeClr w14:val="tx1"/>
                  </w14:solidFill>
                </w14:textFill>
              </w:rPr>
            </w:pPr>
          </w:p>
        </w:tc>
        <w:tc>
          <w:tcPr>
            <w:tcW w:w="947" w:type="dxa"/>
            <w:vMerge w:val="restart"/>
            <w:vAlign w:val="center"/>
          </w:tcPr>
          <w:p w14:paraId="337A422C">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无组织废气</w:t>
            </w:r>
          </w:p>
        </w:tc>
        <w:tc>
          <w:tcPr>
            <w:tcW w:w="757" w:type="dxa"/>
            <w:vAlign w:val="center"/>
          </w:tcPr>
          <w:p w14:paraId="30473D89">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打磨区废气</w:t>
            </w:r>
          </w:p>
        </w:tc>
        <w:tc>
          <w:tcPr>
            <w:tcW w:w="1177" w:type="dxa"/>
            <w:vAlign w:val="center"/>
          </w:tcPr>
          <w:p w14:paraId="2428ECBD">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916" w:type="dxa"/>
            <w:vAlign w:val="center"/>
          </w:tcPr>
          <w:p w14:paraId="4AC74FD5">
            <w:pPr>
              <w:pStyle w:val="35"/>
              <w:spacing w:line="240" w:lineRule="auto"/>
              <w:ind w:firstLine="0" w:firstLineChars="0"/>
              <w:rPr>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设置环保喷淋打磨房，打磨粉尘经密闭打磨房内水除尘系统除尘后，少量颗粒物在车间内无组织排放；定期清扫车间地面粉尘</w:t>
            </w:r>
          </w:p>
        </w:tc>
        <w:tc>
          <w:tcPr>
            <w:tcW w:w="2909" w:type="dxa"/>
            <w:vAlign w:val="center"/>
          </w:tcPr>
          <w:p w14:paraId="0A0A6AD5">
            <w:pPr>
              <w:adjustRightInd w:val="0"/>
              <w:snapToGrid w:val="0"/>
              <w:jc w:val="center"/>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厂界无组织排放执行《大气污染物综合排放标准》(GB16297-1996)表2中企业边界浓度限值标准值。</w:t>
            </w:r>
          </w:p>
        </w:tc>
      </w:tr>
      <w:tr w14:paraId="033BD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Merge w:val="continue"/>
            <w:vAlign w:val="center"/>
          </w:tcPr>
          <w:p w14:paraId="256F7947">
            <w:pPr>
              <w:adjustRightInd w:val="0"/>
              <w:snapToGrid w:val="0"/>
              <w:jc w:val="center"/>
              <w:rPr>
                <w:color w:val="000000" w:themeColor="text1"/>
                <w:szCs w:val="21"/>
                <w:highlight w:val="none"/>
                <w14:textFill>
                  <w14:solidFill>
                    <w14:schemeClr w14:val="tx1"/>
                  </w14:solidFill>
                </w14:textFill>
              </w:rPr>
            </w:pPr>
          </w:p>
        </w:tc>
        <w:tc>
          <w:tcPr>
            <w:tcW w:w="947" w:type="dxa"/>
            <w:vMerge w:val="continue"/>
            <w:vAlign w:val="center"/>
          </w:tcPr>
          <w:p w14:paraId="0FC3AF26">
            <w:pPr>
              <w:adjustRightInd w:val="0"/>
              <w:snapToGrid w:val="0"/>
              <w:jc w:val="center"/>
              <w:rPr>
                <w:rFonts w:hint="eastAsia" w:eastAsia="宋体"/>
                <w:color w:val="000000" w:themeColor="text1"/>
                <w:szCs w:val="21"/>
                <w:highlight w:val="none"/>
                <w:lang w:eastAsia="zh-CN"/>
                <w14:textFill>
                  <w14:solidFill>
                    <w14:schemeClr w14:val="tx1"/>
                  </w14:solidFill>
                </w14:textFill>
              </w:rPr>
            </w:pPr>
          </w:p>
        </w:tc>
        <w:tc>
          <w:tcPr>
            <w:tcW w:w="757" w:type="dxa"/>
            <w:vAlign w:val="center"/>
          </w:tcPr>
          <w:p w14:paraId="69015D7E">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有机废气</w:t>
            </w:r>
          </w:p>
        </w:tc>
        <w:tc>
          <w:tcPr>
            <w:tcW w:w="1177" w:type="dxa"/>
            <w:vAlign w:val="center"/>
          </w:tcPr>
          <w:p w14:paraId="494CB6C1">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非甲烷总烃、二甲苯</w:t>
            </w:r>
          </w:p>
        </w:tc>
        <w:tc>
          <w:tcPr>
            <w:tcW w:w="1916" w:type="dxa"/>
            <w:vAlign w:val="center"/>
          </w:tcPr>
          <w:p w14:paraId="6F1B9454">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加强车间管理，保证</w:t>
            </w:r>
            <w:r>
              <w:rPr>
                <w:rFonts w:hint="eastAsia"/>
                <w:color w:val="000000" w:themeColor="text1"/>
                <w:szCs w:val="21"/>
                <w:highlight w:val="none"/>
                <w:lang w:eastAsia="zh-CN"/>
                <w14:textFill>
                  <w14:solidFill>
                    <w14:schemeClr w14:val="tx1"/>
                  </w14:solidFill>
                </w14:textFill>
              </w:rPr>
              <w:t>喷漆、调漆及烘干区域</w:t>
            </w:r>
            <w:r>
              <w:rPr>
                <w:rFonts w:hint="eastAsia"/>
                <w:color w:val="000000" w:themeColor="text1"/>
                <w:szCs w:val="21"/>
                <w:highlight w:val="none"/>
                <w14:textFill>
                  <w14:solidFill>
                    <w14:schemeClr w14:val="tx1"/>
                  </w14:solidFill>
                </w14:textFill>
              </w:rPr>
              <w:t>有机废气的收集效率</w:t>
            </w:r>
          </w:p>
        </w:tc>
        <w:tc>
          <w:tcPr>
            <w:tcW w:w="2909" w:type="dxa"/>
            <w:vAlign w:val="center"/>
          </w:tcPr>
          <w:p w14:paraId="33EAF2C8">
            <w:pPr>
              <w:adjustRightInd w:val="0"/>
              <w:snapToGrid w:val="0"/>
              <w:jc w:val="center"/>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厂界无组织排放执行</w:t>
            </w:r>
            <w:r>
              <w:rPr>
                <w:rFonts w:hint="eastAsia"/>
                <w:color w:val="000000" w:themeColor="text1"/>
                <w:kern w:val="0"/>
                <w:szCs w:val="21"/>
                <w:highlight w:val="none"/>
                <w14:textFill>
                  <w14:solidFill>
                    <w14:schemeClr w14:val="tx1"/>
                  </w14:solidFill>
                </w14:textFill>
              </w:rPr>
              <w:t>《工业涂装工序挥发性有机物排放标准》(DB35/1783-2018)表4中相应标准值</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14:textFill>
                  <w14:solidFill>
                    <w14:schemeClr w14:val="tx1"/>
                  </w14:solidFill>
                </w14:textFill>
              </w:rPr>
              <w:t>厂区内无组织执行《挥发性有机物无组织排放控制标准》（GB37822-2019）附录A的表A.1中特别排放限值</w:t>
            </w:r>
            <w:r>
              <w:rPr>
                <w:rFonts w:hint="eastAsia"/>
                <w:color w:val="000000" w:themeColor="text1"/>
                <w:kern w:val="0"/>
                <w:szCs w:val="21"/>
                <w:highlight w:val="none"/>
                <w:lang w:eastAsia="zh-CN"/>
                <w14:textFill>
                  <w14:solidFill>
                    <w14:schemeClr w14:val="tx1"/>
                  </w14:solidFill>
                </w14:textFill>
              </w:rPr>
              <w:t>。</w:t>
            </w:r>
          </w:p>
        </w:tc>
      </w:tr>
      <w:tr w14:paraId="26353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Merge w:val="restart"/>
            <w:vAlign w:val="center"/>
          </w:tcPr>
          <w:p w14:paraId="0C1C32AD">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地表</w:t>
            </w:r>
          </w:p>
          <w:p w14:paraId="68FEB5C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水环境</w:t>
            </w:r>
          </w:p>
        </w:tc>
        <w:tc>
          <w:tcPr>
            <w:tcW w:w="1704" w:type="dxa"/>
            <w:gridSpan w:val="2"/>
            <w:vAlign w:val="center"/>
          </w:tcPr>
          <w:p w14:paraId="73BBDD0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园区综合废水排放口</w:t>
            </w:r>
          </w:p>
          <w:p w14:paraId="60CE1FA0">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（DW001）</w:t>
            </w:r>
          </w:p>
        </w:tc>
        <w:tc>
          <w:tcPr>
            <w:tcW w:w="1177" w:type="dxa"/>
            <w:vAlign w:val="center"/>
          </w:tcPr>
          <w:p w14:paraId="15573B8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pH、</w:t>
            </w:r>
            <w:r>
              <w:rPr>
                <w:color w:val="000000" w:themeColor="text1"/>
                <w:szCs w:val="21"/>
                <w:highlight w:val="none"/>
                <w14:textFill>
                  <w14:solidFill>
                    <w14:schemeClr w14:val="tx1"/>
                  </w14:solidFill>
                </w14:textFill>
              </w:rPr>
              <w:t>COD、BOD</w:t>
            </w:r>
            <w:r>
              <w:rPr>
                <w:color w:val="000000" w:themeColor="text1"/>
                <w:szCs w:val="21"/>
                <w:highlight w:val="none"/>
                <w:vertAlign w:val="subscript"/>
                <w14:textFill>
                  <w14:solidFill>
                    <w14:schemeClr w14:val="tx1"/>
                  </w14:solidFill>
                </w14:textFill>
              </w:rPr>
              <w:t>5</w:t>
            </w:r>
            <w:r>
              <w:rPr>
                <w:color w:val="000000" w:themeColor="text1"/>
                <w:szCs w:val="21"/>
                <w:highlight w:val="none"/>
                <w14:textFill>
                  <w14:solidFill>
                    <w14:schemeClr w14:val="tx1"/>
                  </w14:solidFill>
                </w14:textFill>
              </w:rPr>
              <w:t>、SS、NH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p>
        </w:tc>
        <w:tc>
          <w:tcPr>
            <w:tcW w:w="1916" w:type="dxa"/>
            <w:vAlign w:val="center"/>
          </w:tcPr>
          <w:p w14:paraId="4FD24240">
            <w:pPr>
              <w:pStyle w:val="58"/>
              <w:spacing w:before="24" w:after="24"/>
              <w:jc w:val="both"/>
              <w:rPr>
                <w:rFonts w:ascii="Times New Roman"/>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生活污水经</w:t>
            </w:r>
            <w:r>
              <w:rPr>
                <w:rFonts w:hint="eastAsia"/>
                <w:color w:val="000000" w:themeColor="text1"/>
                <w:szCs w:val="21"/>
                <w:highlight w:val="none"/>
                <w14:textFill>
                  <w14:solidFill>
                    <w14:schemeClr w14:val="tx1"/>
                  </w14:solidFill>
                </w14:textFill>
              </w:rPr>
              <w:t>园区</w:t>
            </w:r>
            <w:r>
              <w:rPr>
                <w:color w:val="000000" w:themeColor="text1"/>
                <w:szCs w:val="21"/>
                <w:highlight w:val="none"/>
                <w14:textFill>
                  <w14:solidFill>
                    <w14:schemeClr w14:val="tx1"/>
                  </w14:solidFill>
                </w14:textFill>
              </w:rPr>
              <w:t>已建的化粪池</w:t>
            </w:r>
            <w:r>
              <w:rPr>
                <w:rFonts w:hint="eastAsia"/>
                <w:color w:val="000000" w:themeColor="text1"/>
                <w:szCs w:val="21"/>
                <w:highlight w:val="none"/>
                <w14:textFill>
                  <w14:solidFill>
                    <w14:schemeClr w14:val="tx1"/>
                  </w14:solidFill>
                </w14:textFill>
              </w:rPr>
              <w:t>预</w:t>
            </w:r>
            <w:r>
              <w:rPr>
                <w:color w:val="000000" w:themeColor="text1"/>
                <w:szCs w:val="21"/>
                <w:highlight w:val="none"/>
                <w14:textFill>
                  <w14:solidFill>
                    <w14:schemeClr w14:val="tx1"/>
                  </w14:solidFill>
                </w14:textFill>
              </w:rPr>
              <w:t>处理达标后接入市政管网</w:t>
            </w:r>
            <w:r>
              <w:rPr>
                <w:rFonts w:hint="eastAsia"/>
                <w:color w:val="000000" w:themeColor="text1"/>
                <w:szCs w:val="21"/>
                <w:highlight w:val="none"/>
                <w14:textFill>
                  <w14:solidFill>
                    <w14:schemeClr w14:val="tx1"/>
                  </w14:solidFill>
                </w14:textFill>
              </w:rPr>
              <w:t>，最终排入福清市融元</w:t>
            </w:r>
            <w:r>
              <w:rPr>
                <w:color w:val="000000" w:themeColor="text1"/>
                <w:szCs w:val="21"/>
                <w:highlight w:val="none"/>
                <w14:textFill>
                  <w14:solidFill>
                    <w14:schemeClr w14:val="tx1"/>
                  </w14:solidFill>
                </w14:textFill>
              </w:rPr>
              <w:t>污水处理厂</w:t>
            </w:r>
            <w:r>
              <w:rPr>
                <w:rFonts w:hint="eastAsia"/>
                <w:color w:val="000000" w:themeColor="text1"/>
                <w:szCs w:val="21"/>
                <w:highlight w:val="none"/>
                <w14:textFill>
                  <w14:solidFill>
                    <w14:schemeClr w14:val="tx1"/>
                  </w14:solidFill>
                </w14:textFill>
              </w:rPr>
              <w:t>处理</w:t>
            </w:r>
          </w:p>
        </w:tc>
        <w:tc>
          <w:tcPr>
            <w:tcW w:w="2909" w:type="dxa"/>
            <w:vAlign w:val="center"/>
          </w:tcPr>
          <w:p w14:paraId="107199AC">
            <w:pPr>
              <w:adjustRightInd w:val="0"/>
              <w:snapToGrid w:val="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《污水综合排放标准》（GB8978-1996）表4中三级标准要求（其中氨氮参照《污水排入城市下水道水质标准》(GB/T31962-2015)B级标准执行）</w:t>
            </w:r>
            <w:r>
              <w:rPr>
                <w:rFonts w:hint="eastAsia"/>
                <w:color w:val="000000" w:themeColor="text1"/>
                <w:kern w:val="0"/>
                <w:szCs w:val="21"/>
                <w:highlight w:val="none"/>
                <w14:textFill>
                  <w14:solidFill>
                    <w14:schemeClr w14:val="tx1"/>
                  </w14:solidFill>
                </w14:textFill>
              </w:rPr>
              <w:t>。</w:t>
            </w:r>
          </w:p>
        </w:tc>
      </w:tr>
      <w:tr w14:paraId="2C980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95" w:hRule="atLeast"/>
          <w:jc w:val="center"/>
        </w:trPr>
        <w:tc>
          <w:tcPr>
            <w:tcW w:w="1094" w:type="dxa"/>
            <w:vMerge w:val="continue"/>
            <w:vAlign w:val="center"/>
          </w:tcPr>
          <w:p w14:paraId="08747401">
            <w:pPr>
              <w:adjustRightInd w:val="0"/>
              <w:snapToGrid w:val="0"/>
              <w:jc w:val="center"/>
              <w:rPr>
                <w:color w:val="000000" w:themeColor="text1"/>
                <w:szCs w:val="21"/>
                <w:highlight w:val="none"/>
                <w14:textFill>
                  <w14:solidFill>
                    <w14:schemeClr w14:val="tx1"/>
                  </w14:solidFill>
                </w14:textFill>
              </w:rPr>
            </w:pPr>
          </w:p>
        </w:tc>
        <w:tc>
          <w:tcPr>
            <w:tcW w:w="1704" w:type="dxa"/>
            <w:gridSpan w:val="2"/>
            <w:vAlign w:val="center"/>
          </w:tcPr>
          <w:p w14:paraId="411A7DD0">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生产废水</w:t>
            </w:r>
          </w:p>
        </w:tc>
        <w:tc>
          <w:tcPr>
            <w:tcW w:w="1177" w:type="dxa"/>
            <w:vAlign w:val="center"/>
          </w:tcPr>
          <w:p w14:paraId="20FA6F1A">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COD、SS</w:t>
            </w:r>
          </w:p>
        </w:tc>
        <w:tc>
          <w:tcPr>
            <w:tcW w:w="1916" w:type="dxa"/>
            <w:vAlign w:val="center"/>
          </w:tcPr>
          <w:p w14:paraId="6791AE6B">
            <w:pPr>
              <w:pStyle w:val="58"/>
              <w:spacing w:before="24" w:after="24"/>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喷漆水帘柜废水、打磨房喷淋废水、喷淋塔废水经项目配套废水处理设施（混凝压滤）处理后循环使用，不外排</w:t>
            </w:r>
          </w:p>
        </w:tc>
        <w:tc>
          <w:tcPr>
            <w:tcW w:w="2909" w:type="dxa"/>
            <w:vAlign w:val="center"/>
          </w:tcPr>
          <w:p w14:paraId="1CB5B17A">
            <w:pPr>
              <w:adjustRightInd w:val="0"/>
              <w:snapToGrid w:val="0"/>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w:t>
            </w:r>
          </w:p>
        </w:tc>
      </w:tr>
      <w:tr w14:paraId="1DB15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Align w:val="center"/>
          </w:tcPr>
          <w:p w14:paraId="0D36D85E">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声环境</w:t>
            </w:r>
          </w:p>
        </w:tc>
        <w:tc>
          <w:tcPr>
            <w:tcW w:w="1704" w:type="dxa"/>
            <w:gridSpan w:val="2"/>
            <w:vAlign w:val="center"/>
          </w:tcPr>
          <w:p w14:paraId="14A9BF4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机械设备噪声</w:t>
            </w:r>
          </w:p>
        </w:tc>
        <w:tc>
          <w:tcPr>
            <w:tcW w:w="1177" w:type="dxa"/>
            <w:vAlign w:val="center"/>
          </w:tcPr>
          <w:p w14:paraId="74B71E94">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生产噪声（L</w:t>
            </w:r>
            <w:r>
              <w:rPr>
                <w:color w:val="000000" w:themeColor="text1"/>
                <w:szCs w:val="21"/>
                <w:highlight w:val="none"/>
                <w:vertAlign w:val="subscript"/>
                <w14:textFill>
                  <w14:solidFill>
                    <w14:schemeClr w14:val="tx1"/>
                  </w14:solidFill>
                </w14:textFill>
              </w:rPr>
              <w:t>eq</w:t>
            </w:r>
            <w:r>
              <w:rPr>
                <w:color w:val="000000" w:themeColor="text1"/>
                <w:szCs w:val="21"/>
                <w:highlight w:val="none"/>
                <w14:textFill>
                  <w14:solidFill>
                    <w14:schemeClr w14:val="tx1"/>
                  </w14:solidFill>
                </w14:textFill>
              </w:rPr>
              <w:t>）</w:t>
            </w:r>
          </w:p>
        </w:tc>
        <w:tc>
          <w:tcPr>
            <w:tcW w:w="1916" w:type="dxa"/>
            <w:vAlign w:val="center"/>
          </w:tcPr>
          <w:p w14:paraId="3387DDE7">
            <w:pPr>
              <w:pStyle w:val="58"/>
              <w:spacing w:before="24" w:after="24"/>
              <w:jc w:val="both"/>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1、选用低噪声级设备；</w:t>
            </w:r>
          </w:p>
          <w:p w14:paraId="76B5DA4F">
            <w:pPr>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2、采用设备减振、厂房隔声等措施。</w:t>
            </w:r>
          </w:p>
        </w:tc>
        <w:tc>
          <w:tcPr>
            <w:tcW w:w="2909" w:type="dxa"/>
            <w:vAlign w:val="center"/>
          </w:tcPr>
          <w:p w14:paraId="25523306">
            <w:pPr>
              <w:pStyle w:val="58"/>
              <w:spacing w:before="24" w:after="24"/>
              <w:jc w:val="both"/>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各厂界噪声达到《工业企业厂界环境噪声排放标准》（GB12348-2008）中</w:t>
            </w:r>
            <w:r>
              <w:rPr>
                <w:rFonts w:hint="eastAsia" w:ascii="Times New Roman"/>
                <w:color w:val="000000" w:themeColor="text1"/>
                <w:szCs w:val="21"/>
                <w:highlight w:val="none"/>
                <w14:textFill>
                  <w14:solidFill>
                    <w14:schemeClr w14:val="tx1"/>
                  </w14:solidFill>
                </w14:textFill>
              </w:rPr>
              <w:t>3类</w:t>
            </w:r>
            <w:r>
              <w:rPr>
                <w:rFonts w:ascii="Times New Roman"/>
                <w:color w:val="000000" w:themeColor="text1"/>
                <w:szCs w:val="21"/>
                <w:highlight w:val="none"/>
                <w14:textFill>
                  <w14:solidFill>
                    <w14:schemeClr w14:val="tx1"/>
                  </w14:solidFill>
                </w14:textFill>
              </w:rPr>
              <w:t>标准</w:t>
            </w:r>
            <w:r>
              <w:rPr>
                <w:rFonts w:hint="eastAsia" w:ascii="Times New Roman"/>
                <w:color w:val="000000" w:themeColor="text1"/>
                <w:szCs w:val="21"/>
                <w:highlight w:val="none"/>
                <w14:textFill>
                  <w14:solidFill>
                    <w14:schemeClr w14:val="tx1"/>
                  </w14:solidFill>
                </w14:textFill>
              </w:rPr>
              <w:t>。</w:t>
            </w:r>
          </w:p>
        </w:tc>
      </w:tr>
      <w:tr w14:paraId="6F047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264" w:hRule="atLeast"/>
          <w:jc w:val="center"/>
        </w:trPr>
        <w:tc>
          <w:tcPr>
            <w:tcW w:w="1094" w:type="dxa"/>
            <w:vAlign w:val="center"/>
          </w:tcPr>
          <w:p w14:paraId="10D4C79D">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电磁辐射</w:t>
            </w:r>
          </w:p>
        </w:tc>
        <w:tc>
          <w:tcPr>
            <w:tcW w:w="7706" w:type="dxa"/>
            <w:gridSpan w:val="5"/>
            <w:vAlign w:val="center"/>
          </w:tcPr>
          <w:p w14:paraId="486BB808">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w:t>
            </w:r>
          </w:p>
        </w:tc>
      </w:tr>
      <w:tr w14:paraId="1E94D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707" w:hRule="atLeast"/>
          <w:jc w:val="center"/>
        </w:trPr>
        <w:tc>
          <w:tcPr>
            <w:tcW w:w="1094" w:type="dxa"/>
            <w:vAlign w:val="center"/>
          </w:tcPr>
          <w:p w14:paraId="0C947C52">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固体废物</w:t>
            </w:r>
          </w:p>
        </w:tc>
        <w:tc>
          <w:tcPr>
            <w:tcW w:w="7706" w:type="dxa"/>
            <w:gridSpan w:val="5"/>
            <w:vAlign w:val="center"/>
          </w:tcPr>
          <w:p w14:paraId="2304EFA9">
            <w:pPr>
              <w:adjustRightInd w:val="0"/>
              <w:snapToGrid w:val="0"/>
              <w:rPr>
                <w:rFonts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1</w:t>
            </w:r>
            <w:r>
              <w:rPr>
                <w:rFonts w:hint="eastAsia" w:eastAsia="宋体"/>
                <w:color w:val="000000" w:themeColor="text1"/>
                <w:szCs w:val="21"/>
                <w:highlight w:val="none"/>
                <w14:textFill>
                  <w14:solidFill>
                    <w14:schemeClr w14:val="tx1"/>
                  </w14:solidFill>
                </w14:textFill>
              </w:rPr>
              <w:t>、</w:t>
            </w:r>
            <w:r>
              <w:rPr>
                <w:rFonts w:hint="eastAsia" w:eastAsia="宋体"/>
                <w:color w:val="000000" w:themeColor="text1"/>
                <w:szCs w:val="21"/>
                <w:highlight w:val="none"/>
                <w:lang w:eastAsia="zh-CN"/>
                <w14:textFill>
                  <w14:solidFill>
                    <w14:schemeClr w14:val="tx1"/>
                  </w14:solidFill>
                </w14:textFill>
              </w:rPr>
              <w:t>扩建项目新增</w:t>
            </w:r>
            <w:r>
              <w:rPr>
                <w:rFonts w:eastAsia="宋体"/>
                <w:color w:val="000000" w:themeColor="text1"/>
                <w:szCs w:val="21"/>
                <w:highlight w:val="none"/>
                <w14:textFill>
                  <w14:solidFill>
                    <w14:schemeClr w14:val="tx1"/>
                  </w14:solidFill>
                </w14:textFill>
              </w:rPr>
              <w:t>设</w:t>
            </w:r>
            <w:r>
              <w:rPr>
                <w:rFonts w:hint="eastAsia" w:eastAsia="宋体"/>
                <w:color w:val="000000" w:themeColor="text1"/>
                <w:szCs w:val="21"/>
                <w:highlight w:val="none"/>
                <w14:textFill>
                  <w14:solidFill>
                    <w14:schemeClr w14:val="tx1"/>
                  </w14:solidFill>
                </w14:textFill>
              </w:rPr>
              <w:t>一</w:t>
            </w:r>
            <w:r>
              <w:rPr>
                <w:rFonts w:eastAsia="宋体"/>
                <w:color w:val="000000" w:themeColor="text1"/>
                <w:szCs w:val="21"/>
                <w:highlight w:val="none"/>
                <w14:textFill>
                  <w14:solidFill>
                    <w14:schemeClr w14:val="tx1"/>
                  </w14:solidFill>
                </w14:textFill>
              </w:rPr>
              <w:t>处危险废物暂存间，</w:t>
            </w:r>
            <w:r>
              <w:rPr>
                <w:rFonts w:hint="eastAsia" w:eastAsia="宋体"/>
                <w:color w:val="000000" w:themeColor="text1"/>
                <w:szCs w:val="21"/>
                <w:highlight w:val="none"/>
                <w14:textFill>
                  <w14:solidFill>
                    <w14:schemeClr w14:val="tx1"/>
                  </w14:solidFill>
                </w14:textFill>
              </w:rPr>
              <w:t>位于福建乐翔服饰制造有限公司</w:t>
            </w:r>
            <w:r>
              <w:rPr>
                <w:rFonts w:hint="eastAsia" w:eastAsia="宋体"/>
                <w:color w:val="000000" w:themeColor="text1"/>
                <w:szCs w:val="21"/>
                <w:highlight w:val="none"/>
                <w:lang w:val="en-US" w:eastAsia="zh-CN"/>
                <w14:textFill>
                  <w14:solidFill>
                    <w14:schemeClr w14:val="tx1"/>
                  </w14:solidFill>
                </w14:textFill>
              </w:rPr>
              <w:t>1号厂房西南侧</w:t>
            </w:r>
            <w:r>
              <w:rPr>
                <w:rFonts w:hint="eastAsia" w:eastAsia="宋体"/>
                <w:color w:val="000000" w:themeColor="text1"/>
                <w:szCs w:val="21"/>
                <w:highlight w:val="none"/>
                <w:lang w:eastAsia="zh-CN"/>
                <w14:textFill>
                  <w14:solidFill>
                    <w14:schemeClr w14:val="tx1"/>
                  </w14:solidFill>
                </w14:textFill>
              </w:rPr>
              <w:t>，</w:t>
            </w:r>
            <w:r>
              <w:rPr>
                <w:rFonts w:eastAsia="宋体"/>
                <w:color w:val="000000" w:themeColor="text1"/>
                <w:szCs w:val="21"/>
                <w:highlight w:val="none"/>
                <w14:textFill>
                  <w14:solidFill>
                    <w14:schemeClr w14:val="tx1"/>
                  </w14:solidFill>
                </w14:textFill>
              </w:rPr>
              <w:t>面积</w:t>
            </w:r>
            <w:r>
              <w:rPr>
                <w:rFonts w:hint="eastAsia" w:eastAsia="宋体"/>
                <w:color w:val="000000" w:themeColor="text1"/>
                <w:szCs w:val="21"/>
                <w:highlight w:val="none"/>
                <w14:textFill>
                  <w14:solidFill>
                    <w14:schemeClr w14:val="tx1"/>
                  </w14:solidFill>
                </w14:textFill>
              </w:rPr>
              <w:t>约</w:t>
            </w:r>
            <w:r>
              <w:rPr>
                <w:rFonts w:hint="eastAsia" w:eastAsia="宋体"/>
                <w:color w:val="000000" w:themeColor="text1"/>
                <w:szCs w:val="21"/>
                <w:highlight w:val="none"/>
                <w:lang w:val="en-US" w:eastAsia="zh-CN"/>
                <w14:textFill>
                  <w14:solidFill>
                    <w14:schemeClr w14:val="tx1"/>
                  </w14:solidFill>
                </w14:textFill>
              </w:rPr>
              <w:t>5</w:t>
            </w:r>
            <w:r>
              <w:rPr>
                <w:rFonts w:eastAsia="宋体"/>
                <w:color w:val="000000" w:themeColor="text1"/>
                <w:szCs w:val="21"/>
                <w:highlight w:val="none"/>
                <w14:textFill>
                  <w14:solidFill>
                    <w14:schemeClr w14:val="tx1"/>
                  </w14:solidFill>
                </w14:textFill>
              </w:rPr>
              <w:t>m</w:t>
            </w:r>
            <w:r>
              <w:rPr>
                <w:rFonts w:eastAsia="宋体"/>
                <w:color w:val="000000" w:themeColor="text1"/>
                <w:szCs w:val="21"/>
                <w:highlight w:val="none"/>
                <w:vertAlign w:val="superscript"/>
                <w14:textFill>
                  <w14:solidFill>
                    <w14:schemeClr w14:val="tx1"/>
                  </w14:solidFill>
                </w14:textFill>
              </w:rPr>
              <w:t>2</w:t>
            </w:r>
            <w:r>
              <w:rPr>
                <w:rFonts w:hint="eastAsia" w:eastAsia="宋体"/>
                <w:color w:val="000000" w:themeColor="text1"/>
                <w:szCs w:val="21"/>
                <w:highlight w:val="none"/>
                <w:lang w:eastAsia="zh-CN"/>
                <w14:textFill>
                  <w14:solidFill>
                    <w14:schemeClr w14:val="tx1"/>
                  </w14:solidFill>
                </w14:textFill>
              </w:rPr>
              <w:t>；危废暂存间应</w:t>
            </w:r>
            <w:r>
              <w:rPr>
                <w:rFonts w:eastAsia="宋体"/>
                <w:color w:val="000000" w:themeColor="text1"/>
                <w:szCs w:val="21"/>
                <w:highlight w:val="none"/>
                <w14:textFill>
                  <w14:solidFill>
                    <w14:schemeClr w14:val="tx1"/>
                  </w14:solidFill>
                </w14:textFill>
              </w:rPr>
              <w:t>贴明显警示标志并设好围堰和地面防渗</w:t>
            </w:r>
            <w:r>
              <w:rPr>
                <w:rFonts w:hint="eastAsia" w:eastAsia="宋体"/>
                <w:color w:val="000000" w:themeColor="text1"/>
                <w:szCs w:val="21"/>
                <w:highlight w:val="none"/>
                <w14:textFill>
                  <w14:solidFill>
                    <w14:schemeClr w14:val="tx1"/>
                  </w14:solidFill>
                </w14:textFill>
              </w:rPr>
              <w:t>；</w:t>
            </w:r>
            <w:r>
              <w:rPr>
                <w:rFonts w:hint="eastAsia" w:eastAsia="宋体"/>
                <w:color w:val="000000" w:themeColor="text1"/>
                <w:szCs w:val="21"/>
                <w:highlight w:val="none"/>
                <w:lang w:eastAsia="zh-CN"/>
                <w14:textFill>
                  <w14:solidFill>
                    <w14:schemeClr w14:val="tx1"/>
                  </w14:solidFill>
                </w14:textFill>
              </w:rPr>
              <w:t>废漆渣、废活性炭、废污泥、涂料废包装等危险废物应分类</w:t>
            </w:r>
            <w:r>
              <w:rPr>
                <w:rFonts w:hint="eastAsia" w:eastAsia="宋体"/>
                <w:color w:val="000000" w:themeColor="text1"/>
                <w:szCs w:val="21"/>
                <w:highlight w:val="none"/>
                <w14:textFill>
                  <w14:solidFill>
                    <w14:schemeClr w14:val="tx1"/>
                  </w14:solidFill>
                </w14:textFill>
              </w:rPr>
              <w:t>收集存于危废间内，定期由有资质的危险废物处置单位统一处置</w:t>
            </w:r>
            <w:r>
              <w:rPr>
                <w:rFonts w:eastAsia="宋体"/>
                <w:color w:val="000000" w:themeColor="text1"/>
                <w:szCs w:val="21"/>
                <w:highlight w:val="none"/>
                <w14:textFill>
                  <w14:solidFill>
                    <w14:schemeClr w14:val="tx1"/>
                  </w14:solidFill>
                </w14:textFill>
              </w:rPr>
              <w:t>。</w:t>
            </w:r>
          </w:p>
          <w:p w14:paraId="43CB635C">
            <w:pPr>
              <w:adjustRightInd w:val="0"/>
              <w:snapToGrid w:val="0"/>
              <w:rPr>
                <w:rFonts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2、</w:t>
            </w:r>
            <w:r>
              <w:rPr>
                <w:rFonts w:hint="eastAsia" w:eastAsia="宋体"/>
                <w:color w:val="000000" w:themeColor="text1"/>
                <w:szCs w:val="21"/>
                <w:highlight w:val="none"/>
                <w:lang w:eastAsia="zh-CN"/>
                <w14:textFill>
                  <w14:solidFill>
                    <w14:schemeClr w14:val="tx1"/>
                  </w14:solidFill>
                </w14:textFill>
              </w:rPr>
              <w:t>扩建项目新增</w:t>
            </w:r>
            <w:r>
              <w:rPr>
                <w:rFonts w:hint="eastAsia" w:eastAsia="宋体"/>
                <w:color w:val="000000" w:themeColor="text1"/>
                <w:szCs w:val="21"/>
                <w:highlight w:val="none"/>
                <w14:textFill>
                  <w14:solidFill>
                    <w14:schemeClr w14:val="tx1"/>
                  </w14:solidFill>
                </w14:textFill>
              </w:rPr>
              <w:t>一</w:t>
            </w:r>
            <w:r>
              <w:rPr>
                <w:rFonts w:eastAsia="宋体"/>
                <w:color w:val="000000" w:themeColor="text1"/>
                <w:szCs w:val="21"/>
                <w:highlight w:val="none"/>
                <w14:textFill>
                  <w14:solidFill>
                    <w14:schemeClr w14:val="tx1"/>
                  </w14:solidFill>
                </w14:textFill>
              </w:rPr>
              <w:t>处</w:t>
            </w:r>
            <w:r>
              <w:rPr>
                <w:rFonts w:hint="eastAsia" w:eastAsia="宋体"/>
                <w:color w:val="000000" w:themeColor="text1"/>
                <w:szCs w:val="21"/>
                <w:highlight w:val="none"/>
                <w:lang w:eastAsia="zh-CN"/>
                <w14:textFill>
                  <w14:solidFill>
                    <w14:schemeClr w14:val="tx1"/>
                  </w14:solidFill>
                </w14:textFill>
              </w:rPr>
              <w:t>一般固废暂存间</w:t>
            </w:r>
            <w:r>
              <w:rPr>
                <w:rFonts w:hint="eastAsia" w:eastAsia="宋体"/>
                <w:color w:val="000000" w:themeColor="text1"/>
                <w:szCs w:val="21"/>
                <w:highlight w:val="none"/>
                <w14:textFill>
                  <w14:solidFill>
                    <w14:schemeClr w14:val="tx1"/>
                  </w14:solidFill>
                </w14:textFill>
              </w:rPr>
              <w:t>，福建乐翔服饰制造有限公司</w:t>
            </w:r>
            <w:r>
              <w:rPr>
                <w:rFonts w:hint="eastAsia" w:eastAsia="宋体"/>
                <w:color w:val="000000" w:themeColor="text1"/>
                <w:szCs w:val="21"/>
                <w:highlight w:val="none"/>
                <w:lang w:val="en-US" w:eastAsia="zh-CN"/>
                <w14:textFill>
                  <w14:solidFill>
                    <w14:schemeClr w14:val="tx1"/>
                  </w14:solidFill>
                </w14:textFill>
              </w:rPr>
              <w:t>1号厂房南侧，</w:t>
            </w:r>
            <w:r>
              <w:rPr>
                <w:rFonts w:eastAsia="宋体"/>
                <w:color w:val="000000" w:themeColor="text1"/>
                <w:szCs w:val="21"/>
                <w:highlight w:val="none"/>
                <w14:textFill>
                  <w14:solidFill>
                    <w14:schemeClr w14:val="tx1"/>
                  </w14:solidFill>
                </w14:textFill>
              </w:rPr>
              <w:t>面积</w:t>
            </w:r>
            <w:r>
              <w:rPr>
                <w:rFonts w:hint="eastAsia" w:eastAsia="宋体"/>
                <w:color w:val="000000" w:themeColor="text1"/>
                <w:szCs w:val="21"/>
                <w:highlight w:val="none"/>
                <w14:textFill>
                  <w14:solidFill>
                    <w14:schemeClr w14:val="tx1"/>
                  </w14:solidFill>
                </w14:textFill>
              </w:rPr>
              <w:t>约</w:t>
            </w:r>
            <w:r>
              <w:rPr>
                <w:rFonts w:hint="eastAsia" w:eastAsia="宋体"/>
                <w:color w:val="000000" w:themeColor="text1"/>
                <w:szCs w:val="21"/>
                <w:highlight w:val="none"/>
                <w:lang w:val="en-US" w:eastAsia="zh-CN"/>
                <w14:textFill>
                  <w14:solidFill>
                    <w14:schemeClr w14:val="tx1"/>
                  </w14:solidFill>
                </w14:textFill>
              </w:rPr>
              <w:t>10</w:t>
            </w:r>
            <w:r>
              <w:rPr>
                <w:rFonts w:eastAsia="宋体"/>
                <w:color w:val="000000" w:themeColor="text1"/>
                <w:szCs w:val="21"/>
                <w:highlight w:val="none"/>
                <w14:textFill>
                  <w14:solidFill>
                    <w14:schemeClr w14:val="tx1"/>
                  </w14:solidFill>
                </w14:textFill>
              </w:rPr>
              <w:t>m</w:t>
            </w:r>
            <w:r>
              <w:rPr>
                <w:rFonts w:eastAsia="宋体"/>
                <w:color w:val="000000" w:themeColor="text1"/>
                <w:szCs w:val="21"/>
                <w:highlight w:val="none"/>
                <w:vertAlign w:val="superscript"/>
                <w14:textFill>
                  <w14:solidFill>
                    <w14:schemeClr w14:val="tx1"/>
                  </w14:solidFill>
                </w14:textFill>
              </w:rPr>
              <w:t>2</w:t>
            </w:r>
            <w:r>
              <w:rPr>
                <w:rFonts w:hint="eastAsia" w:eastAsia="宋体"/>
                <w:color w:val="000000" w:themeColor="text1"/>
                <w:szCs w:val="21"/>
                <w:highlight w:val="none"/>
                <w:lang w:eastAsia="zh-CN"/>
                <w14:textFill>
                  <w14:solidFill>
                    <w14:schemeClr w14:val="tx1"/>
                  </w14:solidFill>
                </w14:textFill>
              </w:rPr>
              <w:t>；</w:t>
            </w:r>
            <w:r>
              <w:rPr>
                <w:rFonts w:hint="eastAsia" w:eastAsia="宋体"/>
                <w:color w:val="000000" w:themeColor="text1"/>
                <w:szCs w:val="21"/>
                <w:highlight w:val="none"/>
                <w14:textFill>
                  <w14:solidFill>
                    <w14:schemeClr w14:val="tx1"/>
                  </w14:solidFill>
                </w14:textFill>
              </w:rPr>
              <w:t>项目</w:t>
            </w:r>
            <w:r>
              <w:rPr>
                <w:rFonts w:hint="eastAsia" w:eastAsia="宋体"/>
                <w:color w:val="000000" w:themeColor="text1"/>
                <w:szCs w:val="21"/>
                <w:highlight w:val="none"/>
                <w:lang w:eastAsia="zh-CN"/>
                <w14:textFill>
                  <w14:solidFill>
                    <w14:schemeClr w14:val="tx1"/>
                  </w14:solidFill>
                </w14:textFill>
              </w:rPr>
              <w:t>一般固废主要为</w:t>
            </w:r>
            <w:r>
              <w:rPr>
                <w:rFonts w:eastAsia="宋体"/>
                <w:color w:val="000000" w:themeColor="text1"/>
                <w:szCs w:val="21"/>
                <w:highlight w:val="none"/>
                <w14:textFill>
                  <w14:solidFill>
                    <w14:schemeClr w14:val="tx1"/>
                  </w14:solidFill>
                </w14:textFill>
              </w:rPr>
              <w:t>边角料</w:t>
            </w:r>
            <w:r>
              <w:rPr>
                <w:rFonts w:hint="eastAsia" w:eastAsia="宋体"/>
                <w:color w:val="000000" w:themeColor="text1"/>
                <w:szCs w:val="21"/>
                <w:highlight w:val="none"/>
                <w:lang w:eastAsia="zh-CN"/>
                <w14:textFill>
                  <w14:solidFill>
                    <w14:schemeClr w14:val="tx1"/>
                  </w14:solidFill>
                </w14:textFill>
              </w:rPr>
              <w:t>、</w:t>
            </w:r>
            <w:r>
              <w:rPr>
                <w:rFonts w:eastAsia="宋体"/>
                <w:color w:val="000000" w:themeColor="text1"/>
                <w:szCs w:val="21"/>
                <w:highlight w:val="none"/>
                <w14:textFill>
                  <w14:solidFill>
                    <w14:schemeClr w14:val="tx1"/>
                  </w14:solidFill>
                </w14:textFill>
              </w:rPr>
              <w:t>布袋除尘收集</w:t>
            </w:r>
            <w:r>
              <w:rPr>
                <w:rFonts w:hint="eastAsia" w:eastAsia="宋体"/>
                <w:color w:val="000000" w:themeColor="text1"/>
                <w:szCs w:val="21"/>
                <w:highlight w:val="none"/>
                <w14:textFill>
                  <w14:solidFill>
                    <w14:schemeClr w14:val="tx1"/>
                  </w14:solidFill>
                </w14:textFill>
              </w:rPr>
              <w:t>颗粒物</w:t>
            </w:r>
            <w:r>
              <w:rPr>
                <w:rFonts w:hint="eastAsia" w:eastAsia="宋体"/>
                <w:color w:val="000000" w:themeColor="text1"/>
                <w:szCs w:val="21"/>
                <w:highlight w:val="none"/>
                <w:lang w:eastAsia="zh-CN"/>
                <w14:textFill>
                  <w14:solidFill>
                    <w14:schemeClr w14:val="tx1"/>
                  </w14:solidFill>
                </w14:textFill>
              </w:rPr>
              <w:t>，</w:t>
            </w:r>
            <w:r>
              <w:rPr>
                <w:rFonts w:hint="eastAsia" w:eastAsia="宋体"/>
                <w:color w:val="000000" w:themeColor="text1"/>
                <w:szCs w:val="21"/>
                <w:highlight w:val="none"/>
                <w14:textFill>
                  <w14:solidFill>
                    <w14:schemeClr w14:val="tx1"/>
                  </w14:solidFill>
                </w14:textFill>
              </w:rPr>
              <w:t>统一收分类收集后</w:t>
            </w:r>
            <w:r>
              <w:rPr>
                <w:rFonts w:hint="eastAsia" w:eastAsia="宋体"/>
                <w:color w:val="000000" w:themeColor="text1"/>
                <w:szCs w:val="21"/>
                <w:highlight w:val="none"/>
                <w:lang w:val="en-US"/>
                <w14:textFill>
                  <w14:solidFill>
                    <w14:schemeClr w14:val="tx1"/>
                  </w14:solidFill>
                </w14:textFill>
              </w:rPr>
              <w:t>定期</w:t>
            </w:r>
            <w:r>
              <w:rPr>
                <w:rFonts w:hint="eastAsia" w:eastAsia="宋体"/>
                <w:color w:val="000000" w:themeColor="text1"/>
                <w:szCs w:val="21"/>
                <w:highlight w:val="none"/>
                <w14:textFill>
                  <w14:solidFill>
                    <w14:schemeClr w14:val="tx1"/>
                  </w14:solidFill>
                </w14:textFill>
              </w:rPr>
              <w:t>外售</w:t>
            </w:r>
            <w:r>
              <w:rPr>
                <w:rFonts w:hint="eastAsia" w:eastAsia="宋体"/>
                <w:color w:val="000000" w:themeColor="text1"/>
                <w:szCs w:val="21"/>
                <w:highlight w:val="none"/>
                <w:lang w:eastAsia="zh-CN"/>
                <w14:textFill>
                  <w14:solidFill>
                    <w14:schemeClr w14:val="tx1"/>
                  </w14:solidFill>
                </w14:textFill>
              </w:rPr>
              <w:t>给</w:t>
            </w:r>
            <w:r>
              <w:rPr>
                <w:rFonts w:hint="eastAsia" w:eastAsia="宋体"/>
                <w:color w:val="000000" w:themeColor="text1"/>
                <w:szCs w:val="21"/>
                <w:highlight w:val="none"/>
                <w14:textFill>
                  <w14:solidFill>
                    <w14:schemeClr w14:val="tx1"/>
                  </w14:solidFill>
                </w14:textFill>
              </w:rPr>
              <w:t>生物质燃料加工企业综合利用。</w:t>
            </w:r>
          </w:p>
          <w:p w14:paraId="19CE7190">
            <w:pPr>
              <w:adjustRightInd w:val="0"/>
              <w:snapToGrid w:val="0"/>
              <w:rPr>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3、设置生活垃圾桶，生活垃圾收集后委托环卫工人清理处置。</w:t>
            </w:r>
          </w:p>
        </w:tc>
      </w:tr>
      <w:tr w14:paraId="12DC6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718" w:hRule="atLeast"/>
          <w:jc w:val="center"/>
        </w:trPr>
        <w:tc>
          <w:tcPr>
            <w:tcW w:w="1094" w:type="dxa"/>
            <w:vAlign w:val="center"/>
          </w:tcPr>
          <w:p w14:paraId="0D10C79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土壤及地下水污染防治措施</w:t>
            </w:r>
          </w:p>
        </w:tc>
        <w:tc>
          <w:tcPr>
            <w:tcW w:w="7706" w:type="dxa"/>
            <w:gridSpan w:val="5"/>
            <w:vAlign w:val="center"/>
          </w:tcPr>
          <w:p w14:paraId="611357D4">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厂房地面硬化，厂区雨污分流</w:t>
            </w:r>
          </w:p>
        </w:tc>
      </w:tr>
      <w:tr w14:paraId="34AC1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61" w:hRule="atLeast"/>
          <w:jc w:val="center"/>
        </w:trPr>
        <w:tc>
          <w:tcPr>
            <w:tcW w:w="1094" w:type="dxa"/>
            <w:vAlign w:val="center"/>
          </w:tcPr>
          <w:p w14:paraId="5295841E">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生态保护措施</w:t>
            </w:r>
          </w:p>
        </w:tc>
        <w:tc>
          <w:tcPr>
            <w:tcW w:w="7706" w:type="dxa"/>
            <w:gridSpan w:val="5"/>
            <w:vAlign w:val="center"/>
          </w:tcPr>
          <w:p w14:paraId="019180D7">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w:t>
            </w:r>
          </w:p>
        </w:tc>
      </w:tr>
      <w:tr w14:paraId="33BD5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276" w:hRule="atLeast"/>
          <w:jc w:val="center"/>
        </w:trPr>
        <w:tc>
          <w:tcPr>
            <w:tcW w:w="1094" w:type="dxa"/>
            <w:vAlign w:val="center"/>
          </w:tcPr>
          <w:p w14:paraId="4F6CEF6A">
            <w:pPr>
              <w:adjustRightInd w:val="0"/>
              <w:snapToGrid w:val="0"/>
              <w:jc w:val="center"/>
              <w:rPr>
                <w:color w:val="000000" w:themeColor="text1"/>
                <w:spacing w:val="-8"/>
                <w:szCs w:val="21"/>
                <w:highlight w:val="none"/>
                <w14:textFill>
                  <w14:solidFill>
                    <w14:schemeClr w14:val="tx1"/>
                  </w14:solidFill>
                </w14:textFill>
              </w:rPr>
            </w:pPr>
            <w:r>
              <w:rPr>
                <w:color w:val="000000" w:themeColor="text1"/>
                <w:spacing w:val="-8"/>
                <w:szCs w:val="21"/>
                <w:highlight w:val="none"/>
                <w14:textFill>
                  <w14:solidFill>
                    <w14:schemeClr w14:val="tx1"/>
                  </w14:solidFill>
                </w14:textFill>
              </w:rPr>
              <w:t>环境风险</w:t>
            </w:r>
          </w:p>
          <w:p w14:paraId="78567ECD">
            <w:pPr>
              <w:adjustRightInd w:val="0"/>
              <w:snapToGrid w:val="0"/>
              <w:jc w:val="center"/>
              <w:rPr>
                <w:color w:val="000000" w:themeColor="text1"/>
                <w:spacing w:val="-8"/>
                <w:szCs w:val="21"/>
                <w:highlight w:val="none"/>
                <w14:textFill>
                  <w14:solidFill>
                    <w14:schemeClr w14:val="tx1"/>
                  </w14:solidFill>
                </w14:textFill>
              </w:rPr>
            </w:pPr>
            <w:r>
              <w:rPr>
                <w:color w:val="000000" w:themeColor="text1"/>
                <w:spacing w:val="-8"/>
                <w:szCs w:val="21"/>
                <w:highlight w:val="none"/>
                <w14:textFill>
                  <w14:solidFill>
                    <w14:schemeClr w14:val="tx1"/>
                  </w14:solidFill>
                </w14:textFill>
              </w:rPr>
              <w:t>防范措施</w:t>
            </w:r>
          </w:p>
        </w:tc>
        <w:tc>
          <w:tcPr>
            <w:tcW w:w="7706" w:type="dxa"/>
            <w:gridSpan w:val="5"/>
            <w:vAlign w:val="center"/>
          </w:tcPr>
          <w:p w14:paraId="60B6ABF2">
            <w:pPr>
              <w:adjustRightInd w:val="0"/>
              <w:snapToGrid w:val="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1、建立、完善安全管理制度，严格制定和执行相应的消防管理、安全防火培训、用火用电安全管理、灭火器材维护使用、岗位消防安全等一系列安全制度，并严格遵守执行。</w:t>
            </w:r>
          </w:p>
          <w:p w14:paraId="56ED8B04">
            <w:pPr>
              <w:adjustRightInd w:val="0"/>
              <w:snapToGrid w:val="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2、为预防事故的发生，应成立应急事故领导小组。对员工进行岗位培训，持证上岗。经常性检测并做好值班记录，实行岗位责任制。</w:t>
            </w:r>
          </w:p>
          <w:p w14:paraId="5275A8D5">
            <w:pPr>
              <w:adjustRightInd w:val="0"/>
              <w:snapToGrid w:val="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3、加强作业现场的安全管理，很多火灾的出现都是由于对作业现场的监管不力造成的。</w:t>
            </w:r>
          </w:p>
          <w:p w14:paraId="249909EE">
            <w:pPr>
              <w:adjustRightInd w:val="0"/>
              <w:snapToGrid w:val="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4、设立安全标识、规范安全操作，在作业区等生产现场设置事故照明、安全疏散指示标志。</w:t>
            </w:r>
          </w:p>
          <w:p w14:paraId="521CEA7B">
            <w:pPr>
              <w:adjustRightInd w:val="0"/>
              <w:snapToGrid w:val="0"/>
              <w:rPr>
                <w:color w:val="000000" w:themeColor="text1"/>
                <w:szCs w:val="21"/>
                <w:highlight w:val="none"/>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5、</w:t>
            </w:r>
            <w:r>
              <w:rPr>
                <w:rFonts w:eastAsia="宋体"/>
                <w:color w:val="000000" w:themeColor="text1"/>
                <w:szCs w:val="21"/>
                <w:highlight w:val="none"/>
                <w14:textFill>
                  <w14:solidFill>
                    <w14:schemeClr w14:val="tx1"/>
                  </w14:solidFill>
                </w14:textFill>
              </w:rPr>
              <w:t>灭火设施：应按照规范要求备足灭火器材及消防灭火沙等用品。消防器材要做到“三保证”，即一保证数量充足，二保证种类齐全，三保证使用有效。</w:t>
            </w:r>
          </w:p>
        </w:tc>
      </w:tr>
      <w:tr w14:paraId="1F617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505" w:hRule="atLeast"/>
          <w:jc w:val="center"/>
        </w:trPr>
        <w:tc>
          <w:tcPr>
            <w:tcW w:w="1094" w:type="dxa"/>
            <w:vAlign w:val="center"/>
          </w:tcPr>
          <w:p w14:paraId="51F2FBD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其他环境</w:t>
            </w:r>
          </w:p>
          <w:p w14:paraId="4BA0333F">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管理要求</w:t>
            </w:r>
          </w:p>
        </w:tc>
        <w:tc>
          <w:tcPr>
            <w:tcW w:w="7706" w:type="dxa"/>
            <w:gridSpan w:val="5"/>
            <w:vAlign w:val="center"/>
          </w:tcPr>
          <w:p w14:paraId="1B6577B6">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、设立专门的环保机构，配备专职环保工作人员。</w:t>
            </w:r>
          </w:p>
          <w:p w14:paraId="3CCCB92C">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2、建立日常环境管理制度和环境管理工作计划。</w:t>
            </w:r>
          </w:p>
          <w:p w14:paraId="48D803B8">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、加强环保设施运行管理维护，建立环保设施运行台账，确保环保设施正常运行及污染物稳定达标排放。</w:t>
            </w:r>
          </w:p>
          <w:p w14:paraId="2769564D">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4、</w:t>
            </w:r>
            <w:r>
              <w:rPr>
                <w:rFonts w:ascii="Times New Roman" w:hAnsi="Times New Roman" w:eastAsia="宋体" w:cs="Times New Roman"/>
                <w:color w:val="000000" w:themeColor="text1"/>
                <w:szCs w:val="21"/>
                <w:highlight w:val="none"/>
                <w14:textFill>
                  <w14:solidFill>
                    <w14:schemeClr w14:val="tx1"/>
                  </w14:solidFill>
                </w14:textFill>
              </w:rPr>
              <w:t>落实</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三同时</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制度</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完成项目竣工验收</w:t>
            </w:r>
            <w:r>
              <w:rPr>
                <w:rFonts w:hint="eastAsia" w:ascii="Times New Roman" w:hAnsi="Times New Roman" w:eastAsia="宋体" w:cs="Times New Roman"/>
                <w:color w:val="000000" w:themeColor="text1"/>
                <w:szCs w:val="21"/>
                <w:highlight w:val="none"/>
                <w14:textFill>
                  <w14:solidFill>
                    <w14:schemeClr w14:val="tx1"/>
                  </w14:solidFill>
                </w14:textFill>
              </w:rPr>
              <w:t>。</w:t>
            </w:r>
          </w:p>
          <w:p w14:paraId="3B5C5A8D">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5、</w:t>
            </w:r>
            <w:r>
              <w:rPr>
                <w:rFonts w:hint="eastAsia" w:cs="Times New Roman"/>
                <w:color w:val="000000" w:themeColor="text1"/>
                <w:szCs w:val="21"/>
                <w:highlight w:val="none"/>
                <w:lang w:eastAsia="zh-CN"/>
                <w14:textFill>
                  <w14:solidFill>
                    <w14:schemeClr w14:val="tx1"/>
                  </w14:solidFill>
                </w14:textFill>
              </w:rPr>
              <w:t>扩建</w:t>
            </w:r>
            <w:r>
              <w:rPr>
                <w:rFonts w:hint="eastAsia" w:ascii="Times New Roman" w:hAnsi="Times New Roman" w:eastAsia="宋体" w:cs="Times New Roman"/>
                <w:color w:val="000000" w:themeColor="text1"/>
                <w:szCs w:val="21"/>
                <w:highlight w:val="none"/>
                <w14:textFill>
                  <w14:solidFill>
                    <w14:schemeClr w14:val="tx1"/>
                  </w14:solidFill>
                </w14:textFill>
              </w:rPr>
              <w:t>项目</w:t>
            </w:r>
            <w:r>
              <w:rPr>
                <w:rFonts w:ascii="Times New Roman" w:hAnsi="Times New Roman" w:eastAsia="宋体" w:cs="Times New Roman"/>
                <w:color w:val="000000" w:themeColor="text1"/>
                <w:szCs w:val="21"/>
                <w:highlight w:val="none"/>
                <w14:textFill>
                  <w14:solidFill>
                    <w14:schemeClr w14:val="tx1"/>
                  </w14:solidFill>
                </w14:textFill>
              </w:rPr>
              <w:t>排污许可证</w:t>
            </w:r>
            <w:r>
              <w:rPr>
                <w:rFonts w:hint="eastAsia" w:ascii="Times New Roman" w:hAnsi="Times New Roman" w:eastAsia="宋体" w:cs="Times New Roman"/>
                <w:color w:val="000000" w:themeColor="text1"/>
                <w:szCs w:val="21"/>
                <w:highlight w:val="none"/>
                <w14:textFill>
                  <w14:solidFill>
                    <w14:schemeClr w14:val="tx1"/>
                  </w14:solidFill>
                </w14:textFill>
              </w:rPr>
              <w:t>属于登记管理类别</w:t>
            </w: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GB"/>
                <w14:textFill>
                  <w14:solidFill>
                    <w14:schemeClr w14:val="tx1"/>
                  </w14:solidFill>
                </w14:textFill>
              </w:rPr>
              <w:t>本项目在排放污染物前，建设单位应完成排污登记变更。</w:t>
            </w:r>
            <w:r>
              <w:rPr>
                <w:rFonts w:hint="eastAsia" w:ascii="Times New Roman" w:hAnsi="Times New Roman" w:eastAsia="宋体" w:cs="Times New Roman"/>
                <w:color w:val="000000" w:themeColor="text1"/>
                <w:szCs w:val="21"/>
                <w:highlight w:val="none"/>
                <w14:textFill>
                  <w14:solidFill>
                    <w14:schemeClr w14:val="tx1"/>
                  </w14:solidFill>
                </w14:textFill>
              </w:rPr>
              <w:t>实行登记管理的排污单位，不需要申请取得排污许可证，应当在全国排污许可证管理信用平台填报排污登记表，登记基本信息、污染物排放去向、执行的污染物排放标准以及采取的污染防治措施等信息。</w:t>
            </w:r>
          </w:p>
          <w:p w14:paraId="668EC7DE">
            <w:pPr>
              <w:adjustRightInd w:val="0"/>
              <w:snapToGrid w:val="0"/>
              <w:rPr>
                <w:color w:val="000000" w:themeColor="text1"/>
                <w:szCs w:val="21"/>
                <w:highlight w:val="none"/>
                <w14:textFill>
                  <w14:solidFill>
                    <w14:schemeClr w14:val="tx1"/>
                  </w14:solidFill>
                </w14:textFill>
              </w:rPr>
            </w:pPr>
          </w:p>
        </w:tc>
      </w:tr>
    </w:tbl>
    <w:p w14:paraId="0F83A4F9">
      <w:pPr>
        <w:pStyle w:val="24"/>
        <w:jc w:val="both"/>
        <w:outlineLvl w:val="0"/>
        <w:rPr>
          <w:rFonts w:hint="eastAsia" w:ascii="Times New Roman" w:hAnsi="Times New Roman" w:eastAsia="黑体"/>
          <w:snapToGrid w:val="0"/>
          <w:color w:val="000000" w:themeColor="text1"/>
          <w:sz w:val="30"/>
          <w:szCs w:val="30"/>
          <w:highlight w:val="none"/>
          <w:lang w:eastAsia="zh-CN"/>
          <w14:textFill>
            <w14:solidFill>
              <w14:schemeClr w14:val="tx1"/>
            </w14:solidFill>
          </w14:textFill>
        </w:rPr>
      </w:pPr>
    </w:p>
    <w:p w14:paraId="31EE0C25">
      <w:pPr>
        <w:pStyle w:val="24"/>
        <w:jc w:val="both"/>
        <w:outlineLvl w:val="0"/>
        <w:rPr>
          <w:color w:val="000000" w:themeColor="text1"/>
          <w:highlight w:val="none"/>
          <w14:textFill>
            <w14:solidFill>
              <w14:schemeClr w14:val="tx1"/>
            </w14:solidFill>
          </w14:textFill>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黑体"/>
          <w:snapToGrid w:val="0"/>
          <w:color w:val="000000" w:themeColor="text1"/>
          <w:sz w:val="30"/>
          <w:szCs w:val="30"/>
          <w:highlight w:val="none"/>
          <w:lang w:eastAsia="zh-CN"/>
          <w14:textFill>
            <w14:solidFill>
              <w14:schemeClr w14:val="tx1"/>
            </w14:solidFill>
          </w14:textFill>
        </w:rPr>
        <w:drawing>
          <wp:inline distT="0" distB="0" distL="114300" distR="114300">
            <wp:extent cx="5588635" cy="8279765"/>
            <wp:effectExtent l="0" t="0" r="12065" b="6985"/>
            <wp:docPr id="72" name="图片 72" descr="编制单位和编制人员情况表-扩建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编制单位和编制人员情况表-扩建_页面_3"/>
                    <pic:cNvPicPr>
                      <a:picLocks noChangeAspect="1"/>
                    </pic:cNvPicPr>
                  </pic:nvPicPr>
                  <pic:blipFill>
                    <a:blip r:embed="rId30"/>
                    <a:srcRect l="4286" r="5180" b="5226"/>
                    <a:stretch>
                      <a:fillRect/>
                    </a:stretch>
                  </pic:blipFill>
                  <pic:spPr>
                    <a:xfrm>
                      <a:off x="0" y="0"/>
                      <a:ext cx="5588635" cy="8279765"/>
                    </a:xfrm>
                    <a:prstGeom prst="rect">
                      <a:avLst/>
                    </a:prstGeom>
                  </pic:spPr>
                </pic:pic>
              </a:graphicData>
            </a:graphic>
          </wp:inline>
        </w:drawing>
      </w:r>
    </w:p>
    <w:p w14:paraId="11CA8081">
      <w:pPr>
        <w:pStyle w:val="24"/>
        <w:adjustRightInd w:val="0"/>
        <w:snapToGrid w:val="0"/>
        <w:spacing w:before="0" w:beforeAutospacing="0" w:after="0" w:afterAutospacing="0" w:line="360" w:lineRule="auto"/>
        <w:outlineLvl w:val="0"/>
        <w:rPr>
          <w:rFonts w:ascii="Times New Roman" w:hAnsi="Times New Roman" w:eastAsia="黑体"/>
          <w:snapToGrid w:val="0"/>
          <w:color w:val="000000" w:themeColor="text1"/>
          <w:sz w:val="32"/>
          <w:szCs w:val="32"/>
          <w:highlight w:val="none"/>
          <w14:textFill>
            <w14:solidFill>
              <w14:schemeClr w14:val="tx1"/>
            </w14:solidFill>
          </w14:textFill>
        </w:rPr>
      </w:pPr>
      <w:r>
        <w:rPr>
          <w:rFonts w:ascii="Times New Roman" w:hAnsi="Times New Roman" w:eastAsia="黑体"/>
          <w:snapToGrid w:val="0"/>
          <w:color w:val="000000" w:themeColor="text1"/>
          <w:sz w:val="32"/>
          <w:szCs w:val="32"/>
          <w:highlight w:val="none"/>
          <w14:textFill>
            <w14:solidFill>
              <w14:schemeClr w14:val="tx1"/>
            </w14:solidFill>
          </w14:textFill>
        </w:rPr>
        <w:t>附表</w:t>
      </w:r>
    </w:p>
    <w:p w14:paraId="0283D82B">
      <w:pPr>
        <w:pStyle w:val="24"/>
        <w:adjustRightInd w:val="0"/>
        <w:snapToGrid w:val="0"/>
        <w:spacing w:before="0" w:beforeAutospacing="0" w:after="0" w:afterAutospacing="0"/>
        <w:jc w:val="center"/>
        <w:outlineLvl w:val="0"/>
        <w:rPr>
          <w:rFonts w:ascii="Times New Roman" w:hAnsi="Times New Roman" w:eastAsia="方正小标宋_GBK"/>
          <w:snapToGrid w:val="0"/>
          <w:color w:val="000000" w:themeColor="text1"/>
          <w:sz w:val="38"/>
          <w:szCs w:val="38"/>
          <w:highlight w:val="none"/>
          <w14:textFill>
            <w14:solidFill>
              <w14:schemeClr w14:val="tx1"/>
            </w14:solidFill>
          </w14:textFill>
        </w:rPr>
      </w:pPr>
      <w:r>
        <w:rPr>
          <w:rFonts w:ascii="Times New Roman" w:hAnsi="Times New Roman"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808"/>
        <w:gridCol w:w="1559"/>
        <w:gridCol w:w="1276"/>
        <w:gridCol w:w="1701"/>
        <w:gridCol w:w="1559"/>
        <w:gridCol w:w="1761"/>
        <w:gridCol w:w="1761"/>
        <w:gridCol w:w="1024"/>
      </w:tblGrid>
      <w:tr w14:paraId="5B782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tcBorders>
              <w:tl2br w:val="single" w:color="auto" w:sz="4" w:space="0"/>
            </w:tcBorders>
            <w:tcMar>
              <w:left w:w="28" w:type="dxa"/>
              <w:right w:w="28" w:type="dxa"/>
            </w:tcMar>
            <w:vAlign w:val="center"/>
          </w:tcPr>
          <w:p w14:paraId="1F643716">
            <w:pPr>
              <w:pStyle w:val="58"/>
              <w:spacing w:beforeLines="0" w:afterLines="0" w:line="240" w:lineRule="auto"/>
              <w:jc w:val="righ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项目</w:t>
            </w:r>
          </w:p>
          <w:p w14:paraId="1DDFE60B">
            <w:pPr>
              <w:pStyle w:val="58"/>
              <w:spacing w:beforeLines="0" w:afterLines="0" w:line="240" w:lineRule="auto"/>
              <w:jc w:val="lef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分类</w:t>
            </w:r>
          </w:p>
        </w:tc>
        <w:tc>
          <w:tcPr>
            <w:tcW w:w="1808" w:type="dxa"/>
            <w:tcMar>
              <w:left w:w="28" w:type="dxa"/>
              <w:right w:w="28" w:type="dxa"/>
            </w:tcMar>
            <w:vAlign w:val="center"/>
          </w:tcPr>
          <w:p w14:paraId="3CC278E8">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污染物名称</w:t>
            </w:r>
          </w:p>
        </w:tc>
        <w:tc>
          <w:tcPr>
            <w:tcW w:w="1559" w:type="dxa"/>
            <w:tcMar>
              <w:left w:w="28" w:type="dxa"/>
              <w:right w:w="28" w:type="dxa"/>
            </w:tcMar>
            <w:vAlign w:val="center"/>
          </w:tcPr>
          <w:p w14:paraId="6B8C5822">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w:t>
            </w:r>
          </w:p>
          <w:p w14:paraId="70CFB5E9">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①</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276" w:type="dxa"/>
            <w:tcMar>
              <w:left w:w="28" w:type="dxa"/>
              <w:right w:w="28" w:type="dxa"/>
            </w:tcMar>
            <w:vAlign w:val="center"/>
          </w:tcPr>
          <w:p w14:paraId="196BD6D4">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w:t>
            </w:r>
          </w:p>
          <w:p w14:paraId="1F969C65">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许可排放量</w:t>
            </w:r>
          </w:p>
          <w:p w14:paraId="76D06F5E">
            <w:pPr>
              <w:pStyle w:val="58"/>
              <w:spacing w:beforeLines="0" w:afterLine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snapToGrid w:val="0"/>
                <w:color w:val="000000" w:themeColor="text1"/>
                <w:spacing w:val="-6"/>
                <w:kern w:val="21"/>
                <w:szCs w:val="21"/>
                <w:highlight w:val="none"/>
                <w14:textFill>
                  <w14:solidFill>
                    <w14:schemeClr w14:val="tx1"/>
                  </w14:solidFill>
                </w14:textFill>
              </w:rPr>
              <w:t>②</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701" w:type="dxa"/>
            <w:tcMar>
              <w:left w:w="28" w:type="dxa"/>
              <w:right w:w="28" w:type="dxa"/>
            </w:tcMar>
            <w:vAlign w:val="center"/>
          </w:tcPr>
          <w:p w14:paraId="2FA29917">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在建工程</w:t>
            </w:r>
          </w:p>
          <w:p w14:paraId="7F0F75EA">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③</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559" w:type="dxa"/>
            <w:tcMar>
              <w:left w:w="28" w:type="dxa"/>
              <w:right w:w="28" w:type="dxa"/>
            </w:tcMar>
            <w:vAlign w:val="center"/>
          </w:tcPr>
          <w:p w14:paraId="394E99EE">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本项目</w:t>
            </w:r>
          </w:p>
          <w:p w14:paraId="23AC5678">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④</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761" w:type="dxa"/>
            <w:tcMar>
              <w:left w:w="28" w:type="dxa"/>
              <w:right w:w="28" w:type="dxa"/>
            </w:tcMar>
            <w:vAlign w:val="center"/>
          </w:tcPr>
          <w:p w14:paraId="54697ADC">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以新带老削减量</w:t>
            </w:r>
          </w:p>
          <w:p w14:paraId="46EEE06D">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(新建项目不填)</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⑤</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1761" w:type="dxa"/>
            <w:tcMar>
              <w:left w:w="28" w:type="dxa"/>
              <w:right w:w="28" w:type="dxa"/>
            </w:tcMar>
            <w:vAlign w:val="center"/>
          </w:tcPr>
          <w:p w14:paraId="5B9BE62D">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本项目建成后</w:t>
            </w:r>
          </w:p>
          <w:p w14:paraId="70BBE481">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全厂排放量(固体废物产生量)</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⑥</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1024" w:type="dxa"/>
            <w:tcMar>
              <w:left w:w="28" w:type="dxa"/>
              <w:right w:w="28" w:type="dxa"/>
            </w:tcMar>
            <w:vAlign w:val="center"/>
          </w:tcPr>
          <w:p w14:paraId="1E030AB4">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变化量</w:t>
            </w:r>
          </w:p>
          <w:p w14:paraId="324A9A6C">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⑦</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r>
      <w:tr w14:paraId="723BF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14:paraId="6D13405D">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废气</w:t>
            </w:r>
          </w:p>
        </w:tc>
        <w:tc>
          <w:tcPr>
            <w:tcW w:w="1808" w:type="dxa"/>
            <w:vAlign w:val="center"/>
          </w:tcPr>
          <w:p w14:paraId="4728A49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颗粒物</w:t>
            </w:r>
          </w:p>
        </w:tc>
        <w:tc>
          <w:tcPr>
            <w:tcW w:w="1559" w:type="dxa"/>
            <w:vAlign w:val="center"/>
          </w:tcPr>
          <w:p w14:paraId="3F37D8B5">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58306515">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17682CA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1E06045A">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0.03</w:t>
            </w:r>
            <w:r>
              <w:rPr>
                <w:rFonts w:hint="eastAsia" w:eastAsia="宋体"/>
                <w:snapToGrid w:val="0"/>
                <w:color w:val="000000" w:themeColor="text1"/>
                <w:kern w:val="18"/>
                <w:highlight w:val="none"/>
                <w:lang w:val="en-US" w:eastAsia="zh-CN"/>
                <w14:textFill>
                  <w14:solidFill>
                    <w14:schemeClr w14:val="tx1"/>
                  </w14:solidFill>
                </w14:textFill>
              </w:rPr>
              <w:t>69</w:t>
            </w:r>
          </w:p>
        </w:tc>
        <w:tc>
          <w:tcPr>
            <w:tcW w:w="1761" w:type="dxa"/>
            <w:vAlign w:val="center"/>
          </w:tcPr>
          <w:p w14:paraId="00E02713">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12D13037">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0.03</w:t>
            </w:r>
            <w:r>
              <w:rPr>
                <w:rFonts w:hint="eastAsia" w:eastAsia="宋体"/>
                <w:snapToGrid w:val="0"/>
                <w:color w:val="000000" w:themeColor="text1"/>
                <w:kern w:val="18"/>
                <w:highlight w:val="none"/>
                <w:lang w:val="en-US" w:eastAsia="zh-CN"/>
                <w14:textFill>
                  <w14:solidFill>
                    <w14:schemeClr w14:val="tx1"/>
                  </w14:solidFill>
                </w14:textFill>
              </w:rPr>
              <w:t>69</w:t>
            </w:r>
          </w:p>
        </w:tc>
        <w:tc>
          <w:tcPr>
            <w:tcW w:w="1024" w:type="dxa"/>
            <w:vAlign w:val="center"/>
          </w:tcPr>
          <w:p w14:paraId="03F85501">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+0.03</w:t>
            </w:r>
            <w:r>
              <w:rPr>
                <w:rFonts w:hint="eastAsia" w:eastAsia="宋体"/>
                <w:snapToGrid w:val="0"/>
                <w:color w:val="000000" w:themeColor="text1"/>
                <w:kern w:val="18"/>
                <w:highlight w:val="none"/>
                <w:lang w:val="en-US" w:eastAsia="zh-CN"/>
                <w14:textFill>
                  <w14:solidFill>
                    <w14:schemeClr w14:val="tx1"/>
                  </w14:solidFill>
                </w14:textFill>
              </w:rPr>
              <w:t>69</w:t>
            </w:r>
          </w:p>
        </w:tc>
      </w:tr>
      <w:tr w14:paraId="67EDA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14:paraId="0462ADD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14:paraId="3673C780">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非甲烷总烃</w:t>
            </w:r>
          </w:p>
        </w:tc>
        <w:tc>
          <w:tcPr>
            <w:tcW w:w="1559" w:type="dxa"/>
            <w:vAlign w:val="center"/>
          </w:tcPr>
          <w:p w14:paraId="0EB50B6A">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733FC00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2F1C7E9D">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46286228">
            <w:pPr>
              <w:jc w:val="center"/>
              <w:rPr>
                <w:rFonts w:eastAsia="宋体"/>
                <w:snapToGrid w:val="0"/>
                <w:color w:val="000000" w:themeColor="text1"/>
                <w:kern w:val="18"/>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c>
          <w:tcPr>
            <w:tcW w:w="1761" w:type="dxa"/>
            <w:vAlign w:val="center"/>
          </w:tcPr>
          <w:p w14:paraId="0739197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7DE3EA90">
            <w:pPr>
              <w:jc w:val="center"/>
              <w:rPr>
                <w:rFonts w:eastAsia="宋体"/>
                <w:snapToGrid w:val="0"/>
                <w:color w:val="000000" w:themeColor="text1"/>
                <w:kern w:val="18"/>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c>
          <w:tcPr>
            <w:tcW w:w="1024" w:type="dxa"/>
            <w:vAlign w:val="center"/>
          </w:tcPr>
          <w:p w14:paraId="4C03817B">
            <w:pPr>
              <w:jc w:val="center"/>
              <w:rPr>
                <w:rFonts w:eastAsia="宋体"/>
                <w:snapToGrid w:val="0"/>
                <w:color w:val="000000" w:themeColor="text1"/>
                <w:kern w:val="18"/>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r>
      <w:tr w14:paraId="22A78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14:paraId="6C6400DB">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14:paraId="5045CEA5">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二甲苯</w:t>
            </w:r>
          </w:p>
        </w:tc>
        <w:tc>
          <w:tcPr>
            <w:tcW w:w="1559" w:type="dxa"/>
            <w:vAlign w:val="center"/>
          </w:tcPr>
          <w:p w14:paraId="30DC9DB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012BCE0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19F8C2DA">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14185407">
            <w:pPr>
              <w:jc w:val="center"/>
              <w:rPr>
                <w:rFonts w:eastAsia="宋体"/>
                <w:snapToGrid w:val="0"/>
                <w:color w:val="000000" w:themeColor="text1"/>
                <w:kern w:val="18"/>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c>
          <w:tcPr>
            <w:tcW w:w="1761" w:type="dxa"/>
            <w:vAlign w:val="center"/>
          </w:tcPr>
          <w:p w14:paraId="106D978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63A0CEEC">
            <w:pPr>
              <w:jc w:val="center"/>
              <w:rPr>
                <w:rFonts w:eastAsia="宋体"/>
                <w:snapToGrid w:val="0"/>
                <w:color w:val="000000" w:themeColor="text1"/>
                <w:kern w:val="18"/>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c>
          <w:tcPr>
            <w:tcW w:w="1024" w:type="dxa"/>
            <w:vAlign w:val="center"/>
          </w:tcPr>
          <w:p w14:paraId="3E49EF96">
            <w:pPr>
              <w:jc w:val="center"/>
              <w:rPr>
                <w:rFonts w:eastAsia="宋体"/>
                <w:snapToGrid w:val="0"/>
                <w:color w:val="000000" w:themeColor="text1"/>
                <w:kern w:val="18"/>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r>
      <w:tr w14:paraId="5E2CD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14:paraId="11E8252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废水</w:t>
            </w:r>
          </w:p>
        </w:tc>
        <w:tc>
          <w:tcPr>
            <w:tcW w:w="1808" w:type="dxa"/>
            <w:vAlign w:val="center"/>
          </w:tcPr>
          <w:p w14:paraId="083DCD3A">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COD</w:t>
            </w:r>
          </w:p>
        </w:tc>
        <w:tc>
          <w:tcPr>
            <w:tcW w:w="1559" w:type="dxa"/>
            <w:vAlign w:val="center"/>
          </w:tcPr>
          <w:p w14:paraId="5601D83A">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24C1705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1AF61194">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03CB7DD9">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0.021</w:t>
            </w:r>
          </w:p>
        </w:tc>
        <w:tc>
          <w:tcPr>
            <w:tcW w:w="1761" w:type="dxa"/>
            <w:vAlign w:val="center"/>
          </w:tcPr>
          <w:p w14:paraId="6B8FFBD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52F3C2AA">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0.021</w:t>
            </w:r>
          </w:p>
        </w:tc>
        <w:tc>
          <w:tcPr>
            <w:tcW w:w="1024" w:type="dxa"/>
            <w:vAlign w:val="center"/>
          </w:tcPr>
          <w:p w14:paraId="3DB6A5DB">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+0.021</w:t>
            </w:r>
          </w:p>
        </w:tc>
      </w:tr>
      <w:tr w14:paraId="57BC7B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14:paraId="5B0CCEBB">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14:paraId="65520E1D">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NH</w:t>
            </w:r>
            <w:r>
              <w:rPr>
                <w:rFonts w:hint="eastAsia" w:ascii="Times New Roman"/>
                <w:snapToGrid w:val="0"/>
                <w:color w:val="000000" w:themeColor="text1"/>
                <w:kern w:val="21"/>
                <w:szCs w:val="21"/>
                <w:highlight w:val="none"/>
                <w:vertAlign w:val="subscript"/>
                <w14:textFill>
                  <w14:solidFill>
                    <w14:schemeClr w14:val="tx1"/>
                  </w14:solidFill>
                </w14:textFill>
              </w:rPr>
              <w:t>3</w:t>
            </w:r>
            <w:r>
              <w:rPr>
                <w:rFonts w:hint="eastAsia" w:ascii="Times New Roman"/>
                <w:snapToGrid w:val="0"/>
                <w:color w:val="000000" w:themeColor="text1"/>
                <w:kern w:val="21"/>
                <w:szCs w:val="21"/>
                <w:highlight w:val="none"/>
                <w14:textFill>
                  <w14:solidFill>
                    <w14:schemeClr w14:val="tx1"/>
                  </w14:solidFill>
                </w14:textFill>
              </w:rPr>
              <w:t>-N</w:t>
            </w:r>
          </w:p>
        </w:tc>
        <w:tc>
          <w:tcPr>
            <w:tcW w:w="1559" w:type="dxa"/>
            <w:vAlign w:val="center"/>
          </w:tcPr>
          <w:p w14:paraId="0206EA5B">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0540144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07A8BD2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297EC951">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0.002</w:t>
            </w:r>
          </w:p>
        </w:tc>
        <w:tc>
          <w:tcPr>
            <w:tcW w:w="1761" w:type="dxa"/>
            <w:vAlign w:val="center"/>
          </w:tcPr>
          <w:p w14:paraId="27E04CBA">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10F0197B">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0.002</w:t>
            </w:r>
          </w:p>
        </w:tc>
        <w:tc>
          <w:tcPr>
            <w:tcW w:w="1024" w:type="dxa"/>
            <w:vAlign w:val="center"/>
          </w:tcPr>
          <w:p w14:paraId="463D776C">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+0.002</w:t>
            </w:r>
          </w:p>
        </w:tc>
      </w:tr>
      <w:tr w14:paraId="47545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14:paraId="7E0C84A6">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一般工业</w:t>
            </w:r>
          </w:p>
          <w:p w14:paraId="15B39DB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固体废物</w:t>
            </w:r>
          </w:p>
        </w:tc>
        <w:tc>
          <w:tcPr>
            <w:tcW w:w="1808" w:type="dxa"/>
            <w:vAlign w:val="center"/>
          </w:tcPr>
          <w:p w14:paraId="49AF5F70">
            <w:pPr>
              <w:jc w:val="center"/>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废边角料</w:t>
            </w:r>
          </w:p>
        </w:tc>
        <w:tc>
          <w:tcPr>
            <w:tcW w:w="1559" w:type="dxa"/>
            <w:vAlign w:val="center"/>
          </w:tcPr>
          <w:p w14:paraId="43D3CC1A">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0A882A5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13BDF362">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49611082">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99</w:t>
            </w:r>
          </w:p>
        </w:tc>
        <w:tc>
          <w:tcPr>
            <w:tcW w:w="1761" w:type="dxa"/>
            <w:vAlign w:val="center"/>
          </w:tcPr>
          <w:p w14:paraId="6344F7B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7F127EC1">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99</w:t>
            </w:r>
          </w:p>
        </w:tc>
        <w:tc>
          <w:tcPr>
            <w:tcW w:w="1024" w:type="dxa"/>
            <w:vAlign w:val="center"/>
          </w:tcPr>
          <w:p w14:paraId="701C8185">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99</w:t>
            </w:r>
          </w:p>
        </w:tc>
      </w:tr>
      <w:tr w14:paraId="55D07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14:paraId="61CF0FA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14:paraId="2D2F5C25">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布袋除尘颗粒物</w:t>
            </w:r>
          </w:p>
        </w:tc>
        <w:tc>
          <w:tcPr>
            <w:tcW w:w="1559" w:type="dxa"/>
            <w:vAlign w:val="center"/>
          </w:tcPr>
          <w:p w14:paraId="004A8EDF">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6C1C72DE">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1625611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7032504C">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912</w:t>
            </w:r>
          </w:p>
        </w:tc>
        <w:tc>
          <w:tcPr>
            <w:tcW w:w="1761" w:type="dxa"/>
            <w:vAlign w:val="center"/>
          </w:tcPr>
          <w:p w14:paraId="23CA2876">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0460B4B8">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912</w:t>
            </w:r>
          </w:p>
        </w:tc>
        <w:tc>
          <w:tcPr>
            <w:tcW w:w="1024" w:type="dxa"/>
            <w:vAlign w:val="center"/>
          </w:tcPr>
          <w:p w14:paraId="0FA38973">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912</w:t>
            </w:r>
          </w:p>
        </w:tc>
      </w:tr>
      <w:tr w14:paraId="4C1EA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14:paraId="2C839E09">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危险废物</w:t>
            </w:r>
          </w:p>
        </w:tc>
        <w:tc>
          <w:tcPr>
            <w:tcW w:w="1808" w:type="dxa"/>
            <w:vAlign w:val="center"/>
          </w:tcPr>
          <w:p w14:paraId="0A9E0282">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废漆渣</w:t>
            </w:r>
          </w:p>
        </w:tc>
        <w:tc>
          <w:tcPr>
            <w:tcW w:w="1559" w:type="dxa"/>
            <w:vAlign w:val="center"/>
          </w:tcPr>
          <w:p w14:paraId="393AD60D">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328DA6B3">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14ABB583">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0398B69E">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132</w:t>
            </w:r>
          </w:p>
        </w:tc>
        <w:tc>
          <w:tcPr>
            <w:tcW w:w="1761" w:type="dxa"/>
            <w:vAlign w:val="center"/>
          </w:tcPr>
          <w:p w14:paraId="160EBBFB">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071D0C9A">
            <w:pPr>
              <w:pStyle w:val="95"/>
              <w:rPr>
                <w:rFonts w:hint="default" w:eastAsia="宋体"/>
                <w:snapToGrid w:val="0"/>
                <w:color w:val="000000" w:themeColor="text1"/>
                <w:kern w:val="21"/>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132</w:t>
            </w:r>
          </w:p>
        </w:tc>
        <w:tc>
          <w:tcPr>
            <w:tcW w:w="1024" w:type="dxa"/>
            <w:vAlign w:val="center"/>
          </w:tcPr>
          <w:p w14:paraId="596BB85E">
            <w:pPr>
              <w:pStyle w:val="95"/>
              <w:rPr>
                <w:rFonts w:hint="default" w:eastAsia="宋体"/>
                <w:snapToGrid w:val="0"/>
                <w:color w:val="000000" w:themeColor="text1"/>
                <w:kern w:val="21"/>
                <w:highlight w:val="none"/>
                <w:lang w:val="en-US" w:eastAsia="zh-CN"/>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132</w:t>
            </w:r>
          </w:p>
        </w:tc>
      </w:tr>
      <w:tr w14:paraId="5D54C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14:paraId="0509312D">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14:paraId="3318FC60">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废活性炭</w:t>
            </w:r>
          </w:p>
        </w:tc>
        <w:tc>
          <w:tcPr>
            <w:tcW w:w="1559" w:type="dxa"/>
            <w:vAlign w:val="center"/>
          </w:tcPr>
          <w:p w14:paraId="7A6B4446">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7580BE51">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743C4C64">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2AC89505">
            <w:pPr>
              <w:pStyle w:val="95"/>
              <w:rPr>
                <w:rFonts w:hint="eastAsia" w:eastAsia="宋体"/>
                <w:snapToGrid w:val="0"/>
                <w:color w:val="000000" w:themeColor="text1"/>
                <w:kern w:val="18"/>
                <w:highlight w:val="none"/>
                <w:lang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8</w:t>
            </w:r>
          </w:p>
        </w:tc>
        <w:tc>
          <w:tcPr>
            <w:tcW w:w="1761" w:type="dxa"/>
            <w:vAlign w:val="center"/>
          </w:tcPr>
          <w:p w14:paraId="68E33CB3">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556C5EE8">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8</w:t>
            </w:r>
          </w:p>
        </w:tc>
        <w:tc>
          <w:tcPr>
            <w:tcW w:w="1024" w:type="dxa"/>
            <w:vAlign w:val="center"/>
          </w:tcPr>
          <w:p w14:paraId="4DACA266">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8</w:t>
            </w:r>
          </w:p>
        </w:tc>
      </w:tr>
      <w:tr w14:paraId="576C3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14:paraId="49A361A7">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14:paraId="33C1918E">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废污泥</w:t>
            </w:r>
          </w:p>
        </w:tc>
        <w:tc>
          <w:tcPr>
            <w:tcW w:w="1559" w:type="dxa"/>
            <w:vAlign w:val="center"/>
          </w:tcPr>
          <w:p w14:paraId="24D2892C">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621E8208">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3F75CF11">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053CA73A">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0.14</w:t>
            </w:r>
          </w:p>
        </w:tc>
        <w:tc>
          <w:tcPr>
            <w:tcW w:w="1761" w:type="dxa"/>
            <w:vAlign w:val="center"/>
          </w:tcPr>
          <w:p w14:paraId="6965F46C">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48CB5C5F">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0.14</w:t>
            </w:r>
          </w:p>
        </w:tc>
        <w:tc>
          <w:tcPr>
            <w:tcW w:w="1024" w:type="dxa"/>
            <w:vAlign w:val="center"/>
          </w:tcPr>
          <w:p w14:paraId="597B9F92">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0.14</w:t>
            </w:r>
          </w:p>
        </w:tc>
      </w:tr>
      <w:tr w14:paraId="571EC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14:paraId="5D15BC41">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14:paraId="0E73DBF1">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涂料废包装</w:t>
            </w:r>
          </w:p>
        </w:tc>
        <w:tc>
          <w:tcPr>
            <w:tcW w:w="1559" w:type="dxa"/>
            <w:vAlign w:val="center"/>
          </w:tcPr>
          <w:p w14:paraId="6D21558B">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14:paraId="620C2A3D">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14:paraId="12FEBF0D">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14:paraId="44E9923B">
            <w:pPr>
              <w:pStyle w:val="95"/>
              <w:rPr>
                <w:rFonts w:hint="eastAsia"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0.01</w:t>
            </w:r>
            <w:r>
              <w:rPr>
                <w:rFonts w:hint="eastAsia" w:eastAsia="宋体"/>
                <w:snapToGrid w:val="0"/>
                <w:color w:val="000000" w:themeColor="text1"/>
                <w:kern w:val="18"/>
                <w:highlight w:val="none"/>
                <w:lang w:val="en-US" w:eastAsia="zh-CN"/>
                <w14:textFill>
                  <w14:solidFill>
                    <w14:schemeClr w14:val="tx1"/>
                  </w14:solidFill>
                </w14:textFill>
              </w:rPr>
              <w:t>5</w:t>
            </w:r>
          </w:p>
        </w:tc>
        <w:tc>
          <w:tcPr>
            <w:tcW w:w="1761" w:type="dxa"/>
            <w:vAlign w:val="center"/>
          </w:tcPr>
          <w:p w14:paraId="5214177E">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14:paraId="4FFD9B86">
            <w:pPr>
              <w:pStyle w:val="95"/>
              <w:rPr>
                <w:rFonts w:hint="default" w:eastAsia="宋体"/>
                <w:snapToGrid w:val="0"/>
                <w:color w:val="000000" w:themeColor="text1"/>
                <w:kern w:val="21"/>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525</w:t>
            </w:r>
          </w:p>
        </w:tc>
        <w:tc>
          <w:tcPr>
            <w:tcW w:w="1024" w:type="dxa"/>
            <w:vAlign w:val="center"/>
          </w:tcPr>
          <w:p w14:paraId="6C21743D">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0.01</w:t>
            </w:r>
            <w:r>
              <w:rPr>
                <w:rFonts w:hint="eastAsia" w:eastAsia="宋体"/>
                <w:snapToGrid w:val="0"/>
                <w:color w:val="000000" w:themeColor="text1"/>
                <w:kern w:val="18"/>
                <w:highlight w:val="none"/>
                <w:lang w:val="en-US" w:eastAsia="zh-CN"/>
                <w14:textFill>
                  <w14:solidFill>
                    <w14:schemeClr w14:val="tx1"/>
                  </w14:solidFill>
                </w14:textFill>
              </w:rPr>
              <w:t>5</w:t>
            </w:r>
          </w:p>
        </w:tc>
      </w:tr>
      <w:tr w14:paraId="51D11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88" w:type="dxa"/>
            <w:gridSpan w:val="9"/>
            <w:vAlign w:val="center"/>
          </w:tcPr>
          <w:p w14:paraId="53E637F0">
            <w:pPr>
              <w:pStyle w:val="95"/>
              <w:jc w:val="both"/>
              <w:rPr>
                <w:rFonts w:hint="eastAsia" w:eastAsia="宋体"/>
                <w:snapToGrid w:val="0"/>
                <w:color w:val="000000" w:themeColor="text1"/>
                <w:kern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注：</w:t>
            </w:r>
            <w:r>
              <w:rPr>
                <w:rFonts w:hint="eastAsia" w:ascii="Times New Roman" w:hAnsi="Times New Roman" w:eastAsia="宋体" w:cs="Times New Roman"/>
                <w:color w:val="000000" w:themeColor="text1"/>
                <w:highlight w:val="none"/>
                <w:lang w:eastAsia="zh-CN"/>
                <w14:textFill>
                  <w14:solidFill>
                    <w14:schemeClr w14:val="tx1"/>
                  </w14:solidFill>
                </w14:textFill>
              </w:rPr>
              <w:t>由于现有工程</w:t>
            </w:r>
            <w:r>
              <w:rPr>
                <w:rFonts w:hint="eastAsia" w:eastAsia="宋体" w:cs="Times New Roman"/>
                <w:color w:val="000000" w:themeColor="text1"/>
                <w:highlight w:val="none"/>
                <w:lang w:eastAsia="zh-CN"/>
                <w14:textFill>
                  <w14:solidFill>
                    <w14:schemeClr w14:val="tx1"/>
                  </w14:solidFill>
                </w14:textFill>
              </w:rPr>
              <w:t>仅登记备案</w:t>
            </w:r>
            <w:r>
              <w:rPr>
                <w:rFonts w:hint="eastAsia" w:ascii="Times New Roman" w:hAnsi="Times New Roman" w:eastAsia="宋体" w:cs="Times New Roman"/>
                <w:color w:val="000000" w:themeColor="text1"/>
                <w:highlight w:val="none"/>
                <w:lang w:eastAsia="zh-CN"/>
                <w14:textFill>
                  <w14:solidFill>
                    <w14:schemeClr w14:val="tx1"/>
                  </w14:solidFill>
                </w14:textFill>
              </w:rPr>
              <w:t>，未进行现状产排污核算及污染源监测，本评价在扩建项目主要环境影响废气章节根据扩建后生产规模进行污染源强核算。</w:t>
            </w:r>
          </w:p>
        </w:tc>
      </w:tr>
    </w:tbl>
    <w:p w14:paraId="70D5BCED">
      <w:pPr>
        <w:pStyle w:val="58"/>
        <w:spacing w:before="192" w:beforeLines="80" w:after="24"/>
        <w:ind w:firstLine="480"/>
        <w:jc w:val="left"/>
        <w:rPr>
          <w:rFonts w:ascii="Times New Roman"/>
          <w:snapToGrid w:val="0"/>
          <w:color w:val="000000" w:themeColor="text1"/>
          <w:spacing w:val="-6"/>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注：</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③</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④</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⑤</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⑦</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p>
    <w:p w14:paraId="3C7A7A8B">
      <w:pPr>
        <w:ind w:firstLine="480"/>
        <w:rPr>
          <w:color w:val="000000" w:themeColor="text1"/>
          <w:highlight w:val="none"/>
          <w14:textFill>
            <w14:solidFill>
              <w14:schemeClr w14:val="tx1"/>
            </w14:solidFill>
          </w14:textFill>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806966B">
      <w:pPr>
        <w:pStyle w:val="35"/>
        <w:ind w:firstLine="0" w:firstLineChars="0"/>
        <w:outlineLvl w:val="3"/>
        <w:rPr>
          <w:rFonts w:hint="eastAsia"/>
          <w:b/>
          <w:bCs/>
          <w:color w:val="000000" w:themeColor="text1"/>
          <w:szCs w:val="24"/>
          <w:highlight w:val="none"/>
          <w14:textFill>
            <w14:solidFill>
              <w14:schemeClr w14:val="tx1"/>
            </w14:solidFill>
          </w14:textFill>
        </w:rPr>
      </w:pPr>
      <w:r>
        <w:rPr>
          <w:b/>
          <w:bCs/>
          <w:color w:val="000000" w:themeColor="text1"/>
          <w:szCs w:val="24"/>
          <w:highlight w:val="none"/>
          <w14:textFill>
            <w14:solidFill>
              <w14:schemeClr w14:val="tx1"/>
            </w14:solidFill>
          </w14:textFill>
        </w:rPr>
        <w:t>附件</w:t>
      </w:r>
      <w:r>
        <w:rPr>
          <w:rFonts w:hint="eastAsia"/>
          <w:b/>
          <w:bCs/>
          <w:color w:val="000000" w:themeColor="text1"/>
          <w:szCs w:val="24"/>
          <w:highlight w:val="none"/>
          <w14:textFill>
            <w14:solidFill>
              <w14:schemeClr w14:val="tx1"/>
            </w14:solidFill>
          </w14:textFill>
        </w:rPr>
        <w:t>1</w:t>
      </w:r>
      <w:r>
        <w:rPr>
          <w:rFonts w:hint="eastAsia"/>
          <w:b/>
          <w:bCs/>
          <w:color w:val="000000" w:themeColor="text1"/>
          <w:szCs w:val="24"/>
          <w:highlight w:val="none"/>
          <w:lang w:val="en-US" w:eastAsia="zh-CN"/>
          <w14:textFill>
            <w14:solidFill>
              <w14:schemeClr w14:val="tx1"/>
            </w14:solidFill>
          </w14:textFill>
        </w:rPr>
        <w:t>5</w:t>
      </w:r>
      <w:r>
        <w:rPr>
          <w:b/>
          <w:bCs/>
          <w:color w:val="000000" w:themeColor="text1"/>
          <w:szCs w:val="24"/>
          <w:highlight w:val="none"/>
          <w14:textFill>
            <w14:solidFill>
              <w14:schemeClr w14:val="tx1"/>
            </w14:solidFill>
          </w14:textFill>
        </w:rPr>
        <w:t>：</w:t>
      </w:r>
      <w:r>
        <w:rPr>
          <w:rFonts w:hint="eastAsia"/>
          <w:b/>
          <w:bCs/>
          <w:color w:val="000000" w:themeColor="text1"/>
          <w:szCs w:val="24"/>
          <w:highlight w:val="none"/>
          <w14:textFill>
            <w14:solidFill>
              <w14:schemeClr w14:val="tx1"/>
            </w14:solidFill>
          </w14:textFill>
        </w:rPr>
        <w:t>项目</w:t>
      </w:r>
      <w:r>
        <w:rPr>
          <w:rFonts w:hint="eastAsia"/>
          <w:b/>
          <w:bCs/>
          <w:color w:val="000000" w:themeColor="text1"/>
          <w:szCs w:val="24"/>
          <w:highlight w:val="none"/>
          <w:lang w:eastAsia="zh-CN"/>
          <w14:textFill>
            <w14:solidFill>
              <w14:schemeClr w14:val="tx1"/>
            </w14:solidFill>
          </w14:textFill>
        </w:rPr>
        <w:t>删除</w:t>
      </w:r>
      <w:r>
        <w:rPr>
          <w:rFonts w:hint="eastAsia"/>
          <w:b/>
          <w:bCs/>
          <w:color w:val="000000" w:themeColor="text1"/>
          <w:szCs w:val="24"/>
          <w:highlight w:val="none"/>
          <w14:textFill>
            <w14:solidFill>
              <w14:schemeClr w14:val="tx1"/>
            </w14:solidFill>
          </w14:textFill>
        </w:rPr>
        <w:t>涉及国家秘密、商业秘密的说明</w:t>
      </w:r>
    </w:p>
    <w:p w14:paraId="03C2A3F9">
      <w:pPr>
        <w:rPr>
          <w:color w:val="000000" w:themeColor="text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586730" cy="7919720"/>
            <wp:effectExtent l="0" t="0" r="13970" b="5080"/>
            <wp:docPr id="116" name="图片 116" descr="环评文件扩建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环评文件扩建_页面_4"/>
                    <pic:cNvPicPr>
                      <a:picLocks noChangeAspect="1"/>
                    </pic:cNvPicPr>
                  </pic:nvPicPr>
                  <pic:blipFill>
                    <a:blip r:embed="rId31"/>
                    <a:stretch>
                      <a:fillRect/>
                    </a:stretch>
                  </pic:blipFill>
                  <pic:spPr>
                    <a:xfrm>
                      <a:off x="0" y="0"/>
                      <a:ext cx="5586730" cy="7919720"/>
                    </a:xfrm>
                    <a:prstGeom prst="rect">
                      <a:avLst/>
                    </a:prstGeom>
                  </pic:spPr>
                </pic:pic>
              </a:graphicData>
            </a:graphic>
          </wp:inline>
        </w:drawing>
      </w:r>
    </w:p>
    <w:p w14:paraId="0487E000">
      <w:pPr>
        <w:pStyle w:val="26"/>
        <w:ind w:firstLine="0" w:firstLineChars="0"/>
        <w:jc w:val="center"/>
        <w:rPr>
          <w:rFonts w:hint="eastAsia" w:eastAsia="宋体"/>
          <w:color w:val="000000" w:themeColor="text1"/>
          <w:highlight w:val="none"/>
          <w:lang w:eastAsia="zh-CN"/>
          <w14:textFill>
            <w14:solidFill>
              <w14:schemeClr w14:val="tx1"/>
            </w14:solidFill>
          </w14:textFill>
        </w:rPr>
      </w:pPr>
    </w:p>
    <w:p w14:paraId="432EBB78">
      <w:pPr>
        <w:pStyle w:val="26"/>
        <w:ind w:firstLine="0" w:firstLineChars="0"/>
        <w:jc w:val="center"/>
        <w:rPr>
          <w:rFonts w:hint="eastAsia" w:eastAsia="宋体"/>
          <w:color w:val="000000" w:themeColor="text1"/>
          <w:highlight w:val="none"/>
          <w:lang w:eastAsia="zh-CN"/>
          <w14:textFill>
            <w14:solidFill>
              <w14:schemeClr w14:val="tx1"/>
            </w14:solidFill>
          </w14:textFill>
        </w:rPr>
      </w:pPr>
    </w:p>
    <w:p w14:paraId="6FBE109F">
      <w:pPr>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596890" cy="7919720"/>
            <wp:effectExtent l="0" t="0" r="3810" b="5080"/>
            <wp:docPr id="115" name="图片 115" descr="环评文件扩建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环评文件扩建_页面_5"/>
                    <pic:cNvPicPr>
                      <a:picLocks noChangeAspect="1"/>
                    </pic:cNvPicPr>
                  </pic:nvPicPr>
                  <pic:blipFill>
                    <a:blip r:embed="rId32"/>
                    <a:stretch>
                      <a:fillRect/>
                    </a:stretch>
                  </pic:blipFill>
                  <pic:spPr>
                    <a:xfrm>
                      <a:off x="0" y="0"/>
                      <a:ext cx="5596890" cy="7919720"/>
                    </a:xfrm>
                    <a:prstGeom prst="rect">
                      <a:avLst/>
                    </a:prstGeom>
                  </pic:spPr>
                </pic:pic>
              </a:graphicData>
            </a:graphic>
          </wp:inline>
        </w:drawing>
      </w: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宋体u.砸.葷.">
    <w:altName w:val="宋体"/>
    <w:panose1 w:val="00000000000000000000"/>
    <w:charset w:val="86"/>
    <w:family w:val="roma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方正楷体简体">
    <w:altName w:val="宋体"/>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TimesNewRomanPSMT">
    <w:altName w:val="黑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DDF0B">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EE218">
    <w:pPr>
      <w:pStyle w:val="23"/>
      <w:framePr w:wrap="around" w:vAnchor="text" w:hAnchor="margin" w:xAlign="center" w:y="1"/>
      <w:rPr>
        <w:rStyle w:val="41"/>
      </w:rPr>
    </w:pPr>
    <w:r>
      <w:fldChar w:fldCharType="begin"/>
    </w:r>
    <w:r>
      <w:rPr>
        <w:rStyle w:val="41"/>
      </w:rPr>
      <w:instrText xml:space="preserve">PAGE  </w:instrText>
    </w:r>
    <w:r>
      <w:fldChar w:fldCharType="end"/>
    </w:r>
  </w:p>
  <w:p w14:paraId="57802ED2">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F855F">
    <w:pPr>
      <w:pStyle w:val="23"/>
      <w:jc w:val="center"/>
    </w:pPr>
    <w:r>
      <w:fldChar w:fldCharType="begin"/>
    </w:r>
    <w:r>
      <w:instrText xml:space="preserve">PAGE   \* MERGEFORMAT</w:instrText>
    </w:r>
    <w:r>
      <w:fldChar w:fldCharType="separate"/>
    </w:r>
    <w:r>
      <w:rPr>
        <w:lang w:val="zh-CN"/>
      </w:rPr>
      <w:t>41</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591FF">
    <w:pPr>
      <w:pStyle w:val="23"/>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A3BA">
    <w:pPr>
      <w:pStyle w:val="23"/>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E26D4">
    <w:pPr>
      <w:tabs>
        <w:tab w:val="center" w:pos="4153"/>
        <w:tab w:val="right" w:pos="8306"/>
      </w:tabs>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13145">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DA862"/>
    <w:multiLevelType w:val="singleLevel"/>
    <w:tmpl w:val="90CDA862"/>
    <w:lvl w:ilvl="0" w:tentative="0">
      <w:start w:val="2"/>
      <w:numFmt w:val="decimal"/>
      <w:suff w:val="nothing"/>
      <w:lvlText w:val="（%1）"/>
      <w:lvlJc w:val="left"/>
    </w:lvl>
  </w:abstractNum>
  <w:abstractNum w:abstractNumId="1">
    <w:nsid w:val="ABC61790"/>
    <w:multiLevelType w:val="singleLevel"/>
    <w:tmpl w:val="ABC61790"/>
    <w:lvl w:ilvl="0" w:tentative="0">
      <w:start w:val="1"/>
      <w:numFmt w:val="decimal"/>
      <w:suff w:val="nothing"/>
      <w:lvlText w:val="（%1）"/>
      <w:lvlJc w:val="left"/>
    </w:lvl>
  </w:abstractNum>
  <w:abstractNum w:abstractNumId="2">
    <w:nsid w:val="BA0A0FB6"/>
    <w:multiLevelType w:val="singleLevel"/>
    <w:tmpl w:val="BA0A0FB6"/>
    <w:lvl w:ilvl="0" w:tentative="0">
      <w:start w:val="1"/>
      <w:numFmt w:val="decimal"/>
      <w:suff w:val="nothing"/>
      <w:lvlText w:val="（%1）"/>
      <w:lvlJc w:val="left"/>
    </w:lvl>
  </w:abstractNum>
  <w:abstractNum w:abstractNumId="3">
    <w:nsid w:val="CFBE3145"/>
    <w:multiLevelType w:val="singleLevel"/>
    <w:tmpl w:val="CFBE3145"/>
    <w:lvl w:ilvl="0" w:tentative="0">
      <w:start w:val="2"/>
      <w:numFmt w:val="chineseCounting"/>
      <w:suff w:val="nothing"/>
      <w:lvlText w:val="%1、"/>
      <w:lvlJc w:val="left"/>
      <w:rPr>
        <w:rFonts w:hint="eastAsia"/>
      </w:rPr>
    </w:lvl>
  </w:abstractNum>
  <w:abstractNum w:abstractNumId="4">
    <w:nsid w:val="E89244E8"/>
    <w:multiLevelType w:val="singleLevel"/>
    <w:tmpl w:val="E89244E8"/>
    <w:lvl w:ilvl="0" w:tentative="0">
      <w:start w:val="1"/>
      <w:numFmt w:val="decimal"/>
      <w:suff w:val="nothing"/>
      <w:lvlText w:val="（%1）"/>
      <w:lvlJc w:val="left"/>
    </w:lvl>
  </w:abstractNum>
  <w:abstractNum w:abstractNumId="5">
    <w:nsid w:val="60E61AC5"/>
    <w:multiLevelType w:val="singleLevel"/>
    <w:tmpl w:val="60E61AC5"/>
    <w:lvl w:ilvl="0" w:tentative="0">
      <w:start w:val="2"/>
      <w:numFmt w:val="decimal"/>
      <w:suff w:val="nothing"/>
      <w:lvlText w:val="（%1）"/>
      <w:lvlJc w:val="left"/>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3MjlhYjg0M2NjMDIwYjYxOGRhZmI2MTUyMjQ1MmYifQ=="/>
  </w:docVars>
  <w:rsids>
    <w:rsidRoot w:val="00172A27"/>
    <w:rsid w:val="00000AA1"/>
    <w:rsid w:val="00001353"/>
    <w:rsid w:val="0000431F"/>
    <w:rsid w:val="00004BE3"/>
    <w:rsid w:val="00004E7D"/>
    <w:rsid w:val="00005C89"/>
    <w:rsid w:val="00005EC9"/>
    <w:rsid w:val="000060B3"/>
    <w:rsid w:val="00006659"/>
    <w:rsid w:val="00006683"/>
    <w:rsid w:val="00011F0B"/>
    <w:rsid w:val="00011F7C"/>
    <w:rsid w:val="0001384B"/>
    <w:rsid w:val="00013AD3"/>
    <w:rsid w:val="00013DB6"/>
    <w:rsid w:val="0001511F"/>
    <w:rsid w:val="00017D53"/>
    <w:rsid w:val="00020616"/>
    <w:rsid w:val="00020F3B"/>
    <w:rsid w:val="00022514"/>
    <w:rsid w:val="00023822"/>
    <w:rsid w:val="00027443"/>
    <w:rsid w:val="0002776A"/>
    <w:rsid w:val="00030322"/>
    <w:rsid w:val="00030EB3"/>
    <w:rsid w:val="00033832"/>
    <w:rsid w:val="0003516E"/>
    <w:rsid w:val="0003630B"/>
    <w:rsid w:val="00037B0D"/>
    <w:rsid w:val="00037DCF"/>
    <w:rsid w:val="0004037D"/>
    <w:rsid w:val="00041B57"/>
    <w:rsid w:val="00042908"/>
    <w:rsid w:val="00042E9B"/>
    <w:rsid w:val="0004364B"/>
    <w:rsid w:val="000459E2"/>
    <w:rsid w:val="000475AC"/>
    <w:rsid w:val="000479FE"/>
    <w:rsid w:val="00050183"/>
    <w:rsid w:val="00050497"/>
    <w:rsid w:val="00052769"/>
    <w:rsid w:val="00052CA5"/>
    <w:rsid w:val="00052ED4"/>
    <w:rsid w:val="00053417"/>
    <w:rsid w:val="00053553"/>
    <w:rsid w:val="00054B6F"/>
    <w:rsid w:val="000556FB"/>
    <w:rsid w:val="00056345"/>
    <w:rsid w:val="000566B6"/>
    <w:rsid w:val="00060586"/>
    <w:rsid w:val="00061B1F"/>
    <w:rsid w:val="00062097"/>
    <w:rsid w:val="00065820"/>
    <w:rsid w:val="00066AB5"/>
    <w:rsid w:val="000725A7"/>
    <w:rsid w:val="000733C4"/>
    <w:rsid w:val="00073B30"/>
    <w:rsid w:val="00074628"/>
    <w:rsid w:val="00074783"/>
    <w:rsid w:val="00075509"/>
    <w:rsid w:val="00075993"/>
    <w:rsid w:val="00075F5A"/>
    <w:rsid w:val="00076331"/>
    <w:rsid w:val="00076C15"/>
    <w:rsid w:val="000774B0"/>
    <w:rsid w:val="00077BD5"/>
    <w:rsid w:val="0008070B"/>
    <w:rsid w:val="000810AC"/>
    <w:rsid w:val="00081A02"/>
    <w:rsid w:val="00082231"/>
    <w:rsid w:val="00083B81"/>
    <w:rsid w:val="00085718"/>
    <w:rsid w:val="00092BC6"/>
    <w:rsid w:val="00092D38"/>
    <w:rsid w:val="0009377B"/>
    <w:rsid w:val="00095239"/>
    <w:rsid w:val="000975BB"/>
    <w:rsid w:val="000A0DBB"/>
    <w:rsid w:val="000A15A7"/>
    <w:rsid w:val="000A20C9"/>
    <w:rsid w:val="000A4A47"/>
    <w:rsid w:val="000A4C8A"/>
    <w:rsid w:val="000A56EE"/>
    <w:rsid w:val="000A64E4"/>
    <w:rsid w:val="000A712D"/>
    <w:rsid w:val="000B058F"/>
    <w:rsid w:val="000B3860"/>
    <w:rsid w:val="000B4467"/>
    <w:rsid w:val="000B4DB9"/>
    <w:rsid w:val="000B57C5"/>
    <w:rsid w:val="000C04B2"/>
    <w:rsid w:val="000C09AC"/>
    <w:rsid w:val="000C119D"/>
    <w:rsid w:val="000C2414"/>
    <w:rsid w:val="000C44D8"/>
    <w:rsid w:val="000C4AFC"/>
    <w:rsid w:val="000C5BA1"/>
    <w:rsid w:val="000C63D2"/>
    <w:rsid w:val="000C767F"/>
    <w:rsid w:val="000D03D3"/>
    <w:rsid w:val="000D11D2"/>
    <w:rsid w:val="000D1A22"/>
    <w:rsid w:val="000D1C66"/>
    <w:rsid w:val="000D3CC6"/>
    <w:rsid w:val="000D5864"/>
    <w:rsid w:val="000D5A44"/>
    <w:rsid w:val="000E2F01"/>
    <w:rsid w:val="000E3ED2"/>
    <w:rsid w:val="000E54BC"/>
    <w:rsid w:val="000E7EE8"/>
    <w:rsid w:val="000F00FB"/>
    <w:rsid w:val="000F1314"/>
    <w:rsid w:val="000F3848"/>
    <w:rsid w:val="001002FF"/>
    <w:rsid w:val="00100498"/>
    <w:rsid w:val="001005DC"/>
    <w:rsid w:val="00100FD2"/>
    <w:rsid w:val="00103701"/>
    <w:rsid w:val="00104A52"/>
    <w:rsid w:val="00105735"/>
    <w:rsid w:val="0010643C"/>
    <w:rsid w:val="001073AF"/>
    <w:rsid w:val="001074DE"/>
    <w:rsid w:val="00110AD5"/>
    <w:rsid w:val="00113339"/>
    <w:rsid w:val="001138DA"/>
    <w:rsid w:val="00113CD9"/>
    <w:rsid w:val="001164EA"/>
    <w:rsid w:val="00116679"/>
    <w:rsid w:val="00117C5B"/>
    <w:rsid w:val="00121E6C"/>
    <w:rsid w:val="00123920"/>
    <w:rsid w:val="001260FF"/>
    <w:rsid w:val="00126421"/>
    <w:rsid w:val="001265CB"/>
    <w:rsid w:val="00126652"/>
    <w:rsid w:val="001305A1"/>
    <w:rsid w:val="001312CD"/>
    <w:rsid w:val="00131F42"/>
    <w:rsid w:val="00132C55"/>
    <w:rsid w:val="00132FC6"/>
    <w:rsid w:val="001344A1"/>
    <w:rsid w:val="001351DD"/>
    <w:rsid w:val="001357F1"/>
    <w:rsid w:val="00135B42"/>
    <w:rsid w:val="00136BEC"/>
    <w:rsid w:val="00137512"/>
    <w:rsid w:val="001400F1"/>
    <w:rsid w:val="001402DE"/>
    <w:rsid w:val="00140E65"/>
    <w:rsid w:val="00140FA8"/>
    <w:rsid w:val="001413C6"/>
    <w:rsid w:val="001418CB"/>
    <w:rsid w:val="00142FEB"/>
    <w:rsid w:val="00143053"/>
    <w:rsid w:val="00143A2D"/>
    <w:rsid w:val="00144AD8"/>
    <w:rsid w:val="00144AE6"/>
    <w:rsid w:val="00145A41"/>
    <w:rsid w:val="00151002"/>
    <w:rsid w:val="00151675"/>
    <w:rsid w:val="00152081"/>
    <w:rsid w:val="001542A1"/>
    <w:rsid w:val="0015462B"/>
    <w:rsid w:val="00154BAD"/>
    <w:rsid w:val="0015571E"/>
    <w:rsid w:val="0015683E"/>
    <w:rsid w:val="00157435"/>
    <w:rsid w:val="00160D59"/>
    <w:rsid w:val="00163EE3"/>
    <w:rsid w:val="00164E68"/>
    <w:rsid w:val="00166043"/>
    <w:rsid w:val="00167468"/>
    <w:rsid w:val="00167DC2"/>
    <w:rsid w:val="00172A27"/>
    <w:rsid w:val="0017437B"/>
    <w:rsid w:val="0017504D"/>
    <w:rsid w:val="0017671A"/>
    <w:rsid w:val="00177422"/>
    <w:rsid w:val="00177D45"/>
    <w:rsid w:val="001820AD"/>
    <w:rsid w:val="001820ED"/>
    <w:rsid w:val="00182E99"/>
    <w:rsid w:val="00184590"/>
    <w:rsid w:val="001847B3"/>
    <w:rsid w:val="00185D1E"/>
    <w:rsid w:val="001870D1"/>
    <w:rsid w:val="0018781E"/>
    <w:rsid w:val="001922BF"/>
    <w:rsid w:val="0019262D"/>
    <w:rsid w:val="00192F08"/>
    <w:rsid w:val="001945CD"/>
    <w:rsid w:val="00194CC4"/>
    <w:rsid w:val="00195501"/>
    <w:rsid w:val="0019659A"/>
    <w:rsid w:val="001968F8"/>
    <w:rsid w:val="00196F9E"/>
    <w:rsid w:val="00197E49"/>
    <w:rsid w:val="001A026B"/>
    <w:rsid w:val="001A03DD"/>
    <w:rsid w:val="001A1944"/>
    <w:rsid w:val="001A1B35"/>
    <w:rsid w:val="001A270F"/>
    <w:rsid w:val="001A3A99"/>
    <w:rsid w:val="001A48A2"/>
    <w:rsid w:val="001A4EDD"/>
    <w:rsid w:val="001A61B2"/>
    <w:rsid w:val="001A64DB"/>
    <w:rsid w:val="001A6F61"/>
    <w:rsid w:val="001A7DC2"/>
    <w:rsid w:val="001A7F5E"/>
    <w:rsid w:val="001B1547"/>
    <w:rsid w:val="001B5DA2"/>
    <w:rsid w:val="001B6284"/>
    <w:rsid w:val="001B6FE3"/>
    <w:rsid w:val="001B72B8"/>
    <w:rsid w:val="001C15B8"/>
    <w:rsid w:val="001C1927"/>
    <w:rsid w:val="001C2793"/>
    <w:rsid w:val="001C2D59"/>
    <w:rsid w:val="001C4972"/>
    <w:rsid w:val="001C5773"/>
    <w:rsid w:val="001C5F6F"/>
    <w:rsid w:val="001C69B3"/>
    <w:rsid w:val="001C72D8"/>
    <w:rsid w:val="001D0F09"/>
    <w:rsid w:val="001D3229"/>
    <w:rsid w:val="001D4719"/>
    <w:rsid w:val="001D5595"/>
    <w:rsid w:val="001D59B0"/>
    <w:rsid w:val="001D62CB"/>
    <w:rsid w:val="001D6B91"/>
    <w:rsid w:val="001D7874"/>
    <w:rsid w:val="001D7F22"/>
    <w:rsid w:val="001E1FD4"/>
    <w:rsid w:val="001E25AB"/>
    <w:rsid w:val="001E2EE9"/>
    <w:rsid w:val="001E4468"/>
    <w:rsid w:val="001E5078"/>
    <w:rsid w:val="001E6C6B"/>
    <w:rsid w:val="001E725E"/>
    <w:rsid w:val="001F088D"/>
    <w:rsid w:val="001F0F17"/>
    <w:rsid w:val="001F1B7F"/>
    <w:rsid w:val="001F3347"/>
    <w:rsid w:val="001F393F"/>
    <w:rsid w:val="001F39F0"/>
    <w:rsid w:val="001F4049"/>
    <w:rsid w:val="001F69E4"/>
    <w:rsid w:val="001F7DC2"/>
    <w:rsid w:val="00201002"/>
    <w:rsid w:val="0020195F"/>
    <w:rsid w:val="00202209"/>
    <w:rsid w:val="00207929"/>
    <w:rsid w:val="00211C1B"/>
    <w:rsid w:val="002121DF"/>
    <w:rsid w:val="002125B4"/>
    <w:rsid w:val="00212BF8"/>
    <w:rsid w:val="00212ED0"/>
    <w:rsid w:val="00213562"/>
    <w:rsid w:val="00213FC8"/>
    <w:rsid w:val="002155B8"/>
    <w:rsid w:val="00221CB1"/>
    <w:rsid w:val="0022217A"/>
    <w:rsid w:val="0022304B"/>
    <w:rsid w:val="00224839"/>
    <w:rsid w:val="002249B2"/>
    <w:rsid w:val="00226574"/>
    <w:rsid w:val="002278EC"/>
    <w:rsid w:val="00230041"/>
    <w:rsid w:val="0023280E"/>
    <w:rsid w:val="002349A8"/>
    <w:rsid w:val="00235714"/>
    <w:rsid w:val="002377D1"/>
    <w:rsid w:val="002406E5"/>
    <w:rsid w:val="00240C51"/>
    <w:rsid w:val="002422B4"/>
    <w:rsid w:val="002427AF"/>
    <w:rsid w:val="002505E1"/>
    <w:rsid w:val="002506BC"/>
    <w:rsid w:val="00250F48"/>
    <w:rsid w:val="00251ABA"/>
    <w:rsid w:val="00254345"/>
    <w:rsid w:val="002562FE"/>
    <w:rsid w:val="0026250A"/>
    <w:rsid w:val="00264557"/>
    <w:rsid w:val="00264615"/>
    <w:rsid w:val="00264D57"/>
    <w:rsid w:val="00265723"/>
    <w:rsid w:val="00270FB9"/>
    <w:rsid w:val="002727BF"/>
    <w:rsid w:val="00275ECE"/>
    <w:rsid w:val="0027776C"/>
    <w:rsid w:val="00277A43"/>
    <w:rsid w:val="002805AB"/>
    <w:rsid w:val="00281A25"/>
    <w:rsid w:val="00281A87"/>
    <w:rsid w:val="00282E16"/>
    <w:rsid w:val="00282FF4"/>
    <w:rsid w:val="00284204"/>
    <w:rsid w:val="00284E10"/>
    <w:rsid w:val="002850B0"/>
    <w:rsid w:val="002854FC"/>
    <w:rsid w:val="0028621F"/>
    <w:rsid w:val="00287C9F"/>
    <w:rsid w:val="00290310"/>
    <w:rsid w:val="00291773"/>
    <w:rsid w:val="00294CBB"/>
    <w:rsid w:val="002950F0"/>
    <w:rsid w:val="00296C71"/>
    <w:rsid w:val="002A168C"/>
    <w:rsid w:val="002A237A"/>
    <w:rsid w:val="002A3DC7"/>
    <w:rsid w:val="002A3FD2"/>
    <w:rsid w:val="002A78C6"/>
    <w:rsid w:val="002B2A93"/>
    <w:rsid w:val="002B2CCE"/>
    <w:rsid w:val="002B2D61"/>
    <w:rsid w:val="002B4159"/>
    <w:rsid w:val="002B49E2"/>
    <w:rsid w:val="002B7B00"/>
    <w:rsid w:val="002B7C44"/>
    <w:rsid w:val="002C2B17"/>
    <w:rsid w:val="002C486B"/>
    <w:rsid w:val="002C4EB0"/>
    <w:rsid w:val="002C59DB"/>
    <w:rsid w:val="002C5B23"/>
    <w:rsid w:val="002C61E4"/>
    <w:rsid w:val="002C6E30"/>
    <w:rsid w:val="002D24AE"/>
    <w:rsid w:val="002D283A"/>
    <w:rsid w:val="002D36C8"/>
    <w:rsid w:val="002D3DD0"/>
    <w:rsid w:val="002D5208"/>
    <w:rsid w:val="002D536C"/>
    <w:rsid w:val="002E06A1"/>
    <w:rsid w:val="002E0A0B"/>
    <w:rsid w:val="002E1F3A"/>
    <w:rsid w:val="002E298A"/>
    <w:rsid w:val="002E3C08"/>
    <w:rsid w:val="002E41BE"/>
    <w:rsid w:val="002E4840"/>
    <w:rsid w:val="002E7B03"/>
    <w:rsid w:val="002E7B49"/>
    <w:rsid w:val="002F0246"/>
    <w:rsid w:val="002F215D"/>
    <w:rsid w:val="002F2340"/>
    <w:rsid w:val="002F23E9"/>
    <w:rsid w:val="002F306B"/>
    <w:rsid w:val="002F677F"/>
    <w:rsid w:val="002F6A70"/>
    <w:rsid w:val="002F6A84"/>
    <w:rsid w:val="002F7BC6"/>
    <w:rsid w:val="00301581"/>
    <w:rsid w:val="00301978"/>
    <w:rsid w:val="0030332C"/>
    <w:rsid w:val="00303811"/>
    <w:rsid w:val="00303E07"/>
    <w:rsid w:val="00304E87"/>
    <w:rsid w:val="003051C2"/>
    <w:rsid w:val="00306733"/>
    <w:rsid w:val="00306ACF"/>
    <w:rsid w:val="003105DA"/>
    <w:rsid w:val="00310F67"/>
    <w:rsid w:val="00312296"/>
    <w:rsid w:val="00313EFE"/>
    <w:rsid w:val="00314602"/>
    <w:rsid w:val="00314F0E"/>
    <w:rsid w:val="00315CDF"/>
    <w:rsid w:val="00315FFA"/>
    <w:rsid w:val="003179D1"/>
    <w:rsid w:val="003200F4"/>
    <w:rsid w:val="00321193"/>
    <w:rsid w:val="00321D8E"/>
    <w:rsid w:val="00325928"/>
    <w:rsid w:val="003271BE"/>
    <w:rsid w:val="00332863"/>
    <w:rsid w:val="0033286D"/>
    <w:rsid w:val="003349F7"/>
    <w:rsid w:val="00334DC7"/>
    <w:rsid w:val="0033684D"/>
    <w:rsid w:val="003372D7"/>
    <w:rsid w:val="00337B42"/>
    <w:rsid w:val="00341B42"/>
    <w:rsid w:val="0034348F"/>
    <w:rsid w:val="003464EC"/>
    <w:rsid w:val="00347876"/>
    <w:rsid w:val="003502FA"/>
    <w:rsid w:val="00351622"/>
    <w:rsid w:val="00351E1F"/>
    <w:rsid w:val="003524E7"/>
    <w:rsid w:val="00352C48"/>
    <w:rsid w:val="00353868"/>
    <w:rsid w:val="00354980"/>
    <w:rsid w:val="00354BF1"/>
    <w:rsid w:val="003564B0"/>
    <w:rsid w:val="00356653"/>
    <w:rsid w:val="0035743F"/>
    <w:rsid w:val="00357604"/>
    <w:rsid w:val="00357BE2"/>
    <w:rsid w:val="0036170C"/>
    <w:rsid w:val="003618FB"/>
    <w:rsid w:val="003635EE"/>
    <w:rsid w:val="00363977"/>
    <w:rsid w:val="00363CB0"/>
    <w:rsid w:val="00364892"/>
    <w:rsid w:val="00364938"/>
    <w:rsid w:val="003654BA"/>
    <w:rsid w:val="00365593"/>
    <w:rsid w:val="00366E0F"/>
    <w:rsid w:val="00367E8B"/>
    <w:rsid w:val="0037337A"/>
    <w:rsid w:val="00376384"/>
    <w:rsid w:val="0037657E"/>
    <w:rsid w:val="00376909"/>
    <w:rsid w:val="00377BAC"/>
    <w:rsid w:val="00377C60"/>
    <w:rsid w:val="00381A72"/>
    <w:rsid w:val="00384676"/>
    <w:rsid w:val="00387462"/>
    <w:rsid w:val="00390857"/>
    <w:rsid w:val="00390D06"/>
    <w:rsid w:val="00391CFF"/>
    <w:rsid w:val="00392CA8"/>
    <w:rsid w:val="003954FA"/>
    <w:rsid w:val="003965F8"/>
    <w:rsid w:val="003975AB"/>
    <w:rsid w:val="003A086D"/>
    <w:rsid w:val="003A34AE"/>
    <w:rsid w:val="003A4BF3"/>
    <w:rsid w:val="003A7043"/>
    <w:rsid w:val="003B0C31"/>
    <w:rsid w:val="003B420D"/>
    <w:rsid w:val="003B46BE"/>
    <w:rsid w:val="003B50E6"/>
    <w:rsid w:val="003C2A1D"/>
    <w:rsid w:val="003C30FB"/>
    <w:rsid w:val="003C5D24"/>
    <w:rsid w:val="003C6C16"/>
    <w:rsid w:val="003C6D3B"/>
    <w:rsid w:val="003C6E78"/>
    <w:rsid w:val="003D0712"/>
    <w:rsid w:val="003D079A"/>
    <w:rsid w:val="003D219F"/>
    <w:rsid w:val="003D476F"/>
    <w:rsid w:val="003D794D"/>
    <w:rsid w:val="003E2620"/>
    <w:rsid w:val="003E2812"/>
    <w:rsid w:val="003E3058"/>
    <w:rsid w:val="003E589C"/>
    <w:rsid w:val="003E5DA6"/>
    <w:rsid w:val="003E633A"/>
    <w:rsid w:val="003E76A9"/>
    <w:rsid w:val="003F0809"/>
    <w:rsid w:val="003F186F"/>
    <w:rsid w:val="003F1956"/>
    <w:rsid w:val="003F4F11"/>
    <w:rsid w:val="003F6A8C"/>
    <w:rsid w:val="003F755C"/>
    <w:rsid w:val="004035F7"/>
    <w:rsid w:val="00404382"/>
    <w:rsid w:val="00404C6E"/>
    <w:rsid w:val="00405734"/>
    <w:rsid w:val="00405A0A"/>
    <w:rsid w:val="00406760"/>
    <w:rsid w:val="00406F01"/>
    <w:rsid w:val="004076FB"/>
    <w:rsid w:val="00411B9A"/>
    <w:rsid w:val="00412214"/>
    <w:rsid w:val="004136C3"/>
    <w:rsid w:val="00413982"/>
    <w:rsid w:val="0041430D"/>
    <w:rsid w:val="00414504"/>
    <w:rsid w:val="004163AF"/>
    <w:rsid w:val="00416D50"/>
    <w:rsid w:val="00416FD5"/>
    <w:rsid w:val="00417162"/>
    <w:rsid w:val="00417772"/>
    <w:rsid w:val="00420E6A"/>
    <w:rsid w:val="00421B69"/>
    <w:rsid w:val="00425A9E"/>
    <w:rsid w:val="00426D6B"/>
    <w:rsid w:val="0042738A"/>
    <w:rsid w:val="00427737"/>
    <w:rsid w:val="00431E6C"/>
    <w:rsid w:val="00433596"/>
    <w:rsid w:val="00433CE7"/>
    <w:rsid w:val="00435319"/>
    <w:rsid w:val="004370EA"/>
    <w:rsid w:val="004420AE"/>
    <w:rsid w:val="004420E0"/>
    <w:rsid w:val="004428B3"/>
    <w:rsid w:val="00442D8E"/>
    <w:rsid w:val="004446C5"/>
    <w:rsid w:val="00444A45"/>
    <w:rsid w:val="00446204"/>
    <w:rsid w:val="00451EF3"/>
    <w:rsid w:val="00452738"/>
    <w:rsid w:val="00452795"/>
    <w:rsid w:val="00454534"/>
    <w:rsid w:val="0045494B"/>
    <w:rsid w:val="00455E78"/>
    <w:rsid w:val="00456091"/>
    <w:rsid w:val="004574B9"/>
    <w:rsid w:val="00460715"/>
    <w:rsid w:val="00461303"/>
    <w:rsid w:val="00462281"/>
    <w:rsid w:val="00462CC9"/>
    <w:rsid w:val="0046447C"/>
    <w:rsid w:val="00466321"/>
    <w:rsid w:val="00470A0A"/>
    <w:rsid w:val="0047335C"/>
    <w:rsid w:val="00474819"/>
    <w:rsid w:val="00474A2F"/>
    <w:rsid w:val="00480B67"/>
    <w:rsid w:val="004846D9"/>
    <w:rsid w:val="00484B9B"/>
    <w:rsid w:val="004855F6"/>
    <w:rsid w:val="00486059"/>
    <w:rsid w:val="0048661E"/>
    <w:rsid w:val="00486A14"/>
    <w:rsid w:val="00486CA3"/>
    <w:rsid w:val="0049347D"/>
    <w:rsid w:val="00494670"/>
    <w:rsid w:val="004950E9"/>
    <w:rsid w:val="004953A3"/>
    <w:rsid w:val="00495627"/>
    <w:rsid w:val="004956DC"/>
    <w:rsid w:val="004A1ABD"/>
    <w:rsid w:val="004A22C0"/>
    <w:rsid w:val="004A3823"/>
    <w:rsid w:val="004A3FE6"/>
    <w:rsid w:val="004A43CE"/>
    <w:rsid w:val="004A4FA2"/>
    <w:rsid w:val="004A69C3"/>
    <w:rsid w:val="004B0C54"/>
    <w:rsid w:val="004B17AB"/>
    <w:rsid w:val="004B4C61"/>
    <w:rsid w:val="004B5251"/>
    <w:rsid w:val="004B56A7"/>
    <w:rsid w:val="004B5BA3"/>
    <w:rsid w:val="004B5F37"/>
    <w:rsid w:val="004B6AC9"/>
    <w:rsid w:val="004B7DB8"/>
    <w:rsid w:val="004C1754"/>
    <w:rsid w:val="004C1B12"/>
    <w:rsid w:val="004C4207"/>
    <w:rsid w:val="004C4E6C"/>
    <w:rsid w:val="004C5169"/>
    <w:rsid w:val="004C62A6"/>
    <w:rsid w:val="004C6E4A"/>
    <w:rsid w:val="004D0A88"/>
    <w:rsid w:val="004D38E2"/>
    <w:rsid w:val="004D4087"/>
    <w:rsid w:val="004D6080"/>
    <w:rsid w:val="004D6464"/>
    <w:rsid w:val="004D7A5F"/>
    <w:rsid w:val="004E066B"/>
    <w:rsid w:val="004E0C79"/>
    <w:rsid w:val="004E4CB7"/>
    <w:rsid w:val="004E5630"/>
    <w:rsid w:val="004E6946"/>
    <w:rsid w:val="004E7E71"/>
    <w:rsid w:val="004F05A4"/>
    <w:rsid w:val="004F0D71"/>
    <w:rsid w:val="004F1AD8"/>
    <w:rsid w:val="004F33E0"/>
    <w:rsid w:val="004F351A"/>
    <w:rsid w:val="004F4AB3"/>
    <w:rsid w:val="004F4DDB"/>
    <w:rsid w:val="004F5976"/>
    <w:rsid w:val="004F6026"/>
    <w:rsid w:val="004F7D31"/>
    <w:rsid w:val="0050348A"/>
    <w:rsid w:val="005039CB"/>
    <w:rsid w:val="0050558F"/>
    <w:rsid w:val="00506286"/>
    <w:rsid w:val="005065EE"/>
    <w:rsid w:val="00510813"/>
    <w:rsid w:val="00511328"/>
    <w:rsid w:val="00511990"/>
    <w:rsid w:val="00511DE0"/>
    <w:rsid w:val="0051232D"/>
    <w:rsid w:val="005126F5"/>
    <w:rsid w:val="00513EEF"/>
    <w:rsid w:val="00514870"/>
    <w:rsid w:val="00514B9B"/>
    <w:rsid w:val="0051625D"/>
    <w:rsid w:val="005166DA"/>
    <w:rsid w:val="00517A77"/>
    <w:rsid w:val="00517F02"/>
    <w:rsid w:val="00523985"/>
    <w:rsid w:val="00523E89"/>
    <w:rsid w:val="005240B2"/>
    <w:rsid w:val="0052417E"/>
    <w:rsid w:val="00524303"/>
    <w:rsid w:val="0052487D"/>
    <w:rsid w:val="005258A2"/>
    <w:rsid w:val="00530161"/>
    <w:rsid w:val="0053037B"/>
    <w:rsid w:val="00530FF2"/>
    <w:rsid w:val="00531DE5"/>
    <w:rsid w:val="00532EF3"/>
    <w:rsid w:val="00534FA3"/>
    <w:rsid w:val="005401AE"/>
    <w:rsid w:val="00541068"/>
    <w:rsid w:val="005413BC"/>
    <w:rsid w:val="00541615"/>
    <w:rsid w:val="005422FD"/>
    <w:rsid w:val="00542E07"/>
    <w:rsid w:val="0054439C"/>
    <w:rsid w:val="00544E42"/>
    <w:rsid w:val="00545424"/>
    <w:rsid w:val="0054704C"/>
    <w:rsid w:val="00554A7B"/>
    <w:rsid w:val="00554A98"/>
    <w:rsid w:val="0055572C"/>
    <w:rsid w:val="00560760"/>
    <w:rsid w:val="00560EE5"/>
    <w:rsid w:val="0056106A"/>
    <w:rsid w:val="0056378C"/>
    <w:rsid w:val="005652EE"/>
    <w:rsid w:val="0056719E"/>
    <w:rsid w:val="00571D17"/>
    <w:rsid w:val="005720AE"/>
    <w:rsid w:val="005759B4"/>
    <w:rsid w:val="00577118"/>
    <w:rsid w:val="00577328"/>
    <w:rsid w:val="00577931"/>
    <w:rsid w:val="00581D96"/>
    <w:rsid w:val="005825A7"/>
    <w:rsid w:val="00585DC0"/>
    <w:rsid w:val="00586A07"/>
    <w:rsid w:val="005877DF"/>
    <w:rsid w:val="0059055B"/>
    <w:rsid w:val="00590DBC"/>
    <w:rsid w:val="00593C6F"/>
    <w:rsid w:val="00594D77"/>
    <w:rsid w:val="0059528B"/>
    <w:rsid w:val="005969E4"/>
    <w:rsid w:val="00597664"/>
    <w:rsid w:val="00597A99"/>
    <w:rsid w:val="005A06B7"/>
    <w:rsid w:val="005A1111"/>
    <w:rsid w:val="005A1759"/>
    <w:rsid w:val="005A3924"/>
    <w:rsid w:val="005A68A7"/>
    <w:rsid w:val="005A7556"/>
    <w:rsid w:val="005B1D3F"/>
    <w:rsid w:val="005B1F10"/>
    <w:rsid w:val="005B33F9"/>
    <w:rsid w:val="005B694D"/>
    <w:rsid w:val="005B70ED"/>
    <w:rsid w:val="005B7FF9"/>
    <w:rsid w:val="005C0730"/>
    <w:rsid w:val="005C1E85"/>
    <w:rsid w:val="005C1F69"/>
    <w:rsid w:val="005C4C9A"/>
    <w:rsid w:val="005C5E1F"/>
    <w:rsid w:val="005C625C"/>
    <w:rsid w:val="005D00D5"/>
    <w:rsid w:val="005D147D"/>
    <w:rsid w:val="005D1A22"/>
    <w:rsid w:val="005D36AB"/>
    <w:rsid w:val="005D5182"/>
    <w:rsid w:val="005D76F9"/>
    <w:rsid w:val="005D7944"/>
    <w:rsid w:val="005E0355"/>
    <w:rsid w:val="005E0E91"/>
    <w:rsid w:val="005E18DB"/>
    <w:rsid w:val="005E206D"/>
    <w:rsid w:val="005E4221"/>
    <w:rsid w:val="005E5417"/>
    <w:rsid w:val="005E7643"/>
    <w:rsid w:val="005F026F"/>
    <w:rsid w:val="005F10E5"/>
    <w:rsid w:val="005F1CD4"/>
    <w:rsid w:val="005F2B02"/>
    <w:rsid w:val="005F2E21"/>
    <w:rsid w:val="005F5251"/>
    <w:rsid w:val="005F60F7"/>
    <w:rsid w:val="005F63D9"/>
    <w:rsid w:val="005F76B8"/>
    <w:rsid w:val="006009D0"/>
    <w:rsid w:val="00601E38"/>
    <w:rsid w:val="0060345F"/>
    <w:rsid w:val="00604A9E"/>
    <w:rsid w:val="006063E0"/>
    <w:rsid w:val="0060675D"/>
    <w:rsid w:val="006106BF"/>
    <w:rsid w:val="00612751"/>
    <w:rsid w:val="00613D9B"/>
    <w:rsid w:val="00614DF9"/>
    <w:rsid w:val="0061691D"/>
    <w:rsid w:val="00617204"/>
    <w:rsid w:val="006178E6"/>
    <w:rsid w:val="00617CC3"/>
    <w:rsid w:val="0062077F"/>
    <w:rsid w:val="00620889"/>
    <w:rsid w:val="006210A7"/>
    <w:rsid w:val="006241B4"/>
    <w:rsid w:val="006306AB"/>
    <w:rsid w:val="006309E7"/>
    <w:rsid w:val="00630EAA"/>
    <w:rsid w:val="006326C7"/>
    <w:rsid w:val="00633FA4"/>
    <w:rsid w:val="00636923"/>
    <w:rsid w:val="006377A6"/>
    <w:rsid w:val="00637A3D"/>
    <w:rsid w:val="00637D9C"/>
    <w:rsid w:val="006411EF"/>
    <w:rsid w:val="0064740D"/>
    <w:rsid w:val="00652205"/>
    <w:rsid w:val="00652EF2"/>
    <w:rsid w:val="00656700"/>
    <w:rsid w:val="006572DD"/>
    <w:rsid w:val="00660B23"/>
    <w:rsid w:val="00660BB6"/>
    <w:rsid w:val="00660E82"/>
    <w:rsid w:val="0066173F"/>
    <w:rsid w:val="00662DF7"/>
    <w:rsid w:val="00664AA5"/>
    <w:rsid w:val="006678DA"/>
    <w:rsid w:val="006748B8"/>
    <w:rsid w:val="00675902"/>
    <w:rsid w:val="006761BC"/>
    <w:rsid w:val="00676B8B"/>
    <w:rsid w:val="00676E11"/>
    <w:rsid w:val="006775C3"/>
    <w:rsid w:val="00680ACF"/>
    <w:rsid w:val="00680C54"/>
    <w:rsid w:val="00682593"/>
    <w:rsid w:val="00682897"/>
    <w:rsid w:val="006840DF"/>
    <w:rsid w:val="0068486F"/>
    <w:rsid w:val="0068529B"/>
    <w:rsid w:val="006861A9"/>
    <w:rsid w:val="006863F8"/>
    <w:rsid w:val="00687FD3"/>
    <w:rsid w:val="0069290A"/>
    <w:rsid w:val="00692B71"/>
    <w:rsid w:val="00696E3B"/>
    <w:rsid w:val="0069775A"/>
    <w:rsid w:val="00697813"/>
    <w:rsid w:val="006A05C5"/>
    <w:rsid w:val="006A0AF6"/>
    <w:rsid w:val="006A3EE8"/>
    <w:rsid w:val="006A59E6"/>
    <w:rsid w:val="006A6A7D"/>
    <w:rsid w:val="006A6A99"/>
    <w:rsid w:val="006A72BF"/>
    <w:rsid w:val="006A73A6"/>
    <w:rsid w:val="006A7B9B"/>
    <w:rsid w:val="006B03F2"/>
    <w:rsid w:val="006B37DC"/>
    <w:rsid w:val="006B47DD"/>
    <w:rsid w:val="006B4F68"/>
    <w:rsid w:val="006B4FC3"/>
    <w:rsid w:val="006B6D0E"/>
    <w:rsid w:val="006C0592"/>
    <w:rsid w:val="006C07C9"/>
    <w:rsid w:val="006C272E"/>
    <w:rsid w:val="006C2AE4"/>
    <w:rsid w:val="006C2DF8"/>
    <w:rsid w:val="006C3D18"/>
    <w:rsid w:val="006C3E07"/>
    <w:rsid w:val="006C463F"/>
    <w:rsid w:val="006C52BF"/>
    <w:rsid w:val="006C5479"/>
    <w:rsid w:val="006C54B2"/>
    <w:rsid w:val="006C75DD"/>
    <w:rsid w:val="006C7801"/>
    <w:rsid w:val="006D13B5"/>
    <w:rsid w:val="006D21E4"/>
    <w:rsid w:val="006D2842"/>
    <w:rsid w:val="006D4226"/>
    <w:rsid w:val="006D55CB"/>
    <w:rsid w:val="006D59B6"/>
    <w:rsid w:val="006D5B8E"/>
    <w:rsid w:val="006D68FF"/>
    <w:rsid w:val="006E12FF"/>
    <w:rsid w:val="006E2600"/>
    <w:rsid w:val="006E587D"/>
    <w:rsid w:val="006E5E3A"/>
    <w:rsid w:val="006E607E"/>
    <w:rsid w:val="006E635B"/>
    <w:rsid w:val="006F0A3B"/>
    <w:rsid w:val="006F4976"/>
    <w:rsid w:val="006F4F5C"/>
    <w:rsid w:val="006F56BD"/>
    <w:rsid w:val="006F7139"/>
    <w:rsid w:val="00703885"/>
    <w:rsid w:val="007056A3"/>
    <w:rsid w:val="00706827"/>
    <w:rsid w:val="00706C5D"/>
    <w:rsid w:val="007118B0"/>
    <w:rsid w:val="00713A0F"/>
    <w:rsid w:val="007152DA"/>
    <w:rsid w:val="00715E44"/>
    <w:rsid w:val="00715EAE"/>
    <w:rsid w:val="0071678D"/>
    <w:rsid w:val="00716FA4"/>
    <w:rsid w:val="00717103"/>
    <w:rsid w:val="00722CDA"/>
    <w:rsid w:val="00725CB0"/>
    <w:rsid w:val="00725E55"/>
    <w:rsid w:val="0072613B"/>
    <w:rsid w:val="0072627F"/>
    <w:rsid w:val="007300CE"/>
    <w:rsid w:val="00732922"/>
    <w:rsid w:val="00733689"/>
    <w:rsid w:val="0073529C"/>
    <w:rsid w:val="0073587D"/>
    <w:rsid w:val="007442F7"/>
    <w:rsid w:val="00745DC5"/>
    <w:rsid w:val="007468EE"/>
    <w:rsid w:val="007469AF"/>
    <w:rsid w:val="0075162E"/>
    <w:rsid w:val="00751762"/>
    <w:rsid w:val="00751DD0"/>
    <w:rsid w:val="00752C6F"/>
    <w:rsid w:val="007531EC"/>
    <w:rsid w:val="00754034"/>
    <w:rsid w:val="00754C97"/>
    <w:rsid w:val="00754CEB"/>
    <w:rsid w:val="007556A2"/>
    <w:rsid w:val="00755978"/>
    <w:rsid w:val="007559C6"/>
    <w:rsid w:val="00755ED0"/>
    <w:rsid w:val="00756091"/>
    <w:rsid w:val="007563C7"/>
    <w:rsid w:val="00756556"/>
    <w:rsid w:val="00756CB0"/>
    <w:rsid w:val="007579B0"/>
    <w:rsid w:val="00757E0B"/>
    <w:rsid w:val="007618C4"/>
    <w:rsid w:val="007641CF"/>
    <w:rsid w:val="007659EC"/>
    <w:rsid w:val="007661CC"/>
    <w:rsid w:val="007662BD"/>
    <w:rsid w:val="00767227"/>
    <w:rsid w:val="007677D4"/>
    <w:rsid w:val="00767980"/>
    <w:rsid w:val="00767B50"/>
    <w:rsid w:val="00767C54"/>
    <w:rsid w:val="00770141"/>
    <w:rsid w:val="00770B19"/>
    <w:rsid w:val="00771569"/>
    <w:rsid w:val="0077216F"/>
    <w:rsid w:val="007739AE"/>
    <w:rsid w:val="0077463F"/>
    <w:rsid w:val="007752F1"/>
    <w:rsid w:val="007756CC"/>
    <w:rsid w:val="00776F9E"/>
    <w:rsid w:val="0077764C"/>
    <w:rsid w:val="00780301"/>
    <w:rsid w:val="00780611"/>
    <w:rsid w:val="00780EF5"/>
    <w:rsid w:val="00781478"/>
    <w:rsid w:val="00781548"/>
    <w:rsid w:val="0078362D"/>
    <w:rsid w:val="007836EA"/>
    <w:rsid w:val="00784CDA"/>
    <w:rsid w:val="0078686E"/>
    <w:rsid w:val="007906C4"/>
    <w:rsid w:val="00792588"/>
    <w:rsid w:val="007929B8"/>
    <w:rsid w:val="007940EA"/>
    <w:rsid w:val="007967E8"/>
    <w:rsid w:val="00796F67"/>
    <w:rsid w:val="007A1417"/>
    <w:rsid w:val="007A2170"/>
    <w:rsid w:val="007A22BF"/>
    <w:rsid w:val="007A2E97"/>
    <w:rsid w:val="007A3323"/>
    <w:rsid w:val="007A4140"/>
    <w:rsid w:val="007A44D7"/>
    <w:rsid w:val="007A60B9"/>
    <w:rsid w:val="007A7C77"/>
    <w:rsid w:val="007B2B96"/>
    <w:rsid w:val="007B364F"/>
    <w:rsid w:val="007B4B49"/>
    <w:rsid w:val="007B506A"/>
    <w:rsid w:val="007B6BBC"/>
    <w:rsid w:val="007B72B8"/>
    <w:rsid w:val="007B751A"/>
    <w:rsid w:val="007B7A58"/>
    <w:rsid w:val="007C21B5"/>
    <w:rsid w:val="007C21CE"/>
    <w:rsid w:val="007C25B4"/>
    <w:rsid w:val="007C35AF"/>
    <w:rsid w:val="007C4200"/>
    <w:rsid w:val="007C453B"/>
    <w:rsid w:val="007C62A1"/>
    <w:rsid w:val="007D02A0"/>
    <w:rsid w:val="007D04F9"/>
    <w:rsid w:val="007D6A53"/>
    <w:rsid w:val="007E1696"/>
    <w:rsid w:val="007E23D3"/>
    <w:rsid w:val="007E2490"/>
    <w:rsid w:val="007E329C"/>
    <w:rsid w:val="007E4BD2"/>
    <w:rsid w:val="007E5A7E"/>
    <w:rsid w:val="007E5EBD"/>
    <w:rsid w:val="007F1E37"/>
    <w:rsid w:val="007F3944"/>
    <w:rsid w:val="007F4835"/>
    <w:rsid w:val="007F5EC9"/>
    <w:rsid w:val="007F6997"/>
    <w:rsid w:val="00801393"/>
    <w:rsid w:val="00802047"/>
    <w:rsid w:val="00802F88"/>
    <w:rsid w:val="00803A79"/>
    <w:rsid w:val="008049D9"/>
    <w:rsid w:val="00805711"/>
    <w:rsid w:val="008078DD"/>
    <w:rsid w:val="008109AB"/>
    <w:rsid w:val="00812793"/>
    <w:rsid w:val="0081293E"/>
    <w:rsid w:val="00813791"/>
    <w:rsid w:val="00814FC9"/>
    <w:rsid w:val="00815465"/>
    <w:rsid w:val="00816122"/>
    <w:rsid w:val="0081618F"/>
    <w:rsid w:val="00816873"/>
    <w:rsid w:val="00817A9E"/>
    <w:rsid w:val="00817E9A"/>
    <w:rsid w:val="00820F8F"/>
    <w:rsid w:val="00822AE6"/>
    <w:rsid w:val="008251C1"/>
    <w:rsid w:val="00825663"/>
    <w:rsid w:val="00825E9A"/>
    <w:rsid w:val="00826FCD"/>
    <w:rsid w:val="008270CD"/>
    <w:rsid w:val="0083045E"/>
    <w:rsid w:val="008306BD"/>
    <w:rsid w:val="008313FC"/>
    <w:rsid w:val="00831A80"/>
    <w:rsid w:val="00833743"/>
    <w:rsid w:val="008340A4"/>
    <w:rsid w:val="008371F1"/>
    <w:rsid w:val="00837E78"/>
    <w:rsid w:val="00840E1D"/>
    <w:rsid w:val="008433B1"/>
    <w:rsid w:val="00844126"/>
    <w:rsid w:val="00844285"/>
    <w:rsid w:val="008465E3"/>
    <w:rsid w:val="00853B7B"/>
    <w:rsid w:val="00853BEF"/>
    <w:rsid w:val="00853FC9"/>
    <w:rsid w:val="00856AE6"/>
    <w:rsid w:val="0086140A"/>
    <w:rsid w:val="00861C53"/>
    <w:rsid w:val="00862C40"/>
    <w:rsid w:val="00863997"/>
    <w:rsid w:val="00863D12"/>
    <w:rsid w:val="00863D9C"/>
    <w:rsid w:val="00864E64"/>
    <w:rsid w:val="008663E4"/>
    <w:rsid w:val="00867600"/>
    <w:rsid w:val="00867DC3"/>
    <w:rsid w:val="0087135F"/>
    <w:rsid w:val="008716FB"/>
    <w:rsid w:val="00872D94"/>
    <w:rsid w:val="0087491C"/>
    <w:rsid w:val="00875DD9"/>
    <w:rsid w:val="00876728"/>
    <w:rsid w:val="008778C1"/>
    <w:rsid w:val="00880364"/>
    <w:rsid w:val="008815CB"/>
    <w:rsid w:val="00881B3D"/>
    <w:rsid w:val="00881CA2"/>
    <w:rsid w:val="00883325"/>
    <w:rsid w:val="00883579"/>
    <w:rsid w:val="00883AA7"/>
    <w:rsid w:val="008845D1"/>
    <w:rsid w:val="00885337"/>
    <w:rsid w:val="00885689"/>
    <w:rsid w:val="0088776E"/>
    <w:rsid w:val="00890342"/>
    <w:rsid w:val="00891592"/>
    <w:rsid w:val="00891E9E"/>
    <w:rsid w:val="008923C2"/>
    <w:rsid w:val="00892C1F"/>
    <w:rsid w:val="00893D06"/>
    <w:rsid w:val="00893FC0"/>
    <w:rsid w:val="008A0721"/>
    <w:rsid w:val="008A0BAF"/>
    <w:rsid w:val="008A2F68"/>
    <w:rsid w:val="008A414B"/>
    <w:rsid w:val="008A5086"/>
    <w:rsid w:val="008B102A"/>
    <w:rsid w:val="008B116E"/>
    <w:rsid w:val="008B17A5"/>
    <w:rsid w:val="008B1DB8"/>
    <w:rsid w:val="008B3246"/>
    <w:rsid w:val="008B358E"/>
    <w:rsid w:val="008B37D8"/>
    <w:rsid w:val="008B3991"/>
    <w:rsid w:val="008B455F"/>
    <w:rsid w:val="008B4FA6"/>
    <w:rsid w:val="008B5282"/>
    <w:rsid w:val="008B6319"/>
    <w:rsid w:val="008B6924"/>
    <w:rsid w:val="008B7C17"/>
    <w:rsid w:val="008C1AEC"/>
    <w:rsid w:val="008C2D01"/>
    <w:rsid w:val="008C40E6"/>
    <w:rsid w:val="008C595C"/>
    <w:rsid w:val="008C7730"/>
    <w:rsid w:val="008D0EB5"/>
    <w:rsid w:val="008D0F7A"/>
    <w:rsid w:val="008D12FA"/>
    <w:rsid w:val="008D1DB3"/>
    <w:rsid w:val="008D1EB4"/>
    <w:rsid w:val="008D61F3"/>
    <w:rsid w:val="008D68E4"/>
    <w:rsid w:val="008D6B7F"/>
    <w:rsid w:val="008D6EE0"/>
    <w:rsid w:val="008E00FE"/>
    <w:rsid w:val="008E0506"/>
    <w:rsid w:val="008E0CFF"/>
    <w:rsid w:val="008E1A31"/>
    <w:rsid w:val="008E3EBB"/>
    <w:rsid w:val="008E4C02"/>
    <w:rsid w:val="008E4F7F"/>
    <w:rsid w:val="008E5D6B"/>
    <w:rsid w:val="008E76F0"/>
    <w:rsid w:val="008F1055"/>
    <w:rsid w:val="008F15FE"/>
    <w:rsid w:val="008F2D29"/>
    <w:rsid w:val="008F4A61"/>
    <w:rsid w:val="008F5187"/>
    <w:rsid w:val="008F60D8"/>
    <w:rsid w:val="008F6216"/>
    <w:rsid w:val="008F642D"/>
    <w:rsid w:val="00900D02"/>
    <w:rsid w:val="00901D97"/>
    <w:rsid w:val="00902323"/>
    <w:rsid w:val="00902727"/>
    <w:rsid w:val="0090312B"/>
    <w:rsid w:val="00905205"/>
    <w:rsid w:val="009110C4"/>
    <w:rsid w:val="00912540"/>
    <w:rsid w:val="009132D5"/>
    <w:rsid w:val="009139D0"/>
    <w:rsid w:val="00916AEE"/>
    <w:rsid w:val="0091736D"/>
    <w:rsid w:val="00917A35"/>
    <w:rsid w:val="00921ACC"/>
    <w:rsid w:val="00921DFB"/>
    <w:rsid w:val="00922A10"/>
    <w:rsid w:val="00923655"/>
    <w:rsid w:val="00923D6F"/>
    <w:rsid w:val="00927CED"/>
    <w:rsid w:val="0093037A"/>
    <w:rsid w:val="00931EEF"/>
    <w:rsid w:val="00934014"/>
    <w:rsid w:val="009376A7"/>
    <w:rsid w:val="0094154D"/>
    <w:rsid w:val="00943CB1"/>
    <w:rsid w:val="00945442"/>
    <w:rsid w:val="00946ED7"/>
    <w:rsid w:val="0095068D"/>
    <w:rsid w:val="0095155F"/>
    <w:rsid w:val="0095277F"/>
    <w:rsid w:val="0095320F"/>
    <w:rsid w:val="00954429"/>
    <w:rsid w:val="009563CE"/>
    <w:rsid w:val="00960DA6"/>
    <w:rsid w:val="00963589"/>
    <w:rsid w:val="00966C58"/>
    <w:rsid w:val="00967364"/>
    <w:rsid w:val="009712B1"/>
    <w:rsid w:val="009719E3"/>
    <w:rsid w:val="00973634"/>
    <w:rsid w:val="0097398B"/>
    <w:rsid w:val="00973FBF"/>
    <w:rsid w:val="00976328"/>
    <w:rsid w:val="0097680D"/>
    <w:rsid w:val="00977FEE"/>
    <w:rsid w:val="00982438"/>
    <w:rsid w:val="009827AF"/>
    <w:rsid w:val="00983170"/>
    <w:rsid w:val="0098355B"/>
    <w:rsid w:val="0098404C"/>
    <w:rsid w:val="00985283"/>
    <w:rsid w:val="00986E23"/>
    <w:rsid w:val="009929F5"/>
    <w:rsid w:val="00993935"/>
    <w:rsid w:val="009947D1"/>
    <w:rsid w:val="00995992"/>
    <w:rsid w:val="00995B5E"/>
    <w:rsid w:val="0099731D"/>
    <w:rsid w:val="00997B6E"/>
    <w:rsid w:val="009A0069"/>
    <w:rsid w:val="009A03E5"/>
    <w:rsid w:val="009A0F3B"/>
    <w:rsid w:val="009A1852"/>
    <w:rsid w:val="009A1BB4"/>
    <w:rsid w:val="009A2628"/>
    <w:rsid w:val="009A3200"/>
    <w:rsid w:val="009A5E03"/>
    <w:rsid w:val="009A609A"/>
    <w:rsid w:val="009A6AFB"/>
    <w:rsid w:val="009A6C51"/>
    <w:rsid w:val="009B025F"/>
    <w:rsid w:val="009B0897"/>
    <w:rsid w:val="009B1A47"/>
    <w:rsid w:val="009B69C8"/>
    <w:rsid w:val="009B7BD9"/>
    <w:rsid w:val="009C0E71"/>
    <w:rsid w:val="009C302D"/>
    <w:rsid w:val="009C3C98"/>
    <w:rsid w:val="009C45A5"/>
    <w:rsid w:val="009C7DD5"/>
    <w:rsid w:val="009D0CD4"/>
    <w:rsid w:val="009D0FEE"/>
    <w:rsid w:val="009D2B69"/>
    <w:rsid w:val="009D5023"/>
    <w:rsid w:val="009D5B42"/>
    <w:rsid w:val="009D5FDB"/>
    <w:rsid w:val="009D7E7F"/>
    <w:rsid w:val="009E0832"/>
    <w:rsid w:val="009E227D"/>
    <w:rsid w:val="009E23C8"/>
    <w:rsid w:val="009E2AED"/>
    <w:rsid w:val="009E320B"/>
    <w:rsid w:val="009E5019"/>
    <w:rsid w:val="009E5253"/>
    <w:rsid w:val="009E5863"/>
    <w:rsid w:val="009F44F4"/>
    <w:rsid w:val="009F4AE9"/>
    <w:rsid w:val="009F4D22"/>
    <w:rsid w:val="009F58F9"/>
    <w:rsid w:val="00A00A71"/>
    <w:rsid w:val="00A013D5"/>
    <w:rsid w:val="00A0144C"/>
    <w:rsid w:val="00A01AC5"/>
    <w:rsid w:val="00A026AA"/>
    <w:rsid w:val="00A034A0"/>
    <w:rsid w:val="00A04ED9"/>
    <w:rsid w:val="00A04F1B"/>
    <w:rsid w:val="00A0501B"/>
    <w:rsid w:val="00A05A04"/>
    <w:rsid w:val="00A111FD"/>
    <w:rsid w:val="00A11DB7"/>
    <w:rsid w:val="00A14946"/>
    <w:rsid w:val="00A14947"/>
    <w:rsid w:val="00A15421"/>
    <w:rsid w:val="00A1594F"/>
    <w:rsid w:val="00A15AC2"/>
    <w:rsid w:val="00A162C6"/>
    <w:rsid w:val="00A20986"/>
    <w:rsid w:val="00A232CA"/>
    <w:rsid w:val="00A23B93"/>
    <w:rsid w:val="00A23DF4"/>
    <w:rsid w:val="00A26942"/>
    <w:rsid w:val="00A2703B"/>
    <w:rsid w:val="00A31540"/>
    <w:rsid w:val="00A32A83"/>
    <w:rsid w:val="00A3572D"/>
    <w:rsid w:val="00A368DB"/>
    <w:rsid w:val="00A36F52"/>
    <w:rsid w:val="00A37FCD"/>
    <w:rsid w:val="00A41EB4"/>
    <w:rsid w:val="00A41EE9"/>
    <w:rsid w:val="00A423AA"/>
    <w:rsid w:val="00A4326C"/>
    <w:rsid w:val="00A4437F"/>
    <w:rsid w:val="00A444A9"/>
    <w:rsid w:val="00A44962"/>
    <w:rsid w:val="00A454C1"/>
    <w:rsid w:val="00A47F24"/>
    <w:rsid w:val="00A51B43"/>
    <w:rsid w:val="00A5248B"/>
    <w:rsid w:val="00A53671"/>
    <w:rsid w:val="00A53EC6"/>
    <w:rsid w:val="00A54E5B"/>
    <w:rsid w:val="00A55518"/>
    <w:rsid w:val="00A55C0F"/>
    <w:rsid w:val="00A56967"/>
    <w:rsid w:val="00A576C9"/>
    <w:rsid w:val="00A617E9"/>
    <w:rsid w:val="00A61FB3"/>
    <w:rsid w:val="00A62A47"/>
    <w:rsid w:val="00A642BF"/>
    <w:rsid w:val="00A6580C"/>
    <w:rsid w:val="00A7034F"/>
    <w:rsid w:val="00A705E0"/>
    <w:rsid w:val="00A721AB"/>
    <w:rsid w:val="00A73113"/>
    <w:rsid w:val="00A73B8C"/>
    <w:rsid w:val="00A7415B"/>
    <w:rsid w:val="00A75881"/>
    <w:rsid w:val="00A7617D"/>
    <w:rsid w:val="00A8009F"/>
    <w:rsid w:val="00A8155A"/>
    <w:rsid w:val="00A8386F"/>
    <w:rsid w:val="00A84C32"/>
    <w:rsid w:val="00A84D2C"/>
    <w:rsid w:val="00A85026"/>
    <w:rsid w:val="00A8566B"/>
    <w:rsid w:val="00A86D82"/>
    <w:rsid w:val="00A8713F"/>
    <w:rsid w:val="00A90BA1"/>
    <w:rsid w:val="00A91AA0"/>
    <w:rsid w:val="00A949F3"/>
    <w:rsid w:val="00A9729B"/>
    <w:rsid w:val="00A97A9A"/>
    <w:rsid w:val="00AA0671"/>
    <w:rsid w:val="00AA1AB0"/>
    <w:rsid w:val="00AA1E3D"/>
    <w:rsid w:val="00AA2531"/>
    <w:rsid w:val="00AA73FC"/>
    <w:rsid w:val="00AA751B"/>
    <w:rsid w:val="00AB0117"/>
    <w:rsid w:val="00AB1CFF"/>
    <w:rsid w:val="00AB1E09"/>
    <w:rsid w:val="00AB31D7"/>
    <w:rsid w:val="00AB50CD"/>
    <w:rsid w:val="00AB521E"/>
    <w:rsid w:val="00AB5330"/>
    <w:rsid w:val="00AB54B1"/>
    <w:rsid w:val="00AB5E54"/>
    <w:rsid w:val="00AB733B"/>
    <w:rsid w:val="00AB7747"/>
    <w:rsid w:val="00AB7EF3"/>
    <w:rsid w:val="00AC14CE"/>
    <w:rsid w:val="00AC2A56"/>
    <w:rsid w:val="00AC6356"/>
    <w:rsid w:val="00AC6B1E"/>
    <w:rsid w:val="00AC78D6"/>
    <w:rsid w:val="00AC79FC"/>
    <w:rsid w:val="00AD055E"/>
    <w:rsid w:val="00AD0974"/>
    <w:rsid w:val="00AD1708"/>
    <w:rsid w:val="00AD2054"/>
    <w:rsid w:val="00AD2B6D"/>
    <w:rsid w:val="00AD33B2"/>
    <w:rsid w:val="00AD47A7"/>
    <w:rsid w:val="00AD4CCF"/>
    <w:rsid w:val="00AD575B"/>
    <w:rsid w:val="00AE05BF"/>
    <w:rsid w:val="00AE3DF1"/>
    <w:rsid w:val="00AE4945"/>
    <w:rsid w:val="00AE4BA7"/>
    <w:rsid w:val="00AE786A"/>
    <w:rsid w:val="00AE7CCD"/>
    <w:rsid w:val="00AF003F"/>
    <w:rsid w:val="00AF0C09"/>
    <w:rsid w:val="00AF0CBF"/>
    <w:rsid w:val="00AF257F"/>
    <w:rsid w:val="00AF26E7"/>
    <w:rsid w:val="00AF33CF"/>
    <w:rsid w:val="00AF34A4"/>
    <w:rsid w:val="00AF4D50"/>
    <w:rsid w:val="00AF4E90"/>
    <w:rsid w:val="00AF6179"/>
    <w:rsid w:val="00AF7D58"/>
    <w:rsid w:val="00B0093A"/>
    <w:rsid w:val="00B018C4"/>
    <w:rsid w:val="00B01FE8"/>
    <w:rsid w:val="00B12080"/>
    <w:rsid w:val="00B128DD"/>
    <w:rsid w:val="00B1295A"/>
    <w:rsid w:val="00B153A4"/>
    <w:rsid w:val="00B17FB0"/>
    <w:rsid w:val="00B20A45"/>
    <w:rsid w:val="00B20CE2"/>
    <w:rsid w:val="00B2127B"/>
    <w:rsid w:val="00B21D6C"/>
    <w:rsid w:val="00B22594"/>
    <w:rsid w:val="00B22C5C"/>
    <w:rsid w:val="00B234BC"/>
    <w:rsid w:val="00B23A7D"/>
    <w:rsid w:val="00B242D0"/>
    <w:rsid w:val="00B24F30"/>
    <w:rsid w:val="00B26D44"/>
    <w:rsid w:val="00B316CB"/>
    <w:rsid w:val="00B31ABF"/>
    <w:rsid w:val="00B33BE3"/>
    <w:rsid w:val="00B3568F"/>
    <w:rsid w:val="00B3591C"/>
    <w:rsid w:val="00B3602E"/>
    <w:rsid w:val="00B370F7"/>
    <w:rsid w:val="00B37935"/>
    <w:rsid w:val="00B37D01"/>
    <w:rsid w:val="00B411C1"/>
    <w:rsid w:val="00B41A50"/>
    <w:rsid w:val="00B437B1"/>
    <w:rsid w:val="00B46156"/>
    <w:rsid w:val="00B4648B"/>
    <w:rsid w:val="00B5010D"/>
    <w:rsid w:val="00B5320E"/>
    <w:rsid w:val="00B5382D"/>
    <w:rsid w:val="00B53B5D"/>
    <w:rsid w:val="00B53C85"/>
    <w:rsid w:val="00B55BA5"/>
    <w:rsid w:val="00B573C7"/>
    <w:rsid w:val="00B576A5"/>
    <w:rsid w:val="00B57815"/>
    <w:rsid w:val="00B57FDE"/>
    <w:rsid w:val="00B6055E"/>
    <w:rsid w:val="00B6095F"/>
    <w:rsid w:val="00B61AD5"/>
    <w:rsid w:val="00B626E9"/>
    <w:rsid w:val="00B6317D"/>
    <w:rsid w:val="00B65C6B"/>
    <w:rsid w:val="00B73137"/>
    <w:rsid w:val="00B7723F"/>
    <w:rsid w:val="00B775C1"/>
    <w:rsid w:val="00B77E15"/>
    <w:rsid w:val="00B80534"/>
    <w:rsid w:val="00B8064A"/>
    <w:rsid w:val="00B80914"/>
    <w:rsid w:val="00B80AD0"/>
    <w:rsid w:val="00B8302E"/>
    <w:rsid w:val="00B8331F"/>
    <w:rsid w:val="00B8433C"/>
    <w:rsid w:val="00B87491"/>
    <w:rsid w:val="00B91F89"/>
    <w:rsid w:val="00B93293"/>
    <w:rsid w:val="00B93B49"/>
    <w:rsid w:val="00B94525"/>
    <w:rsid w:val="00B95210"/>
    <w:rsid w:val="00B96DF4"/>
    <w:rsid w:val="00BA133A"/>
    <w:rsid w:val="00BA1534"/>
    <w:rsid w:val="00BA18A4"/>
    <w:rsid w:val="00BA1FEA"/>
    <w:rsid w:val="00BA29E9"/>
    <w:rsid w:val="00BA2CA7"/>
    <w:rsid w:val="00BA2DCB"/>
    <w:rsid w:val="00BA5C75"/>
    <w:rsid w:val="00BA5DA5"/>
    <w:rsid w:val="00BA6084"/>
    <w:rsid w:val="00BA6A82"/>
    <w:rsid w:val="00BA7142"/>
    <w:rsid w:val="00BB0D74"/>
    <w:rsid w:val="00BB1443"/>
    <w:rsid w:val="00BB1507"/>
    <w:rsid w:val="00BB237C"/>
    <w:rsid w:val="00BB350A"/>
    <w:rsid w:val="00BB41A3"/>
    <w:rsid w:val="00BB5320"/>
    <w:rsid w:val="00BB6EC5"/>
    <w:rsid w:val="00BC1717"/>
    <w:rsid w:val="00BC259B"/>
    <w:rsid w:val="00BC32DC"/>
    <w:rsid w:val="00BC35B6"/>
    <w:rsid w:val="00BC41EA"/>
    <w:rsid w:val="00BC5661"/>
    <w:rsid w:val="00BC600F"/>
    <w:rsid w:val="00BC75FD"/>
    <w:rsid w:val="00BC77C6"/>
    <w:rsid w:val="00BD0ABF"/>
    <w:rsid w:val="00BD1B51"/>
    <w:rsid w:val="00BD42E7"/>
    <w:rsid w:val="00BD452C"/>
    <w:rsid w:val="00BD4596"/>
    <w:rsid w:val="00BD5F15"/>
    <w:rsid w:val="00BD67A0"/>
    <w:rsid w:val="00BD6A81"/>
    <w:rsid w:val="00BD6EFE"/>
    <w:rsid w:val="00BE100A"/>
    <w:rsid w:val="00BE1405"/>
    <w:rsid w:val="00BE312D"/>
    <w:rsid w:val="00BE6E31"/>
    <w:rsid w:val="00BE7688"/>
    <w:rsid w:val="00BF1C20"/>
    <w:rsid w:val="00BF5C0E"/>
    <w:rsid w:val="00C0493F"/>
    <w:rsid w:val="00C0600B"/>
    <w:rsid w:val="00C06BB3"/>
    <w:rsid w:val="00C10578"/>
    <w:rsid w:val="00C11AC9"/>
    <w:rsid w:val="00C11C56"/>
    <w:rsid w:val="00C12023"/>
    <w:rsid w:val="00C124E7"/>
    <w:rsid w:val="00C135BC"/>
    <w:rsid w:val="00C1476C"/>
    <w:rsid w:val="00C1596C"/>
    <w:rsid w:val="00C15C95"/>
    <w:rsid w:val="00C16261"/>
    <w:rsid w:val="00C20B33"/>
    <w:rsid w:val="00C21297"/>
    <w:rsid w:val="00C2596A"/>
    <w:rsid w:val="00C26678"/>
    <w:rsid w:val="00C27537"/>
    <w:rsid w:val="00C3269D"/>
    <w:rsid w:val="00C328FE"/>
    <w:rsid w:val="00C33507"/>
    <w:rsid w:val="00C3360E"/>
    <w:rsid w:val="00C345C3"/>
    <w:rsid w:val="00C41AB8"/>
    <w:rsid w:val="00C43383"/>
    <w:rsid w:val="00C43F03"/>
    <w:rsid w:val="00C4409D"/>
    <w:rsid w:val="00C44E72"/>
    <w:rsid w:val="00C45A06"/>
    <w:rsid w:val="00C47E5B"/>
    <w:rsid w:val="00C52DD6"/>
    <w:rsid w:val="00C54D83"/>
    <w:rsid w:val="00C55B2E"/>
    <w:rsid w:val="00C61E4B"/>
    <w:rsid w:val="00C629A2"/>
    <w:rsid w:val="00C62D2A"/>
    <w:rsid w:val="00C64BFF"/>
    <w:rsid w:val="00C65D27"/>
    <w:rsid w:val="00C67C87"/>
    <w:rsid w:val="00C704E9"/>
    <w:rsid w:val="00C70873"/>
    <w:rsid w:val="00C74756"/>
    <w:rsid w:val="00C74FEC"/>
    <w:rsid w:val="00C75194"/>
    <w:rsid w:val="00C75AF8"/>
    <w:rsid w:val="00C763C9"/>
    <w:rsid w:val="00C774BC"/>
    <w:rsid w:val="00C80057"/>
    <w:rsid w:val="00C80993"/>
    <w:rsid w:val="00C82232"/>
    <w:rsid w:val="00C823C1"/>
    <w:rsid w:val="00C82913"/>
    <w:rsid w:val="00C8470D"/>
    <w:rsid w:val="00C85E84"/>
    <w:rsid w:val="00C878DD"/>
    <w:rsid w:val="00C91998"/>
    <w:rsid w:val="00C93053"/>
    <w:rsid w:val="00C9480D"/>
    <w:rsid w:val="00C96F6F"/>
    <w:rsid w:val="00C972B1"/>
    <w:rsid w:val="00C978A8"/>
    <w:rsid w:val="00CA0087"/>
    <w:rsid w:val="00CA0E9E"/>
    <w:rsid w:val="00CA2CCE"/>
    <w:rsid w:val="00CA43FD"/>
    <w:rsid w:val="00CA7A11"/>
    <w:rsid w:val="00CA7EF8"/>
    <w:rsid w:val="00CB16E1"/>
    <w:rsid w:val="00CB17E7"/>
    <w:rsid w:val="00CB1BF5"/>
    <w:rsid w:val="00CB5002"/>
    <w:rsid w:val="00CB5BDD"/>
    <w:rsid w:val="00CB6618"/>
    <w:rsid w:val="00CB7550"/>
    <w:rsid w:val="00CB797B"/>
    <w:rsid w:val="00CB7D40"/>
    <w:rsid w:val="00CC0939"/>
    <w:rsid w:val="00CC12BB"/>
    <w:rsid w:val="00CC1DD5"/>
    <w:rsid w:val="00CC489B"/>
    <w:rsid w:val="00CC4927"/>
    <w:rsid w:val="00CC7995"/>
    <w:rsid w:val="00CC7E44"/>
    <w:rsid w:val="00CD2A33"/>
    <w:rsid w:val="00CD2BCD"/>
    <w:rsid w:val="00CD324A"/>
    <w:rsid w:val="00CD342D"/>
    <w:rsid w:val="00CD34A7"/>
    <w:rsid w:val="00CD3A4C"/>
    <w:rsid w:val="00CD58B5"/>
    <w:rsid w:val="00CE04F8"/>
    <w:rsid w:val="00CE10E9"/>
    <w:rsid w:val="00CE2910"/>
    <w:rsid w:val="00CE3E75"/>
    <w:rsid w:val="00CE4536"/>
    <w:rsid w:val="00CE4C4E"/>
    <w:rsid w:val="00CE5393"/>
    <w:rsid w:val="00CE6CD5"/>
    <w:rsid w:val="00CE7177"/>
    <w:rsid w:val="00CE7422"/>
    <w:rsid w:val="00CF1FC1"/>
    <w:rsid w:val="00CF22BC"/>
    <w:rsid w:val="00CF36BE"/>
    <w:rsid w:val="00CF3CC1"/>
    <w:rsid w:val="00CF42BB"/>
    <w:rsid w:val="00CF484C"/>
    <w:rsid w:val="00CF5A00"/>
    <w:rsid w:val="00CF6000"/>
    <w:rsid w:val="00CF66BF"/>
    <w:rsid w:val="00CF697B"/>
    <w:rsid w:val="00CF6AA2"/>
    <w:rsid w:val="00CF7653"/>
    <w:rsid w:val="00D003F3"/>
    <w:rsid w:val="00D009F7"/>
    <w:rsid w:val="00D00C5F"/>
    <w:rsid w:val="00D01054"/>
    <w:rsid w:val="00D01366"/>
    <w:rsid w:val="00D01FA8"/>
    <w:rsid w:val="00D02BF2"/>
    <w:rsid w:val="00D0364F"/>
    <w:rsid w:val="00D05BFA"/>
    <w:rsid w:val="00D06834"/>
    <w:rsid w:val="00D070F7"/>
    <w:rsid w:val="00D07600"/>
    <w:rsid w:val="00D1167F"/>
    <w:rsid w:val="00D1351D"/>
    <w:rsid w:val="00D15112"/>
    <w:rsid w:val="00D1615C"/>
    <w:rsid w:val="00D16A67"/>
    <w:rsid w:val="00D17749"/>
    <w:rsid w:val="00D20A9D"/>
    <w:rsid w:val="00D2178D"/>
    <w:rsid w:val="00D21F0C"/>
    <w:rsid w:val="00D308ED"/>
    <w:rsid w:val="00D31571"/>
    <w:rsid w:val="00D3436C"/>
    <w:rsid w:val="00D36414"/>
    <w:rsid w:val="00D36D86"/>
    <w:rsid w:val="00D406BD"/>
    <w:rsid w:val="00D40F52"/>
    <w:rsid w:val="00D4139C"/>
    <w:rsid w:val="00D41EA9"/>
    <w:rsid w:val="00D428AA"/>
    <w:rsid w:val="00D4509F"/>
    <w:rsid w:val="00D4788B"/>
    <w:rsid w:val="00D50A34"/>
    <w:rsid w:val="00D518E9"/>
    <w:rsid w:val="00D53EFA"/>
    <w:rsid w:val="00D53FEB"/>
    <w:rsid w:val="00D54F61"/>
    <w:rsid w:val="00D56D53"/>
    <w:rsid w:val="00D60042"/>
    <w:rsid w:val="00D61C20"/>
    <w:rsid w:val="00D620C1"/>
    <w:rsid w:val="00D63A4C"/>
    <w:rsid w:val="00D67008"/>
    <w:rsid w:val="00D6740C"/>
    <w:rsid w:val="00D70FF8"/>
    <w:rsid w:val="00D71AAF"/>
    <w:rsid w:val="00D71AF7"/>
    <w:rsid w:val="00D74F2D"/>
    <w:rsid w:val="00D77248"/>
    <w:rsid w:val="00D846AA"/>
    <w:rsid w:val="00D84705"/>
    <w:rsid w:val="00D8548B"/>
    <w:rsid w:val="00D854F7"/>
    <w:rsid w:val="00D862D7"/>
    <w:rsid w:val="00D90D28"/>
    <w:rsid w:val="00D912CD"/>
    <w:rsid w:val="00D918B1"/>
    <w:rsid w:val="00D92DD9"/>
    <w:rsid w:val="00D93FBE"/>
    <w:rsid w:val="00D94A7C"/>
    <w:rsid w:val="00D95896"/>
    <w:rsid w:val="00D96ABA"/>
    <w:rsid w:val="00D96DAD"/>
    <w:rsid w:val="00D975D8"/>
    <w:rsid w:val="00D97A17"/>
    <w:rsid w:val="00DA2DB8"/>
    <w:rsid w:val="00DA3796"/>
    <w:rsid w:val="00DA3AEE"/>
    <w:rsid w:val="00DA40ED"/>
    <w:rsid w:val="00DA6BAA"/>
    <w:rsid w:val="00DB032D"/>
    <w:rsid w:val="00DB0837"/>
    <w:rsid w:val="00DB16F9"/>
    <w:rsid w:val="00DB2983"/>
    <w:rsid w:val="00DB311F"/>
    <w:rsid w:val="00DB3425"/>
    <w:rsid w:val="00DB3C2D"/>
    <w:rsid w:val="00DB5E23"/>
    <w:rsid w:val="00DB600C"/>
    <w:rsid w:val="00DB6349"/>
    <w:rsid w:val="00DB78BC"/>
    <w:rsid w:val="00DC013B"/>
    <w:rsid w:val="00DC1257"/>
    <w:rsid w:val="00DC19A6"/>
    <w:rsid w:val="00DC2721"/>
    <w:rsid w:val="00DC3DC0"/>
    <w:rsid w:val="00DC5133"/>
    <w:rsid w:val="00DC5B2B"/>
    <w:rsid w:val="00DC7744"/>
    <w:rsid w:val="00DC7DAF"/>
    <w:rsid w:val="00DD10A8"/>
    <w:rsid w:val="00DD1367"/>
    <w:rsid w:val="00DD318D"/>
    <w:rsid w:val="00DD3D13"/>
    <w:rsid w:val="00DD636F"/>
    <w:rsid w:val="00DE1003"/>
    <w:rsid w:val="00DE1A2A"/>
    <w:rsid w:val="00DE3F5B"/>
    <w:rsid w:val="00DE4F67"/>
    <w:rsid w:val="00DE692D"/>
    <w:rsid w:val="00DF1857"/>
    <w:rsid w:val="00DF1CC4"/>
    <w:rsid w:val="00DF2053"/>
    <w:rsid w:val="00DF217B"/>
    <w:rsid w:val="00DF2E12"/>
    <w:rsid w:val="00DF2F7C"/>
    <w:rsid w:val="00DF514A"/>
    <w:rsid w:val="00DF6690"/>
    <w:rsid w:val="00DF6804"/>
    <w:rsid w:val="00DF6AD2"/>
    <w:rsid w:val="00DF76BA"/>
    <w:rsid w:val="00E0074B"/>
    <w:rsid w:val="00E010C9"/>
    <w:rsid w:val="00E01990"/>
    <w:rsid w:val="00E01AC0"/>
    <w:rsid w:val="00E02630"/>
    <w:rsid w:val="00E02BEF"/>
    <w:rsid w:val="00E03271"/>
    <w:rsid w:val="00E0341A"/>
    <w:rsid w:val="00E0358D"/>
    <w:rsid w:val="00E040D9"/>
    <w:rsid w:val="00E04323"/>
    <w:rsid w:val="00E05BF3"/>
    <w:rsid w:val="00E06D24"/>
    <w:rsid w:val="00E070A2"/>
    <w:rsid w:val="00E07F41"/>
    <w:rsid w:val="00E10275"/>
    <w:rsid w:val="00E11EAB"/>
    <w:rsid w:val="00E21B42"/>
    <w:rsid w:val="00E22F14"/>
    <w:rsid w:val="00E2570B"/>
    <w:rsid w:val="00E2656A"/>
    <w:rsid w:val="00E26B5D"/>
    <w:rsid w:val="00E2752D"/>
    <w:rsid w:val="00E27DEA"/>
    <w:rsid w:val="00E31BB7"/>
    <w:rsid w:val="00E33041"/>
    <w:rsid w:val="00E33117"/>
    <w:rsid w:val="00E34529"/>
    <w:rsid w:val="00E3680A"/>
    <w:rsid w:val="00E36C09"/>
    <w:rsid w:val="00E37723"/>
    <w:rsid w:val="00E40E43"/>
    <w:rsid w:val="00E40E74"/>
    <w:rsid w:val="00E412D0"/>
    <w:rsid w:val="00E474AB"/>
    <w:rsid w:val="00E5144E"/>
    <w:rsid w:val="00E54B96"/>
    <w:rsid w:val="00E56322"/>
    <w:rsid w:val="00E60982"/>
    <w:rsid w:val="00E61CFA"/>
    <w:rsid w:val="00E62497"/>
    <w:rsid w:val="00E62C62"/>
    <w:rsid w:val="00E64EB4"/>
    <w:rsid w:val="00E654C1"/>
    <w:rsid w:val="00E65D97"/>
    <w:rsid w:val="00E65FDF"/>
    <w:rsid w:val="00E70D48"/>
    <w:rsid w:val="00E72837"/>
    <w:rsid w:val="00E72A5A"/>
    <w:rsid w:val="00E72A8C"/>
    <w:rsid w:val="00E73141"/>
    <w:rsid w:val="00E731F3"/>
    <w:rsid w:val="00E73354"/>
    <w:rsid w:val="00E7523A"/>
    <w:rsid w:val="00E77519"/>
    <w:rsid w:val="00E8003B"/>
    <w:rsid w:val="00E84114"/>
    <w:rsid w:val="00E8560F"/>
    <w:rsid w:val="00E85B0B"/>
    <w:rsid w:val="00E8655D"/>
    <w:rsid w:val="00E86BF8"/>
    <w:rsid w:val="00E91824"/>
    <w:rsid w:val="00E9242D"/>
    <w:rsid w:val="00E93BCB"/>
    <w:rsid w:val="00E94931"/>
    <w:rsid w:val="00E9540B"/>
    <w:rsid w:val="00E959F1"/>
    <w:rsid w:val="00E96BDF"/>
    <w:rsid w:val="00E977F7"/>
    <w:rsid w:val="00EA0EBC"/>
    <w:rsid w:val="00EA2711"/>
    <w:rsid w:val="00EA6002"/>
    <w:rsid w:val="00EA6AD2"/>
    <w:rsid w:val="00EA766A"/>
    <w:rsid w:val="00EB0920"/>
    <w:rsid w:val="00EB0BD9"/>
    <w:rsid w:val="00EB171A"/>
    <w:rsid w:val="00EB17CD"/>
    <w:rsid w:val="00EB25AF"/>
    <w:rsid w:val="00EB4F8E"/>
    <w:rsid w:val="00EB5255"/>
    <w:rsid w:val="00EB5C47"/>
    <w:rsid w:val="00EB6A7C"/>
    <w:rsid w:val="00EC282F"/>
    <w:rsid w:val="00EC332E"/>
    <w:rsid w:val="00EC48EA"/>
    <w:rsid w:val="00EC4C8F"/>
    <w:rsid w:val="00EC564E"/>
    <w:rsid w:val="00EC64E4"/>
    <w:rsid w:val="00EC7336"/>
    <w:rsid w:val="00ED05B2"/>
    <w:rsid w:val="00ED0639"/>
    <w:rsid w:val="00ED1764"/>
    <w:rsid w:val="00ED350B"/>
    <w:rsid w:val="00ED36EF"/>
    <w:rsid w:val="00ED42DB"/>
    <w:rsid w:val="00ED4926"/>
    <w:rsid w:val="00ED4BED"/>
    <w:rsid w:val="00ED56D7"/>
    <w:rsid w:val="00ED78A8"/>
    <w:rsid w:val="00EE03B6"/>
    <w:rsid w:val="00EF07E9"/>
    <w:rsid w:val="00EF08B1"/>
    <w:rsid w:val="00EF18C8"/>
    <w:rsid w:val="00EF1C01"/>
    <w:rsid w:val="00EF4755"/>
    <w:rsid w:val="00EF4B80"/>
    <w:rsid w:val="00EF7135"/>
    <w:rsid w:val="00F001BE"/>
    <w:rsid w:val="00F0144D"/>
    <w:rsid w:val="00F027DB"/>
    <w:rsid w:val="00F040AC"/>
    <w:rsid w:val="00F0725A"/>
    <w:rsid w:val="00F07DDB"/>
    <w:rsid w:val="00F10001"/>
    <w:rsid w:val="00F111D6"/>
    <w:rsid w:val="00F1306A"/>
    <w:rsid w:val="00F13967"/>
    <w:rsid w:val="00F14A7A"/>
    <w:rsid w:val="00F14F65"/>
    <w:rsid w:val="00F16279"/>
    <w:rsid w:val="00F20E2F"/>
    <w:rsid w:val="00F20EF3"/>
    <w:rsid w:val="00F21FCE"/>
    <w:rsid w:val="00F22985"/>
    <w:rsid w:val="00F22A78"/>
    <w:rsid w:val="00F22C04"/>
    <w:rsid w:val="00F233A0"/>
    <w:rsid w:val="00F26DC2"/>
    <w:rsid w:val="00F30099"/>
    <w:rsid w:val="00F302C2"/>
    <w:rsid w:val="00F32FF8"/>
    <w:rsid w:val="00F3383E"/>
    <w:rsid w:val="00F4111B"/>
    <w:rsid w:val="00F43E1A"/>
    <w:rsid w:val="00F44F13"/>
    <w:rsid w:val="00F457FC"/>
    <w:rsid w:val="00F465A7"/>
    <w:rsid w:val="00F4715B"/>
    <w:rsid w:val="00F50731"/>
    <w:rsid w:val="00F50B7C"/>
    <w:rsid w:val="00F51ED4"/>
    <w:rsid w:val="00F52058"/>
    <w:rsid w:val="00F53303"/>
    <w:rsid w:val="00F53D08"/>
    <w:rsid w:val="00F550E6"/>
    <w:rsid w:val="00F55735"/>
    <w:rsid w:val="00F56708"/>
    <w:rsid w:val="00F6067F"/>
    <w:rsid w:val="00F638A5"/>
    <w:rsid w:val="00F64435"/>
    <w:rsid w:val="00F64E98"/>
    <w:rsid w:val="00F71D6C"/>
    <w:rsid w:val="00F74345"/>
    <w:rsid w:val="00F7548C"/>
    <w:rsid w:val="00F755E6"/>
    <w:rsid w:val="00F80A0A"/>
    <w:rsid w:val="00F812A1"/>
    <w:rsid w:val="00F818F8"/>
    <w:rsid w:val="00F82B19"/>
    <w:rsid w:val="00F84127"/>
    <w:rsid w:val="00F84521"/>
    <w:rsid w:val="00F90903"/>
    <w:rsid w:val="00F91205"/>
    <w:rsid w:val="00F9212D"/>
    <w:rsid w:val="00F93D4E"/>
    <w:rsid w:val="00F957EC"/>
    <w:rsid w:val="00F965DA"/>
    <w:rsid w:val="00F96819"/>
    <w:rsid w:val="00F972DC"/>
    <w:rsid w:val="00F97957"/>
    <w:rsid w:val="00FA1E9A"/>
    <w:rsid w:val="00FA2816"/>
    <w:rsid w:val="00FA28EA"/>
    <w:rsid w:val="00FA35C2"/>
    <w:rsid w:val="00FA3E01"/>
    <w:rsid w:val="00FA406A"/>
    <w:rsid w:val="00FA4429"/>
    <w:rsid w:val="00FA5929"/>
    <w:rsid w:val="00FB31FF"/>
    <w:rsid w:val="00FB45CC"/>
    <w:rsid w:val="00FB503A"/>
    <w:rsid w:val="00FB516C"/>
    <w:rsid w:val="00FB5EA8"/>
    <w:rsid w:val="00FB5F7E"/>
    <w:rsid w:val="00FB779F"/>
    <w:rsid w:val="00FC11A5"/>
    <w:rsid w:val="00FC5394"/>
    <w:rsid w:val="00FC6CAA"/>
    <w:rsid w:val="00FD0236"/>
    <w:rsid w:val="00FD18F4"/>
    <w:rsid w:val="00FD2EBE"/>
    <w:rsid w:val="00FD3056"/>
    <w:rsid w:val="00FD54DB"/>
    <w:rsid w:val="00FD619F"/>
    <w:rsid w:val="00FE0D7D"/>
    <w:rsid w:val="00FE122C"/>
    <w:rsid w:val="00FE159D"/>
    <w:rsid w:val="00FE164F"/>
    <w:rsid w:val="00FE4A94"/>
    <w:rsid w:val="00FE532C"/>
    <w:rsid w:val="00FE54E7"/>
    <w:rsid w:val="00FE6722"/>
    <w:rsid w:val="00FE7D4D"/>
    <w:rsid w:val="00FF085A"/>
    <w:rsid w:val="00FF0F82"/>
    <w:rsid w:val="00FF15AE"/>
    <w:rsid w:val="00FF44C8"/>
    <w:rsid w:val="00FF53DD"/>
    <w:rsid w:val="00FF5B8C"/>
    <w:rsid w:val="010B2944"/>
    <w:rsid w:val="01290F7E"/>
    <w:rsid w:val="01567550"/>
    <w:rsid w:val="0159301C"/>
    <w:rsid w:val="015D1E09"/>
    <w:rsid w:val="019F2069"/>
    <w:rsid w:val="02225B04"/>
    <w:rsid w:val="025739FF"/>
    <w:rsid w:val="02697903"/>
    <w:rsid w:val="02C26B15"/>
    <w:rsid w:val="02F96569"/>
    <w:rsid w:val="03045209"/>
    <w:rsid w:val="037F58E9"/>
    <w:rsid w:val="0382266C"/>
    <w:rsid w:val="0390274B"/>
    <w:rsid w:val="03A65D25"/>
    <w:rsid w:val="03B46C2F"/>
    <w:rsid w:val="03EA7B21"/>
    <w:rsid w:val="04032D5A"/>
    <w:rsid w:val="040977C0"/>
    <w:rsid w:val="04A24703"/>
    <w:rsid w:val="04FC43EA"/>
    <w:rsid w:val="0550438A"/>
    <w:rsid w:val="05504736"/>
    <w:rsid w:val="055743A9"/>
    <w:rsid w:val="057272E7"/>
    <w:rsid w:val="05AF5900"/>
    <w:rsid w:val="05E57574"/>
    <w:rsid w:val="05F83EAE"/>
    <w:rsid w:val="06054700"/>
    <w:rsid w:val="063E7D85"/>
    <w:rsid w:val="06491EA2"/>
    <w:rsid w:val="07293586"/>
    <w:rsid w:val="07295285"/>
    <w:rsid w:val="073C31C4"/>
    <w:rsid w:val="07636392"/>
    <w:rsid w:val="07770C56"/>
    <w:rsid w:val="07BF4195"/>
    <w:rsid w:val="07E21FBD"/>
    <w:rsid w:val="080041F1"/>
    <w:rsid w:val="08687FE8"/>
    <w:rsid w:val="092217DD"/>
    <w:rsid w:val="09271EEA"/>
    <w:rsid w:val="092D64DA"/>
    <w:rsid w:val="093A7294"/>
    <w:rsid w:val="0946657C"/>
    <w:rsid w:val="09770614"/>
    <w:rsid w:val="097F70D9"/>
    <w:rsid w:val="098A63D1"/>
    <w:rsid w:val="099E6880"/>
    <w:rsid w:val="09C0632E"/>
    <w:rsid w:val="09CF0402"/>
    <w:rsid w:val="0A132C02"/>
    <w:rsid w:val="0A2006DF"/>
    <w:rsid w:val="0A263993"/>
    <w:rsid w:val="0A2D3AC2"/>
    <w:rsid w:val="0A434869"/>
    <w:rsid w:val="0A80786B"/>
    <w:rsid w:val="0AA755DF"/>
    <w:rsid w:val="0B120D44"/>
    <w:rsid w:val="0BBB4168"/>
    <w:rsid w:val="0BD27BF6"/>
    <w:rsid w:val="0BD9521E"/>
    <w:rsid w:val="0BEF1D0B"/>
    <w:rsid w:val="0BF64289"/>
    <w:rsid w:val="0C2506CA"/>
    <w:rsid w:val="0C3B3C7D"/>
    <w:rsid w:val="0C937D2A"/>
    <w:rsid w:val="0CAB2EAE"/>
    <w:rsid w:val="0CCB5F18"/>
    <w:rsid w:val="0D26335B"/>
    <w:rsid w:val="0D621C7D"/>
    <w:rsid w:val="0D8060B9"/>
    <w:rsid w:val="0D8E6743"/>
    <w:rsid w:val="0DB963BF"/>
    <w:rsid w:val="0DC67C8B"/>
    <w:rsid w:val="0E0C69F8"/>
    <w:rsid w:val="0E11507A"/>
    <w:rsid w:val="0E172295"/>
    <w:rsid w:val="0E460DCC"/>
    <w:rsid w:val="0E49746F"/>
    <w:rsid w:val="0E575C13"/>
    <w:rsid w:val="0E6F20D1"/>
    <w:rsid w:val="0E73034D"/>
    <w:rsid w:val="0F13775A"/>
    <w:rsid w:val="0F271BAF"/>
    <w:rsid w:val="0F5F45FE"/>
    <w:rsid w:val="0F9A112B"/>
    <w:rsid w:val="0FDA17CC"/>
    <w:rsid w:val="106D2F64"/>
    <w:rsid w:val="108005C5"/>
    <w:rsid w:val="109911E1"/>
    <w:rsid w:val="10B63710"/>
    <w:rsid w:val="10E3528B"/>
    <w:rsid w:val="10F10820"/>
    <w:rsid w:val="11020FDA"/>
    <w:rsid w:val="1103189B"/>
    <w:rsid w:val="111C2F7A"/>
    <w:rsid w:val="11665CA1"/>
    <w:rsid w:val="119360D6"/>
    <w:rsid w:val="11AB1672"/>
    <w:rsid w:val="126B26FB"/>
    <w:rsid w:val="127A35BD"/>
    <w:rsid w:val="12E76CED"/>
    <w:rsid w:val="13091A27"/>
    <w:rsid w:val="13951726"/>
    <w:rsid w:val="13FB0A64"/>
    <w:rsid w:val="14201CF4"/>
    <w:rsid w:val="14396509"/>
    <w:rsid w:val="14933F06"/>
    <w:rsid w:val="14AC691B"/>
    <w:rsid w:val="14DD2C3C"/>
    <w:rsid w:val="15192D96"/>
    <w:rsid w:val="15897F1C"/>
    <w:rsid w:val="15C56A7A"/>
    <w:rsid w:val="16087E1D"/>
    <w:rsid w:val="161872CC"/>
    <w:rsid w:val="16AF4AA1"/>
    <w:rsid w:val="16C648A1"/>
    <w:rsid w:val="16F75359"/>
    <w:rsid w:val="170867EA"/>
    <w:rsid w:val="174F484D"/>
    <w:rsid w:val="17701D14"/>
    <w:rsid w:val="17735226"/>
    <w:rsid w:val="17784B61"/>
    <w:rsid w:val="17CB3713"/>
    <w:rsid w:val="182C53DC"/>
    <w:rsid w:val="189F624C"/>
    <w:rsid w:val="18FA36E1"/>
    <w:rsid w:val="1935655D"/>
    <w:rsid w:val="196B0DBD"/>
    <w:rsid w:val="19A968F2"/>
    <w:rsid w:val="19F17E3E"/>
    <w:rsid w:val="1A027489"/>
    <w:rsid w:val="1A1C66C0"/>
    <w:rsid w:val="1A27385F"/>
    <w:rsid w:val="1A393593"/>
    <w:rsid w:val="1A42393B"/>
    <w:rsid w:val="1A4C776A"/>
    <w:rsid w:val="1A5E3C5E"/>
    <w:rsid w:val="1AA44EB0"/>
    <w:rsid w:val="1AAA1F45"/>
    <w:rsid w:val="1AAD45DE"/>
    <w:rsid w:val="1AC82188"/>
    <w:rsid w:val="1AE50D50"/>
    <w:rsid w:val="1B046F80"/>
    <w:rsid w:val="1B1F09DB"/>
    <w:rsid w:val="1B3267B5"/>
    <w:rsid w:val="1B40161D"/>
    <w:rsid w:val="1B441859"/>
    <w:rsid w:val="1B6606B1"/>
    <w:rsid w:val="1BD45C69"/>
    <w:rsid w:val="1BEC092D"/>
    <w:rsid w:val="1BF64BAE"/>
    <w:rsid w:val="1BF80C4D"/>
    <w:rsid w:val="1C2838BF"/>
    <w:rsid w:val="1C5446B4"/>
    <w:rsid w:val="1C5E7925"/>
    <w:rsid w:val="1CBB76EF"/>
    <w:rsid w:val="1CE42735"/>
    <w:rsid w:val="1CFD070F"/>
    <w:rsid w:val="1D5F6196"/>
    <w:rsid w:val="1D6132A5"/>
    <w:rsid w:val="1D8D3BBF"/>
    <w:rsid w:val="1D8E56D5"/>
    <w:rsid w:val="1D994A74"/>
    <w:rsid w:val="1D9A49A4"/>
    <w:rsid w:val="1D9B5229"/>
    <w:rsid w:val="1DD0420E"/>
    <w:rsid w:val="1E036392"/>
    <w:rsid w:val="1E0C13CE"/>
    <w:rsid w:val="1E326C0D"/>
    <w:rsid w:val="1E7A43DA"/>
    <w:rsid w:val="1EC71520"/>
    <w:rsid w:val="1EDD1822"/>
    <w:rsid w:val="1EFA1543"/>
    <w:rsid w:val="1FA1294E"/>
    <w:rsid w:val="1FC61D6D"/>
    <w:rsid w:val="1FE7539E"/>
    <w:rsid w:val="20671BE0"/>
    <w:rsid w:val="206C2914"/>
    <w:rsid w:val="20963CB8"/>
    <w:rsid w:val="20A65B06"/>
    <w:rsid w:val="20A81A1B"/>
    <w:rsid w:val="20AE4CDA"/>
    <w:rsid w:val="20B07FB6"/>
    <w:rsid w:val="20B646FB"/>
    <w:rsid w:val="20BA7C64"/>
    <w:rsid w:val="213B74B1"/>
    <w:rsid w:val="215A2310"/>
    <w:rsid w:val="21A34113"/>
    <w:rsid w:val="21CB71C6"/>
    <w:rsid w:val="21DE318A"/>
    <w:rsid w:val="21DF3243"/>
    <w:rsid w:val="21E85FCA"/>
    <w:rsid w:val="21ED1832"/>
    <w:rsid w:val="21EF5B80"/>
    <w:rsid w:val="22576990"/>
    <w:rsid w:val="22AB1C1C"/>
    <w:rsid w:val="22F47480"/>
    <w:rsid w:val="230E7CB2"/>
    <w:rsid w:val="23DE1C48"/>
    <w:rsid w:val="23FE3883"/>
    <w:rsid w:val="240210CD"/>
    <w:rsid w:val="24BF09F7"/>
    <w:rsid w:val="24EE7D9B"/>
    <w:rsid w:val="24EF35A7"/>
    <w:rsid w:val="251251DD"/>
    <w:rsid w:val="252D53FE"/>
    <w:rsid w:val="25421E95"/>
    <w:rsid w:val="25A01EE3"/>
    <w:rsid w:val="25A95A70"/>
    <w:rsid w:val="25CA6327"/>
    <w:rsid w:val="25CE54D7"/>
    <w:rsid w:val="25EC2D81"/>
    <w:rsid w:val="25ED78CC"/>
    <w:rsid w:val="25F651A2"/>
    <w:rsid w:val="26663961"/>
    <w:rsid w:val="26700749"/>
    <w:rsid w:val="268F66AE"/>
    <w:rsid w:val="269A326B"/>
    <w:rsid w:val="26A10E3D"/>
    <w:rsid w:val="26D14F16"/>
    <w:rsid w:val="27133AE9"/>
    <w:rsid w:val="27381994"/>
    <w:rsid w:val="277057A2"/>
    <w:rsid w:val="27BB6E46"/>
    <w:rsid w:val="281C077C"/>
    <w:rsid w:val="282569DC"/>
    <w:rsid w:val="29206EB8"/>
    <w:rsid w:val="29595666"/>
    <w:rsid w:val="297773D6"/>
    <w:rsid w:val="29874881"/>
    <w:rsid w:val="2995461C"/>
    <w:rsid w:val="29986C5C"/>
    <w:rsid w:val="29D11A3A"/>
    <w:rsid w:val="29E325E0"/>
    <w:rsid w:val="2A32274B"/>
    <w:rsid w:val="2A452503"/>
    <w:rsid w:val="2A7506E8"/>
    <w:rsid w:val="2AED63FF"/>
    <w:rsid w:val="2B005BEA"/>
    <w:rsid w:val="2B724877"/>
    <w:rsid w:val="2B7663F5"/>
    <w:rsid w:val="2BA936A8"/>
    <w:rsid w:val="2C315A5A"/>
    <w:rsid w:val="2C4B1C25"/>
    <w:rsid w:val="2C6170A5"/>
    <w:rsid w:val="2C7A413A"/>
    <w:rsid w:val="2CB80ED5"/>
    <w:rsid w:val="2CDC3BC7"/>
    <w:rsid w:val="2D1401E3"/>
    <w:rsid w:val="2D15440E"/>
    <w:rsid w:val="2D5F7AEE"/>
    <w:rsid w:val="2D9E56F5"/>
    <w:rsid w:val="2DBC3181"/>
    <w:rsid w:val="2DF80288"/>
    <w:rsid w:val="2E0425E4"/>
    <w:rsid w:val="2E667F96"/>
    <w:rsid w:val="2E8226AB"/>
    <w:rsid w:val="2E951288"/>
    <w:rsid w:val="2EB909D8"/>
    <w:rsid w:val="2EBD25DD"/>
    <w:rsid w:val="2FD065E6"/>
    <w:rsid w:val="2FD96870"/>
    <w:rsid w:val="2FE95426"/>
    <w:rsid w:val="2FED29FE"/>
    <w:rsid w:val="30000983"/>
    <w:rsid w:val="30363749"/>
    <w:rsid w:val="30580BC9"/>
    <w:rsid w:val="306427D2"/>
    <w:rsid w:val="306C416A"/>
    <w:rsid w:val="307153DD"/>
    <w:rsid w:val="311E2ED7"/>
    <w:rsid w:val="315619EE"/>
    <w:rsid w:val="315C449C"/>
    <w:rsid w:val="31B45EC9"/>
    <w:rsid w:val="31B82709"/>
    <w:rsid w:val="31CD6F8B"/>
    <w:rsid w:val="31D05482"/>
    <w:rsid w:val="31D40319"/>
    <w:rsid w:val="31F34794"/>
    <w:rsid w:val="32250B75"/>
    <w:rsid w:val="32400B34"/>
    <w:rsid w:val="327827C9"/>
    <w:rsid w:val="32911D66"/>
    <w:rsid w:val="329E5D4B"/>
    <w:rsid w:val="329E6876"/>
    <w:rsid w:val="32A41A99"/>
    <w:rsid w:val="333015F2"/>
    <w:rsid w:val="334B6320"/>
    <w:rsid w:val="336D632F"/>
    <w:rsid w:val="33884F17"/>
    <w:rsid w:val="33893F1E"/>
    <w:rsid w:val="33C55E5D"/>
    <w:rsid w:val="33D934D4"/>
    <w:rsid w:val="33FE2F6A"/>
    <w:rsid w:val="340E07E5"/>
    <w:rsid w:val="34161341"/>
    <w:rsid w:val="34235BF7"/>
    <w:rsid w:val="343D57A7"/>
    <w:rsid w:val="34CC2FCA"/>
    <w:rsid w:val="34EC50F6"/>
    <w:rsid w:val="34F41FC6"/>
    <w:rsid w:val="3510079E"/>
    <w:rsid w:val="351331F9"/>
    <w:rsid w:val="356B689E"/>
    <w:rsid w:val="357A11D7"/>
    <w:rsid w:val="358C5FA8"/>
    <w:rsid w:val="35B50293"/>
    <w:rsid w:val="35B82BD8"/>
    <w:rsid w:val="35C15DF1"/>
    <w:rsid w:val="35C76DF6"/>
    <w:rsid w:val="35F920FC"/>
    <w:rsid w:val="35FE3DC2"/>
    <w:rsid w:val="36074A7F"/>
    <w:rsid w:val="360A0F8C"/>
    <w:rsid w:val="36566112"/>
    <w:rsid w:val="36680922"/>
    <w:rsid w:val="36923549"/>
    <w:rsid w:val="36B75FBF"/>
    <w:rsid w:val="36BD0C45"/>
    <w:rsid w:val="36D466C5"/>
    <w:rsid w:val="36F4364C"/>
    <w:rsid w:val="36F9749B"/>
    <w:rsid w:val="37645C9B"/>
    <w:rsid w:val="378325C5"/>
    <w:rsid w:val="37991DE9"/>
    <w:rsid w:val="379A7F64"/>
    <w:rsid w:val="37E00298"/>
    <w:rsid w:val="38194CD8"/>
    <w:rsid w:val="38353194"/>
    <w:rsid w:val="383D21D3"/>
    <w:rsid w:val="38726196"/>
    <w:rsid w:val="38B302F9"/>
    <w:rsid w:val="38F12CD3"/>
    <w:rsid w:val="38F94775"/>
    <w:rsid w:val="38FE7A29"/>
    <w:rsid w:val="39113C01"/>
    <w:rsid w:val="391938B8"/>
    <w:rsid w:val="392971ED"/>
    <w:rsid w:val="392C29C6"/>
    <w:rsid w:val="39325651"/>
    <w:rsid w:val="396C5CA3"/>
    <w:rsid w:val="3A3E7A83"/>
    <w:rsid w:val="3A661D2A"/>
    <w:rsid w:val="3A7247F2"/>
    <w:rsid w:val="3A872856"/>
    <w:rsid w:val="3AB60ED4"/>
    <w:rsid w:val="3ABE3914"/>
    <w:rsid w:val="3AF9494C"/>
    <w:rsid w:val="3B051B7D"/>
    <w:rsid w:val="3B0F229E"/>
    <w:rsid w:val="3B3515B6"/>
    <w:rsid w:val="3B3763D1"/>
    <w:rsid w:val="3B3F32BB"/>
    <w:rsid w:val="3B765F9D"/>
    <w:rsid w:val="3B8D45DF"/>
    <w:rsid w:val="3BB56080"/>
    <w:rsid w:val="3BC74A4B"/>
    <w:rsid w:val="3C0E2679"/>
    <w:rsid w:val="3C0F23BF"/>
    <w:rsid w:val="3C2F6E1E"/>
    <w:rsid w:val="3C4F64BA"/>
    <w:rsid w:val="3C6109FB"/>
    <w:rsid w:val="3CDA245A"/>
    <w:rsid w:val="3D1E06B7"/>
    <w:rsid w:val="3DBB771F"/>
    <w:rsid w:val="3DE74B05"/>
    <w:rsid w:val="3E1E71EA"/>
    <w:rsid w:val="3E5A3954"/>
    <w:rsid w:val="3E9210E8"/>
    <w:rsid w:val="3EBE2878"/>
    <w:rsid w:val="3EDA0523"/>
    <w:rsid w:val="3FA04B59"/>
    <w:rsid w:val="401D10DD"/>
    <w:rsid w:val="40363F4D"/>
    <w:rsid w:val="404600E6"/>
    <w:rsid w:val="40556AC9"/>
    <w:rsid w:val="407A6407"/>
    <w:rsid w:val="40955117"/>
    <w:rsid w:val="40C652D1"/>
    <w:rsid w:val="41C45CB4"/>
    <w:rsid w:val="4200449D"/>
    <w:rsid w:val="423A3BCC"/>
    <w:rsid w:val="424E57D2"/>
    <w:rsid w:val="42B26C49"/>
    <w:rsid w:val="42BB0811"/>
    <w:rsid w:val="42F94AE0"/>
    <w:rsid w:val="431E7646"/>
    <w:rsid w:val="433231BB"/>
    <w:rsid w:val="433A6FE6"/>
    <w:rsid w:val="43480868"/>
    <w:rsid w:val="434846C3"/>
    <w:rsid w:val="4350713C"/>
    <w:rsid w:val="436037BB"/>
    <w:rsid w:val="43656E2C"/>
    <w:rsid w:val="436653E0"/>
    <w:rsid w:val="4399229E"/>
    <w:rsid w:val="43C4431A"/>
    <w:rsid w:val="43E83A5C"/>
    <w:rsid w:val="444404EC"/>
    <w:rsid w:val="448734FB"/>
    <w:rsid w:val="44B951CC"/>
    <w:rsid w:val="44CD14E0"/>
    <w:rsid w:val="44DC3315"/>
    <w:rsid w:val="44F20B0B"/>
    <w:rsid w:val="4517259F"/>
    <w:rsid w:val="452E5F4C"/>
    <w:rsid w:val="45352A25"/>
    <w:rsid w:val="4546671F"/>
    <w:rsid w:val="45612018"/>
    <w:rsid w:val="456926CF"/>
    <w:rsid w:val="457C2402"/>
    <w:rsid w:val="458946E9"/>
    <w:rsid w:val="45A47C0E"/>
    <w:rsid w:val="46577FD6"/>
    <w:rsid w:val="469B2D5C"/>
    <w:rsid w:val="46B207D1"/>
    <w:rsid w:val="46D955A7"/>
    <w:rsid w:val="46DD4B7E"/>
    <w:rsid w:val="47133957"/>
    <w:rsid w:val="473867FC"/>
    <w:rsid w:val="475B0D80"/>
    <w:rsid w:val="47743CD8"/>
    <w:rsid w:val="478851A5"/>
    <w:rsid w:val="47A07E0C"/>
    <w:rsid w:val="4870272E"/>
    <w:rsid w:val="48BD345D"/>
    <w:rsid w:val="48C27A5F"/>
    <w:rsid w:val="4921579A"/>
    <w:rsid w:val="49285078"/>
    <w:rsid w:val="49DA0653"/>
    <w:rsid w:val="49DC7715"/>
    <w:rsid w:val="4A023139"/>
    <w:rsid w:val="4A3817DB"/>
    <w:rsid w:val="4A42352F"/>
    <w:rsid w:val="4A6A55B6"/>
    <w:rsid w:val="4A6E0EB3"/>
    <w:rsid w:val="4A710AA3"/>
    <w:rsid w:val="4A7B576F"/>
    <w:rsid w:val="4AC74ACE"/>
    <w:rsid w:val="4AF561A9"/>
    <w:rsid w:val="4B135E36"/>
    <w:rsid w:val="4B85737C"/>
    <w:rsid w:val="4BC32EDC"/>
    <w:rsid w:val="4BE7296C"/>
    <w:rsid w:val="4BED4684"/>
    <w:rsid w:val="4C4A0649"/>
    <w:rsid w:val="4C7E5ECA"/>
    <w:rsid w:val="4C876AA5"/>
    <w:rsid w:val="4C9149E5"/>
    <w:rsid w:val="4CB42157"/>
    <w:rsid w:val="4CD465B5"/>
    <w:rsid w:val="4CEE1E37"/>
    <w:rsid w:val="4D0E00FB"/>
    <w:rsid w:val="4D176606"/>
    <w:rsid w:val="4D3F2693"/>
    <w:rsid w:val="4DEC4FB0"/>
    <w:rsid w:val="4E075D8A"/>
    <w:rsid w:val="4E0B7EEB"/>
    <w:rsid w:val="4E27511C"/>
    <w:rsid w:val="4E3F3B7F"/>
    <w:rsid w:val="4E810FA4"/>
    <w:rsid w:val="4EB32F14"/>
    <w:rsid w:val="4EC00FAD"/>
    <w:rsid w:val="4EF16274"/>
    <w:rsid w:val="4EF35686"/>
    <w:rsid w:val="4F9843DC"/>
    <w:rsid w:val="4F9D0C0C"/>
    <w:rsid w:val="4FC62A8C"/>
    <w:rsid w:val="4FE20F0D"/>
    <w:rsid w:val="4FE51552"/>
    <w:rsid w:val="501E3E9C"/>
    <w:rsid w:val="50504C4B"/>
    <w:rsid w:val="5086130F"/>
    <w:rsid w:val="509C6E7C"/>
    <w:rsid w:val="50A72A9D"/>
    <w:rsid w:val="50B377D1"/>
    <w:rsid w:val="50FE4613"/>
    <w:rsid w:val="512D4760"/>
    <w:rsid w:val="51621046"/>
    <w:rsid w:val="5162104E"/>
    <w:rsid w:val="516E106E"/>
    <w:rsid w:val="51711289"/>
    <w:rsid w:val="51826FF2"/>
    <w:rsid w:val="52610D67"/>
    <w:rsid w:val="53467959"/>
    <w:rsid w:val="53886742"/>
    <w:rsid w:val="53A039CC"/>
    <w:rsid w:val="53A1505A"/>
    <w:rsid w:val="53DC3268"/>
    <w:rsid w:val="54063E08"/>
    <w:rsid w:val="543437E8"/>
    <w:rsid w:val="545B3DC0"/>
    <w:rsid w:val="54A84E02"/>
    <w:rsid w:val="54F55D2D"/>
    <w:rsid w:val="54F73313"/>
    <w:rsid w:val="54F80955"/>
    <w:rsid w:val="55513A7D"/>
    <w:rsid w:val="555170A7"/>
    <w:rsid w:val="55575E7C"/>
    <w:rsid w:val="55607EBF"/>
    <w:rsid w:val="557355CF"/>
    <w:rsid w:val="5587536D"/>
    <w:rsid w:val="559B174B"/>
    <w:rsid w:val="55B00B2E"/>
    <w:rsid w:val="55C0534A"/>
    <w:rsid w:val="55CE0CF4"/>
    <w:rsid w:val="55E26FF6"/>
    <w:rsid w:val="55FC6467"/>
    <w:rsid w:val="562C69CB"/>
    <w:rsid w:val="562E599A"/>
    <w:rsid w:val="56B22A9C"/>
    <w:rsid w:val="57623B4D"/>
    <w:rsid w:val="57AD745F"/>
    <w:rsid w:val="57B72A76"/>
    <w:rsid w:val="57C3426C"/>
    <w:rsid w:val="57C71C02"/>
    <w:rsid w:val="57CE1F93"/>
    <w:rsid w:val="57CF2865"/>
    <w:rsid w:val="583F5C3D"/>
    <w:rsid w:val="58704048"/>
    <w:rsid w:val="588743D1"/>
    <w:rsid w:val="5887701A"/>
    <w:rsid w:val="59142C25"/>
    <w:rsid w:val="59BD32BD"/>
    <w:rsid w:val="59C0439F"/>
    <w:rsid w:val="5ABE2233"/>
    <w:rsid w:val="5BA069F2"/>
    <w:rsid w:val="5BCF536E"/>
    <w:rsid w:val="5BD4669C"/>
    <w:rsid w:val="5BDF5D95"/>
    <w:rsid w:val="5BF705DC"/>
    <w:rsid w:val="5BFE7528"/>
    <w:rsid w:val="5C1470C8"/>
    <w:rsid w:val="5C9014E4"/>
    <w:rsid w:val="5CC06FCC"/>
    <w:rsid w:val="5CDE61E5"/>
    <w:rsid w:val="5D010983"/>
    <w:rsid w:val="5D1364F8"/>
    <w:rsid w:val="5D45063D"/>
    <w:rsid w:val="5D746389"/>
    <w:rsid w:val="5DDC7A8A"/>
    <w:rsid w:val="5E001ACF"/>
    <w:rsid w:val="5E030B0D"/>
    <w:rsid w:val="5E082F75"/>
    <w:rsid w:val="5E2467F1"/>
    <w:rsid w:val="5ED657C7"/>
    <w:rsid w:val="5EF07EF4"/>
    <w:rsid w:val="5F1A2B43"/>
    <w:rsid w:val="5F2003BF"/>
    <w:rsid w:val="5F491F3C"/>
    <w:rsid w:val="5F4A106A"/>
    <w:rsid w:val="5F5D70B9"/>
    <w:rsid w:val="5F7D2295"/>
    <w:rsid w:val="5F842C8D"/>
    <w:rsid w:val="5FB837BB"/>
    <w:rsid w:val="602776E2"/>
    <w:rsid w:val="605A6A74"/>
    <w:rsid w:val="608A54F5"/>
    <w:rsid w:val="60CC405A"/>
    <w:rsid w:val="611F03B9"/>
    <w:rsid w:val="61232F88"/>
    <w:rsid w:val="614C27B6"/>
    <w:rsid w:val="61E17D65"/>
    <w:rsid w:val="61E215D8"/>
    <w:rsid w:val="61EB0BE3"/>
    <w:rsid w:val="61F736C3"/>
    <w:rsid w:val="621B3775"/>
    <w:rsid w:val="62364782"/>
    <w:rsid w:val="62A80882"/>
    <w:rsid w:val="62F13046"/>
    <w:rsid w:val="633D0FCB"/>
    <w:rsid w:val="636522D0"/>
    <w:rsid w:val="6394356A"/>
    <w:rsid w:val="639D1DD4"/>
    <w:rsid w:val="63A252D2"/>
    <w:rsid w:val="63A728E8"/>
    <w:rsid w:val="63B91AA2"/>
    <w:rsid w:val="63C61B2C"/>
    <w:rsid w:val="63D40BE9"/>
    <w:rsid w:val="64002526"/>
    <w:rsid w:val="64074BCA"/>
    <w:rsid w:val="64102431"/>
    <w:rsid w:val="64A5243A"/>
    <w:rsid w:val="64CB7B8C"/>
    <w:rsid w:val="64F531DE"/>
    <w:rsid w:val="64FB738F"/>
    <w:rsid w:val="65373578"/>
    <w:rsid w:val="665A1E94"/>
    <w:rsid w:val="66742F55"/>
    <w:rsid w:val="66756CCD"/>
    <w:rsid w:val="66C0619B"/>
    <w:rsid w:val="66CA526B"/>
    <w:rsid w:val="671F124A"/>
    <w:rsid w:val="67314E6D"/>
    <w:rsid w:val="67395F4D"/>
    <w:rsid w:val="673D1924"/>
    <w:rsid w:val="67750BD7"/>
    <w:rsid w:val="677A33C6"/>
    <w:rsid w:val="67862A4E"/>
    <w:rsid w:val="681F6961"/>
    <w:rsid w:val="683C7725"/>
    <w:rsid w:val="68610A2F"/>
    <w:rsid w:val="68805514"/>
    <w:rsid w:val="68D6755C"/>
    <w:rsid w:val="68E56022"/>
    <w:rsid w:val="692B7345"/>
    <w:rsid w:val="69316E2F"/>
    <w:rsid w:val="694E2071"/>
    <w:rsid w:val="69766163"/>
    <w:rsid w:val="697A3B33"/>
    <w:rsid w:val="698E6A48"/>
    <w:rsid w:val="698F00A6"/>
    <w:rsid w:val="69D44760"/>
    <w:rsid w:val="6A2745F0"/>
    <w:rsid w:val="6A520EC7"/>
    <w:rsid w:val="6A5E1592"/>
    <w:rsid w:val="6A621B00"/>
    <w:rsid w:val="6AF87E20"/>
    <w:rsid w:val="6AF976F8"/>
    <w:rsid w:val="6B322639"/>
    <w:rsid w:val="6B563571"/>
    <w:rsid w:val="6B953331"/>
    <w:rsid w:val="6B9F03FA"/>
    <w:rsid w:val="6BB2249C"/>
    <w:rsid w:val="6BE16873"/>
    <w:rsid w:val="6C021E4C"/>
    <w:rsid w:val="6C3917ED"/>
    <w:rsid w:val="6C420F8A"/>
    <w:rsid w:val="6C636C38"/>
    <w:rsid w:val="6C8163CC"/>
    <w:rsid w:val="6CFC3B75"/>
    <w:rsid w:val="6D0B213A"/>
    <w:rsid w:val="6D5D0BE7"/>
    <w:rsid w:val="6D661494"/>
    <w:rsid w:val="6D687340"/>
    <w:rsid w:val="6D8445D4"/>
    <w:rsid w:val="6DB34098"/>
    <w:rsid w:val="6DB545B6"/>
    <w:rsid w:val="6DCF4F15"/>
    <w:rsid w:val="6DE02FB4"/>
    <w:rsid w:val="6E2C67ED"/>
    <w:rsid w:val="6E3D732E"/>
    <w:rsid w:val="6E514CED"/>
    <w:rsid w:val="6E586939"/>
    <w:rsid w:val="6EB563D5"/>
    <w:rsid w:val="6EB56801"/>
    <w:rsid w:val="6ED92677"/>
    <w:rsid w:val="6EE92007"/>
    <w:rsid w:val="6EFE2DFA"/>
    <w:rsid w:val="6F0137F4"/>
    <w:rsid w:val="6F042205"/>
    <w:rsid w:val="6F225983"/>
    <w:rsid w:val="6F4F679F"/>
    <w:rsid w:val="6FFC5590"/>
    <w:rsid w:val="70052FBB"/>
    <w:rsid w:val="70176FD3"/>
    <w:rsid w:val="701E52DD"/>
    <w:rsid w:val="703F33E8"/>
    <w:rsid w:val="706D1DD0"/>
    <w:rsid w:val="70856B87"/>
    <w:rsid w:val="708E7E23"/>
    <w:rsid w:val="7091750E"/>
    <w:rsid w:val="709D579F"/>
    <w:rsid w:val="70AB7EBB"/>
    <w:rsid w:val="70AD69B0"/>
    <w:rsid w:val="70D527EE"/>
    <w:rsid w:val="70EB475C"/>
    <w:rsid w:val="71493231"/>
    <w:rsid w:val="715B5300"/>
    <w:rsid w:val="71B92164"/>
    <w:rsid w:val="71D27F8A"/>
    <w:rsid w:val="721532A0"/>
    <w:rsid w:val="722E557B"/>
    <w:rsid w:val="72553024"/>
    <w:rsid w:val="725D6F93"/>
    <w:rsid w:val="72604CD6"/>
    <w:rsid w:val="72DC16C4"/>
    <w:rsid w:val="73122968"/>
    <w:rsid w:val="731F5D5E"/>
    <w:rsid w:val="73C03C7E"/>
    <w:rsid w:val="73C51AD5"/>
    <w:rsid w:val="7419513C"/>
    <w:rsid w:val="741E793C"/>
    <w:rsid w:val="744A79EB"/>
    <w:rsid w:val="745E3944"/>
    <w:rsid w:val="749D7B1B"/>
    <w:rsid w:val="75412B9C"/>
    <w:rsid w:val="75432889"/>
    <w:rsid w:val="759E7FEF"/>
    <w:rsid w:val="75BC1606"/>
    <w:rsid w:val="75C75614"/>
    <w:rsid w:val="7635099D"/>
    <w:rsid w:val="76530DD9"/>
    <w:rsid w:val="76E85717"/>
    <w:rsid w:val="77106CCA"/>
    <w:rsid w:val="77762421"/>
    <w:rsid w:val="77A0522A"/>
    <w:rsid w:val="77A952F9"/>
    <w:rsid w:val="77B56B1F"/>
    <w:rsid w:val="77DE0382"/>
    <w:rsid w:val="77FD0061"/>
    <w:rsid w:val="780F09F4"/>
    <w:rsid w:val="78872FBC"/>
    <w:rsid w:val="78A90480"/>
    <w:rsid w:val="78B24758"/>
    <w:rsid w:val="78CF6711"/>
    <w:rsid w:val="795D3716"/>
    <w:rsid w:val="79CB2FD9"/>
    <w:rsid w:val="7A364017"/>
    <w:rsid w:val="7A4553DD"/>
    <w:rsid w:val="7A5B1910"/>
    <w:rsid w:val="7A8265E1"/>
    <w:rsid w:val="7AC04563"/>
    <w:rsid w:val="7AD82A70"/>
    <w:rsid w:val="7B13782B"/>
    <w:rsid w:val="7B2F566B"/>
    <w:rsid w:val="7B482659"/>
    <w:rsid w:val="7B4D0FEC"/>
    <w:rsid w:val="7B686D42"/>
    <w:rsid w:val="7B7E14CD"/>
    <w:rsid w:val="7B841746"/>
    <w:rsid w:val="7B8A5F60"/>
    <w:rsid w:val="7BA1502A"/>
    <w:rsid w:val="7BA307A7"/>
    <w:rsid w:val="7C3A0345"/>
    <w:rsid w:val="7C3D3207"/>
    <w:rsid w:val="7C633D33"/>
    <w:rsid w:val="7C6C5AC7"/>
    <w:rsid w:val="7CC6544B"/>
    <w:rsid w:val="7CF60710"/>
    <w:rsid w:val="7CF82511"/>
    <w:rsid w:val="7D0239FF"/>
    <w:rsid w:val="7D2B2488"/>
    <w:rsid w:val="7D5E40CD"/>
    <w:rsid w:val="7DCD56F2"/>
    <w:rsid w:val="7DF63F66"/>
    <w:rsid w:val="7E0230E5"/>
    <w:rsid w:val="7E1846B6"/>
    <w:rsid w:val="7EE06F82"/>
    <w:rsid w:val="7F001CE7"/>
    <w:rsid w:val="7F2F1CB8"/>
    <w:rsid w:val="7F36260E"/>
    <w:rsid w:val="7FE47E50"/>
    <w:rsid w:val="7FF222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qFormat="1"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iPriority="99"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iPriority="99" w:semiHidden="0" w:name="Block Text" w:locked="1"/>
    <w:lsdException w:qFormat="1" w:unhideWhenUsed="0"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locked/>
    <w:uiPriority w:val="0"/>
    <w:pPr>
      <w:keepNext/>
      <w:overflowPunct w:val="0"/>
      <w:snapToGrid w:val="0"/>
      <w:spacing w:beforeLines="100" w:afterLines="50" w:line="360" w:lineRule="auto"/>
      <w:outlineLvl w:val="0"/>
    </w:pPr>
    <w:rPr>
      <w:b/>
      <w:bCs/>
      <w:color w:val="000000"/>
      <w:kern w:val="44"/>
      <w:sz w:val="30"/>
      <w:szCs w:val="30"/>
    </w:rPr>
  </w:style>
  <w:style w:type="paragraph" w:styleId="3">
    <w:name w:val="heading 2"/>
    <w:basedOn w:val="1"/>
    <w:next w:val="1"/>
    <w:link w:val="47"/>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8"/>
    <w:qFormat/>
    <w:locked/>
    <w:uiPriority w:val="0"/>
    <w:pPr>
      <w:keepNext/>
      <w:keepLines/>
      <w:spacing w:before="260" w:after="260" w:line="416" w:lineRule="auto"/>
      <w:outlineLvl w:val="2"/>
    </w:pPr>
    <w:rPr>
      <w:b/>
      <w:bCs/>
      <w:sz w:val="32"/>
      <w:szCs w:val="32"/>
    </w:rPr>
  </w:style>
  <w:style w:type="paragraph" w:styleId="5">
    <w:name w:val="heading 4"/>
    <w:basedOn w:val="1"/>
    <w:next w:val="1"/>
    <w:link w:val="49"/>
    <w:qFormat/>
    <w:locked/>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7"/>
    <w:link w:val="51"/>
    <w:qFormat/>
    <w:locked/>
    <w:uiPriority w:val="0"/>
    <w:pPr>
      <w:keepNext/>
      <w:keepLines/>
      <w:autoSpaceDE w:val="0"/>
      <w:autoSpaceDN w:val="0"/>
      <w:adjustRightInd w:val="0"/>
      <w:spacing w:before="280" w:after="290" w:line="376" w:lineRule="atLeast"/>
      <w:ind w:left="170" w:hanging="113"/>
      <w:outlineLvl w:val="4"/>
    </w:pPr>
    <w:rPr>
      <w:rFonts w:eastAsia="仿宋_GB2312"/>
      <w:kern w:val="0"/>
      <w:sz w:val="28"/>
      <w:szCs w:val="20"/>
    </w:rPr>
  </w:style>
  <w:style w:type="paragraph" w:styleId="8">
    <w:name w:val="heading 6"/>
    <w:basedOn w:val="1"/>
    <w:next w:val="1"/>
    <w:link w:val="329"/>
    <w:semiHidden/>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unhideWhenUsed/>
    <w:qFormat/>
    <w:locked/>
    <w:uiPriority w:val="0"/>
    <w:pPr>
      <w:spacing w:line="360" w:lineRule="auto"/>
      <w:ind w:firstLine="420" w:firstLineChars="200"/>
    </w:pPr>
    <w:rPr>
      <w:kern w:val="0"/>
      <w:sz w:val="24"/>
      <w:szCs w:val="22"/>
    </w:rPr>
  </w:style>
  <w:style w:type="paragraph" w:styleId="9">
    <w:name w:val="List 3"/>
    <w:basedOn w:val="1"/>
    <w:unhideWhenUsed/>
    <w:qFormat/>
    <w:locked/>
    <w:uiPriority w:val="99"/>
    <w:pPr>
      <w:spacing w:line="360" w:lineRule="auto"/>
      <w:ind w:left="100" w:leftChars="400" w:hanging="200" w:hangingChars="200"/>
      <w:contextualSpacing/>
    </w:pPr>
    <w:rPr>
      <w:sz w:val="24"/>
      <w:szCs w:val="20"/>
    </w:rPr>
  </w:style>
  <w:style w:type="paragraph" w:styleId="10">
    <w:name w:val="toc 7"/>
    <w:basedOn w:val="1"/>
    <w:next w:val="1"/>
    <w:qFormat/>
    <w:locked/>
    <w:uiPriority w:val="0"/>
    <w:pPr>
      <w:spacing w:line="360" w:lineRule="auto"/>
      <w:ind w:left="2520" w:firstLine="200" w:firstLineChars="200"/>
    </w:pPr>
    <w:rPr>
      <w:sz w:val="24"/>
      <w:szCs w:val="20"/>
    </w:rPr>
  </w:style>
  <w:style w:type="paragraph" w:styleId="11">
    <w:name w:val="Note Heading"/>
    <w:basedOn w:val="1"/>
    <w:next w:val="1"/>
    <w:link w:val="151"/>
    <w:qFormat/>
    <w:locked/>
    <w:uiPriority w:val="0"/>
    <w:pPr>
      <w:spacing w:line="360" w:lineRule="auto"/>
      <w:ind w:firstLine="200" w:firstLineChars="200"/>
      <w:jc w:val="center"/>
    </w:pPr>
    <w:rPr>
      <w:sz w:val="24"/>
      <w:szCs w:val="20"/>
    </w:rPr>
  </w:style>
  <w:style w:type="paragraph" w:styleId="12">
    <w:name w:val="Document Map"/>
    <w:basedOn w:val="1"/>
    <w:link w:val="137"/>
    <w:unhideWhenUsed/>
    <w:qFormat/>
    <w:locked/>
    <w:uiPriority w:val="99"/>
    <w:pPr>
      <w:spacing w:line="360" w:lineRule="auto"/>
      <w:ind w:firstLine="200" w:firstLineChars="200"/>
    </w:pPr>
    <w:rPr>
      <w:rFonts w:ascii="宋体"/>
      <w:sz w:val="18"/>
      <w:szCs w:val="18"/>
    </w:rPr>
  </w:style>
  <w:style w:type="paragraph" w:styleId="13">
    <w:name w:val="annotation text"/>
    <w:basedOn w:val="1"/>
    <w:link w:val="59"/>
    <w:qFormat/>
    <w:uiPriority w:val="99"/>
    <w:rPr>
      <w:kern w:val="0"/>
      <w:sz w:val="24"/>
      <w:szCs w:val="20"/>
    </w:rPr>
  </w:style>
  <w:style w:type="paragraph" w:styleId="14">
    <w:name w:val="Body Text 3"/>
    <w:basedOn w:val="1"/>
    <w:link w:val="153"/>
    <w:qFormat/>
    <w:locked/>
    <w:uiPriority w:val="0"/>
    <w:pPr>
      <w:spacing w:line="360" w:lineRule="auto"/>
      <w:ind w:firstLine="200" w:firstLineChars="200"/>
    </w:pPr>
    <w:rPr>
      <w:rFonts w:ascii="宋体" w:hAnsi="宋体"/>
      <w:sz w:val="24"/>
      <w:szCs w:val="20"/>
    </w:rPr>
  </w:style>
  <w:style w:type="paragraph" w:styleId="15">
    <w:name w:val="Body Text"/>
    <w:basedOn w:val="1"/>
    <w:next w:val="1"/>
    <w:link w:val="74"/>
    <w:qFormat/>
    <w:uiPriority w:val="0"/>
    <w:pPr>
      <w:snapToGrid w:val="0"/>
      <w:spacing w:before="60" w:after="160" w:line="259" w:lineRule="auto"/>
      <w:ind w:right="113"/>
    </w:pPr>
    <w:rPr>
      <w:kern w:val="0"/>
      <w:sz w:val="18"/>
      <w:szCs w:val="20"/>
    </w:rPr>
  </w:style>
  <w:style w:type="paragraph" w:styleId="16">
    <w:name w:val="Body Text Indent"/>
    <w:basedOn w:val="1"/>
    <w:next w:val="15"/>
    <w:link w:val="56"/>
    <w:qFormat/>
    <w:uiPriority w:val="0"/>
    <w:pPr>
      <w:spacing w:after="120"/>
      <w:ind w:left="420" w:leftChars="200"/>
    </w:pPr>
    <w:rPr>
      <w:kern w:val="0"/>
      <w:sz w:val="24"/>
      <w:szCs w:val="20"/>
    </w:rPr>
  </w:style>
  <w:style w:type="paragraph" w:styleId="17">
    <w:name w:val="List 2"/>
    <w:basedOn w:val="1"/>
    <w:unhideWhenUsed/>
    <w:qFormat/>
    <w:locked/>
    <w:uiPriority w:val="99"/>
    <w:pPr>
      <w:spacing w:line="360" w:lineRule="auto"/>
      <w:ind w:left="840" w:hanging="420" w:firstLineChars="200"/>
    </w:pPr>
    <w:rPr>
      <w:sz w:val="24"/>
      <w:szCs w:val="20"/>
    </w:rPr>
  </w:style>
  <w:style w:type="paragraph" w:styleId="18">
    <w:name w:val="Block Text"/>
    <w:basedOn w:val="1"/>
    <w:unhideWhenUsed/>
    <w:qFormat/>
    <w:locked/>
    <w:uiPriority w:val="99"/>
    <w:pPr>
      <w:spacing w:line="440" w:lineRule="exact"/>
      <w:ind w:left="113" w:right="113" w:firstLine="567" w:firstLineChars="200"/>
    </w:pPr>
    <w:rPr>
      <w:rFonts w:ascii="仿宋_GB2312" w:eastAsia="仿宋_GB2312"/>
      <w:sz w:val="28"/>
      <w:szCs w:val="20"/>
    </w:rPr>
  </w:style>
  <w:style w:type="paragraph" w:styleId="19">
    <w:name w:val="Plain Text"/>
    <w:basedOn w:val="1"/>
    <w:link w:val="144"/>
    <w:qFormat/>
    <w:locked/>
    <w:uiPriority w:val="0"/>
    <w:pPr>
      <w:ind w:firstLine="200" w:firstLineChars="200"/>
    </w:pPr>
    <w:rPr>
      <w:rFonts w:ascii="宋体" w:hAnsi="Courier New"/>
      <w:szCs w:val="20"/>
    </w:rPr>
  </w:style>
  <w:style w:type="paragraph" w:styleId="20">
    <w:name w:val="Date"/>
    <w:basedOn w:val="1"/>
    <w:next w:val="1"/>
    <w:link w:val="69"/>
    <w:qFormat/>
    <w:uiPriority w:val="0"/>
    <w:pPr>
      <w:ind w:left="100" w:leftChars="2500"/>
    </w:pPr>
    <w:rPr>
      <w:kern w:val="0"/>
      <w:sz w:val="24"/>
      <w:szCs w:val="20"/>
    </w:rPr>
  </w:style>
  <w:style w:type="paragraph" w:styleId="21">
    <w:name w:val="Body Text Indent 2"/>
    <w:basedOn w:val="1"/>
    <w:link w:val="154"/>
    <w:qFormat/>
    <w:locked/>
    <w:uiPriority w:val="0"/>
    <w:pPr>
      <w:spacing w:after="120" w:line="480" w:lineRule="auto"/>
      <w:ind w:left="420" w:leftChars="200" w:firstLine="200" w:firstLineChars="200"/>
    </w:pPr>
    <w:rPr>
      <w:sz w:val="24"/>
      <w:szCs w:val="20"/>
    </w:rPr>
  </w:style>
  <w:style w:type="paragraph" w:styleId="22">
    <w:name w:val="Balloon Text"/>
    <w:basedOn w:val="1"/>
    <w:link w:val="60"/>
    <w:qFormat/>
    <w:uiPriority w:val="0"/>
    <w:rPr>
      <w:kern w:val="0"/>
      <w:sz w:val="18"/>
      <w:szCs w:val="20"/>
    </w:rPr>
  </w:style>
  <w:style w:type="paragraph" w:styleId="23">
    <w:name w:val="footer"/>
    <w:basedOn w:val="1"/>
    <w:next w:val="24"/>
    <w:link w:val="61"/>
    <w:qFormat/>
    <w:uiPriority w:val="99"/>
    <w:pPr>
      <w:tabs>
        <w:tab w:val="center" w:pos="4153"/>
        <w:tab w:val="right" w:pos="8306"/>
      </w:tabs>
      <w:snapToGrid w:val="0"/>
    </w:pPr>
    <w:rPr>
      <w:kern w:val="0"/>
      <w:sz w:val="18"/>
      <w:szCs w:val="20"/>
    </w:rPr>
  </w:style>
  <w:style w:type="paragraph" w:styleId="24">
    <w:name w:val="Normal (Web)"/>
    <w:basedOn w:val="1"/>
    <w:link w:val="72"/>
    <w:qFormat/>
    <w:uiPriority w:val="0"/>
    <w:pPr>
      <w:spacing w:before="100" w:beforeAutospacing="1" w:after="100" w:afterAutospacing="1"/>
    </w:pPr>
    <w:rPr>
      <w:rFonts w:ascii="宋体" w:hAnsi="宋体"/>
      <w:kern w:val="0"/>
      <w:sz w:val="24"/>
      <w:szCs w:val="20"/>
    </w:rPr>
  </w:style>
  <w:style w:type="paragraph" w:styleId="25">
    <w:name w:val="header"/>
    <w:basedOn w:val="1"/>
    <w:link w:val="73"/>
    <w:qFormat/>
    <w:uiPriority w:val="0"/>
    <w:pPr>
      <w:pBdr>
        <w:bottom w:val="single" w:color="auto" w:sz="6" w:space="1"/>
      </w:pBdr>
      <w:tabs>
        <w:tab w:val="center" w:pos="4153"/>
        <w:tab w:val="right" w:pos="8306"/>
      </w:tabs>
      <w:snapToGrid w:val="0"/>
      <w:jc w:val="center"/>
    </w:pPr>
    <w:rPr>
      <w:kern w:val="0"/>
      <w:sz w:val="18"/>
      <w:szCs w:val="20"/>
    </w:rPr>
  </w:style>
  <w:style w:type="paragraph" w:styleId="26">
    <w:name w:val="toc 1"/>
    <w:basedOn w:val="1"/>
    <w:next w:val="1"/>
    <w:unhideWhenUsed/>
    <w:qFormat/>
    <w:locked/>
    <w:uiPriority w:val="39"/>
    <w:pPr>
      <w:spacing w:line="360" w:lineRule="auto"/>
      <w:ind w:firstLine="200" w:firstLineChars="200"/>
    </w:pPr>
    <w:rPr>
      <w:sz w:val="24"/>
      <w:szCs w:val="20"/>
    </w:rPr>
  </w:style>
  <w:style w:type="paragraph" w:styleId="27">
    <w:name w:val="List"/>
    <w:basedOn w:val="1"/>
    <w:qFormat/>
    <w:locked/>
    <w:uiPriority w:val="0"/>
    <w:pPr>
      <w:spacing w:line="360" w:lineRule="exact"/>
      <w:ind w:firstLine="200" w:firstLineChars="200"/>
      <w:jc w:val="center"/>
    </w:pPr>
    <w:rPr>
      <w:rFonts w:ascii="仿宋_GB2312" w:eastAsia="仿宋_GB2312"/>
      <w:sz w:val="28"/>
      <w:szCs w:val="20"/>
    </w:rPr>
  </w:style>
  <w:style w:type="paragraph" w:styleId="28">
    <w:name w:val="footnote text"/>
    <w:basedOn w:val="1"/>
    <w:link w:val="143"/>
    <w:qFormat/>
    <w:locked/>
    <w:uiPriority w:val="0"/>
    <w:pPr>
      <w:snapToGrid w:val="0"/>
    </w:pPr>
    <w:rPr>
      <w:sz w:val="18"/>
      <w:szCs w:val="18"/>
    </w:rPr>
  </w:style>
  <w:style w:type="paragraph" w:styleId="29">
    <w:name w:val="Body Text Indent 3"/>
    <w:basedOn w:val="1"/>
    <w:link w:val="158"/>
    <w:qFormat/>
    <w:locked/>
    <w:uiPriority w:val="0"/>
    <w:pPr>
      <w:spacing w:after="120" w:line="360" w:lineRule="auto"/>
      <w:ind w:left="420" w:leftChars="200" w:firstLine="200" w:firstLineChars="200"/>
    </w:pPr>
    <w:rPr>
      <w:sz w:val="16"/>
      <w:szCs w:val="16"/>
    </w:rPr>
  </w:style>
  <w:style w:type="paragraph" w:styleId="30">
    <w:name w:val="table of figures"/>
    <w:basedOn w:val="1"/>
    <w:next w:val="1"/>
    <w:qFormat/>
    <w:locked/>
    <w:uiPriority w:val="0"/>
    <w:pPr>
      <w:ind w:left="200" w:leftChars="200" w:hanging="200" w:hangingChars="200"/>
    </w:pPr>
  </w:style>
  <w:style w:type="paragraph" w:styleId="31">
    <w:name w:val="toc 2"/>
    <w:basedOn w:val="1"/>
    <w:next w:val="1"/>
    <w:unhideWhenUsed/>
    <w:qFormat/>
    <w:locked/>
    <w:uiPriority w:val="39"/>
    <w:pPr>
      <w:spacing w:line="360" w:lineRule="auto"/>
      <w:ind w:left="420" w:leftChars="200" w:firstLine="200" w:firstLineChars="200"/>
    </w:pPr>
    <w:rPr>
      <w:sz w:val="24"/>
      <w:szCs w:val="20"/>
    </w:rPr>
  </w:style>
  <w:style w:type="paragraph" w:styleId="32">
    <w:name w:val="HTML Preformatted"/>
    <w:basedOn w:val="1"/>
    <w:link w:val="159"/>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kern w:val="0"/>
      <w:sz w:val="24"/>
      <w:szCs w:val="20"/>
    </w:rPr>
  </w:style>
  <w:style w:type="paragraph" w:styleId="33">
    <w:name w:val="Title"/>
    <w:basedOn w:val="1"/>
    <w:next w:val="1"/>
    <w:link w:val="70"/>
    <w:qFormat/>
    <w:locked/>
    <w:uiPriority w:val="0"/>
    <w:pPr>
      <w:spacing w:before="240" w:after="60"/>
      <w:jc w:val="center"/>
      <w:outlineLvl w:val="0"/>
    </w:pPr>
    <w:rPr>
      <w:rFonts w:ascii="Cambria" w:hAnsi="Cambria"/>
      <w:b/>
      <w:bCs/>
      <w:sz w:val="32"/>
      <w:szCs w:val="32"/>
    </w:rPr>
  </w:style>
  <w:style w:type="paragraph" w:styleId="34">
    <w:name w:val="annotation subject"/>
    <w:basedOn w:val="13"/>
    <w:next w:val="13"/>
    <w:link w:val="76"/>
    <w:qFormat/>
    <w:uiPriority w:val="0"/>
    <w:rPr>
      <w:b/>
      <w:kern w:val="2"/>
    </w:rPr>
  </w:style>
  <w:style w:type="paragraph" w:styleId="35">
    <w:name w:val="Body Text First Indent"/>
    <w:basedOn w:val="15"/>
    <w:next w:val="1"/>
    <w:link w:val="155"/>
    <w:qFormat/>
    <w:locked/>
    <w:uiPriority w:val="0"/>
    <w:pPr>
      <w:widowControl w:val="0"/>
      <w:snapToGrid/>
      <w:spacing w:before="0" w:after="120" w:line="360" w:lineRule="auto"/>
      <w:ind w:right="0" w:firstLine="200" w:firstLineChars="200"/>
    </w:pPr>
    <w:rPr>
      <w:snapToGrid w:val="0"/>
      <w:color w:val="000000"/>
      <w:kern w:val="2"/>
      <w:sz w:val="24"/>
    </w:rPr>
  </w:style>
  <w:style w:type="paragraph" w:styleId="36">
    <w:name w:val="Body Text First Indent 2"/>
    <w:basedOn w:val="16"/>
    <w:next w:val="1"/>
    <w:link w:val="157"/>
    <w:unhideWhenUsed/>
    <w:qFormat/>
    <w:locked/>
    <w:uiPriority w:val="99"/>
    <w:pPr>
      <w:spacing w:line="360" w:lineRule="auto"/>
      <w:ind w:left="0" w:leftChars="0" w:firstLine="1044" w:firstLineChars="200"/>
    </w:pPr>
    <w:rPr>
      <w:kern w:val="2"/>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locked/>
    <w:uiPriority w:val="22"/>
    <w:rPr>
      <w:b/>
      <w:bCs/>
    </w:rPr>
  </w:style>
  <w:style w:type="character" w:styleId="41">
    <w:name w:val="page number"/>
    <w:basedOn w:val="39"/>
    <w:qFormat/>
    <w:locked/>
    <w:uiPriority w:val="0"/>
  </w:style>
  <w:style w:type="character" w:styleId="42">
    <w:name w:val="FollowedHyperlink"/>
    <w:unhideWhenUsed/>
    <w:qFormat/>
    <w:locked/>
    <w:uiPriority w:val="99"/>
    <w:rPr>
      <w:rFonts w:ascii="Times New Roman" w:hAnsi="Times New Roman" w:eastAsia="宋体" w:cs="Times New Roman"/>
      <w:color w:val="333333"/>
      <w:sz w:val="21"/>
      <w:szCs w:val="24"/>
      <w:u w:val="none"/>
    </w:rPr>
  </w:style>
  <w:style w:type="character" w:styleId="43">
    <w:name w:val="Emphasis"/>
    <w:qFormat/>
    <w:locked/>
    <w:uiPriority w:val="20"/>
    <w:rPr>
      <w:i/>
      <w:sz w:val="24"/>
      <w:szCs w:val="20"/>
    </w:rPr>
  </w:style>
  <w:style w:type="character" w:styleId="44">
    <w:name w:val="Hyperlink"/>
    <w:qFormat/>
    <w:locked/>
    <w:uiPriority w:val="99"/>
    <w:rPr>
      <w:color w:val="0000FF"/>
      <w:u w:val="single"/>
    </w:rPr>
  </w:style>
  <w:style w:type="character" w:styleId="45">
    <w:name w:val="annotation reference"/>
    <w:qFormat/>
    <w:uiPriority w:val="0"/>
    <w:rPr>
      <w:sz w:val="21"/>
    </w:rPr>
  </w:style>
  <w:style w:type="character" w:customStyle="1" w:styleId="46">
    <w:name w:val="标题 1 字符"/>
    <w:link w:val="2"/>
    <w:qFormat/>
    <w:uiPriority w:val="0"/>
    <w:rPr>
      <w:b/>
      <w:bCs/>
      <w:color w:val="000000"/>
      <w:kern w:val="44"/>
      <w:sz w:val="30"/>
      <w:szCs w:val="30"/>
    </w:rPr>
  </w:style>
  <w:style w:type="character" w:customStyle="1" w:styleId="47">
    <w:name w:val="标题 2 字符"/>
    <w:link w:val="3"/>
    <w:qFormat/>
    <w:uiPriority w:val="0"/>
    <w:rPr>
      <w:rFonts w:ascii="Cambria" w:hAnsi="Cambria" w:eastAsia="宋体" w:cs="Times New Roman"/>
      <w:b/>
      <w:bCs/>
      <w:kern w:val="2"/>
      <w:sz w:val="32"/>
      <w:szCs w:val="32"/>
    </w:rPr>
  </w:style>
  <w:style w:type="character" w:customStyle="1" w:styleId="48">
    <w:name w:val="标题 3 字符"/>
    <w:link w:val="4"/>
    <w:qFormat/>
    <w:uiPriority w:val="9"/>
    <w:rPr>
      <w:b/>
      <w:bCs/>
      <w:kern w:val="2"/>
      <w:sz w:val="32"/>
      <w:szCs w:val="32"/>
    </w:rPr>
  </w:style>
  <w:style w:type="character" w:customStyle="1" w:styleId="49">
    <w:name w:val="标题 4 字符"/>
    <w:link w:val="5"/>
    <w:qFormat/>
    <w:uiPriority w:val="0"/>
    <w:rPr>
      <w:rFonts w:ascii="Cambria" w:hAnsi="Cambria" w:eastAsia="宋体" w:cs="Times New Roman"/>
      <w:b/>
      <w:bCs/>
      <w:kern w:val="2"/>
      <w:sz w:val="28"/>
      <w:szCs w:val="28"/>
    </w:rPr>
  </w:style>
  <w:style w:type="character" w:customStyle="1" w:styleId="50">
    <w:name w:val="正文缩进 字符"/>
    <w:link w:val="7"/>
    <w:qFormat/>
    <w:uiPriority w:val="0"/>
    <w:rPr>
      <w:sz w:val="24"/>
      <w:szCs w:val="22"/>
    </w:rPr>
  </w:style>
  <w:style w:type="character" w:customStyle="1" w:styleId="51">
    <w:name w:val="标题 5 字符"/>
    <w:link w:val="6"/>
    <w:qFormat/>
    <w:uiPriority w:val="0"/>
    <w:rPr>
      <w:rFonts w:eastAsia="仿宋_GB2312"/>
      <w:sz w:val="28"/>
    </w:rPr>
  </w:style>
  <w:style w:type="character" w:customStyle="1" w:styleId="52">
    <w:name w:val="图文标题 Char"/>
    <w:link w:val="53"/>
    <w:qFormat/>
    <w:uiPriority w:val="0"/>
    <w:rPr>
      <w:rFonts w:ascii="Arial" w:hAnsi="Arial"/>
      <w:b/>
      <w:kern w:val="2"/>
      <w:sz w:val="24"/>
      <w:szCs w:val="22"/>
    </w:rPr>
  </w:style>
  <w:style w:type="paragraph" w:customStyle="1" w:styleId="53">
    <w:name w:val="图文标题"/>
    <w:basedOn w:val="1"/>
    <w:next w:val="1"/>
    <w:link w:val="52"/>
    <w:qFormat/>
    <w:uiPriority w:val="0"/>
    <w:pPr>
      <w:spacing w:line="360" w:lineRule="auto"/>
      <w:jc w:val="center"/>
    </w:pPr>
    <w:rPr>
      <w:rFonts w:ascii="Arial" w:hAnsi="Arial"/>
      <w:b/>
      <w:sz w:val="24"/>
      <w:szCs w:val="22"/>
    </w:rPr>
  </w:style>
  <w:style w:type="character" w:customStyle="1" w:styleId="54">
    <w:name w:val="zhang正文 Char1"/>
    <w:link w:val="55"/>
    <w:qFormat/>
    <w:uiPriority w:val="0"/>
    <w:rPr>
      <w:rFonts w:eastAsia="楷体_GB2312"/>
      <w:sz w:val="28"/>
    </w:rPr>
  </w:style>
  <w:style w:type="paragraph" w:customStyle="1" w:styleId="55">
    <w:name w:val="zhang正文"/>
    <w:basedOn w:val="16"/>
    <w:link w:val="54"/>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character" w:customStyle="1" w:styleId="56">
    <w:name w:val="正文文本缩进 字符"/>
    <w:link w:val="16"/>
    <w:qFormat/>
    <w:locked/>
    <w:uiPriority w:val="0"/>
    <w:rPr>
      <w:rFonts w:ascii="Times New Roman" w:hAnsi="Times New Roman" w:eastAsia="宋体"/>
      <w:sz w:val="24"/>
    </w:rPr>
  </w:style>
  <w:style w:type="character" w:customStyle="1" w:styleId="57">
    <w:name w:val="表格 Char"/>
    <w:link w:val="58"/>
    <w:qFormat/>
    <w:locked/>
    <w:uiPriority w:val="0"/>
    <w:rPr>
      <w:rFonts w:ascii="宋体"/>
      <w:sz w:val="21"/>
    </w:rPr>
  </w:style>
  <w:style w:type="paragraph" w:customStyle="1" w:styleId="58">
    <w:name w:val="表格"/>
    <w:basedOn w:val="1"/>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9">
    <w:name w:val="批注文字 字符"/>
    <w:link w:val="13"/>
    <w:qFormat/>
    <w:locked/>
    <w:uiPriority w:val="99"/>
    <w:rPr>
      <w:rFonts w:ascii="Times New Roman" w:hAnsi="Times New Roman" w:eastAsia="宋体"/>
      <w:sz w:val="24"/>
    </w:rPr>
  </w:style>
  <w:style w:type="character" w:customStyle="1" w:styleId="60">
    <w:name w:val="批注框文本 字符"/>
    <w:link w:val="22"/>
    <w:qFormat/>
    <w:locked/>
    <w:uiPriority w:val="0"/>
    <w:rPr>
      <w:rFonts w:ascii="Times New Roman" w:hAnsi="Times New Roman" w:eastAsia="宋体"/>
      <w:sz w:val="18"/>
    </w:rPr>
  </w:style>
  <w:style w:type="character" w:customStyle="1" w:styleId="61">
    <w:name w:val="页脚 字符1"/>
    <w:link w:val="23"/>
    <w:qFormat/>
    <w:locked/>
    <w:uiPriority w:val="99"/>
    <w:rPr>
      <w:sz w:val="18"/>
    </w:rPr>
  </w:style>
  <w:style w:type="character" w:customStyle="1" w:styleId="62">
    <w:name w:val="表格标题 Char1"/>
    <w:link w:val="63"/>
    <w:qFormat/>
    <w:uiPriority w:val="0"/>
    <w:rPr>
      <w:b/>
      <w:sz w:val="24"/>
      <w:szCs w:val="24"/>
    </w:rPr>
  </w:style>
  <w:style w:type="paragraph" w:customStyle="1" w:styleId="63">
    <w:name w:val="表格标题"/>
    <w:basedOn w:val="1"/>
    <w:link w:val="62"/>
    <w:qFormat/>
    <w:uiPriority w:val="0"/>
    <w:pPr>
      <w:spacing w:line="360" w:lineRule="auto"/>
      <w:ind w:left="420" w:hanging="420"/>
      <w:jc w:val="center"/>
      <w:outlineLvl w:val="4"/>
    </w:pPr>
    <w:rPr>
      <w:b/>
      <w:kern w:val="0"/>
      <w:sz w:val="24"/>
    </w:rPr>
  </w:style>
  <w:style w:type="character" w:customStyle="1" w:styleId="64">
    <w:name w:val="日期 字符"/>
    <w:semiHidden/>
    <w:qFormat/>
    <w:uiPriority w:val="0"/>
    <w:rPr>
      <w:rFonts w:ascii="Times New Roman" w:hAnsi="Times New Roman" w:eastAsia="宋体"/>
      <w:sz w:val="24"/>
    </w:rPr>
  </w:style>
  <w:style w:type="character" w:customStyle="1" w:styleId="65">
    <w:name w:val="表格标题 Char"/>
    <w:qFormat/>
    <w:uiPriority w:val="0"/>
    <w:rPr>
      <w:b/>
      <w:color w:val="222222"/>
      <w:sz w:val="24"/>
    </w:rPr>
  </w:style>
  <w:style w:type="character" w:customStyle="1" w:styleId="66">
    <w:name w:val="表格内容 Char"/>
    <w:link w:val="67"/>
    <w:qFormat/>
    <w:uiPriority w:val="0"/>
    <w:rPr>
      <w:kern w:val="2"/>
      <w:sz w:val="21"/>
      <w:szCs w:val="22"/>
    </w:rPr>
  </w:style>
  <w:style w:type="paragraph" w:customStyle="1" w:styleId="67">
    <w:name w:val="表格内容"/>
    <w:basedOn w:val="1"/>
    <w:next w:val="1"/>
    <w:link w:val="66"/>
    <w:qFormat/>
    <w:uiPriority w:val="0"/>
    <w:pPr>
      <w:jc w:val="center"/>
    </w:pPr>
    <w:rPr>
      <w:szCs w:val="22"/>
    </w:rPr>
  </w:style>
  <w:style w:type="character" w:customStyle="1" w:styleId="68">
    <w:name w:val="页脚 字符"/>
    <w:basedOn w:val="39"/>
    <w:qFormat/>
    <w:uiPriority w:val="99"/>
  </w:style>
  <w:style w:type="character" w:customStyle="1" w:styleId="69">
    <w:name w:val="日期 字符1"/>
    <w:link w:val="20"/>
    <w:qFormat/>
    <w:locked/>
    <w:uiPriority w:val="0"/>
    <w:rPr>
      <w:rFonts w:ascii="Times New Roman" w:hAnsi="Times New Roman" w:eastAsia="宋体"/>
      <w:sz w:val="24"/>
    </w:rPr>
  </w:style>
  <w:style w:type="character" w:customStyle="1" w:styleId="70">
    <w:name w:val="标题 字符"/>
    <w:link w:val="33"/>
    <w:qFormat/>
    <w:uiPriority w:val="0"/>
    <w:rPr>
      <w:rFonts w:ascii="Cambria" w:hAnsi="Cambria" w:cs="Times New Roman"/>
      <w:b/>
      <w:bCs/>
      <w:kern w:val="2"/>
      <w:sz w:val="32"/>
      <w:szCs w:val="32"/>
    </w:rPr>
  </w:style>
  <w:style w:type="character" w:customStyle="1" w:styleId="71">
    <w:name w:val="正文文本 字符1"/>
    <w:semiHidden/>
    <w:qFormat/>
    <w:uiPriority w:val="0"/>
    <w:rPr>
      <w:rFonts w:ascii="Times New Roman" w:hAnsi="Times New Roman" w:eastAsia="宋体"/>
      <w:sz w:val="24"/>
    </w:rPr>
  </w:style>
  <w:style w:type="character" w:customStyle="1" w:styleId="72">
    <w:name w:val="普通(网站) 字符"/>
    <w:link w:val="24"/>
    <w:qFormat/>
    <w:locked/>
    <w:uiPriority w:val="0"/>
    <w:rPr>
      <w:rFonts w:ascii="宋体" w:hAnsi="宋体" w:eastAsia="宋体"/>
      <w:sz w:val="24"/>
    </w:rPr>
  </w:style>
  <w:style w:type="character" w:customStyle="1" w:styleId="73">
    <w:name w:val="页眉 字符"/>
    <w:link w:val="25"/>
    <w:qFormat/>
    <w:locked/>
    <w:uiPriority w:val="0"/>
    <w:rPr>
      <w:sz w:val="18"/>
    </w:rPr>
  </w:style>
  <w:style w:type="character" w:customStyle="1" w:styleId="74">
    <w:name w:val="正文文本 字符"/>
    <w:link w:val="15"/>
    <w:qFormat/>
    <w:locked/>
    <w:uiPriority w:val="0"/>
    <w:rPr>
      <w:sz w:val="18"/>
    </w:rPr>
  </w:style>
  <w:style w:type="character" w:customStyle="1" w:styleId="75">
    <w:name w:val="批注文字 字符1"/>
    <w:semiHidden/>
    <w:qFormat/>
    <w:uiPriority w:val="0"/>
    <w:rPr>
      <w:rFonts w:ascii="Times New Roman" w:hAnsi="Times New Roman" w:eastAsia="宋体"/>
      <w:sz w:val="24"/>
    </w:rPr>
  </w:style>
  <w:style w:type="character" w:customStyle="1" w:styleId="76">
    <w:name w:val="批注主题 字符"/>
    <w:link w:val="34"/>
    <w:qFormat/>
    <w:locked/>
    <w:uiPriority w:val="0"/>
    <w:rPr>
      <w:rFonts w:ascii="Times New Roman" w:hAnsi="Times New Roman" w:eastAsia="宋体"/>
      <w:b/>
      <w:kern w:val="2"/>
      <w:sz w:val="24"/>
    </w:rPr>
  </w:style>
  <w:style w:type="character" w:customStyle="1" w:styleId="77">
    <w:name w:val="1表格 Char"/>
    <w:link w:val="78"/>
    <w:qFormat/>
    <w:uiPriority w:val="0"/>
    <w:rPr>
      <w:rFonts w:eastAsia="仿宋_GB2312"/>
      <w:kern w:val="2"/>
      <w:sz w:val="21"/>
      <w:szCs w:val="21"/>
    </w:rPr>
  </w:style>
  <w:style w:type="paragraph" w:customStyle="1" w:styleId="78">
    <w:name w:val="1表格"/>
    <w:basedOn w:val="1"/>
    <w:link w:val="77"/>
    <w:qFormat/>
    <w:uiPriority w:val="0"/>
    <w:pPr>
      <w:snapToGrid w:val="0"/>
      <w:jc w:val="center"/>
      <w:outlineLvl w:val="4"/>
    </w:pPr>
    <w:rPr>
      <w:rFonts w:eastAsia="仿宋_GB2312"/>
      <w:szCs w:val="21"/>
    </w:rPr>
  </w:style>
  <w:style w:type="character" w:customStyle="1" w:styleId="79">
    <w:name w:val="表格内容 Char1"/>
    <w:qFormat/>
    <w:uiPriority w:val="0"/>
    <w:rPr>
      <w:rFonts w:ascii="宋体" w:hAnsi="宋体" w:eastAsia="宋体"/>
      <w:kern w:val="0"/>
      <w:sz w:val="21"/>
    </w:rPr>
  </w:style>
  <w:style w:type="paragraph" w:customStyle="1" w:styleId="80">
    <w:name w:val="普通(网站)2"/>
    <w:basedOn w:val="1"/>
    <w:qFormat/>
    <w:uiPriority w:val="0"/>
    <w:pPr>
      <w:spacing w:before="100" w:beforeAutospacing="1" w:after="100" w:afterAutospacing="1"/>
    </w:pPr>
    <w:rPr>
      <w:rFonts w:ascii="宋体" w:hAnsi="宋体"/>
      <w:sz w:val="24"/>
      <w:szCs w:val="20"/>
    </w:rPr>
  </w:style>
  <w:style w:type="paragraph" w:customStyle="1" w:styleId="81">
    <w:name w:val="Default"/>
    <w:qFormat/>
    <w:uiPriority w:val="0"/>
    <w:pPr>
      <w:widowControl w:val="0"/>
      <w:autoSpaceDE w:val="0"/>
      <w:autoSpaceDN w:val="0"/>
      <w:adjustRightInd w:val="0"/>
    </w:pPr>
    <w:rPr>
      <w:rFonts w:ascii="宋体u.砸.葷." w:hAnsi="Times New Roman" w:eastAsia="宋体u.砸.葷." w:cs="宋体u.砸.葷."/>
      <w:color w:val="000000"/>
      <w:sz w:val="24"/>
      <w:szCs w:val="24"/>
      <w:lang w:val="en-US" w:eastAsia="zh-CN" w:bidi="ar-SA"/>
    </w:rPr>
  </w:style>
  <w:style w:type="paragraph" w:styleId="82">
    <w:name w:val="List Paragraph"/>
    <w:basedOn w:val="1"/>
    <w:qFormat/>
    <w:uiPriority w:val="0"/>
    <w:pPr>
      <w:spacing w:line="360" w:lineRule="auto"/>
      <w:ind w:firstLine="420" w:firstLineChars="200"/>
    </w:pPr>
    <w:rPr>
      <w:rFonts w:ascii="Calibri" w:hAnsi="Calibri"/>
      <w:sz w:val="24"/>
      <w:szCs w:val="22"/>
    </w:rPr>
  </w:style>
  <w:style w:type="paragraph" w:customStyle="1" w:styleId="83">
    <w:name w:val="标题1"/>
    <w:basedOn w:val="24"/>
    <w:qFormat/>
    <w:uiPriority w:val="0"/>
    <w:pPr>
      <w:jc w:val="center"/>
      <w:outlineLvl w:val="0"/>
    </w:pPr>
    <w:rPr>
      <w:rFonts w:ascii="黑体" w:hAnsi="黑体" w:eastAsia="黑体"/>
      <w:snapToGrid w:val="0"/>
      <w:sz w:val="30"/>
      <w:szCs w:val="30"/>
    </w:rPr>
  </w:style>
  <w:style w:type="paragraph" w:customStyle="1" w:styleId="84">
    <w:name w:val="表格标题1"/>
    <w:basedOn w:val="1"/>
    <w:qFormat/>
    <w:uiPriority w:val="0"/>
    <w:pPr>
      <w:adjustRightInd w:val="0"/>
      <w:snapToGrid w:val="0"/>
      <w:spacing w:line="360" w:lineRule="auto"/>
      <w:outlineLvl w:val="0"/>
    </w:pPr>
    <w:rPr>
      <w:rFonts w:ascii="方正小标宋_GBK"/>
      <w:bCs/>
      <w:sz w:val="28"/>
      <w:szCs w:val="72"/>
    </w:rPr>
  </w:style>
  <w:style w:type="paragraph" w:customStyle="1" w:styleId="85">
    <w:name w:val="表内容"/>
    <w:basedOn w:val="1"/>
    <w:qFormat/>
    <w:uiPriority w:val="0"/>
    <w:pPr>
      <w:jc w:val="center"/>
    </w:pPr>
    <w:rPr>
      <w:kern w:val="0"/>
      <w:lang w:val="en-GB"/>
    </w:rPr>
  </w:style>
  <w:style w:type="paragraph" w:customStyle="1" w:styleId="86">
    <w:name w:val="表正文"/>
    <w:basedOn w:val="1"/>
    <w:qFormat/>
    <w:uiPriority w:val="0"/>
    <w:pPr>
      <w:spacing w:line="360" w:lineRule="auto"/>
      <w:ind w:firstLine="200" w:firstLineChars="200"/>
    </w:pPr>
    <w:rPr>
      <w:sz w:val="24"/>
    </w:rPr>
  </w:style>
  <w:style w:type="paragraph" w:customStyle="1" w:styleId="87">
    <w:name w:val="表头"/>
    <w:basedOn w:val="1"/>
    <w:next w:val="1"/>
    <w:link w:val="88"/>
    <w:qFormat/>
    <w:uiPriority w:val="0"/>
    <w:pPr>
      <w:spacing w:line="360" w:lineRule="auto"/>
      <w:jc w:val="center"/>
    </w:pPr>
    <w:rPr>
      <w:b/>
      <w:sz w:val="24"/>
      <w:szCs w:val="22"/>
    </w:rPr>
  </w:style>
  <w:style w:type="character" w:customStyle="1" w:styleId="88">
    <w:name w:val="表头 Char"/>
    <w:link w:val="87"/>
    <w:qFormat/>
    <w:uiPriority w:val="0"/>
    <w:rPr>
      <w:b/>
      <w:kern w:val="2"/>
      <w:sz w:val="24"/>
      <w:szCs w:val="22"/>
    </w:rPr>
  </w:style>
  <w:style w:type="paragraph" w:customStyle="1" w:styleId="89">
    <w:name w:val="标题3"/>
    <w:basedOn w:val="1"/>
    <w:qFormat/>
    <w:uiPriority w:val="0"/>
    <w:pPr>
      <w:spacing w:line="360" w:lineRule="auto"/>
      <w:outlineLvl w:val="2"/>
    </w:pPr>
    <w:rPr>
      <w:b/>
      <w:sz w:val="24"/>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92">
    <w:name w:val="111正文的格式"/>
    <w:basedOn w:val="1"/>
    <w:link w:val="93"/>
    <w:qFormat/>
    <w:uiPriority w:val="0"/>
    <w:pPr>
      <w:adjustRightInd w:val="0"/>
      <w:snapToGrid w:val="0"/>
      <w:spacing w:line="360" w:lineRule="auto"/>
      <w:ind w:firstLine="480" w:firstLineChars="200"/>
    </w:pPr>
    <w:rPr>
      <w:color w:val="0000FF"/>
      <w:sz w:val="24"/>
    </w:rPr>
  </w:style>
  <w:style w:type="character" w:customStyle="1" w:styleId="93">
    <w:name w:val="111正文的格式 Char"/>
    <w:link w:val="92"/>
    <w:qFormat/>
    <w:uiPriority w:val="0"/>
    <w:rPr>
      <w:color w:val="0000FF"/>
      <w:kern w:val="2"/>
      <w:sz w:val="24"/>
      <w:szCs w:val="24"/>
    </w:rPr>
  </w:style>
  <w:style w:type="character" w:customStyle="1" w:styleId="94">
    <w:name w:val="表表表表 Char"/>
    <w:link w:val="95"/>
    <w:qFormat/>
    <w:uiPriority w:val="0"/>
    <w:rPr>
      <w:rFonts w:eastAsia="方正楷体简体"/>
      <w:kern w:val="2"/>
      <w:sz w:val="21"/>
      <w:szCs w:val="21"/>
    </w:rPr>
  </w:style>
  <w:style w:type="paragraph" w:customStyle="1" w:styleId="95">
    <w:name w:val="表表表表"/>
    <w:basedOn w:val="1"/>
    <w:link w:val="94"/>
    <w:qFormat/>
    <w:uiPriority w:val="0"/>
    <w:pPr>
      <w:jc w:val="center"/>
    </w:pPr>
    <w:rPr>
      <w:rFonts w:eastAsia="方正楷体简体"/>
      <w:szCs w:val="21"/>
    </w:rPr>
  </w:style>
  <w:style w:type="character" w:customStyle="1" w:styleId="96">
    <w:name w:val="正文11111111111 Char Char"/>
    <w:link w:val="97"/>
    <w:qFormat/>
    <w:uiPriority w:val="0"/>
    <w:rPr>
      <w:rFonts w:ascii="宋体" w:hAnsi="宋体"/>
      <w:kern w:val="2"/>
      <w:sz w:val="24"/>
      <w:szCs w:val="24"/>
    </w:rPr>
  </w:style>
  <w:style w:type="paragraph" w:customStyle="1" w:styleId="97">
    <w:name w:val="正文11111111111"/>
    <w:basedOn w:val="1"/>
    <w:link w:val="96"/>
    <w:qFormat/>
    <w:uiPriority w:val="0"/>
    <w:pPr>
      <w:spacing w:line="360" w:lineRule="auto"/>
      <w:ind w:firstLine="480" w:firstLineChars="200"/>
    </w:pPr>
    <w:rPr>
      <w:rFonts w:ascii="宋体" w:hAnsi="宋体"/>
      <w:sz w:val="24"/>
    </w:rPr>
  </w:style>
  <w:style w:type="paragraph" w:customStyle="1" w:styleId="98">
    <w:name w:val="表哥的格式"/>
    <w:basedOn w:val="1"/>
    <w:link w:val="99"/>
    <w:qFormat/>
    <w:uiPriority w:val="0"/>
    <w:pPr>
      <w:autoSpaceDE w:val="0"/>
      <w:autoSpaceDN w:val="0"/>
      <w:adjustRightInd w:val="0"/>
      <w:snapToGrid w:val="0"/>
      <w:spacing w:line="360" w:lineRule="auto"/>
      <w:ind w:firstLine="200" w:firstLineChars="200"/>
      <w:jc w:val="center"/>
    </w:pPr>
    <w:rPr>
      <w:kern w:val="0"/>
      <w:szCs w:val="21"/>
    </w:rPr>
  </w:style>
  <w:style w:type="character" w:customStyle="1" w:styleId="99">
    <w:name w:val="表哥的格式 Char"/>
    <w:link w:val="98"/>
    <w:qFormat/>
    <w:uiPriority w:val="0"/>
    <w:rPr>
      <w:sz w:val="21"/>
      <w:szCs w:val="21"/>
    </w:rPr>
  </w:style>
  <w:style w:type="paragraph" w:customStyle="1" w:styleId="100">
    <w:name w:val="Table Paragraph"/>
    <w:basedOn w:val="1"/>
    <w:qFormat/>
    <w:uiPriority w:val="1"/>
    <w:pPr>
      <w:autoSpaceDE w:val="0"/>
      <w:autoSpaceDN w:val="0"/>
      <w:spacing w:line="360" w:lineRule="auto"/>
      <w:ind w:firstLine="200" w:firstLineChars="200"/>
    </w:pPr>
    <w:rPr>
      <w:rFonts w:ascii="宋体" w:hAnsi="宋体" w:cs="宋体"/>
      <w:kern w:val="0"/>
      <w:sz w:val="22"/>
      <w:szCs w:val="22"/>
      <w:lang w:eastAsia="en-US"/>
    </w:rPr>
  </w:style>
  <w:style w:type="character" w:customStyle="1" w:styleId="101">
    <w:name w:val="统一正文 Char"/>
    <w:link w:val="102"/>
    <w:qFormat/>
    <w:uiPriority w:val="0"/>
    <w:rPr>
      <w:sz w:val="28"/>
      <w:lang w:bidi="he-IL"/>
    </w:rPr>
  </w:style>
  <w:style w:type="paragraph" w:customStyle="1" w:styleId="102">
    <w:name w:val="统一正文"/>
    <w:basedOn w:val="1"/>
    <w:link w:val="101"/>
    <w:qFormat/>
    <w:uiPriority w:val="0"/>
    <w:pPr>
      <w:autoSpaceDE w:val="0"/>
      <w:autoSpaceDN w:val="0"/>
      <w:spacing w:line="360" w:lineRule="auto"/>
      <w:ind w:firstLine="200" w:firstLineChars="200"/>
      <w:textAlignment w:val="baseline"/>
    </w:pPr>
    <w:rPr>
      <w:kern w:val="0"/>
      <w:sz w:val="28"/>
      <w:szCs w:val="20"/>
      <w:lang w:bidi="he-IL"/>
    </w:rPr>
  </w:style>
  <w:style w:type="character" w:customStyle="1" w:styleId="103">
    <w:name w:val="currecords"/>
    <w:qFormat/>
    <w:uiPriority w:val="0"/>
    <w:rPr>
      <w:rFonts w:ascii="Times New Roman" w:hAnsi="Times New Roman" w:eastAsia="宋体" w:cs="Times New Roman"/>
      <w:color w:val="D03425"/>
      <w:sz w:val="21"/>
      <w:szCs w:val="24"/>
    </w:rPr>
  </w:style>
  <w:style w:type="character" w:customStyle="1" w:styleId="104">
    <w:name w:val="curpage"/>
    <w:qFormat/>
    <w:uiPriority w:val="0"/>
    <w:rPr>
      <w:rFonts w:ascii="Times New Roman" w:hAnsi="Times New Roman" w:eastAsia="宋体" w:cs="Times New Roman"/>
      <w:color w:val="D03425"/>
      <w:sz w:val="21"/>
      <w:szCs w:val="24"/>
    </w:rPr>
  </w:style>
  <w:style w:type="character" w:customStyle="1" w:styleId="105">
    <w:name w:val="font21"/>
    <w:qFormat/>
    <w:uiPriority w:val="0"/>
    <w:rPr>
      <w:rFonts w:hint="eastAsia" w:ascii="宋体" w:hAnsi="宋体" w:eastAsia="宋体" w:cs="宋体"/>
      <w:b/>
      <w:color w:val="FF0000"/>
      <w:sz w:val="21"/>
      <w:szCs w:val="21"/>
      <w:u w:val="none"/>
    </w:rPr>
  </w:style>
  <w:style w:type="character" w:customStyle="1" w:styleId="106">
    <w:name w:val="z正文 Char"/>
    <w:link w:val="107"/>
    <w:qFormat/>
    <w:uiPriority w:val="0"/>
    <w:rPr>
      <w:sz w:val="24"/>
      <w:szCs w:val="24"/>
    </w:rPr>
  </w:style>
  <w:style w:type="paragraph" w:customStyle="1" w:styleId="107">
    <w:name w:val="z正文"/>
    <w:basedOn w:val="16"/>
    <w:link w:val="106"/>
    <w:qFormat/>
    <w:uiPriority w:val="0"/>
    <w:pPr>
      <w:autoSpaceDE w:val="0"/>
      <w:autoSpaceDN w:val="0"/>
      <w:adjustRightInd w:val="0"/>
      <w:snapToGrid w:val="0"/>
      <w:spacing w:after="0" w:line="360" w:lineRule="auto"/>
      <w:ind w:left="0" w:leftChars="0" w:firstLine="200" w:firstLineChars="200"/>
      <w:textAlignment w:val="baseline"/>
    </w:pPr>
    <w:rPr>
      <w:szCs w:val="24"/>
    </w:rPr>
  </w:style>
  <w:style w:type="character" w:customStyle="1" w:styleId="108">
    <w:name w:val="矿渣粉正文 Char"/>
    <w:link w:val="109"/>
    <w:qFormat/>
    <w:uiPriority w:val="0"/>
    <w:rPr>
      <w:color w:val="000000"/>
    </w:rPr>
  </w:style>
  <w:style w:type="paragraph" w:customStyle="1" w:styleId="109">
    <w:name w:val="矿渣粉正文"/>
    <w:basedOn w:val="1"/>
    <w:next w:val="1"/>
    <w:link w:val="108"/>
    <w:qFormat/>
    <w:uiPriority w:val="0"/>
    <w:pPr>
      <w:spacing w:line="360" w:lineRule="auto"/>
      <w:ind w:firstLine="200" w:firstLineChars="200"/>
    </w:pPr>
    <w:rPr>
      <w:color w:val="000000"/>
      <w:kern w:val="0"/>
      <w:sz w:val="20"/>
      <w:szCs w:val="20"/>
    </w:rPr>
  </w:style>
  <w:style w:type="character" w:customStyle="1" w:styleId="110">
    <w:name w:val="1文章 Char"/>
    <w:link w:val="111"/>
    <w:qFormat/>
    <w:uiPriority w:val="0"/>
    <w:rPr>
      <w:rFonts w:eastAsia="仿宋_GB2312"/>
      <w:kern w:val="2"/>
      <w:sz w:val="28"/>
    </w:rPr>
  </w:style>
  <w:style w:type="paragraph" w:customStyle="1" w:styleId="111">
    <w:name w:val="1文章"/>
    <w:basedOn w:val="1"/>
    <w:link w:val="110"/>
    <w:qFormat/>
    <w:uiPriority w:val="0"/>
    <w:pPr>
      <w:spacing w:line="360" w:lineRule="auto"/>
      <w:ind w:firstLine="573" w:firstLineChars="200"/>
    </w:pPr>
    <w:rPr>
      <w:rFonts w:eastAsia="仿宋_GB2312"/>
      <w:sz w:val="28"/>
      <w:szCs w:val="20"/>
    </w:rPr>
  </w:style>
  <w:style w:type="character" w:customStyle="1" w:styleId="112">
    <w:name w:val="表格内文字 Char"/>
    <w:link w:val="113"/>
    <w:qFormat/>
    <w:uiPriority w:val="0"/>
    <w:rPr>
      <w:rFonts w:cs="宋体"/>
      <w:color w:val="0000FF"/>
      <w:sz w:val="21"/>
    </w:rPr>
  </w:style>
  <w:style w:type="paragraph" w:customStyle="1" w:styleId="113">
    <w:name w:val="表格内文字"/>
    <w:basedOn w:val="1"/>
    <w:link w:val="112"/>
    <w:qFormat/>
    <w:uiPriority w:val="0"/>
    <w:pPr>
      <w:jc w:val="center"/>
    </w:pPr>
    <w:rPr>
      <w:color w:val="0000FF"/>
      <w:kern w:val="0"/>
      <w:szCs w:val="20"/>
    </w:rPr>
  </w:style>
  <w:style w:type="character" w:customStyle="1" w:styleId="114">
    <w:name w:val="常用 Char"/>
    <w:link w:val="115"/>
    <w:qFormat/>
    <w:uiPriority w:val="0"/>
    <w:rPr>
      <w:rFonts w:ascii="宋体" w:hAnsi="宋体"/>
      <w:sz w:val="28"/>
      <w:szCs w:val="28"/>
    </w:rPr>
  </w:style>
  <w:style w:type="paragraph" w:customStyle="1" w:styleId="115">
    <w:name w:val="常用"/>
    <w:basedOn w:val="1"/>
    <w:link w:val="114"/>
    <w:qFormat/>
    <w:uiPriority w:val="0"/>
    <w:pPr>
      <w:spacing w:line="360" w:lineRule="auto"/>
      <w:ind w:firstLine="200" w:firstLineChars="200"/>
    </w:pPr>
    <w:rPr>
      <w:rFonts w:ascii="宋体" w:hAnsi="宋体"/>
      <w:kern w:val="0"/>
      <w:sz w:val="28"/>
      <w:szCs w:val="28"/>
    </w:rPr>
  </w:style>
  <w:style w:type="character" w:customStyle="1" w:styleId="116">
    <w:name w:val="正文111111 Char"/>
    <w:link w:val="117"/>
    <w:qFormat/>
    <w:uiPriority w:val="0"/>
    <w:rPr>
      <w:kern w:val="2"/>
      <w:sz w:val="24"/>
      <w:szCs w:val="24"/>
    </w:rPr>
  </w:style>
  <w:style w:type="paragraph" w:customStyle="1" w:styleId="117">
    <w:name w:val="正文111111"/>
    <w:basedOn w:val="1"/>
    <w:link w:val="116"/>
    <w:qFormat/>
    <w:uiPriority w:val="0"/>
    <w:pPr>
      <w:spacing w:line="360" w:lineRule="auto"/>
      <w:ind w:firstLine="480" w:firstLineChars="200"/>
    </w:pPr>
    <w:rPr>
      <w:sz w:val="24"/>
    </w:rPr>
  </w:style>
  <w:style w:type="character" w:customStyle="1" w:styleId="118">
    <w:name w:val="我的正文 Char"/>
    <w:link w:val="119"/>
    <w:qFormat/>
    <w:uiPriority w:val="0"/>
    <w:rPr>
      <w:rFonts w:hAnsi="宋体"/>
      <w:color w:val="3366FF"/>
      <w:kern w:val="2"/>
      <w:sz w:val="24"/>
      <w:szCs w:val="24"/>
    </w:rPr>
  </w:style>
  <w:style w:type="paragraph" w:customStyle="1" w:styleId="119">
    <w:name w:val="我的正文"/>
    <w:basedOn w:val="1"/>
    <w:link w:val="118"/>
    <w:qFormat/>
    <w:uiPriority w:val="0"/>
    <w:pPr>
      <w:tabs>
        <w:tab w:val="left" w:pos="3915"/>
      </w:tabs>
      <w:spacing w:line="360" w:lineRule="auto"/>
      <w:ind w:firstLine="480" w:firstLineChars="200"/>
    </w:pPr>
    <w:rPr>
      <w:rFonts w:hAnsi="宋体"/>
      <w:color w:val="3366FF"/>
      <w:sz w:val="24"/>
    </w:rPr>
  </w:style>
  <w:style w:type="character" w:customStyle="1" w:styleId="120">
    <w:name w:val="font31"/>
    <w:qFormat/>
    <w:uiPriority w:val="0"/>
    <w:rPr>
      <w:rFonts w:hint="default" w:ascii="Times New Roman" w:hAnsi="Times New Roman" w:cs="Times New Roman"/>
      <w:color w:val="000000"/>
      <w:sz w:val="21"/>
      <w:szCs w:val="21"/>
      <w:u w:val="none"/>
    </w:rPr>
  </w:style>
  <w:style w:type="character" w:customStyle="1" w:styleId="121">
    <w:name w:val="小标题 正文样式 宋体 小四 Char Char"/>
    <w:link w:val="122"/>
    <w:qFormat/>
    <w:uiPriority w:val="0"/>
    <w:rPr>
      <w:rFonts w:ascii="宋体" w:hAnsi="宋体"/>
      <w:sz w:val="24"/>
      <w:szCs w:val="24"/>
    </w:rPr>
  </w:style>
  <w:style w:type="paragraph" w:customStyle="1" w:styleId="122">
    <w:name w:val="小标题 正文样式 宋体 小四"/>
    <w:basedOn w:val="1"/>
    <w:link w:val="121"/>
    <w:qFormat/>
    <w:uiPriority w:val="0"/>
    <w:pPr>
      <w:spacing w:line="360" w:lineRule="auto"/>
      <w:ind w:firstLine="200" w:firstLineChars="200"/>
    </w:pPr>
    <w:rPr>
      <w:rFonts w:ascii="宋体" w:hAnsi="宋体"/>
      <w:kern w:val="0"/>
      <w:sz w:val="24"/>
    </w:rPr>
  </w:style>
  <w:style w:type="character" w:customStyle="1" w:styleId="123">
    <w:name w:val="正文的格式 Char"/>
    <w:link w:val="124"/>
    <w:qFormat/>
    <w:uiPriority w:val="0"/>
    <w:rPr>
      <w:sz w:val="24"/>
      <w:szCs w:val="24"/>
    </w:rPr>
  </w:style>
  <w:style w:type="paragraph" w:customStyle="1" w:styleId="124">
    <w:name w:val="正文的格式"/>
    <w:basedOn w:val="125"/>
    <w:link w:val="123"/>
    <w:qFormat/>
    <w:uiPriority w:val="0"/>
    <w:rPr>
      <w:kern w:val="0"/>
    </w:rPr>
  </w:style>
  <w:style w:type="paragraph" w:customStyle="1" w:styleId="125">
    <w:name w:val="正文2"/>
    <w:basedOn w:val="1"/>
    <w:qFormat/>
    <w:uiPriority w:val="0"/>
    <w:pPr>
      <w:spacing w:line="360" w:lineRule="auto"/>
      <w:ind w:firstLine="200" w:firstLineChars="200"/>
      <w:jc w:val="center"/>
    </w:pPr>
    <w:rPr>
      <w:sz w:val="24"/>
    </w:rPr>
  </w:style>
  <w:style w:type="character" w:customStyle="1" w:styleId="126">
    <w:name w:val="ttag"/>
    <w:qFormat/>
    <w:uiPriority w:val="0"/>
    <w:rPr>
      <w:rFonts w:ascii="Times New Roman" w:hAnsi="Times New Roman" w:eastAsia="宋体" w:cs="Times New Roman"/>
      <w:sz w:val="21"/>
      <w:szCs w:val="24"/>
    </w:rPr>
  </w:style>
  <w:style w:type="character" w:customStyle="1" w:styleId="127">
    <w:name w:val="表格内容五号 Char"/>
    <w:link w:val="128"/>
    <w:qFormat/>
    <w:uiPriority w:val="0"/>
    <w:rPr>
      <w:kern w:val="2"/>
      <w:sz w:val="21"/>
    </w:rPr>
  </w:style>
  <w:style w:type="paragraph" w:customStyle="1" w:styleId="128">
    <w:name w:val="表格内容五号"/>
    <w:basedOn w:val="1"/>
    <w:link w:val="127"/>
    <w:qFormat/>
    <w:uiPriority w:val="0"/>
    <w:pPr>
      <w:ind w:firstLine="200" w:firstLineChars="200"/>
      <w:jc w:val="center"/>
    </w:pPr>
    <w:rPr>
      <w:szCs w:val="20"/>
    </w:rPr>
  </w:style>
  <w:style w:type="character" w:customStyle="1" w:styleId="129">
    <w:name w:val="表格文字 Char"/>
    <w:link w:val="130"/>
    <w:qFormat/>
    <w:uiPriority w:val="0"/>
    <w:rPr>
      <w:rFonts w:eastAsia="方正楷体简体"/>
      <w:kern w:val="2"/>
      <w:sz w:val="24"/>
      <w:szCs w:val="24"/>
    </w:rPr>
  </w:style>
  <w:style w:type="paragraph" w:customStyle="1" w:styleId="130">
    <w:name w:val="表格文字"/>
    <w:basedOn w:val="1"/>
    <w:link w:val="129"/>
    <w:qFormat/>
    <w:uiPriority w:val="0"/>
    <w:pPr>
      <w:spacing w:line="560" w:lineRule="exact"/>
      <w:jc w:val="center"/>
    </w:pPr>
    <w:rPr>
      <w:rFonts w:eastAsia="方正楷体简体"/>
      <w:sz w:val="24"/>
    </w:rPr>
  </w:style>
  <w:style w:type="character" w:customStyle="1" w:styleId="131">
    <w:name w:val="7表格(治) Char"/>
    <w:link w:val="132"/>
    <w:qFormat/>
    <w:uiPriority w:val="0"/>
    <w:rPr>
      <w:rFonts w:eastAsia="楷体_GB2312"/>
      <w:sz w:val="21"/>
      <w:lang w:val="en-US" w:eastAsia="zh-CN" w:bidi="ar-SA"/>
    </w:rPr>
  </w:style>
  <w:style w:type="paragraph" w:customStyle="1" w:styleId="132">
    <w:name w:val="7表格(治)"/>
    <w:link w:val="131"/>
    <w:qFormat/>
    <w:uiPriority w:val="0"/>
    <w:pPr>
      <w:jc w:val="center"/>
    </w:pPr>
    <w:rPr>
      <w:rFonts w:ascii="Times New Roman" w:hAnsi="Times New Roman" w:eastAsia="楷体_GB2312" w:cs="Times New Roman"/>
      <w:sz w:val="21"/>
      <w:lang w:val="en-US" w:eastAsia="zh-CN" w:bidi="ar-SA"/>
    </w:rPr>
  </w:style>
  <w:style w:type="character" w:customStyle="1" w:styleId="133">
    <w:name w:val="表格 Char2"/>
    <w:qFormat/>
    <w:uiPriority w:val="0"/>
    <w:rPr>
      <w:rFonts w:eastAsia="楷体_GB2312"/>
      <w:sz w:val="21"/>
      <w:szCs w:val="20"/>
    </w:rPr>
  </w:style>
  <w:style w:type="character" w:customStyle="1" w:styleId="134">
    <w:name w:val="font01"/>
    <w:qFormat/>
    <w:uiPriority w:val="99"/>
    <w:rPr>
      <w:rFonts w:ascii="Times New Roman" w:hAnsi="Times New Roman"/>
      <w:color w:val="000000"/>
      <w:sz w:val="21"/>
      <w:u w:val="none"/>
      <w:vertAlign w:val="subscript"/>
    </w:rPr>
  </w:style>
  <w:style w:type="character" w:customStyle="1" w:styleId="135">
    <w:name w:val="表头111 Char"/>
    <w:link w:val="136"/>
    <w:qFormat/>
    <w:uiPriority w:val="0"/>
    <w:rPr>
      <w:rFonts w:eastAsia="黑体"/>
      <w:color w:val="0000FF"/>
      <w:sz w:val="24"/>
      <w:szCs w:val="24"/>
    </w:rPr>
  </w:style>
  <w:style w:type="paragraph" w:customStyle="1" w:styleId="136">
    <w:name w:val="表头111"/>
    <w:basedOn w:val="1"/>
    <w:link w:val="135"/>
    <w:qFormat/>
    <w:uiPriority w:val="0"/>
    <w:pPr>
      <w:spacing w:line="360" w:lineRule="auto"/>
      <w:ind w:firstLine="200" w:firstLineChars="200"/>
      <w:jc w:val="center"/>
    </w:pPr>
    <w:rPr>
      <w:rFonts w:eastAsia="黑体"/>
      <w:color w:val="0000FF"/>
      <w:kern w:val="0"/>
      <w:sz w:val="24"/>
    </w:rPr>
  </w:style>
  <w:style w:type="character" w:customStyle="1" w:styleId="137">
    <w:name w:val="文档结构图 字符"/>
    <w:link w:val="12"/>
    <w:qFormat/>
    <w:uiPriority w:val="99"/>
    <w:rPr>
      <w:rFonts w:ascii="宋体"/>
      <w:kern w:val="2"/>
      <w:sz w:val="18"/>
      <w:szCs w:val="18"/>
    </w:rPr>
  </w:style>
  <w:style w:type="character" w:customStyle="1" w:styleId="138">
    <w:name w:val="表题 Char"/>
    <w:link w:val="139"/>
    <w:qFormat/>
    <w:uiPriority w:val="0"/>
    <w:rPr>
      <w:b/>
      <w:kern w:val="2"/>
      <w:sz w:val="21"/>
      <w:szCs w:val="24"/>
    </w:rPr>
  </w:style>
  <w:style w:type="paragraph" w:customStyle="1" w:styleId="139">
    <w:name w:val="表题"/>
    <w:basedOn w:val="1"/>
    <w:link w:val="138"/>
    <w:qFormat/>
    <w:uiPriority w:val="0"/>
    <w:pPr>
      <w:adjustRightInd w:val="0"/>
      <w:jc w:val="center"/>
      <w:textAlignment w:val="baseline"/>
    </w:pPr>
    <w:rPr>
      <w:b/>
    </w:rPr>
  </w:style>
  <w:style w:type="character" w:customStyle="1" w:styleId="140">
    <w:name w:val="11111111111111111 Char Char"/>
    <w:link w:val="141"/>
    <w:qFormat/>
    <w:uiPriority w:val="0"/>
    <w:rPr>
      <w:rFonts w:ascii="Calibri" w:hAnsi="Calibri"/>
      <w:sz w:val="24"/>
      <w:szCs w:val="24"/>
    </w:rPr>
  </w:style>
  <w:style w:type="paragraph" w:customStyle="1" w:styleId="141">
    <w:name w:val="11111111111111111"/>
    <w:basedOn w:val="1"/>
    <w:link w:val="140"/>
    <w:qFormat/>
    <w:uiPriority w:val="0"/>
    <w:pPr>
      <w:spacing w:line="360" w:lineRule="auto"/>
      <w:ind w:firstLine="480" w:firstLineChars="200"/>
    </w:pPr>
    <w:rPr>
      <w:rFonts w:ascii="Calibri" w:hAnsi="Calibri"/>
      <w:kern w:val="0"/>
      <w:sz w:val="24"/>
    </w:rPr>
  </w:style>
  <w:style w:type="character" w:customStyle="1" w:styleId="142">
    <w:name w:val="font51"/>
    <w:qFormat/>
    <w:uiPriority w:val="0"/>
    <w:rPr>
      <w:rFonts w:hint="default" w:ascii="Times New Roman" w:hAnsi="Times New Roman" w:eastAsia="宋体" w:cs="Times New Roman"/>
      <w:b/>
      <w:color w:val="FF0000"/>
      <w:sz w:val="21"/>
      <w:szCs w:val="21"/>
      <w:u w:val="none"/>
    </w:rPr>
  </w:style>
  <w:style w:type="character" w:customStyle="1" w:styleId="143">
    <w:name w:val="脚注文本 字符"/>
    <w:link w:val="28"/>
    <w:qFormat/>
    <w:uiPriority w:val="0"/>
    <w:rPr>
      <w:kern w:val="2"/>
      <w:sz w:val="18"/>
      <w:szCs w:val="18"/>
    </w:rPr>
  </w:style>
  <w:style w:type="character" w:customStyle="1" w:styleId="144">
    <w:name w:val="纯文本 字符"/>
    <w:link w:val="19"/>
    <w:qFormat/>
    <w:uiPriority w:val="0"/>
    <w:rPr>
      <w:rFonts w:ascii="宋体" w:hAnsi="Courier New"/>
      <w:kern w:val="2"/>
      <w:sz w:val="21"/>
    </w:rPr>
  </w:style>
  <w:style w:type="character" w:customStyle="1" w:styleId="145">
    <w:name w:val="apple-style-span"/>
    <w:qFormat/>
    <w:uiPriority w:val="0"/>
    <w:rPr>
      <w:rFonts w:ascii="Times New Roman" w:hAnsi="Times New Roman" w:eastAsia="宋体" w:cs="Times New Roman"/>
      <w:sz w:val="21"/>
      <w:szCs w:val="24"/>
    </w:rPr>
  </w:style>
  <w:style w:type="character" w:customStyle="1" w:styleId="146">
    <w:name w:val="正文11111111111 Char"/>
    <w:qFormat/>
    <w:uiPriority w:val="0"/>
    <w:rPr>
      <w:rFonts w:ascii="宋体" w:hAnsi="宋体"/>
      <w:kern w:val="2"/>
      <w:sz w:val="24"/>
      <w:szCs w:val="24"/>
    </w:rPr>
  </w:style>
  <w:style w:type="character" w:customStyle="1" w:styleId="147">
    <w:name w:val="font11"/>
    <w:qFormat/>
    <w:uiPriority w:val="0"/>
    <w:rPr>
      <w:rFonts w:hint="default" w:ascii="Times New Roman" w:hAnsi="Times New Roman" w:eastAsia="宋体" w:cs="Times New Roman"/>
      <w:color w:val="FF0000"/>
      <w:sz w:val="21"/>
      <w:szCs w:val="21"/>
      <w:u w:val="none"/>
    </w:rPr>
  </w:style>
  <w:style w:type="character" w:customStyle="1" w:styleId="148">
    <w:name w:val="表111111111111111111 Char"/>
    <w:link w:val="149"/>
    <w:qFormat/>
    <w:uiPriority w:val="0"/>
    <w:rPr>
      <w:rFonts w:ascii="宋体" w:hAnsi="宋体"/>
      <w:kern w:val="2"/>
      <w:sz w:val="21"/>
      <w:szCs w:val="21"/>
    </w:rPr>
  </w:style>
  <w:style w:type="paragraph" w:customStyle="1" w:styleId="149">
    <w:name w:val="表111111111111111111"/>
    <w:basedOn w:val="1"/>
    <w:link w:val="148"/>
    <w:qFormat/>
    <w:uiPriority w:val="0"/>
    <w:pPr>
      <w:jc w:val="center"/>
    </w:pPr>
    <w:rPr>
      <w:rFonts w:ascii="宋体" w:hAnsi="宋体"/>
      <w:szCs w:val="21"/>
    </w:rPr>
  </w:style>
  <w:style w:type="character" w:customStyle="1" w:styleId="150">
    <w:name w:val="纯文本 Char1"/>
    <w:qFormat/>
    <w:uiPriority w:val="0"/>
    <w:rPr>
      <w:rFonts w:ascii="宋体" w:hAnsi="Courier New" w:cs="Courier New"/>
      <w:kern w:val="2"/>
      <w:sz w:val="21"/>
      <w:szCs w:val="21"/>
    </w:rPr>
  </w:style>
  <w:style w:type="character" w:customStyle="1" w:styleId="151">
    <w:name w:val="注释标题 字符"/>
    <w:link w:val="11"/>
    <w:qFormat/>
    <w:uiPriority w:val="0"/>
    <w:rPr>
      <w:kern w:val="2"/>
      <w:sz w:val="24"/>
    </w:rPr>
  </w:style>
  <w:style w:type="character" w:customStyle="1" w:styleId="152">
    <w:name w:val="文档结构图 Char1"/>
    <w:qFormat/>
    <w:uiPriority w:val="0"/>
    <w:rPr>
      <w:rFonts w:ascii="Microsoft YaHei UI" w:eastAsia="Microsoft YaHei UI"/>
      <w:kern w:val="2"/>
      <w:sz w:val="18"/>
      <w:szCs w:val="18"/>
    </w:rPr>
  </w:style>
  <w:style w:type="character" w:customStyle="1" w:styleId="153">
    <w:name w:val="正文文本 3 字符"/>
    <w:link w:val="14"/>
    <w:qFormat/>
    <w:uiPriority w:val="0"/>
    <w:rPr>
      <w:rFonts w:ascii="宋体" w:hAnsi="宋体"/>
      <w:kern w:val="2"/>
      <w:sz w:val="24"/>
    </w:rPr>
  </w:style>
  <w:style w:type="character" w:customStyle="1" w:styleId="154">
    <w:name w:val="正文文本缩进 2 字符"/>
    <w:link w:val="21"/>
    <w:qFormat/>
    <w:uiPriority w:val="0"/>
    <w:rPr>
      <w:kern w:val="2"/>
      <w:sz w:val="24"/>
    </w:rPr>
  </w:style>
  <w:style w:type="character" w:customStyle="1" w:styleId="155">
    <w:name w:val="正文文本首行缩进 字符"/>
    <w:link w:val="35"/>
    <w:qFormat/>
    <w:uiPriority w:val="0"/>
    <w:rPr>
      <w:snapToGrid/>
      <w:color w:val="000000"/>
      <w:kern w:val="2"/>
      <w:sz w:val="24"/>
    </w:rPr>
  </w:style>
  <w:style w:type="character" w:customStyle="1" w:styleId="156">
    <w:name w:val="脚注文本 Char1"/>
    <w:qFormat/>
    <w:uiPriority w:val="0"/>
    <w:rPr>
      <w:kern w:val="2"/>
      <w:sz w:val="18"/>
      <w:szCs w:val="18"/>
    </w:rPr>
  </w:style>
  <w:style w:type="character" w:customStyle="1" w:styleId="157">
    <w:name w:val="正文文本首行缩进 2 字符"/>
    <w:link w:val="36"/>
    <w:qFormat/>
    <w:uiPriority w:val="99"/>
    <w:rPr>
      <w:rFonts w:ascii="Times New Roman" w:hAnsi="Times New Roman" w:eastAsia="宋体"/>
      <w:kern w:val="2"/>
      <w:sz w:val="24"/>
    </w:rPr>
  </w:style>
  <w:style w:type="character" w:customStyle="1" w:styleId="158">
    <w:name w:val="正文文本缩进 3 字符"/>
    <w:link w:val="29"/>
    <w:qFormat/>
    <w:uiPriority w:val="0"/>
    <w:rPr>
      <w:kern w:val="2"/>
      <w:sz w:val="16"/>
      <w:szCs w:val="16"/>
    </w:rPr>
  </w:style>
  <w:style w:type="character" w:customStyle="1" w:styleId="159">
    <w:name w:val="HTML 预设格式 字符"/>
    <w:link w:val="32"/>
    <w:qFormat/>
    <w:uiPriority w:val="0"/>
    <w:rPr>
      <w:rFonts w:ascii="Arial" w:hAnsi="Arial" w:cs="Arial"/>
      <w:sz w:val="24"/>
    </w:rPr>
  </w:style>
  <w:style w:type="paragraph" w:customStyle="1" w:styleId="160">
    <w:name w:val="Char3 Char Char Char Char Char Char Char Char Char"/>
    <w:basedOn w:val="1"/>
    <w:qFormat/>
    <w:uiPriority w:val="0"/>
    <w:pPr>
      <w:spacing w:line="360" w:lineRule="auto"/>
      <w:ind w:firstLine="200" w:firstLineChars="200"/>
    </w:pPr>
    <w:rPr>
      <w:sz w:val="24"/>
      <w:szCs w:val="20"/>
    </w:rPr>
  </w:style>
  <w:style w:type="paragraph" w:customStyle="1" w:styleId="161">
    <w:name w:val="正文小四"/>
    <w:basedOn w:val="1"/>
    <w:qFormat/>
    <w:uiPriority w:val="0"/>
    <w:pPr>
      <w:spacing w:line="360" w:lineRule="auto"/>
      <w:ind w:firstLine="200" w:firstLineChars="200"/>
    </w:pPr>
    <w:rPr>
      <w:color w:val="000000"/>
      <w:sz w:val="24"/>
      <w:szCs w:val="22"/>
    </w:rPr>
  </w:style>
  <w:style w:type="paragraph" w:customStyle="1" w:styleId="162">
    <w:name w:val="表格内容（）"/>
    <w:basedOn w:val="1"/>
    <w:link w:val="303"/>
    <w:qFormat/>
    <w:uiPriority w:val="0"/>
    <w:pPr>
      <w:adjustRightInd w:val="0"/>
      <w:snapToGrid w:val="0"/>
      <w:spacing w:line="360" w:lineRule="auto"/>
      <w:ind w:firstLine="200" w:firstLineChars="200"/>
      <w:jc w:val="center"/>
    </w:pPr>
    <w:rPr>
      <w:color w:val="00B0F0"/>
      <w:szCs w:val="21"/>
    </w:rPr>
  </w:style>
  <w:style w:type="paragraph" w:customStyle="1" w:styleId="163">
    <w:name w:val="正文01"/>
    <w:basedOn w:val="1"/>
    <w:qFormat/>
    <w:uiPriority w:val="0"/>
    <w:pPr>
      <w:spacing w:before="60" w:line="460" w:lineRule="exact"/>
      <w:ind w:firstLine="200" w:firstLineChars="200"/>
    </w:pPr>
    <w:rPr>
      <w:rFonts w:ascii="Arial" w:hAnsi="Arial"/>
      <w:bCs/>
      <w:sz w:val="24"/>
      <w:szCs w:val="28"/>
    </w:rPr>
  </w:style>
  <w:style w:type="paragraph" w:customStyle="1" w:styleId="164">
    <w:name w:val="规范正文"/>
    <w:basedOn w:val="15"/>
    <w:link w:val="330"/>
    <w:qFormat/>
    <w:uiPriority w:val="0"/>
    <w:pPr>
      <w:widowControl w:val="0"/>
      <w:topLinePunct/>
      <w:snapToGrid/>
      <w:spacing w:before="0" w:after="0" w:line="360" w:lineRule="auto"/>
      <w:ind w:right="0" w:firstLine="200" w:firstLineChars="200"/>
      <w:textAlignment w:val="baseline"/>
    </w:pPr>
    <w:rPr>
      <w:color w:val="000000"/>
      <w:kern w:val="2"/>
      <w:sz w:val="24"/>
      <w:szCs w:val="24"/>
    </w:rPr>
  </w:style>
  <w:style w:type="paragraph" w:customStyle="1" w:styleId="165">
    <w:name w:val="附图"/>
    <w:basedOn w:val="1"/>
    <w:qFormat/>
    <w:uiPriority w:val="0"/>
    <w:pPr>
      <w:spacing w:line="360" w:lineRule="auto"/>
      <w:jc w:val="center"/>
      <w:outlineLvl w:val="0"/>
    </w:pPr>
    <w:rPr>
      <w:b/>
      <w:sz w:val="24"/>
      <w:szCs w:val="20"/>
    </w:rPr>
  </w:style>
  <w:style w:type="paragraph" w:customStyle="1" w:styleId="166">
    <w:name w:val="1标题2级"/>
    <w:basedOn w:val="1"/>
    <w:qFormat/>
    <w:uiPriority w:val="0"/>
    <w:pPr>
      <w:keepNext/>
      <w:snapToGrid w:val="0"/>
      <w:spacing w:line="420" w:lineRule="auto"/>
      <w:ind w:firstLine="200" w:firstLineChars="200"/>
      <w:outlineLvl w:val="1"/>
    </w:pPr>
    <w:rPr>
      <w:rFonts w:eastAsia="黑体"/>
      <w:b/>
      <w:sz w:val="24"/>
      <w:szCs w:val="20"/>
    </w:rPr>
  </w:style>
  <w:style w:type="paragraph" w:customStyle="1" w:styleId="167">
    <w:name w:val="表格标题CCW"/>
    <w:basedOn w:val="1"/>
    <w:qFormat/>
    <w:uiPriority w:val="0"/>
    <w:pPr>
      <w:spacing w:line="360" w:lineRule="auto"/>
      <w:ind w:firstLine="200" w:firstLineChars="200"/>
      <w:jc w:val="center"/>
    </w:pPr>
    <w:rPr>
      <w:b/>
      <w:kern w:val="0"/>
      <w:sz w:val="20"/>
      <w:szCs w:val="20"/>
    </w:rPr>
  </w:style>
  <w:style w:type="paragraph" w:customStyle="1" w:styleId="168">
    <w:name w:val="规范表格文"/>
    <w:basedOn w:val="15"/>
    <w:qFormat/>
    <w:uiPriority w:val="0"/>
    <w:pPr>
      <w:widowControl w:val="0"/>
      <w:adjustRightInd w:val="0"/>
      <w:spacing w:before="0" w:after="0" w:line="240" w:lineRule="auto"/>
      <w:ind w:right="0"/>
      <w:jc w:val="center"/>
    </w:pPr>
    <w:rPr>
      <w:kern w:val="2"/>
      <w:sz w:val="21"/>
      <w:szCs w:val="24"/>
    </w:rPr>
  </w:style>
  <w:style w:type="paragraph" w:customStyle="1" w:styleId="169">
    <w:name w:val="a表格"/>
    <w:basedOn w:val="1"/>
    <w:qFormat/>
    <w:uiPriority w:val="0"/>
    <w:pPr>
      <w:snapToGrid w:val="0"/>
      <w:spacing w:afterLines="50"/>
      <w:jc w:val="center"/>
    </w:pPr>
  </w:style>
  <w:style w:type="paragraph" w:customStyle="1" w:styleId="170">
    <w:name w:val="表中正文"/>
    <w:basedOn w:val="1"/>
    <w:qFormat/>
    <w:uiPriority w:val="0"/>
    <w:pPr>
      <w:tabs>
        <w:tab w:val="left" w:pos="7320"/>
        <w:tab w:val="left" w:pos="8160"/>
      </w:tabs>
      <w:adjustRightInd w:val="0"/>
      <w:spacing w:line="240" w:lineRule="atLeast"/>
      <w:ind w:firstLine="200" w:firstLineChars="200"/>
      <w:jc w:val="center"/>
      <w:textAlignment w:val="baseline"/>
    </w:pPr>
    <w:rPr>
      <w:rFonts w:ascii="宋体"/>
      <w:spacing w:val="6"/>
      <w:szCs w:val="20"/>
    </w:rPr>
  </w:style>
  <w:style w:type="paragraph" w:customStyle="1" w:styleId="171">
    <w:name w:val="_Style 8"/>
    <w:basedOn w:val="1"/>
    <w:qFormat/>
    <w:uiPriority w:val="0"/>
    <w:pPr>
      <w:spacing w:line="360" w:lineRule="auto"/>
      <w:ind w:firstLine="200" w:firstLineChars="200"/>
    </w:pPr>
  </w:style>
  <w:style w:type="paragraph" w:customStyle="1" w:styleId="172">
    <w:name w:val="正文001"/>
    <w:basedOn w:val="1"/>
    <w:qFormat/>
    <w:uiPriority w:val="0"/>
    <w:pPr>
      <w:spacing w:before="60" w:line="460" w:lineRule="exact"/>
      <w:ind w:firstLine="482" w:firstLineChars="200"/>
    </w:pPr>
    <w:rPr>
      <w:rFonts w:ascii="Arial" w:hAnsi="Arial"/>
      <w:sz w:val="24"/>
      <w:szCs w:val="20"/>
    </w:rPr>
  </w:style>
  <w:style w:type="paragraph" w:customStyle="1" w:styleId="173">
    <w:name w:val="Char"/>
    <w:basedOn w:val="1"/>
    <w:qFormat/>
    <w:uiPriority w:val="0"/>
    <w:pPr>
      <w:ind w:firstLine="200" w:firstLineChars="200"/>
    </w:pPr>
    <w:rPr>
      <w:sz w:val="24"/>
    </w:rPr>
  </w:style>
  <w:style w:type="paragraph" w:customStyle="1" w:styleId="174">
    <w:name w:val="1表头"/>
    <w:basedOn w:val="1"/>
    <w:qFormat/>
    <w:uiPriority w:val="0"/>
    <w:pPr>
      <w:adjustRightInd w:val="0"/>
      <w:snapToGrid w:val="0"/>
      <w:spacing w:line="360" w:lineRule="auto"/>
      <w:jc w:val="center"/>
    </w:pPr>
    <w:rPr>
      <w:rFonts w:ascii="Calibri" w:hAnsi="Calibri"/>
      <w:b/>
      <w:color w:val="FF0000"/>
      <w:sz w:val="24"/>
    </w:rPr>
  </w:style>
  <w:style w:type="paragraph" w:customStyle="1" w:styleId="175">
    <w:name w:val="正文1"/>
    <w:basedOn w:val="16"/>
    <w:qFormat/>
    <w:uiPriority w:val="0"/>
    <w:pPr>
      <w:spacing w:line="360" w:lineRule="auto"/>
      <w:ind w:firstLine="200" w:firstLineChars="200"/>
    </w:pPr>
    <w:rPr>
      <w:rFonts w:cs="宋体"/>
      <w:kern w:val="2"/>
    </w:rPr>
  </w:style>
  <w:style w:type="paragraph" w:customStyle="1" w:styleId="176">
    <w:name w:val="表头表头表头表头表头表头表头表头表头"/>
    <w:basedOn w:val="1"/>
    <w:next w:val="1"/>
    <w:qFormat/>
    <w:uiPriority w:val="0"/>
    <w:pPr>
      <w:adjustRightInd w:val="0"/>
      <w:snapToGrid w:val="0"/>
      <w:spacing w:line="360" w:lineRule="auto"/>
      <w:ind w:firstLine="200" w:firstLineChars="200"/>
      <w:jc w:val="center"/>
    </w:pPr>
    <w:rPr>
      <w:rFonts w:ascii="Calibri" w:hAnsi="Calibri"/>
      <w:b/>
      <w:sz w:val="24"/>
      <w:szCs w:val="20"/>
    </w:rPr>
  </w:style>
  <w:style w:type="paragraph" w:customStyle="1" w:styleId="177">
    <w:name w:val="表哥模式"/>
    <w:basedOn w:val="1"/>
    <w:next w:val="1"/>
    <w:qFormat/>
    <w:uiPriority w:val="0"/>
    <w:pPr>
      <w:jc w:val="center"/>
    </w:pPr>
    <w:rPr>
      <w:szCs w:val="20"/>
    </w:rPr>
  </w:style>
  <w:style w:type="paragraph" w:customStyle="1" w:styleId="178">
    <w:name w:val="样式1"/>
    <w:basedOn w:val="179"/>
    <w:qFormat/>
    <w:uiPriority w:val="0"/>
    <w:pPr>
      <w:tabs>
        <w:tab w:val="left" w:pos="1620"/>
      </w:tabs>
      <w:adjustRightInd w:val="0"/>
      <w:spacing w:line="480" w:lineRule="atLeast"/>
      <w:ind w:firstLine="539"/>
    </w:pPr>
    <w:rPr>
      <w:kern w:val="0"/>
    </w:rPr>
  </w:style>
  <w:style w:type="paragraph" w:customStyle="1" w:styleId="179">
    <w:name w:val="样式4"/>
    <w:basedOn w:val="15"/>
    <w:qFormat/>
    <w:uiPriority w:val="0"/>
    <w:pPr>
      <w:widowControl w:val="0"/>
      <w:tabs>
        <w:tab w:val="left" w:pos="1620"/>
      </w:tabs>
      <w:snapToGrid/>
      <w:spacing w:before="0" w:after="120" w:line="360" w:lineRule="auto"/>
      <w:ind w:right="0" w:firstLine="480" w:firstLineChars="200"/>
    </w:pPr>
    <w:rPr>
      <w:color w:val="FF0000"/>
      <w:kern w:val="2"/>
      <w:sz w:val="24"/>
    </w:rPr>
  </w:style>
  <w:style w:type="paragraph" w:customStyle="1" w:styleId="180">
    <w:name w:val="11111表土"/>
    <w:basedOn w:val="1"/>
    <w:link w:val="181"/>
    <w:qFormat/>
    <w:uiPriority w:val="0"/>
    <w:pPr>
      <w:adjustRightInd w:val="0"/>
      <w:snapToGrid w:val="0"/>
      <w:spacing w:line="360" w:lineRule="auto"/>
      <w:ind w:firstLine="200" w:firstLineChars="200"/>
      <w:jc w:val="center"/>
    </w:pPr>
    <w:rPr>
      <w:rFonts w:eastAsia="黑体"/>
      <w:kern w:val="0"/>
      <w:sz w:val="24"/>
    </w:rPr>
  </w:style>
  <w:style w:type="character" w:customStyle="1" w:styleId="181">
    <w:name w:val="11111表土 Char"/>
    <w:link w:val="180"/>
    <w:qFormat/>
    <w:uiPriority w:val="0"/>
    <w:rPr>
      <w:rFonts w:eastAsia="黑体"/>
      <w:sz w:val="24"/>
      <w:szCs w:val="24"/>
    </w:rPr>
  </w:style>
  <w:style w:type="paragraph" w:customStyle="1" w:styleId="182">
    <w:name w:val="标题222"/>
    <w:basedOn w:val="1"/>
    <w:qFormat/>
    <w:uiPriority w:val="0"/>
    <w:pPr>
      <w:adjustRightInd w:val="0"/>
      <w:snapToGrid w:val="0"/>
      <w:spacing w:beforeLines="50" w:line="360" w:lineRule="auto"/>
      <w:ind w:firstLine="200" w:firstLineChars="200"/>
      <w:outlineLvl w:val="1"/>
    </w:pPr>
    <w:rPr>
      <w:rFonts w:eastAsia="黑体"/>
      <w:bCs/>
      <w:sz w:val="24"/>
      <w:szCs w:val="28"/>
    </w:rPr>
  </w:style>
  <w:style w:type="paragraph" w:customStyle="1" w:styleId="183">
    <w:name w:val="样式 样式 样式 样式 首行缩进:  2 字符 + 居中 + (中文) 黑体 五号 首行缩进:  2 字符 + 首行缩进:  2..."/>
    <w:basedOn w:val="1"/>
    <w:qFormat/>
    <w:uiPriority w:val="0"/>
    <w:pPr>
      <w:adjustRightInd w:val="0"/>
      <w:snapToGrid w:val="0"/>
      <w:spacing w:beforeLines="50" w:line="360" w:lineRule="auto"/>
      <w:ind w:firstLine="200" w:firstLineChars="200"/>
      <w:jc w:val="center"/>
    </w:pPr>
    <w:rPr>
      <w:rFonts w:eastAsia="黑体" w:cs="宋体"/>
      <w:sz w:val="24"/>
      <w:szCs w:val="20"/>
    </w:rPr>
  </w:style>
  <w:style w:type="paragraph" w:customStyle="1" w:styleId="184">
    <w:name w:val="样式 样式 表格名称3 + 段前: 0.2 行 段后: 0.3 行 + 段前: 0.3 行 段后: 0.3 行"/>
    <w:basedOn w:val="1"/>
    <w:qFormat/>
    <w:uiPriority w:val="0"/>
    <w:pPr>
      <w:spacing w:beforeLines="30" w:afterLines="20" w:line="520" w:lineRule="exact"/>
      <w:ind w:firstLine="200"/>
      <w:jc w:val="center"/>
    </w:pPr>
    <w:rPr>
      <w:rFonts w:cs="宋体"/>
      <w:b/>
      <w:bCs/>
      <w:sz w:val="24"/>
      <w:szCs w:val="20"/>
    </w:rPr>
  </w:style>
  <w:style w:type="paragraph" w:customStyle="1" w:styleId="185">
    <w:name w:val="表的标题"/>
    <w:basedOn w:val="1"/>
    <w:next w:val="170"/>
    <w:qFormat/>
    <w:uiPriority w:val="0"/>
    <w:pPr>
      <w:adjustRightInd w:val="0"/>
      <w:snapToGrid w:val="0"/>
      <w:spacing w:beforeLines="50"/>
      <w:jc w:val="center"/>
    </w:pPr>
    <w:rPr>
      <w:rFonts w:eastAsia="黑体" w:cs="宋体"/>
      <w:sz w:val="24"/>
      <w:szCs w:val="20"/>
    </w:rPr>
  </w:style>
  <w:style w:type="paragraph" w:customStyle="1" w:styleId="186">
    <w:name w:val="正文（）"/>
    <w:basedOn w:val="1"/>
    <w:link w:val="304"/>
    <w:qFormat/>
    <w:uiPriority w:val="0"/>
    <w:pPr>
      <w:adjustRightInd w:val="0"/>
      <w:snapToGrid w:val="0"/>
      <w:spacing w:line="360" w:lineRule="auto"/>
      <w:ind w:firstLine="200" w:firstLineChars="200"/>
    </w:pPr>
    <w:rPr>
      <w:color w:val="5B9BD5"/>
      <w:sz w:val="24"/>
      <w:szCs w:val="20"/>
    </w:rPr>
  </w:style>
  <w:style w:type="paragraph" w:customStyle="1" w:styleId="187">
    <w:name w:val="表文"/>
    <w:basedOn w:val="1"/>
    <w:qFormat/>
    <w:uiPriority w:val="0"/>
    <w:pPr>
      <w:spacing w:before="60" w:after="60" w:line="280" w:lineRule="atLeast"/>
      <w:ind w:firstLine="200" w:firstLineChars="200"/>
      <w:jc w:val="center"/>
    </w:pPr>
    <w:rPr>
      <w:szCs w:val="20"/>
    </w:rPr>
  </w:style>
  <w:style w:type="paragraph" w:customStyle="1" w:styleId="188">
    <w:name w:val="表格标题（）"/>
    <w:basedOn w:val="1"/>
    <w:link w:val="306"/>
    <w:qFormat/>
    <w:uiPriority w:val="0"/>
    <w:pPr>
      <w:spacing w:line="360" w:lineRule="auto"/>
      <w:ind w:firstLine="200" w:firstLineChars="200"/>
      <w:jc w:val="center"/>
    </w:pPr>
    <w:rPr>
      <w:rFonts w:eastAsia="黑体"/>
      <w:color w:val="00B0F0"/>
      <w:sz w:val="24"/>
      <w:szCs w:val="20"/>
      <w:lang w:val="zh-CN" w:bidi="he-IL"/>
    </w:rPr>
  </w:style>
  <w:style w:type="paragraph" w:customStyle="1" w:styleId="189">
    <w:name w:val="0正文"/>
    <w:link w:val="190"/>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190">
    <w:name w:val="0正文 Char"/>
    <w:link w:val="189"/>
    <w:qFormat/>
    <w:uiPriority w:val="0"/>
    <w:rPr>
      <w:sz w:val="24"/>
      <w:szCs w:val="22"/>
      <w:lang w:bidi="ar-SA"/>
    </w:rPr>
  </w:style>
  <w:style w:type="paragraph" w:customStyle="1" w:styleId="191">
    <w:name w:val="样式 加粗 居中 首行缩进:  2 字符 行距: 固定值 16 磅"/>
    <w:basedOn w:val="1"/>
    <w:qFormat/>
    <w:uiPriority w:val="0"/>
    <w:pPr>
      <w:spacing w:line="360" w:lineRule="auto"/>
      <w:jc w:val="center"/>
    </w:pPr>
    <w:rPr>
      <w:rFonts w:cs="宋体"/>
      <w:b/>
      <w:bCs/>
      <w:sz w:val="24"/>
      <w:szCs w:val="20"/>
    </w:rPr>
  </w:style>
  <w:style w:type="paragraph" w:customStyle="1" w:styleId="192">
    <w:name w:val="隔行标签"/>
    <w:basedOn w:val="1"/>
    <w:qFormat/>
    <w:uiPriority w:val="0"/>
    <w:pPr>
      <w:spacing w:line="160" w:lineRule="exact"/>
      <w:ind w:firstLine="300" w:firstLineChars="200"/>
    </w:pPr>
    <w:rPr>
      <w:sz w:val="15"/>
      <w:szCs w:val="18"/>
    </w:rPr>
  </w:style>
  <w:style w:type="paragraph" w:customStyle="1" w:styleId="193">
    <w:name w:val="样式3"/>
    <w:basedOn w:val="55"/>
    <w:qFormat/>
    <w:uiPriority w:val="0"/>
    <w:pPr>
      <w:ind w:firstLine="200" w:firstLineChars="200"/>
    </w:pPr>
  </w:style>
  <w:style w:type="paragraph" w:customStyle="1" w:styleId="194">
    <w:name w:val="表格五号"/>
    <w:basedOn w:val="1"/>
    <w:qFormat/>
    <w:uiPriority w:val="0"/>
    <w:pPr>
      <w:tabs>
        <w:tab w:val="right" w:pos="8814"/>
      </w:tabs>
      <w:suppressAutoHyphens/>
      <w:snapToGrid w:val="0"/>
      <w:jc w:val="center"/>
    </w:pPr>
    <w:rPr>
      <w:color w:val="000000"/>
      <w:kern w:val="21"/>
      <w:szCs w:val="21"/>
    </w:rPr>
  </w:style>
  <w:style w:type="paragraph" w:customStyle="1" w:styleId="195">
    <w:name w:val="表格的格式"/>
    <w:basedOn w:val="193"/>
    <w:link w:val="196"/>
    <w:qFormat/>
    <w:uiPriority w:val="0"/>
    <w:pPr>
      <w:jc w:val="center"/>
    </w:pPr>
    <w:rPr>
      <w:sz w:val="21"/>
      <w:szCs w:val="21"/>
    </w:rPr>
  </w:style>
  <w:style w:type="character" w:customStyle="1" w:styleId="196">
    <w:name w:val="表格的格式 Char"/>
    <w:link w:val="195"/>
    <w:qFormat/>
    <w:locked/>
    <w:uiPriority w:val="0"/>
    <w:rPr>
      <w:rFonts w:eastAsia="楷体_GB2312"/>
      <w:sz w:val="21"/>
      <w:szCs w:val="21"/>
    </w:rPr>
  </w:style>
  <w:style w:type="paragraph" w:customStyle="1" w:styleId="197">
    <w:name w:val="样式 样式 标题 4 + 首行缩进:  2 字符1 + 首行缩进:  2 字符 段前: 0.2 行 段后: 0.2 行"/>
    <w:basedOn w:val="1"/>
    <w:qFormat/>
    <w:uiPriority w:val="0"/>
    <w:pPr>
      <w:keepNext/>
      <w:keepLines/>
      <w:spacing w:beforeLines="20" w:afterLines="20" w:line="520" w:lineRule="exact"/>
      <w:ind w:firstLine="562" w:firstLineChars="200"/>
      <w:outlineLvl w:val="3"/>
    </w:pPr>
    <w:rPr>
      <w:rFonts w:cs="宋体"/>
      <w:b/>
      <w:bCs/>
      <w:sz w:val="24"/>
      <w:szCs w:val="20"/>
    </w:rPr>
  </w:style>
  <w:style w:type="paragraph" w:customStyle="1" w:styleId="198">
    <w:name w:val="表格名称8"/>
    <w:basedOn w:val="1"/>
    <w:qFormat/>
    <w:uiPriority w:val="0"/>
    <w:pPr>
      <w:spacing w:beforeLines="20" w:afterLines="20" w:line="360" w:lineRule="auto"/>
      <w:ind w:left="420" w:hanging="420" w:firstLineChars="200"/>
      <w:jc w:val="center"/>
    </w:pPr>
    <w:rPr>
      <w:b/>
      <w:sz w:val="24"/>
      <w:szCs w:val="20"/>
    </w:rPr>
  </w:style>
  <w:style w:type="paragraph" w:customStyle="1" w:styleId="199">
    <w:name w:val="表头 Char Char"/>
    <w:next w:val="1"/>
    <w:qFormat/>
    <w:uiPriority w:val="0"/>
    <w:pPr>
      <w:widowControl w:val="0"/>
      <w:adjustRightInd w:val="0"/>
      <w:snapToGrid w:val="0"/>
      <w:spacing w:line="360" w:lineRule="auto"/>
      <w:jc w:val="center"/>
    </w:pPr>
    <w:rPr>
      <w:rFonts w:ascii="Times New Roman" w:hAnsi="Times New Roman" w:eastAsia="宋体" w:cs="Times New Roman"/>
      <w:b/>
      <w:snapToGrid w:val="0"/>
      <w:sz w:val="24"/>
      <w:szCs w:val="24"/>
      <w:lang w:val="en-US" w:eastAsia="zh-CN" w:bidi="ar-SA"/>
    </w:rPr>
  </w:style>
  <w:style w:type="paragraph" w:customStyle="1" w:styleId="200">
    <w:name w:val="正文格式"/>
    <w:basedOn w:val="1"/>
    <w:link w:val="201"/>
    <w:qFormat/>
    <w:uiPriority w:val="0"/>
    <w:pPr>
      <w:adjustRightInd w:val="0"/>
      <w:snapToGrid w:val="0"/>
      <w:spacing w:line="360" w:lineRule="auto"/>
      <w:ind w:firstLine="881" w:firstLineChars="200"/>
    </w:pPr>
    <w:rPr>
      <w:sz w:val="24"/>
      <w:szCs w:val="20"/>
    </w:rPr>
  </w:style>
  <w:style w:type="character" w:customStyle="1" w:styleId="201">
    <w:name w:val="正文格式 Char"/>
    <w:link w:val="200"/>
    <w:qFormat/>
    <w:locked/>
    <w:uiPriority w:val="0"/>
    <w:rPr>
      <w:kern w:val="2"/>
      <w:sz w:val="24"/>
    </w:rPr>
  </w:style>
  <w:style w:type="paragraph" w:customStyle="1" w:styleId="202">
    <w:name w:val="标题33"/>
    <w:basedOn w:val="1"/>
    <w:link w:val="203"/>
    <w:qFormat/>
    <w:uiPriority w:val="0"/>
    <w:pPr>
      <w:tabs>
        <w:tab w:val="left" w:pos="3840"/>
      </w:tabs>
      <w:adjustRightInd w:val="0"/>
      <w:snapToGrid w:val="0"/>
      <w:spacing w:line="360" w:lineRule="auto"/>
      <w:ind w:firstLine="200" w:firstLineChars="200"/>
      <w:outlineLvl w:val="2"/>
    </w:pPr>
    <w:rPr>
      <w:rFonts w:eastAsia="黑体"/>
      <w:sz w:val="28"/>
      <w:szCs w:val="20"/>
    </w:rPr>
  </w:style>
  <w:style w:type="character" w:customStyle="1" w:styleId="203">
    <w:name w:val="标题33 Char"/>
    <w:link w:val="202"/>
    <w:qFormat/>
    <w:uiPriority w:val="0"/>
    <w:rPr>
      <w:rFonts w:eastAsia="黑体"/>
      <w:kern w:val="2"/>
      <w:sz w:val="28"/>
    </w:rPr>
  </w:style>
  <w:style w:type="paragraph" w:customStyle="1" w:styleId="204">
    <w:name w:val="7表格"/>
    <w:qFormat/>
    <w:uiPriority w:val="0"/>
    <w:pPr>
      <w:ind w:right="19" w:rightChars="8"/>
      <w:jc w:val="center"/>
    </w:pPr>
    <w:rPr>
      <w:rFonts w:ascii="Times New Roman" w:hAnsi="Times New Roman" w:eastAsia="楷体_GB2312" w:cs="Times New Roman"/>
      <w:color w:val="000000"/>
      <w:kern w:val="28"/>
      <w:sz w:val="21"/>
      <w:lang w:val="en-US" w:eastAsia="zh-CN" w:bidi="ar-SA"/>
    </w:rPr>
  </w:style>
  <w:style w:type="paragraph" w:customStyle="1" w:styleId="205">
    <w:name w:val="Char Char Char Char Char Char"/>
    <w:basedOn w:val="1"/>
    <w:qFormat/>
    <w:uiPriority w:val="0"/>
    <w:pPr>
      <w:ind w:firstLine="200" w:firstLineChars="200"/>
    </w:pPr>
    <w:rPr>
      <w:szCs w:val="20"/>
    </w:rPr>
  </w:style>
  <w:style w:type="paragraph" w:customStyle="1" w:styleId="206">
    <w:name w:val="南郊正文"/>
    <w:basedOn w:val="1"/>
    <w:next w:val="1"/>
    <w:qFormat/>
    <w:uiPriority w:val="0"/>
    <w:pPr>
      <w:spacing w:line="460" w:lineRule="exact"/>
      <w:ind w:firstLine="560" w:firstLineChars="200"/>
    </w:pPr>
    <w:rPr>
      <w:sz w:val="24"/>
      <w:szCs w:val="20"/>
    </w:rPr>
  </w:style>
  <w:style w:type="paragraph" w:customStyle="1" w:styleId="207">
    <w:name w:val="p0"/>
    <w:basedOn w:val="1"/>
    <w:qFormat/>
    <w:uiPriority w:val="0"/>
    <w:rPr>
      <w:kern w:val="0"/>
      <w:szCs w:val="21"/>
    </w:rPr>
  </w:style>
  <w:style w:type="paragraph" w:customStyle="1" w:styleId="208">
    <w:name w:val="标题表头"/>
    <w:basedOn w:val="1"/>
    <w:qFormat/>
    <w:uiPriority w:val="0"/>
    <w:pPr>
      <w:spacing w:line="360" w:lineRule="auto"/>
      <w:ind w:firstLine="200" w:firstLineChars="200"/>
      <w:jc w:val="center"/>
    </w:pPr>
    <w:rPr>
      <w:b/>
      <w:sz w:val="24"/>
      <w:szCs w:val="22"/>
    </w:rPr>
  </w:style>
  <w:style w:type="paragraph" w:customStyle="1" w:styleId="209">
    <w:name w:val="Date1"/>
    <w:basedOn w:val="1"/>
    <w:next w:val="1"/>
    <w:qFormat/>
    <w:uiPriority w:val="0"/>
    <w:pPr>
      <w:adjustRightInd w:val="0"/>
      <w:spacing w:line="360" w:lineRule="auto"/>
      <w:ind w:firstLine="200" w:firstLineChars="200"/>
      <w:textAlignment w:val="baseline"/>
    </w:pPr>
    <w:rPr>
      <w:rFonts w:ascii="宋体" w:hAnsi="宋体"/>
      <w:kern w:val="0"/>
      <w:sz w:val="24"/>
      <w:szCs w:val="20"/>
    </w:rPr>
  </w:style>
  <w:style w:type="paragraph" w:customStyle="1" w:styleId="210">
    <w:name w:val="zhang正文 Char Char"/>
    <w:basedOn w:val="16"/>
    <w:qFormat/>
    <w:uiPriority w:val="0"/>
    <w:pPr>
      <w:autoSpaceDE w:val="0"/>
      <w:autoSpaceDN w:val="0"/>
      <w:adjustRightInd w:val="0"/>
      <w:snapToGrid w:val="0"/>
      <w:spacing w:after="0" w:line="500" w:lineRule="exact"/>
      <w:ind w:left="0" w:leftChars="0" w:firstLine="539" w:firstLineChars="200"/>
      <w:textAlignment w:val="baseline"/>
    </w:pPr>
    <w:rPr>
      <w:rFonts w:eastAsia="楷体_GB2312"/>
    </w:rPr>
  </w:style>
  <w:style w:type="paragraph" w:customStyle="1" w:styleId="211">
    <w:name w:val="正文（小四）"/>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212">
    <w:name w:val="样式正文"/>
    <w:basedOn w:val="1"/>
    <w:qFormat/>
    <w:uiPriority w:val="0"/>
    <w:pPr>
      <w:spacing w:line="360" w:lineRule="auto"/>
      <w:ind w:firstLine="200" w:firstLineChars="200"/>
    </w:pPr>
    <w:rPr>
      <w:rFonts w:cs="宋体"/>
      <w:sz w:val="24"/>
      <w:szCs w:val="20"/>
    </w:rPr>
  </w:style>
  <w:style w:type="paragraph" w:customStyle="1" w:styleId="213">
    <w:name w:val="表格的字"/>
    <w:next w:val="1"/>
    <w:qFormat/>
    <w:uiPriority w:val="0"/>
    <w:pPr>
      <w:jc w:val="center"/>
    </w:pPr>
    <w:rPr>
      <w:rFonts w:ascii="Calibri" w:hAnsi="Calibri" w:eastAsia="宋体" w:cs="Times New Roman"/>
      <w:kern w:val="2"/>
      <w:sz w:val="21"/>
      <w:szCs w:val="21"/>
      <w:lang w:val="en-US" w:eastAsia="zh-CN" w:bidi="ar-SA"/>
    </w:rPr>
  </w:style>
  <w:style w:type="paragraph" w:customStyle="1" w:styleId="214">
    <w:name w:val="正文内容"/>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15">
    <w:name w:val="WPSOffice手动目录 1"/>
    <w:qFormat/>
    <w:uiPriority w:val="0"/>
    <w:rPr>
      <w:rFonts w:ascii="Times New Roman" w:hAnsi="Times New Roman" w:eastAsia="宋体" w:cs="Times New Roman"/>
      <w:lang w:val="en-US" w:eastAsia="zh-CN" w:bidi="ar-SA"/>
    </w:rPr>
  </w:style>
  <w:style w:type="paragraph" w:customStyle="1" w:styleId="216">
    <w:name w:val="xl26"/>
    <w:basedOn w:val="1"/>
    <w:qFormat/>
    <w:uiPriority w:val="0"/>
    <w:pPr>
      <w:pBdr>
        <w:bottom w:val="single" w:color="auto" w:sz="4" w:space="0"/>
        <w:right w:val="single" w:color="auto" w:sz="4" w:space="0"/>
      </w:pBdr>
      <w:spacing w:before="100" w:beforeAutospacing="1" w:after="100" w:afterAutospacing="1"/>
      <w:textAlignment w:val="top"/>
    </w:pPr>
    <w:rPr>
      <w:rFonts w:ascii="宋体" w:hAnsi="宋体"/>
      <w:kern w:val="0"/>
      <w:sz w:val="24"/>
    </w:rPr>
  </w:style>
  <w:style w:type="paragraph" w:customStyle="1" w:styleId="217">
    <w:name w:val="样式 首行缩进:  2 字符"/>
    <w:basedOn w:val="1"/>
    <w:qFormat/>
    <w:uiPriority w:val="0"/>
    <w:pPr>
      <w:spacing w:line="420" w:lineRule="auto"/>
      <w:ind w:firstLine="480" w:firstLineChars="200"/>
    </w:pPr>
    <w:rPr>
      <w:rFonts w:cs="宋体"/>
      <w:sz w:val="24"/>
      <w:szCs w:val="20"/>
    </w:rPr>
  </w:style>
  <w:style w:type="paragraph" w:customStyle="1" w:styleId="218">
    <w:name w:val="T表格"/>
    <w:qFormat/>
    <w:uiPriority w:val="0"/>
    <w:pPr>
      <w:jc w:val="center"/>
    </w:pPr>
    <w:rPr>
      <w:rFonts w:ascii="Times New Roman" w:hAnsi="Times New Roman" w:eastAsia="宋体" w:cs="Times New Roman"/>
      <w:sz w:val="21"/>
      <w:lang w:val="en-US" w:eastAsia="zh-CN" w:bidi="ar-SA"/>
    </w:rPr>
  </w:style>
  <w:style w:type="paragraph" w:customStyle="1" w:styleId="219">
    <w:name w:val="图表标题"/>
    <w:basedOn w:val="113"/>
    <w:link w:val="307"/>
    <w:qFormat/>
    <w:uiPriority w:val="0"/>
    <w:pPr>
      <w:tabs>
        <w:tab w:val="left" w:pos="1980"/>
        <w:tab w:val="left" w:pos="3825"/>
        <w:tab w:val="left" w:pos="4680"/>
      </w:tabs>
    </w:pPr>
    <w:rPr>
      <w:b/>
      <w:sz w:val="24"/>
    </w:rPr>
  </w:style>
  <w:style w:type="paragraph" w:customStyle="1" w:styleId="220">
    <w:name w:val="表格式"/>
    <w:basedOn w:val="27"/>
    <w:qFormat/>
    <w:uiPriority w:val="0"/>
    <w:pPr>
      <w:spacing w:beforeLines="50" w:afterLines="50" w:line="240" w:lineRule="exact"/>
      <w:ind w:firstLine="0" w:firstLineChars="0"/>
    </w:pPr>
    <w:rPr>
      <w:rFonts w:ascii="宋体" w:eastAsia="宋体"/>
      <w:sz w:val="21"/>
    </w:rPr>
  </w:style>
  <w:style w:type="paragraph" w:customStyle="1" w:styleId="221">
    <w:name w:val="6表(图)头"/>
    <w:next w:val="1"/>
    <w:qFormat/>
    <w:uiPriority w:val="0"/>
    <w:pPr>
      <w:widowControl w:val="0"/>
      <w:spacing w:line="360" w:lineRule="auto"/>
      <w:jc w:val="center"/>
    </w:pPr>
    <w:rPr>
      <w:rFonts w:ascii="Times New Roman" w:hAnsi="Times New Roman" w:eastAsia="黑体" w:cs="Times New Roman"/>
      <w:b/>
      <w:bCs/>
      <w:sz w:val="28"/>
      <w:lang w:val="en-US" w:eastAsia="zh-CN" w:bidi="ar-SA"/>
    </w:rPr>
  </w:style>
  <w:style w:type="paragraph" w:customStyle="1" w:styleId="222">
    <w:name w:val="正文aaaa"/>
    <w:basedOn w:val="15"/>
    <w:next w:val="15"/>
    <w:qFormat/>
    <w:uiPriority w:val="0"/>
    <w:pPr>
      <w:widowControl w:val="0"/>
      <w:adjustRightInd w:val="0"/>
      <w:spacing w:before="0" w:after="0" w:line="360" w:lineRule="auto"/>
      <w:ind w:right="0" w:firstLine="200" w:firstLineChars="200"/>
    </w:pPr>
    <w:rPr>
      <w:snapToGrid w:val="0"/>
      <w:kern w:val="2"/>
      <w:sz w:val="24"/>
    </w:rPr>
  </w:style>
  <w:style w:type="paragraph" w:customStyle="1" w:styleId="223">
    <w:name w:val="000正文abing(新)"/>
    <w:basedOn w:val="1"/>
    <w:qFormat/>
    <w:uiPriority w:val="0"/>
    <w:pPr>
      <w:spacing w:line="440" w:lineRule="exact"/>
      <w:ind w:firstLine="480" w:firstLineChars="200"/>
    </w:pPr>
    <w:rPr>
      <w:rFonts w:ascii="Calibri" w:hAnsi="Calibri"/>
      <w:sz w:val="24"/>
      <w:szCs w:val="20"/>
    </w:rPr>
  </w:style>
  <w:style w:type="paragraph" w:customStyle="1" w:styleId="224">
    <w:name w:val="【表格文字】"/>
    <w:basedOn w:val="1"/>
    <w:next w:val="1"/>
    <w:qFormat/>
    <w:uiPriority w:val="0"/>
    <w:pPr>
      <w:adjustRightInd w:val="0"/>
      <w:snapToGrid w:val="0"/>
      <w:spacing w:line="360" w:lineRule="auto"/>
      <w:ind w:firstLine="200" w:firstLineChars="200"/>
      <w:jc w:val="center"/>
    </w:pPr>
    <w:rPr>
      <w:szCs w:val="20"/>
    </w:rPr>
  </w:style>
  <w:style w:type="paragraph" w:customStyle="1" w:styleId="225">
    <w:name w:val="样式 样式 样式 标题 4 + 首行缩进:  2 字符 + 首行缩进:  2 字符 + 首行缩进:  2 字符 段前: 0.2..."/>
    <w:basedOn w:val="1"/>
    <w:qFormat/>
    <w:uiPriority w:val="0"/>
    <w:pPr>
      <w:keepNext/>
      <w:keepLines/>
      <w:spacing w:line="520" w:lineRule="exact"/>
      <w:ind w:firstLine="200" w:firstLineChars="200"/>
      <w:outlineLvl w:val="3"/>
    </w:pPr>
    <w:rPr>
      <w:rFonts w:cs="宋体"/>
      <w:b/>
      <w:bCs/>
      <w:sz w:val="24"/>
      <w:szCs w:val="20"/>
    </w:rPr>
  </w:style>
  <w:style w:type="paragraph" w:customStyle="1" w:styleId="226">
    <w:name w:val="样式22222"/>
    <w:basedOn w:val="3"/>
    <w:qFormat/>
    <w:uiPriority w:val="0"/>
    <w:pPr>
      <w:spacing w:before="0" w:after="0" w:line="360" w:lineRule="auto"/>
    </w:pPr>
    <w:rPr>
      <w:rFonts w:ascii="Times New Roman" w:hAnsi="Times New Roman"/>
      <w:sz w:val="30"/>
    </w:rPr>
  </w:style>
  <w:style w:type="paragraph" w:customStyle="1" w:styleId="227">
    <w:name w:val="码字正文"/>
    <w:basedOn w:val="1"/>
    <w:qFormat/>
    <w:uiPriority w:val="0"/>
    <w:pPr>
      <w:spacing w:line="360" w:lineRule="auto"/>
      <w:ind w:firstLine="480" w:firstLineChars="200"/>
    </w:pPr>
    <w:rPr>
      <w:kern w:val="0"/>
      <w:sz w:val="24"/>
      <w:szCs w:val="20"/>
    </w:rPr>
  </w:style>
  <w:style w:type="paragraph" w:customStyle="1" w:styleId="228">
    <w:name w:val="zx正文"/>
    <w:basedOn w:val="1"/>
    <w:qFormat/>
    <w:uiPriority w:val="0"/>
    <w:pPr>
      <w:spacing w:line="440" w:lineRule="exact"/>
    </w:pPr>
    <w:rPr>
      <w:rFonts w:ascii="宋体" w:hAnsi="宋体" w:cs="Tahoma"/>
      <w:b/>
      <w:kern w:val="0"/>
      <w:sz w:val="28"/>
      <w:szCs w:val="28"/>
    </w:rPr>
  </w:style>
  <w:style w:type="paragraph" w:customStyle="1" w:styleId="229">
    <w:name w:val="bg"/>
    <w:basedOn w:val="1"/>
    <w:qFormat/>
    <w:uiPriority w:val="0"/>
    <w:pPr>
      <w:spacing w:beforeLines="50" w:after="156"/>
      <w:jc w:val="center"/>
    </w:pPr>
    <w:rPr>
      <w:rFonts w:ascii="宋体" w:hAnsi="宋体" w:cs="宋体"/>
      <w:b/>
      <w:bCs/>
      <w:sz w:val="24"/>
      <w:szCs w:val="20"/>
    </w:rPr>
  </w:style>
  <w:style w:type="paragraph" w:customStyle="1" w:styleId="230">
    <w:name w:val="Char Char Char Char"/>
    <w:basedOn w:val="1"/>
    <w:qFormat/>
    <w:uiPriority w:val="0"/>
    <w:pPr>
      <w:spacing w:line="360" w:lineRule="auto"/>
      <w:ind w:firstLine="200" w:firstLineChars="200"/>
    </w:pPr>
    <w:rPr>
      <w:rFonts w:ascii="宋体" w:hAnsi="宋体" w:cs="宋体"/>
      <w:sz w:val="24"/>
    </w:rPr>
  </w:style>
  <w:style w:type="paragraph" w:customStyle="1" w:styleId="231">
    <w:name w:val="表000"/>
    <w:qFormat/>
    <w:uiPriority w:val="0"/>
    <w:pPr>
      <w:adjustRightInd w:val="0"/>
      <w:snapToGrid w:val="0"/>
      <w:spacing w:before="40" w:after="40" w:line="264" w:lineRule="auto"/>
      <w:jc w:val="center"/>
    </w:pPr>
    <w:rPr>
      <w:rFonts w:ascii="Times New Roman" w:hAnsi="Times New Roman" w:eastAsia="宋体" w:cs="Times New Roman"/>
      <w:snapToGrid w:val="0"/>
      <w:sz w:val="21"/>
      <w:szCs w:val="21"/>
      <w:lang w:val="en-US" w:eastAsia="zh-CN" w:bidi="ar-SA"/>
    </w:rPr>
  </w:style>
  <w:style w:type="paragraph" w:customStyle="1" w:styleId="232">
    <w:name w:val="cmy正文"/>
    <w:basedOn w:val="1"/>
    <w:qFormat/>
    <w:uiPriority w:val="0"/>
    <w:pPr>
      <w:snapToGrid w:val="0"/>
      <w:spacing w:line="360" w:lineRule="auto"/>
      <w:ind w:firstLine="883" w:firstLineChars="200"/>
    </w:pPr>
    <w:rPr>
      <w:rFonts w:cs="宋体"/>
      <w:sz w:val="24"/>
      <w:szCs w:val="20"/>
    </w:rPr>
  </w:style>
  <w:style w:type="paragraph" w:customStyle="1" w:styleId="233">
    <w:name w:val="表格名称"/>
    <w:basedOn w:val="1"/>
    <w:qFormat/>
    <w:uiPriority w:val="0"/>
    <w:pPr>
      <w:tabs>
        <w:tab w:val="left" w:pos="1980"/>
        <w:tab w:val="left" w:pos="3825"/>
        <w:tab w:val="left" w:pos="4680"/>
      </w:tabs>
      <w:spacing w:line="360" w:lineRule="auto"/>
      <w:jc w:val="center"/>
    </w:pPr>
    <w:rPr>
      <w:b/>
      <w:kern w:val="0"/>
      <w:sz w:val="24"/>
      <w:szCs w:val="20"/>
    </w:rPr>
  </w:style>
  <w:style w:type="paragraph" w:customStyle="1" w:styleId="234">
    <w:name w:val="111正文格式111"/>
    <w:basedOn w:val="124"/>
    <w:link w:val="235"/>
    <w:qFormat/>
    <w:uiPriority w:val="0"/>
    <w:pPr>
      <w:adjustRightInd w:val="0"/>
      <w:snapToGrid w:val="0"/>
    </w:pPr>
    <w:rPr>
      <w:bCs/>
    </w:rPr>
  </w:style>
  <w:style w:type="character" w:customStyle="1" w:styleId="235">
    <w:name w:val="111正文格式111 Char"/>
    <w:link w:val="234"/>
    <w:qFormat/>
    <w:uiPriority w:val="0"/>
    <w:rPr>
      <w:bCs/>
      <w:sz w:val="24"/>
      <w:szCs w:val="24"/>
    </w:rPr>
  </w:style>
  <w:style w:type="paragraph" w:customStyle="1" w:styleId="236">
    <w:name w:val="a图"/>
    <w:basedOn w:val="1"/>
    <w:qFormat/>
    <w:uiPriority w:val="0"/>
    <w:pPr>
      <w:spacing w:beforeLines="50" w:afterLines="50" w:line="500" w:lineRule="exact"/>
      <w:jc w:val="center"/>
    </w:pPr>
    <w:rPr>
      <w:b/>
      <w:bCs/>
      <w:sz w:val="24"/>
    </w:rPr>
  </w:style>
  <w:style w:type="paragraph" w:customStyle="1" w:styleId="237">
    <w:name w:val="正文的格式52"/>
    <w:basedOn w:val="1"/>
    <w:link w:val="238"/>
    <w:qFormat/>
    <w:uiPriority w:val="0"/>
    <w:pPr>
      <w:spacing w:line="360" w:lineRule="auto"/>
      <w:ind w:firstLine="200" w:firstLineChars="200"/>
    </w:pPr>
    <w:rPr>
      <w:sz w:val="24"/>
      <w:szCs w:val="20"/>
    </w:rPr>
  </w:style>
  <w:style w:type="character" w:customStyle="1" w:styleId="238">
    <w:name w:val="正文的格式52 Char"/>
    <w:link w:val="237"/>
    <w:qFormat/>
    <w:locked/>
    <w:uiPriority w:val="0"/>
    <w:rPr>
      <w:kern w:val="2"/>
      <w:sz w:val="24"/>
    </w:rPr>
  </w:style>
  <w:style w:type="paragraph" w:customStyle="1" w:styleId="239">
    <w:name w:val="普通(网站)1"/>
    <w:basedOn w:val="1"/>
    <w:qFormat/>
    <w:uiPriority w:val="0"/>
    <w:pPr>
      <w:spacing w:before="100" w:beforeAutospacing="1" w:after="100" w:afterAutospacing="1" w:line="360" w:lineRule="auto"/>
      <w:ind w:firstLine="200" w:firstLineChars="200"/>
    </w:pPr>
    <w:rPr>
      <w:rFonts w:ascii="Arial Unicode MS" w:hAnsi="Arial Unicode MS" w:eastAsia="Arial Unicode MS" w:cs="Arial Unicode MS"/>
      <w:kern w:val="0"/>
      <w:sz w:val="24"/>
      <w:szCs w:val="20"/>
    </w:rPr>
  </w:style>
  <w:style w:type="paragraph" w:customStyle="1" w:styleId="240">
    <w:name w:val="表格文字（241）"/>
    <w:basedOn w:val="1"/>
    <w:qFormat/>
    <w:uiPriority w:val="0"/>
    <w:pPr>
      <w:autoSpaceDE w:val="0"/>
      <w:autoSpaceDN w:val="0"/>
      <w:adjustRightInd w:val="0"/>
      <w:jc w:val="center"/>
      <w:textAlignment w:val="baseline"/>
    </w:pPr>
    <w:rPr>
      <w:bCs/>
      <w:kern w:val="0"/>
      <w:szCs w:val="21"/>
    </w:rPr>
  </w:style>
  <w:style w:type="paragraph" w:customStyle="1" w:styleId="241">
    <w:name w:val="我的表格"/>
    <w:qFormat/>
    <w:uiPriority w:val="0"/>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242">
    <w:name w:val="表格固定文字"/>
    <w:basedOn w:val="1"/>
    <w:qFormat/>
    <w:uiPriority w:val="0"/>
    <w:pPr>
      <w:spacing w:line="360" w:lineRule="auto"/>
      <w:ind w:firstLine="200" w:firstLineChars="200"/>
    </w:pPr>
    <w:rPr>
      <w:sz w:val="24"/>
      <w:szCs w:val="20"/>
    </w:rPr>
  </w:style>
  <w:style w:type="paragraph" w:customStyle="1" w:styleId="243">
    <w:name w:val="S307"/>
    <w:qFormat/>
    <w:uiPriority w:val="0"/>
    <w:pPr>
      <w:widowControl w:val="0"/>
      <w:spacing w:line="360" w:lineRule="auto"/>
      <w:ind w:firstLine="480" w:firstLineChars="200"/>
      <w:jc w:val="both"/>
    </w:pPr>
    <w:rPr>
      <w:rFonts w:ascii="Times New Roman" w:hAnsi="Times New Roman" w:eastAsia="宋体" w:cs="Times New Roman"/>
      <w:kern w:val="21"/>
      <w:sz w:val="24"/>
      <w:szCs w:val="21"/>
      <w:lang w:val="en-US" w:eastAsia="zh-CN" w:bidi="ar-SA"/>
    </w:rPr>
  </w:style>
  <w:style w:type="paragraph" w:customStyle="1" w:styleId="244">
    <w:name w:val="Char1 Char Char Char"/>
    <w:basedOn w:val="1"/>
    <w:qFormat/>
    <w:uiPriority w:val="0"/>
    <w:rPr>
      <w:szCs w:val="20"/>
    </w:rPr>
  </w:style>
  <w:style w:type="paragraph" w:customStyle="1" w:styleId="245">
    <w:name w:val="5 正文"/>
    <w:basedOn w:val="1"/>
    <w:qFormat/>
    <w:uiPriority w:val="0"/>
    <w:pPr>
      <w:tabs>
        <w:tab w:val="left" w:pos="1980"/>
        <w:tab w:val="left" w:pos="3825"/>
        <w:tab w:val="left" w:pos="4680"/>
      </w:tabs>
      <w:spacing w:line="360" w:lineRule="auto"/>
      <w:ind w:firstLine="480" w:firstLineChars="200"/>
    </w:pPr>
    <w:rPr>
      <w:rFonts w:hAnsi="宋体" w:eastAsia="Times New Roman"/>
      <w:sz w:val="24"/>
      <w:szCs w:val="21"/>
      <w:lang w:eastAsia="en-US"/>
    </w:rPr>
  </w:style>
  <w:style w:type="paragraph" w:customStyle="1" w:styleId="246">
    <w:name w:val="1表内"/>
    <w:basedOn w:val="1"/>
    <w:qFormat/>
    <w:uiPriority w:val="0"/>
    <w:pPr>
      <w:adjustRightInd w:val="0"/>
      <w:snapToGrid w:val="0"/>
      <w:jc w:val="center"/>
    </w:pPr>
    <w:rPr>
      <w:color w:val="FF0000"/>
      <w:kern w:val="0"/>
    </w:rPr>
  </w:style>
  <w:style w:type="paragraph" w:customStyle="1" w:styleId="247">
    <w:name w:val="九晟表格"/>
    <w:basedOn w:val="1"/>
    <w:qFormat/>
    <w:uiPriority w:val="99"/>
    <w:pPr>
      <w:spacing w:line="360" w:lineRule="exact"/>
      <w:ind w:firstLine="200" w:firstLineChars="200"/>
      <w:jc w:val="center"/>
    </w:pPr>
    <w:rPr>
      <w:sz w:val="24"/>
      <w:szCs w:val="20"/>
    </w:rPr>
  </w:style>
  <w:style w:type="paragraph" w:customStyle="1" w:styleId="248">
    <w:name w:val="表格名称3"/>
    <w:basedOn w:val="1"/>
    <w:qFormat/>
    <w:uiPriority w:val="0"/>
    <w:pPr>
      <w:spacing w:beforeLines="20" w:afterLines="30" w:line="360" w:lineRule="auto"/>
      <w:jc w:val="center"/>
    </w:pPr>
    <w:rPr>
      <w:b/>
      <w:sz w:val="24"/>
      <w:szCs w:val="20"/>
    </w:rPr>
  </w:style>
  <w:style w:type="paragraph" w:customStyle="1" w:styleId="249">
    <w:name w:val="正文xry"/>
    <w:basedOn w:val="1"/>
    <w:qFormat/>
    <w:uiPriority w:val="0"/>
    <w:pPr>
      <w:spacing w:line="360" w:lineRule="auto"/>
      <w:ind w:firstLine="200" w:firstLineChars="200"/>
    </w:pPr>
    <w:rPr>
      <w:sz w:val="24"/>
      <w:szCs w:val="20"/>
    </w:rPr>
  </w:style>
  <w:style w:type="paragraph" w:customStyle="1" w:styleId="250">
    <w:name w:val="正文111"/>
    <w:basedOn w:val="1"/>
    <w:qFormat/>
    <w:uiPriority w:val="0"/>
    <w:pPr>
      <w:spacing w:line="360" w:lineRule="auto"/>
      <w:ind w:firstLine="480" w:firstLineChars="200"/>
    </w:pPr>
    <w:rPr>
      <w:rFonts w:ascii="宋体" w:hAnsi="宋体"/>
      <w:sz w:val="24"/>
      <w:szCs w:val="20"/>
    </w:rPr>
  </w:style>
  <w:style w:type="paragraph" w:customStyle="1" w:styleId="251">
    <w:name w:val="表头 ylp"/>
    <w:basedOn w:val="1"/>
    <w:link w:val="252"/>
    <w:qFormat/>
    <w:uiPriority w:val="0"/>
    <w:pPr>
      <w:spacing w:line="360" w:lineRule="auto"/>
      <w:ind w:firstLine="200" w:firstLineChars="200"/>
      <w:jc w:val="center"/>
    </w:pPr>
    <w:rPr>
      <w:rFonts w:eastAsia="黑体"/>
      <w:sz w:val="24"/>
      <w:lang w:bidi="he-IL"/>
    </w:rPr>
  </w:style>
  <w:style w:type="character" w:customStyle="1" w:styleId="252">
    <w:name w:val="表头 ylp Char Char"/>
    <w:link w:val="251"/>
    <w:qFormat/>
    <w:uiPriority w:val="0"/>
    <w:rPr>
      <w:rFonts w:eastAsia="黑体"/>
      <w:kern w:val="2"/>
      <w:sz w:val="24"/>
      <w:szCs w:val="24"/>
      <w:lang w:bidi="he-IL"/>
    </w:rPr>
  </w:style>
  <w:style w:type="paragraph" w:customStyle="1" w:styleId="253">
    <w:name w:val="表格头"/>
    <w:qFormat/>
    <w:uiPriority w:val="0"/>
    <w:pPr>
      <w:tabs>
        <w:tab w:val="left" w:pos="5400"/>
        <w:tab w:val="left" w:pos="12480"/>
      </w:tabs>
      <w:spacing w:line="360" w:lineRule="auto"/>
      <w:jc w:val="center"/>
    </w:pPr>
    <w:rPr>
      <w:rFonts w:ascii="Times New Roman" w:hAnsi="Times New Roman" w:eastAsia="宋体" w:cs="Times New Roman"/>
      <w:b/>
      <w:bCs/>
      <w:kern w:val="44"/>
      <w:position w:val="-28"/>
      <w:sz w:val="24"/>
      <w:szCs w:val="24"/>
      <w:lang w:val="en-US" w:eastAsia="zh-CN" w:bidi="ar-SA"/>
    </w:rPr>
  </w:style>
  <w:style w:type="paragraph" w:customStyle="1" w:styleId="254">
    <w:name w:val="宗兴正文"/>
    <w:basedOn w:val="1"/>
    <w:qFormat/>
    <w:uiPriority w:val="0"/>
    <w:pPr>
      <w:spacing w:before="93" w:after="93" w:line="360" w:lineRule="auto"/>
      <w:ind w:firstLine="480" w:firstLineChars="200"/>
    </w:pPr>
    <w:rPr>
      <w:sz w:val="24"/>
    </w:rPr>
  </w:style>
  <w:style w:type="paragraph" w:customStyle="1" w:styleId="255">
    <w:name w:val="111表格"/>
    <w:basedOn w:val="195"/>
    <w:link w:val="256"/>
    <w:qFormat/>
    <w:uiPriority w:val="0"/>
    <w:pPr>
      <w:autoSpaceDE/>
      <w:autoSpaceDN/>
      <w:adjustRightInd/>
      <w:snapToGrid/>
    </w:pPr>
    <w:rPr>
      <w:rFonts w:eastAsia="宋体"/>
      <w:color w:val="C00000"/>
    </w:rPr>
  </w:style>
  <w:style w:type="character" w:customStyle="1" w:styleId="256">
    <w:name w:val="111表格 Char"/>
    <w:link w:val="255"/>
    <w:qFormat/>
    <w:uiPriority w:val="0"/>
    <w:rPr>
      <w:color w:val="C00000"/>
      <w:sz w:val="21"/>
      <w:szCs w:val="21"/>
    </w:rPr>
  </w:style>
  <w:style w:type="paragraph" w:customStyle="1" w:styleId="257">
    <w:name w:val="样式 首行缩进:  2 字符1"/>
    <w:basedOn w:val="1"/>
    <w:qFormat/>
    <w:uiPriority w:val="0"/>
    <w:pPr>
      <w:adjustRightInd w:val="0"/>
      <w:snapToGrid w:val="0"/>
      <w:spacing w:line="360" w:lineRule="auto"/>
      <w:ind w:firstLine="480" w:firstLineChars="200"/>
    </w:pPr>
    <w:rPr>
      <w:rFonts w:hint="eastAsia" w:ascii="宋体" w:hAnsi="宋体"/>
      <w:sz w:val="24"/>
      <w:szCs w:val="20"/>
    </w:rPr>
  </w:style>
  <w:style w:type="paragraph" w:customStyle="1" w:styleId="258">
    <w:name w:val="金皇-正文"/>
    <w:basedOn w:val="1"/>
    <w:qFormat/>
    <w:uiPriority w:val="0"/>
    <w:pPr>
      <w:spacing w:line="360" w:lineRule="auto"/>
      <w:ind w:firstLine="200" w:firstLineChars="200"/>
    </w:pPr>
    <w:rPr>
      <w:sz w:val="24"/>
    </w:rPr>
  </w:style>
  <w:style w:type="paragraph" w:customStyle="1" w:styleId="259">
    <w:name w:val="正文111111111111111"/>
    <w:basedOn w:val="1"/>
    <w:qFormat/>
    <w:uiPriority w:val="0"/>
    <w:pPr>
      <w:spacing w:line="360" w:lineRule="auto"/>
      <w:ind w:firstLine="480" w:firstLineChars="200"/>
    </w:pPr>
    <w:rPr>
      <w:rFonts w:ascii="宋体" w:hAnsi="宋体"/>
      <w:sz w:val="24"/>
      <w:szCs w:val="20"/>
      <w:shd w:val="clear" w:color="auto" w:fill="FFFFFF"/>
    </w:rPr>
  </w:style>
  <w:style w:type="paragraph" w:customStyle="1" w:styleId="260">
    <w:name w:val="表格格式"/>
    <w:basedOn w:val="1"/>
    <w:next w:val="1"/>
    <w:qFormat/>
    <w:uiPriority w:val="0"/>
    <w:pPr>
      <w:jc w:val="center"/>
    </w:pPr>
    <w:rPr>
      <w:szCs w:val="20"/>
    </w:rPr>
  </w:style>
  <w:style w:type="paragraph" w:customStyle="1" w:styleId="261">
    <w:name w:val="5文章(治)"/>
    <w:basedOn w:val="1"/>
    <w:link w:val="317"/>
    <w:qFormat/>
    <w:uiPriority w:val="0"/>
    <w:pPr>
      <w:spacing w:line="360" w:lineRule="auto"/>
      <w:ind w:firstLine="560" w:firstLineChars="200"/>
    </w:pPr>
    <w:rPr>
      <w:rFonts w:eastAsia="楷体_GB2312"/>
      <w:color w:val="000000"/>
      <w:sz w:val="28"/>
      <w:szCs w:val="20"/>
    </w:rPr>
  </w:style>
  <w:style w:type="paragraph" w:customStyle="1" w:styleId="262">
    <w:name w:val="p17"/>
    <w:basedOn w:val="1"/>
    <w:qFormat/>
    <w:uiPriority w:val="0"/>
    <w:rPr>
      <w:kern w:val="0"/>
      <w:szCs w:val="21"/>
    </w:rPr>
  </w:style>
  <w:style w:type="paragraph" w:customStyle="1" w:styleId="263">
    <w:name w:val="表格内容CCW"/>
    <w:basedOn w:val="1"/>
    <w:link w:val="308"/>
    <w:qFormat/>
    <w:uiPriority w:val="0"/>
    <w:pPr>
      <w:tabs>
        <w:tab w:val="left" w:pos="360"/>
      </w:tabs>
      <w:spacing w:line="360" w:lineRule="auto"/>
      <w:ind w:firstLine="200" w:firstLineChars="200"/>
      <w:jc w:val="center"/>
    </w:pPr>
    <w:rPr>
      <w:sz w:val="24"/>
    </w:rPr>
  </w:style>
  <w:style w:type="paragraph" w:customStyle="1" w:styleId="264">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265">
    <w:name w:val="111表格的格式"/>
    <w:basedOn w:val="168"/>
    <w:link w:val="266"/>
    <w:qFormat/>
    <w:uiPriority w:val="0"/>
  </w:style>
  <w:style w:type="character" w:customStyle="1" w:styleId="266">
    <w:name w:val="111表格的格式 Char"/>
    <w:link w:val="265"/>
    <w:qFormat/>
    <w:uiPriority w:val="0"/>
    <w:rPr>
      <w:kern w:val="2"/>
      <w:sz w:val="21"/>
      <w:szCs w:val="24"/>
    </w:rPr>
  </w:style>
  <w:style w:type="paragraph" w:customStyle="1" w:styleId="267">
    <w:name w:val="Char Char Char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268">
    <w:name w:val="表头表头表头表头表头表头"/>
    <w:basedOn w:val="1"/>
    <w:qFormat/>
    <w:uiPriority w:val="0"/>
    <w:pPr>
      <w:jc w:val="center"/>
    </w:pPr>
    <w:rPr>
      <w:b/>
      <w:sz w:val="24"/>
      <w:szCs w:val="20"/>
    </w:rPr>
  </w:style>
  <w:style w:type="paragraph" w:customStyle="1" w:styleId="269">
    <w:name w:val="表内格式"/>
    <w:basedOn w:val="1"/>
    <w:qFormat/>
    <w:uiPriority w:val="0"/>
    <w:pPr>
      <w:jc w:val="center"/>
    </w:pPr>
    <w:rPr>
      <w:kern w:val="0"/>
      <w:sz w:val="18"/>
      <w:szCs w:val="20"/>
    </w:rPr>
  </w:style>
  <w:style w:type="paragraph" w:customStyle="1" w:styleId="270">
    <w:name w:val="Char Char Char Char Char Char Char Char Char Char Char Char Char Char Char Char Char Char Char Char Char Char Char Char Char Char Char Char Char Char Char Char Char"/>
    <w:basedOn w:val="1"/>
    <w:semiHidden/>
    <w:qFormat/>
    <w:uiPriority w:val="0"/>
  </w:style>
  <w:style w:type="paragraph" w:customStyle="1" w:styleId="27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2">
    <w:name w:val="WPS Plain"/>
    <w:qFormat/>
    <w:uiPriority w:val="0"/>
    <w:rPr>
      <w:rFonts w:ascii="Times New Roman" w:hAnsi="Times New Roman" w:eastAsia="宋体" w:cs="Times New Roman"/>
      <w:lang w:val="en-US" w:eastAsia="zh-CN" w:bidi="ar-SA"/>
    </w:rPr>
  </w:style>
  <w:style w:type="character" w:customStyle="1" w:styleId="273">
    <w:name w:val="bjh-p"/>
    <w:qFormat/>
    <w:uiPriority w:val="0"/>
  </w:style>
  <w:style w:type="character" w:customStyle="1" w:styleId="274">
    <w:name w:val="bjh-strong"/>
    <w:qFormat/>
    <w:uiPriority w:val="0"/>
  </w:style>
  <w:style w:type="paragraph" w:customStyle="1" w:styleId="275">
    <w:name w:val="EIA文本样式"/>
    <w:basedOn w:val="1"/>
    <w:qFormat/>
    <w:uiPriority w:val="0"/>
    <w:pPr>
      <w:tabs>
        <w:tab w:val="left" w:pos="0"/>
        <w:tab w:val="left" w:pos="540"/>
      </w:tabs>
      <w:spacing w:line="360" w:lineRule="auto"/>
      <w:ind w:firstLine="456" w:firstLineChars="200"/>
    </w:pPr>
    <w:rPr>
      <w:spacing w:val="-6"/>
      <w:sz w:val="24"/>
      <w:szCs w:val="21"/>
    </w:rPr>
  </w:style>
  <w:style w:type="character" w:customStyle="1" w:styleId="276">
    <w:name w:val="头 Char"/>
    <w:link w:val="277"/>
    <w:qFormat/>
    <w:uiPriority w:val="0"/>
    <w:rPr>
      <w:rFonts w:eastAsia="黑体"/>
      <w:sz w:val="24"/>
      <w:szCs w:val="24"/>
    </w:rPr>
  </w:style>
  <w:style w:type="paragraph" w:customStyle="1" w:styleId="277">
    <w:name w:val="头"/>
    <w:basedOn w:val="207"/>
    <w:link w:val="276"/>
    <w:qFormat/>
    <w:uiPriority w:val="0"/>
    <w:pPr>
      <w:spacing w:line="365" w:lineRule="atLeast"/>
      <w:ind w:left="1"/>
      <w:jc w:val="center"/>
      <w:textAlignment w:val="bottom"/>
    </w:pPr>
    <w:rPr>
      <w:rFonts w:eastAsia="黑体"/>
      <w:sz w:val="24"/>
      <w:szCs w:val="24"/>
    </w:rPr>
  </w:style>
  <w:style w:type="paragraph" w:customStyle="1" w:styleId="278">
    <w:name w:val="表格名称1"/>
    <w:basedOn w:val="1"/>
    <w:qFormat/>
    <w:uiPriority w:val="0"/>
    <w:pPr>
      <w:spacing w:line="360" w:lineRule="auto"/>
      <w:ind w:firstLine="200" w:firstLineChars="200"/>
      <w:jc w:val="center"/>
    </w:pPr>
    <w:rPr>
      <w:rFonts w:eastAsia="Times New Roman"/>
      <w:b/>
      <w:sz w:val="24"/>
    </w:rPr>
  </w:style>
  <w:style w:type="paragraph" w:customStyle="1" w:styleId="279">
    <w:name w:val="Char2 Char Char Char"/>
    <w:basedOn w:val="1"/>
    <w:qFormat/>
    <w:uiPriority w:val="0"/>
    <w:pPr>
      <w:spacing w:line="360" w:lineRule="auto"/>
      <w:ind w:firstLine="200" w:firstLineChars="200"/>
    </w:pPr>
    <w:rPr>
      <w:rFonts w:ascii="宋体" w:hAnsi="宋体" w:cs="宋体"/>
      <w:sz w:val="24"/>
    </w:rPr>
  </w:style>
  <w:style w:type="character" w:customStyle="1" w:styleId="280">
    <w:name w:val="正文111111 Char Char"/>
    <w:qFormat/>
    <w:uiPriority w:val="0"/>
    <w:rPr>
      <w:sz w:val="24"/>
      <w:szCs w:val="24"/>
    </w:rPr>
  </w:style>
  <w:style w:type="character" w:customStyle="1" w:styleId="281">
    <w:name w:val="正文格式111 Char"/>
    <w:link w:val="282"/>
    <w:qFormat/>
    <w:locked/>
    <w:uiPriority w:val="0"/>
    <w:rPr>
      <w:bCs/>
      <w:sz w:val="24"/>
      <w:szCs w:val="24"/>
    </w:rPr>
  </w:style>
  <w:style w:type="paragraph" w:customStyle="1" w:styleId="282">
    <w:name w:val="正文格式111"/>
    <w:basedOn w:val="1"/>
    <w:link w:val="281"/>
    <w:qFormat/>
    <w:uiPriority w:val="0"/>
    <w:pPr>
      <w:spacing w:line="420" w:lineRule="auto"/>
      <w:ind w:firstLine="480" w:firstLineChars="200"/>
    </w:pPr>
    <w:rPr>
      <w:bCs/>
      <w:kern w:val="0"/>
      <w:sz w:val="24"/>
    </w:rPr>
  </w:style>
  <w:style w:type="paragraph" w:customStyle="1" w:styleId="283">
    <w:name w:val="表格格式1"/>
    <w:basedOn w:val="260"/>
    <w:qFormat/>
    <w:uiPriority w:val="0"/>
    <w:rPr>
      <w:kern w:val="0"/>
      <w:sz w:val="20"/>
      <w:szCs w:val="21"/>
    </w:rPr>
  </w:style>
  <w:style w:type="character" w:customStyle="1" w:styleId="284">
    <w:name w:val="样式 样式 样式 首行缩进:  2 字符 + 居中 + 行距: 固定值 17 磅 Char Char"/>
    <w:link w:val="285"/>
    <w:qFormat/>
    <w:uiPriority w:val="0"/>
    <w:rPr>
      <w:rFonts w:cs="宋体"/>
      <w:color w:val="000000"/>
      <w:kern w:val="2"/>
      <w:sz w:val="21"/>
    </w:rPr>
  </w:style>
  <w:style w:type="paragraph" w:customStyle="1" w:styleId="285">
    <w:name w:val="样式 样式 样式 首行缩进:  2 字符 + 居中 + 行距: 固定值 17 磅"/>
    <w:basedOn w:val="1"/>
    <w:link w:val="284"/>
    <w:qFormat/>
    <w:uiPriority w:val="0"/>
    <w:pPr>
      <w:adjustRightInd w:val="0"/>
      <w:snapToGrid w:val="0"/>
      <w:spacing w:line="340" w:lineRule="exact"/>
      <w:jc w:val="center"/>
    </w:pPr>
    <w:rPr>
      <w:color w:val="000000"/>
      <w:szCs w:val="20"/>
    </w:rPr>
  </w:style>
  <w:style w:type="character" w:customStyle="1" w:styleId="286">
    <w:name w:val="格式的格式 Char"/>
    <w:link w:val="287"/>
    <w:qFormat/>
    <w:uiPriority w:val="0"/>
    <w:rPr>
      <w:rFonts w:ascii="宋体" w:hAnsi="宋体"/>
      <w:kern w:val="2"/>
      <w:sz w:val="24"/>
      <w:szCs w:val="24"/>
    </w:rPr>
  </w:style>
  <w:style w:type="paragraph" w:customStyle="1" w:styleId="287">
    <w:name w:val="格式的格式"/>
    <w:basedOn w:val="124"/>
    <w:link w:val="286"/>
    <w:qFormat/>
    <w:uiPriority w:val="0"/>
    <w:pPr>
      <w:jc w:val="both"/>
    </w:pPr>
    <w:rPr>
      <w:rFonts w:ascii="宋体" w:hAnsi="宋体"/>
      <w:kern w:val="2"/>
    </w:rPr>
  </w:style>
  <w:style w:type="paragraph" w:customStyle="1" w:styleId="288">
    <w:name w:val="样式2"/>
    <w:basedOn w:val="2"/>
    <w:qFormat/>
    <w:uiPriority w:val="0"/>
    <w:pPr>
      <w:spacing w:beforeLines="0" w:afterLines="0"/>
      <w:textAlignment w:val="center"/>
      <w:outlineLvl w:val="1"/>
    </w:pPr>
    <w:rPr>
      <w:kern w:val="0"/>
      <w:sz w:val="28"/>
      <w:szCs w:val="28"/>
    </w:rPr>
  </w:style>
  <w:style w:type="character" w:customStyle="1" w:styleId="289">
    <w:name w:val="11正文 Char"/>
    <w:link w:val="290"/>
    <w:qFormat/>
    <w:uiPriority w:val="0"/>
    <w:rPr>
      <w:color w:val="0000FF"/>
      <w:kern w:val="2"/>
      <w:sz w:val="24"/>
      <w:szCs w:val="24"/>
    </w:rPr>
  </w:style>
  <w:style w:type="paragraph" w:customStyle="1" w:styleId="290">
    <w:name w:val="11正文"/>
    <w:basedOn w:val="1"/>
    <w:link w:val="289"/>
    <w:qFormat/>
    <w:uiPriority w:val="0"/>
    <w:pPr>
      <w:widowControl w:val="0"/>
      <w:adjustRightInd w:val="0"/>
      <w:snapToGrid w:val="0"/>
      <w:spacing w:line="360" w:lineRule="auto"/>
      <w:ind w:firstLine="200" w:firstLineChars="200"/>
      <w:jc w:val="both"/>
    </w:pPr>
    <w:rPr>
      <w:color w:val="0000FF"/>
      <w:sz w:val="24"/>
    </w:rPr>
  </w:style>
  <w:style w:type="character" w:customStyle="1" w:styleId="291">
    <w:name w:val="标题 Char1"/>
    <w:qFormat/>
    <w:uiPriority w:val="10"/>
    <w:rPr>
      <w:rFonts w:ascii="Cambria" w:hAnsi="Cambria" w:cs="Times New Roman"/>
      <w:b/>
      <w:bCs/>
      <w:kern w:val="2"/>
      <w:sz w:val="32"/>
      <w:szCs w:val="32"/>
    </w:rPr>
  </w:style>
  <w:style w:type="paragraph" w:customStyle="1" w:styleId="292">
    <w:name w:val="1"/>
    <w:unhideWhenUsed/>
    <w:qFormat/>
    <w:uiPriority w:val="99"/>
    <w:rPr>
      <w:rFonts w:ascii="Times New Roman" w:hAnsi="Times New Roman" w:eastAsia="宋体" w:cs="Times New Roman"/>
      <w:kern w:val="2"/>
      <w:sz w:val="21"/>
      <w:szCs w:val="24"/>
      <w:lang w:val="en-US" w:eastAsia="zh-CN" w:bidi="ar-SA"/>
    </w:rPr>
  </w:style>
  <w:style w:type="paragraph" w:customStyle="1" w:styleId="293">
    <w:name w:val="6表格"/>
    <w:next w:val="1"/>
    <w:qFormat/>
    <w:uiPriority w:val="0"/>
    <w:pPr>
      <w:widowControl w:val="0"/>
      <w:jc w:val="center"/>
    </w:pPr>
    <w:rPr>
      <w:rFonts w:ascii="Times New Roman" w:hAnsi="Times New Roman" w:eastAsia="宋体" w:cs="Times New Roman"/>
      <w:color w:val="FF0000"/>
      <w:sz w:val="21"/>
      <w:szCs w:val="18"/>
      <w:lang w:val="en-US" w:eastAsia="zh-CN" w:bidi="ar-SA"/>
    </w:rPr>
  </w:style>
  <w:style w:type="paragraph" w:customStyle="1" w:styleId="294">
    <w:name w:val="1111我的正文"/>
    <w:basedOn w:val="1"/>
    <w:qFormat/>
    <w:uiPriority w:val="0"/>
    <w:pPr>
      <w:widowControl w:val="0"/>
      <w:adjustRightInd w:val="0"/>
      <w:snapToGrid w:val="0"/>
      <w:spacing w:line="360" w:lineRule="auto"/>
      <w:ind w:firstLine="361" w:firstLineChars="200"/>
      <w:jc w:val="both"/>
    </w:pPr>
    <w:rPr>
      <w:sz w:val="24"/>
      <w:szCs w:val="30"/>
    </w:rPr>
  </w:style>
  <w:style w:type="paragraph" w:customStyle="1" w:styleId="295">
    <w:name w:val="111表头"/>
    <w:basedOn w:val="86"/>
    <w:link w:val="296"/>
    <w:qFormat/>
    <w:uiPriority w:val="0"/>
    <w:pPr>
      <w:adjustRightInd w:val="0"/>
      <w:snapToGrid w:val="0"/>
      <w:spacing w:line="240" w:lineRule="auto"/>
      <w:ind w:firstLine="0" w:firstLineChars="0"/>
      <w:jc w:val="center"/>
    </w:pPr>
    <w:rPr>
      <w:rFonts w:eastAsia="黑体"/>
      <w:color w:val="0000FF"/>
    </w:rPr>
  </w:style>
  <w:style w:type="character" w:customStyle="1" w:styleId="296">
    <w:name w:val="111表头 Char"/>
    <w:link w:val="295"/>
    <w:qFormat/>
    <w:uiPriority w:val="0"/>
    <w:rPr>
      <w:rFonts w:eastAsia="黑体"/>
      <w:color w:val="0000FF"/>
      <w:kern w:val="2"/>
      <w:sz w:val="24"/>
      <w:szCs w:val="24"/>
    </w:rPr>
  </w:style>
  <w:style w:type="paragraph" w:customStyle="1" w:styleId="297">
    <w:name w:val="这里的正文"/>
    <w:basedOn w:val="1"/>
    <w:qFormat/>
    <w:uiPriority w:val="0"/>
    <w:pPr>
      <w:widowControl w:val="0"/>
      <w:spacing w:line="360" w:lineRule="auto"/>
      <w:ind w:firstLine="482"/>
      <w:jc w:val="both"/>
    </w:pPr>
    <w:rPr>
      <w:rFonts w:cs="宋体"/>
      <w:sz w:val="24"/>
      <w:szCs w:val="20"/>
    </w:rPr>
  </w:style>
  <w:style w:type="paragraph" w:customStyle="1" w:styleId="298">
    <w:name w:val="7表格(壹澜)"/>
    <w:qFormat/>
    <w:uiPriority w:val="0"/>
    <w:pPr>
      <w:widowControl w:val="0"/>
      <w:jc w:val="center"/>
    </w:pPr>
    <w:rPr>
      <w:rFonts w:ascii="Times New Roman" w:hAnsi="Times New Roman" w:eastAsia="楷体" w:cs="Times New Roman"/>
      <w:sz w:val="21"/>
      <w:szCs w:val="21"/>
      <w:lang w:val="en-US" w:eastAsia="zh-CN" w:bidi="ar-SA"/>
    </w:rPr>
  </w:style>
  <w:style w:type="paragraph" w:customStyle="1" w:styleId="299">
    <w:name w:val="1111我的表格内容"/>
    <w:qFormat/>
    <w:uiPriority w:val="0"/>
    <w:pPr>
      <w:jc w:val="center"/>
    </w:pPr>
    <w:rPr>
      <w:rFonts w:ascii="Times New Roman" w:hAnsi="Times New Roman" w:eastAsia="宋体" w:cs="Times New Roman"/>
      <w:sz w:val="21"/>
      <w:lang w:val="en-US" w:eastAsia="zh-CN" w:bidi="ar-SA"/>
    </w:rPr>
  </w:style>
  <w:style w:type="paragraph" w:customStyle="1" w:styleId="300">
    <w:name w:val="Char Char1 Char Char Char Char Char Char Char Char Char Char Char Char Char Char Char Char Char Char"/>
    <w:basedOn w:val="1"/>
    <w:qFormat/>
    <w:uiPriority w:val="0"/>
    <w:pPr>
      <w:widowControl w:val="0"/>
      <w:spacing w:line="360" w:lineRule="auto"/>
      <w:ind w:firstLine="200" w:firstLineChars="200"/>
      <w:jc w:val="both"/>
    </w:pPr>
    <w:rPr>
      <w:rFonts w:ascii="仿宋_GB2312" w:hAnsi="仿宋_GB2312" w:cs="仿宋_GB2312"/>
      <w:sz w:val="24"/>
    </w:rPr>
  </w:style>
  <w:style w:type="paragraph" w:customStyle="1" w:styleId="301">
    <w:name w:val="5文章正文"/>
    <w:basedOn w:val="1"/>
    <w:qFormat/>
    <w:uiPriority w:val="0"/>
    <w:pPr>
      <w:widowControl w:val="0"/>
      <w:spacing w:line="360" w:lineRule="auto"/>
      <w:ind w:firstLine="200" w:firstLineChars="200"/>
      <w:jc w:val="both"/>
    </w:pPr>
    <w:rPr>
      <w:kern w:val="0"/>
      <w:sz w:val="24"/>
    </w:rPr>
  </w:style>
  <w:style w:type="paragraph" w:styleId="302">
    <w:name w:val="No Spacing"/>
    <w:qFormat/>
    <w:uiPriority w:val="1"/>
    <w:pPr>
      <w:widowControl w:val="0"/>
      <w:spacing w:line="360" w:lineRule="auto"/>
      <w:ind w:firstLine="200" w:firstLineChars="200"/>
      <w:jc w:val="both"/>
    </w:pPr>
    <w:rPr>
      <w:rFonts w:ascii="Calibri" w:hAnsi="Calibri" w:eastAsia="宋体" w:cs="Times New Roman"/>
      <w:kern w:val="2"/>
      <w:sz w:val="28"/>
      <w:szCs w:val="22"/>
      <w:lang w:val="en-US" w:eastAsia="zh-CN" w:bidi="ar-SA"/>
    </w:rPr>
  </w:style>
  <w:style w:type="character" w:customStyle="1" w:styleId="303">
    <w:name w:val="表格内容（） Char"/>
    <w:link w:val="162"/>
    <w:qFormat/>
    <w:uiPriority w:val="0"/>
    <w:rPr>
      <w:color w:val="00B0F0"/>
      <w:kern w:val="2"/>
      <w:sz w:val="21"/>
      <w:szCs w:val="21"/>
    </w:rPr>
  </w:style>
  <w:style w:type="character" w:customStyle="1" w:styleId="304">
    <w:name w:val="正文（） Char"/>
    <w:link w:val="186"/>
    <w:qFormat/>
    <w:uiPriority w:val="0"/>
    <w:rPr>
      <w:color w:val="5B9BD5"/>
      <w:kern w:val="2"/>
      <w:sz w:val="24"/>
    </w:rPr>
  </w:style>
  <w:style w:type="paragraph" w:customStyle="1" w:styleId="305">
    <w:name w:val="报告表正文"/>
    <w:basedOn w:val="1"/>
    <w:qFormat/>
    <w:uiPriority w:val="0"/>
    <w:pPr>
      <w:widowControl w:val="0"/>
      <w:jc w:val="both"/>
    </w:pPr>
  </w:style>
  <w:style w:type="character" w:customStyle="1" w:styleId="306">
    <w:name w:val="表格标题（） Char"/>
    <w:link w:val="188"/>
    <w:qFormat/>
    <w:uiPriority w:val="0"/>
    <w:rPr>
      <w:rFonts w:eastAsia="黑体"/>
      <w:color w:val="00B0F0"/>
      <w:kern w:val="2"/>
      <w:sz w:val="24"/>
      <w:lang w:val="zh-CN" w:bidi="he-IL"/>
    </w:rPr>
  </w:style>
  <w:style w:type="character" w:customStyle="1" w:styleId="307">
    <w:name w:val="表格标题QQ Char"/>
    <w:link w:val="219"/>
    <w:qFormat/>
    <w:uiPriority w:val="0"/>
    <w:rPr>
      <w:b/>
      <w:color w:val="0000FF"/>
      <w:sz w:val="24"/>
    </w:rPr>
  </w:style>
  <w:style w:type="character" w:customStyle="1" w:styleId="308">
    <w:name w:val="表格内容CCW Char"/>
    <w:link w:val="263"/>
    <w:qFormat/>
    <w:uiPriority w:val="0"/>
    <w:rPr>
      <w:kern w:val="2"/>
      <w:sz w:val="24"/>
      <w:szCs w:val="24"/>
    </w:rPr>
  </w:style>
  <w:style w:type="character" w:customStyle="1" w:styleId="309">
    <w:name w:val="表格文本 字符"/>
    <w:basedOn w:val="39"/>
    <w:link w:val="310"/>
    <w:qFormat/>
    <w:uiPriority w:val="0"/>
    <w:rPr>
      <w:rFonts w:cs="宋体"/>
      <w:sz w:val="21"/>
      <w:szCs w:val="22"/>
      <w:lang w:eastAsia="en-US"/>
    </w:rPr>
  </w:style>
  <w:style w:type="paragraph" w:customStyle="1" w:styleId="310">
    <w:name w:val="表格文本"/>
    <w:basedOn w:val="1"/>
    <w:link w:val="309"/>
    <w:qFormat/>
    <w:uiPriority w:val="0"/>
    <w:pPr>
      <w:widowControl w:val="0"/>
      <w:autoSpaceDE w:val="0"/>
      <w:autoSpaceDN w:val="0"/>
      <w:adjustRightInd w:val="0"/>
      <w:snapToGrid w:val="0"/>
      <w:ind w:left="6" w:right="6"/>
      <w:jc w:val="center"/>
    </w:pPr>
    <w:rPr>
      <w:rFonts w:cs="宋体"/>
      <w:kern w:val="0"/>
      <w:szCs w:val="22"/>
      <w:lang w:eastAsia="en-US"/>
    </w:rPr>
  </w:style>
  <w:style w:type="paragraph" w:customStyle="1" w:styleId="311">
    <w:name w:val="表格正文"/>
    <w:qFormat/>
    <w:uiPriority w:val="0"/>
    <w:pPr>
      <w:jc w:val="center"/>
    </w:pPr>
    <w:rPr>
      <w:rFonts w:ascii="Times New Roman" w:hAnsi="Times New Roman" w:eastAsia="宋体" w:cs="Times New Roman"/>
      <w:kern w:val="2"/>
      <w:sz w:val="21"/>
      <w:lang w:val="en-US" w:eastAsia="zh-CN" w:bidi="ar-SA"/>
    </w:rPr>
  </w:style>
  <w:style w:type="paragraph" w:customStyle="1" w:styleId="312">
    <w:name w:val="listparagraph"/>
    <w:basedOn w:val="1"/>
    <w:qFormat/>
    <w:uiPriority w:val="0"/>
    <w:pPr>
      <w:spacing w:before="100" w:beforeAutospacing="1" w:after="100" w:afterAutospacing="1"/>
    </w:pPr>
    <w:rPr>
      <w:rFonts w:ascii="宋体" w:hAnsi="宋体" w:cs="宋体"/>
      <w:kern w:val="0"/>
      <w:sz w:val="24"/>
    </w:rPr>
  </w:style>
  <w:style w:type="character" w:customStyle="1" w:styleId="313">
    <w:name w:val="msoins"/>
    <w:basedOn w:val="39"/>
    <w:qFormat/>
    <w:uiPriority w:val="0"/>
  </w:style>
  <w:style w:type="paragraph" w:customStyle="1" w:styleId="314">
    <w:name w:val="表格标题样式1"/>
    <w:basedOn w:val="1"/>
    <w:qFormat/>
    <w:uiPriority w:val="0"/>
    <w:pPr>
      <w:widowControl w:val="0"/>
      <w:tabs>
        <w:tab w:val="left" w:pos="1701"/>
        <w:tab w:val="left" w:pos="3305"/>
      </w:tabs>
      <w:spacing w:beforeLines="50"/>
      <w:jc w:val="center"/>
    </w:pPr>
    <w:rPr>
      <w:rFonts w:ascii="黑体" w:hAnsi="Calibri" w:eastAsia="黑体"/>
      <w:bCs/>
      <w:szCs w:val="21"/>
    </w:rPr>
  </w:style>
  <w:style w:type="character" w:customStyle="1" w:styleId="315">
    <w:name w:val="文本样式 Char"/>
    <w:basedOn w:val="39"/>
    <w:link w:val="316"/>
    <w:qFormat/>
    <w:uiPriority w:val="0"/>
    <w:rPr>
      <w:rFonts w:cs="宋体"/>
      <w:kern w:val="2"/>
      <w:sz w:val="24"/>
    </w:rPr>
  </w:style>
  <w:style w:type="paragraph" w:customStyle="1" w:styleId="316">
    <w:name w:val="文本样式"/>
    <w:basedOn w:val="1"/>
    <w:link w:val="315"/>
    <w:qFormat/>
    <w:uiPriority w:val="0"/>
    <w:pPr>
      <w:widowControl w:val="0"/>
      <w:spacing w:line="360" w:lineRule="auto"/>
      <w:ind w:firstLine="200" w:firstLineChars="200"/>
      <w:jc w:val="both"/>
    </w:pPr>
    <w:rPr>
      <w:rFonts w:cs="宋体"/>
      <w:sz w:val="24"/>
      <w:szCs w:val="20"/>
    </w:rPr>
  </w:style>
  <w:style w:type="character" w:customStyle="1" w:styleId="317">
    <w:name w:val="5文章(治) Char Char"/>
    <w:link w:val="261"/>
    <w:qFormat/>
    <w:uiPriority w:val="0"/>
    <w:rPr>
      <w:rFonts w:eastAsia="楷体_GB2312"/>
      <w:color w:val="000000"/>
      <w:kern w:val="2"/>
      <w:sz w:val="28"/>
    </w:rPr>
  </w:style>
  <w:style w:type="paragraph" w:customStyle="1" w:styleId="318">
    <w:name w:val="Char Char Char Char Char Char Char Char Char1 Char"/>
    <w:basedOn w:val="1"/>
    <w:qFormat/>
    <w:uiPriority w:val="0"/>
    <w:pPr>
      <w:widowControl w:val="0"/>
      <w:jc w:val="both"/>
    </w:pPr>
    <w:rPr>
      <w:rFonts w:ascii="宋体" w:hAnsi="宋体" w:cs="Courier New"/>
      <w:sz w:val="32"/>
      <w:szCs w:val="32"/>
    </w:rPr>
  </w:style>
  <w:style w:type="character" w:customStyle="1" w:styleId="319">
    <w:name w:val="页眉 Char1"/>
    <w:basedOn w:val="39"/>
    <w:semiHidden/>
    <w:qFormat/>
    <w:uiPriority w:val="99"/>
    <w:rPr>
      <w:rFonts w:ascii="Times New Roman" w:hAnsi="Times New Roman" w:eastAsia="宋体" w:cs="Times New Roman"/>
      <w:kern w:val="0"/>
      <w:sz w:val="18"/>
      <w:szCs w:val="18"/>
    </w:rPr>
  </w:style>
  <w:style w:type="paragraph" w:customStyle="1" w:styleId="320">
    <w:name w:val="表号"/>
    <w:basedOn w:val="1"/>
    <w:qFormat/>
    <w:uiPriority w:val="0"/>
    <w:pPr>
      <w:widowControl w:val="0"/>
      <w:spacing w:line="320" w:lineRule="exact"/>
      <w:ind w:firstLine="200" w:firstLineChars="200"/>
    </w:pPr>
    <w:rPr>
      <w:rFonts w:ascii="Calibri" w:hAnsi="Calibri" w:eastAsia="黑体" w:cs="Calibri"/>
      <w:sz w:val="24"/>
      <w:szCs w:val="22"/>
    </w:rPr>
  </w:style>
  <w:style w:type="character" w:customStyle="1" w:styleId="321">
    <w:name w:val="规范表格目录 Char Char"/>
    <w:link w:val="322"/>
    <w:qFormat/>
    <w:locked/>
    <w:uiPriority w:val="0"/>
    <w:rPr>
      <w:rFonts w:ascii="黑体" w:hAnsi="黑体" w:eastAsia="黑体"/>
      <w:kern w:val="2"/>
      <w:sz w:val="24"/>
      <w:szCs w:val="28"/>
    </w:rPr>
  </w:style>
  <w:style w:type="paragraph" w:customStyle="1" w:styleId="322">
    <w:name w:val="规范表格目录"/>
    <w:basedOn w:val="30"/>
    <w:link w:val="321"/>
    <w:qFormat/>
    <w:uiPriority w:val="0"/>
    <w:pPr>
      <w:widowControl w:val="0"/>
      <w:spacing w:beforeLines="30"/>
      <w:ind w:left="0" w:leftChars="0" w:firstLine="0" w:firstLineChars="0"/>
      <w:jc w:val="center"/>
    </w:pPr>
    <w:rPr>
      <w:rFonts w:ascii="黑体" w:hAnsi="黑体" w:eastAsia="黑体"/>
      <w:sz w:val="24"/>
      <w:szCs w:val="28"/>
    </w:rPr>
  </w:style>
  <w:style w:type="paragraph" w:customStyle="1" w:styleId="323">
    <w:name w:val="11正文格式"/>
    <w:basedOn w:val="117"/>
    <w:qFormat/>
    <w:uiPriority w:val="0"/>
    <w:pPr>
      <w:adjustRightInd w:val="0"/>
      <w:snapToGrid w:val="0"/>
      <w:ind w:firstLine="200"/>
      <w:jc w:val="both"/>
    </w:pPr>
    <w:rPr>
      <w:color w:val="5B9BD5"/>
      <w:kern w:val="0"/>
    </w:rPr>
  </w:style>
  <w:style w:type="paragraph" w:customStyle="1" w:styleId="324">
    <w:name w:val="0表标题"/>
    <w:basedOn w:val="1"/>
    <w:qFormat/>
    <w:uiPriority w:val="0"/>
    <w:pPr>
      <w:adjustRightInd w:val="0"/>
      <w:snapToGrid w:val="0"/>
      <w:jc w:val="center"/>
    </w:pPr>
    <w:rPr>
      <w:rFonts w:ascii="宋体" w:hAnsi="宋体" w:eastAsia="黑体" w:cs="宋体"/>
      <w:color w:val="5B9BD5"/>
      <w:kern w:val="0"/>
      <w:sz w:val="24"/>
    </w:rPr>
  </w:style>
  <w:style w:type="character" w:customStyle="1" w:styleId="325">
    <w:name w:val="三级标题（） Char"/>
    <w:link w:val="326"/>
    <w:qFormat/>
    <w:uiPriority w:val="0"/>
    <w:rPr>
      <w:rFonts w:eastAsia="黑体"/>
      <w:color w:val="5B9BD5"/>
      <w:kern w:val="2"/>
      <w:sz w:val="28"/>
      <w:szCs w:val="30"/>
    </w:rPr>
  </w:style>
  <w:style w:type="paragraph" w:customStyle="1" w:styleId="326">
    <w:name w:val="三级标题（）"/>
    <w:basedOn w:val="1"/>
    <w:link w:val="325"/>
    <w:qFormat/>
    <w:uiPriority w:val="0"/>
    <w:pPr>
      <w:widowControl w:val="0"/>
      <w:tabs>
        <w:tab w:val="left" w:pos="3840"/>
      </w:tabs>
      <w:adjustRightInd w:val="0"/>
      <w:snapToGrid w:val="0"/>
      <w:spacing w:line="360" w:lineRule="auto"/>
      <w:jc w:val="both"/>
      <w:outlineLvl w:val="2"/>
    </w:pPr>
    <w:rPr>
      <w:rFonts w:eastAsia="黑体"/>
      <w:color w:val="5B9BD5"/>
      <w:sz w:val="28"/>
      <w:szCs w:val="30"/>
    </w:rPr>
  </w:style>
  <w:style w:type="character" w:customStyle="1" w:styleId="327">
    <w:name w:val="一级标题（） Char"/>
    <w:link w:val="328"/>
    <w:qFormat/>
    <w:uiPriority w:val="0"/>
    <w:rPr>
      <w:rFonts w:eastAsia="黑体"/>
      <w:bCs/>
      <w:color w:val="5B9BD5"/>
      <w:kern w:val="2"/>
      <w:sz w:val="32"/>
      <w:szCs w:val="28"/>
    </w:rPr>
  </w:style>
  <w:style w:type="paragraph" w:customStyle="1" w:styleId="328">
    <w:name w:val="一级标题（）"/>
    <w:basedOn w:val="1"/>
    <w:link w:val="327"/>
    <w:qFormat/>
    <w:uiPriority w:val="0"/>
    <w:pPr>
      <w:widowControl w:val="0"/>
      <w:adjustRightInd w:val="0"/>
      <w:snapToGrid w:val="0"/>
      <w:spacing w:line="360" w:lineRule="auto"/>
      <w:jc w:val="center"/>
      <w:outlineLvl w:val="0"/>
    </w:pPr>
    <w:rPr>
      <w:rFonts w:eastAsia="黑体"/>
      <w:bCs/>
      <w:color w:val="5B9BD5"/>
      <w:sz w:val="32"/>
      <w:szCs w:val="28"/>
    </w:rPr>
  </w:style>
  <w:style w:type="character" w:customStyle="1" w:styleId="329">
    <w:name w:val="标题 6 字符"/>
    <w:basedOn w:val="39"/>
    <w:link w:val="8"/>
    <w:qFormat/>
    <w:uiPriority w:val="0"/>
    <w:rPr>
      <w:rFonts w:asciiTheme="majorHAnsi" w:hAnsiTheme="majorHAnsi" w:eastAsiaTheme="majorEastAsia" w:cstheme="majorBidi"/>
      <w:b/>
      <w:bCs/>
      <w:kern w:val="2"/>
      <w:sz w:val="24"/>
      <w:szCs w:val="24"/>
    </w:rPr>
  </w:style>
  <w:style w:type="character" w:customStyle="1" w:styleId="330">
    <w:name w:val="规范正文 Char"/>
    <w:link w:val="164"/>
    <w:qFormat/>
    <w:uiPriority w:val="0"/>
    <w:rPr>
      <w:color w:val="000000"/>
      <w:kern w:val="2"/>
      <w:sz w:val="24"/>
      <w:szCs w:val="24"/>
    </w:rPr>
  </w:style>
  <w:style w:type="paragraph" w:customStyle="1" w:styleId="331">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332">
    <w:name w:val="BGZX"/>
    <w:next w:val="1"/>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2"/>
      <w:lang w:val="en-GB" w:eastAsia="zh-CN" w:bidi="ar-SA"/>
    </w:rPr>
  </w:style>
  <w:style w:type="paragraph" w:customStyle="1" w:styleId="333">
    <w:name w:val="5文章(壹澜)"/>
    <w:basedOn w:val="1"/>
    <w:qFormat/>
    <w:uiPriority w:val="0"/>
    <w:pPr>
      <w:spacing w:line="360" w:lineRule="auto"/>
      <w:ind w:firstLine="560" w:firstLineChars="200"/>
    </w:pPr>
    <w:rPr>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wmf"/><Relationship Id="rId22" Type="http://schemas.openxmlformats.org/officeDocument/2006/relationships/oleObject" Target="embeddings/oleObject5.bin"/><Relationship Id="rId21" Type="http://schemas.openxmlformats.org/officeDocument/2006/relationships/image" Target="media/image7.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66</Pages>
  <Words>50</Words>
  <Characters>75</Characters>
  <Lines>2012</Lines>
  <Paragraphs>2295</Paragraphs>
  <TotalTime>3</TotalTime>
  <ScaleCrop>false</ScaleCrop>
  <LinksUpToDate>false</LinksUpToDate>
  <CharactersWithSpaces>75</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2025-08-27T08:22:00Z</dcterms:created>
  <dc:creator>lhj</dc:creator>
  <cp:lastModifiedBy>admin</cp:lastModifiedBy>
  <cp:lastPrinted>2023-03-21T07:29:00Z</cp:lastPrinted>
  <dcterms:modified xsi:type="dcterms:W3CDTF">2025-11-03T09:19:51Z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4C382F794B1E4158A9E62483D3609BBF_12</vt:lpwstr>
  </property>
  <property fmtid="{D5CDD505-2E9C-101B-9397-08002B2CF9AE}" pid="4" name="KSOTemplateDocerSaveRecord">
    <vt:lpwstr>eyJoZGlkIjoiZTEyNjE0ODkzMDI3NzVmZjQ2OTI3NjUzM2FhYTY0MzgiLCJ1c2VySWQiOiI2MDMwMDY1MTMifQ==</vt:lpwstr>
  </property>
</Properties>
</file>