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45B10B">
      <w:pPr>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color w:val="auto"/>
          <w:sz w:val="36"/>
          <w:szCs w:val="36"/>
          <w:highlight w:val="none"/>
          <w:lang w:eastAsia="zh-CN"/>
        </w:rPr>
      </w:pPr>
      <w:bookmarkStart w:id="227" w:name="_GoBack"/>
      <w:bookmarkEnd w:id="227"/>
      <w:r>
        <w:drawing>
          <wp:anchor distT="0" distB="0" distL="114300" distR="114300" simplePos="0" relativeHeight="251677696" behindDoc="0" locked="0" layoutInCell="1" allowOverlap="1">
            <wp:simplePos x="0" y="0"/>
            <wp:positionH relativeFrom="column">
              <wp:posOffset>-892810</wp:posOffset>
            </wp:positionH>
            <wp:positionV relativeFrom="paragraph">
              <wp:posOffset>-1003300</wp:posOffset>
            </wp:positionV>
            <wp:extent cx="7559040" cy="10704195"/>
            <wp:effectExtent l="0" t="0" r="3810" b="1905"/>
            <wp:wrapNone/>
            <wp:docPr id="1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
                    <pic:cNvPicPr>
                      <a:picLocks noChangeAspect="1"/>
                    </pic:cNvPicPr>
                  </pic:nvPicPr>
                  <pic:blipFill>
                    <a:blip r:embed="rId10"/>
                    <a:stretch>
                      <a:fillRect/>
                    </a:stretch>
                  </pic:blipFill>
                  <pic:spPr>
                    <a:xfrm>
                      <a:off x="0" y="0"/>
                      <a:ext cx="7559040" cy="10704195"/>
                    </a:xfrm>
                    <a:prstGeom prst="rect">
                      <a:avLst/>
                    </a:prstGeom>
                    <a:noFill/>
                    <a:ln>
                      <a:noFill/>
                    </a:ln>
                  </pic:spPr>
                </pic:pic>
              </a:graphicData>
            </a:graphic>
          </wp:anchor>
        </w:drawing>
      </w:r>
    </w:p>
    <w:p w14:paraId="2D0E0C5F">
      <w:pPr>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color w:val="auto"/>
          <w:sz w:val="36"/>
          <w:szCs w:val="36"/>
          <w:highlight w:val="none"/>
          <w:lang w:eastAsia="zh-CN"/>
        </w:rPr>
      </w:pPr>
    </w:p>
    <w:p w14:paraId="4FF2ACA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Cs/>
          <w:color w:val="auto"/>
          <w:sz w:val="72"/>
          <w:szCs w:val="72"/>
          <w:highlight w:val="none"/>
        </w:rPr>
      </w:pPr>
      <w:bookmarkStart w:id="0" w:name="_Toc29571"/>
      <w:bookmarkStart w:id="1" w:name="_Toc14623"/>
      <w:bookmarkStart w:id="2" w:name="_Toc2526"/>
      <w:bookmarkStart w:id="3" w:name="_Toc19841"/>
      <w:bookmarkStart w:id="4" w:name="_Toc15153"/>
      <w:bookmarkStart w:id="5" w:name="_Toc17132"/>
      <w:bookmarkStart w:id="6" w:name="_Toc13859"/>
      <w:bookmarkStart w:id="7" w:name="_Toc9163"/>
      <w:bookmarkStart w:id="8" w:name="_Toc23611"/>
      <w:r>
        <w:rPr>
          <w:rFonts w:hint="default" w:ascii="Times New Roman" w:hAnsi="Times New Roman" w:eastAsia="宋体" w:cs="Times New Roman"/>
          <w:bCs/>
          <w:color w:val="auto"/>
          <w:sz w:val="72"/>
          <w:szCs w:val="72"/>
          <w:highlight w:val="none"/>
        </w:rPr>
        <w:t>建设项目环境影响报告表</w:t>
      </w:r>
      <w:bookmarkEnd w:id="0"/>
      <w:bookmarkEnd w:id="1"/>
      <w:bookmarkEnd w:id="2"/>
      <w:bookmarkEnd w:id="3"/>
      <w:bookmarkEnd w:id="4"/>
      <w:bookmarkEnd w:id="5"/>
      <w:bookmarkEnd w:id="6"/>
      <w:bookmarkEnd w:id="7"/>
      <w:bookmarkEnd w:id="8"/>
    </w:p>
    <w:p w14:paraId="5940FCBB">
      <w:pPr>
        <w:keepNext w:val="0"/>
        <w:keepLines w:val="0"/>
        <w:pageBreakBefore w:val="0"/>
        <w:widowControl w:val="0"/>
        <w:kinsoku/>
        <w:wordWrap/>
        <w:overflowPunct/>
        <w:topLinePunct w:val="0"/>
        <w:autoSpaceDE/>
        <w:autoSpaceDN/>
        <w:bidi w:val="0"/>
        <w:adjustRightInd w:val="0"/>
        <w:snapToGrid w:val="0"/>
        <w:spacing w:before="192" w:beforeLines="80" w:line="360" w:lineRule="auto"/>
        <w:jc w:val="center"/>
        <w:textAlignment w:val="auto"/>
        <w:rPr>
          <w:rFonts w:hint="default" w:ascii="Times New Roman" w:hAnsi="Times New Roman" w:eastAsia="宋体" w:cs="Times New Roman"/>
          <w:bCs/>
          <w:color w:val="auto"/>
          <w:sz w:val="48"/>
          <w:szCs w:val="48"/>
          <w:highlight w:val="none"/>
        </w:rPr>
      </w:pPr>
      <w:r>
        <w:rPr>
          <w:rFonts w:hint="default" w:ascii="Times New Roman" w:hAnsi="Times New Roman" w:eastAsia="宋体" w:cs="Times New Roman"/>
          <w:bCs/>
          <w:color w:val="auto"/>
          <w:sz w:val="48"/>
          <w:szCs w:val="48"/>
          <w:highlight w:val="none"/>
        </w:rPr>
        <w:t>（污染影响类）</w:t>
      </w:r>
    </w:p>
    <w:p w14:paraId="309F4B84">
      <w:pPr>
        <w:keepNext w:val="0"/>
        <w:keepLines w:val="0"/>
        <w:pageBreakBefore w:val="0"/>
        <w:widowControl w:val="0"/>
        <w:kinsoku/>
        <w:wordWrap/>
        <w:overflowPunct/>
        <w:topLinePunct w:val="0"/>
        <w:autoSpaceDE/>
        <w:autoSpaceDN/>
        <w:bidi w:val="0"/>
        <w:spacing w:line="360" w:lineRule="auto"/>
        <w:ind w:firstLine="1040"/>
        <w:textAlignment w:val="auto"/>
        <w:rPr>
          <w:rFonts w:hint="default" w:ascii="Times New Roman" w:hAnsi="Times New Roman" w:eastAsia="宋体" w:cs="Times New Roman"/>
          <w:color w:val="auto"/>
          <w:sz w:val="44"/>
          <w:szCs w:val="44"/>
          <w:highlight w:val="none"/>
        </w:rPr>
      </w:pPr>
    </w:p>
    <w:p w14:paraId="004335CC">
      <w:pPr>
        <w:keepNext w:val="0"/>
        <w:keepLines w:val="0"/>
        <w:pageBreakBefore w:val="0"/>
        <w:widowControl w:val="0"/>
        <w:kinsoku/>
        <w:wordWrap/>
        <w:overflowPunct/>
        <w:topLinePunct w:val="0"/>
        <w:autoSpaceDE/>
        <w:autoSpaceDN/>
        <w:bidi w:val="0"/>
        <w:spacing w:line="360" w:lineRule="auto"/>
        <w:ind w:firstLine="1040"/>
        <w:textAlignment w:val="auto"/>
        <w:rPr>
          <w:rFonts w:hint="default" w:ascii="Times New Roman" w:hAnsi="Times New Roman" w:eastAsia="宋体" w:cs="Times New Roman"/>
          <w:color w:val="auto"/>
          <w:sz w:val="44"/>
          <w:szCs w:val="44"/>
          <w:highlight w:val="none"/>
        </w:rPr>
      </w:pPr>
    </w:p>
    <w:p w14:paraId="28182584">
      <w:pPr>
        <w:keepNext w:val="0"/>
        <w:keepLines w:val="0"/>
        <w:pageBreakBefore w:val="0"/>
        <w:widowControl w:val="0"/>
        <w:kinsoku/>
        <w:wordWrap/>
        <w:overflowPunct/>
        <w:topLinePunct w:val="0"/>
        <w:autoSpaceDE/>
        <w:autoSpaceDN/>
        <w:bidi w:val="0"/>
        <w:spacing w:line="360" w:lineRule="auto"/>
        <w:ind w:firstLine="1040"/>
        <w:textAlignment w:val="auto"/>
        <w:rPr>
          <w:rFonts w:hint="default" w:ascii="Times New Roman" w:hAnsi="Times New Roman" w:eastAsia="宋体" w:cs="Times New Roman"/>
          <w:color w:val="auto"/>
          <w:sz w:val="44"/>
          <w:szCs w:val="44"/>
          <w:highlight w:val="none"/>
        </w:rPr>
      </w:pPr>
    </w:p>
    <w:p w14:paraId="7CCA024B">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71F5BD59">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0FA06328">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1AE8C748">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41189136">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02AB258A">
      <w:pPr>
        <w:keepNext w:val="0"/>
        <w:keepLines w:val="0"/>
        <w:pageBreakBefore w:val="0"/>
        <w:widowControl w:val="0"/>
        <w:kinsoku/>
        <w:wordWrap/>
        <w:overflowPunct/>
        <w:topLinePunct w:val="0"/>
        <w:autoSpaceDE/>
        <w:autoSpaceDN/>
        <w:bidi w:val="0"/>
        <w:adjustRightInd w:val="0"/>
        <w:snapToGrid w:val="0"/>
        <w:spacing w:line="288" w:lineRule="auto"/>
        <w:ind w:left="2159" w:leftChars="171" w:hanging="1800" w:hangingChars="500"/>
        <w:jc w:val="left"/>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u w:val="none"/>
          <w:lang w:eastAsia="zh-CN"/>
        </w:rPr>
        <w:t>项目名称：</w:t>
      </w:r>
      <w:r>
        <w:rPr>
          <w:rFonts w:hint="eastAsia" w:ascii="宋体" w:hAnsi="宋体" w:cs="宋体"/>
          <w:color w:val="auto"/>
          <w:sz w:val="36"/>
          <w:szCs w:val="36"/>
          <w:u w:val="single"/>
          <w:lang w:val="en-US" w:eastAsia="zh-CN"/>
        </w:rPr>
        <w:t>福建瑞昌新能源科技开发有限公司年加工五金配件300万个项目</w:t>
      </w:r>
      <w:r>
        <w:rPr>
          <w:rFonts w:hint="eastAsia" w:cs="Times New Roman"/>
          <w:color w:val="auto"/>
          <w:sz w:val="36"/>
          <w:szCs w:val="36"/>
          <w:highlight w:val="none"/>
          <w:u w:val="single"/>
          <w:lang w:val="en-US" w:eastAsia="zh-CN"/>
        </w:rPr>
        <w:t xml:space="preserve">             </w:t>
      </w:r>
      <w:r>
        <w:rPr>
          <w:rFonts w:hint="eastAsia" w:ascii="Times New Roman" w:hAnsi="Times New Roman" w:cs="Times New Roman"/>
          <w:color w:val="auto"/>
          <w:sz w:val="36"/>
          <w:szCs w:val="36"/>
          <w:highlight w:val="none"/>
          <w:u w:val="single"/>
          <w:lang w:val="en-US" w:eastAsia="zh-CN"/>
        </w:rPr>
        <w:t xml:space="preserve">  </w:t>
      </w:r>
      <w:r>
        <w:rPr>
          <w:rFonts w:hint="eastAsia" w:cs="Times New Roman"/>
          <w:color w:val="auto"/>
          <w:sz w:val="36"/>
          <w:szCs w:val="36"/>
          <w:highlight w:val="none"/>
          <w:u w:val="single"/>
          <w:lang w:val="en-US" w:eastAsia="zh-CN"/>
        </w:rPr>
        <w:t xml:space="preserve">     </w:t>
      </w:r>
    </w:p>
    <w:p w14:paraId="29F2C6CF">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jc w:val="left"/>
        <w:textAlignment w:val="auto"/>
        <w:rPr>
          <w:rFonts w:hint="default" w:ascii="Times New Roman" w:hAnsi="Times New Roman" w:eastAsia="宋体" w:cs="Times New Roman"/>
          <w:color w:val="auto"/>
          <w:sz w:val="36"/>
          <w:szCs w:val="36"/>
          <w:highlight w:val="none"/>
          <w:u w:val="single"/>
          <w:lang w:val="en-US"/>
        </w:rPr>
      </w:pPr>
      <w:r>
        <w:rPr>
          <w:rFonts w:hint="default" w:ascii="Times New Roman" w:hAnsi="Times New Roman" w:eastAsia="宋体" w:cs="Times New Roman"/>
          <w:color w:val="auto"/>
          <w:sz w:val="36"/>
          <w:szCs w:val="36"/>
          <w:highlight w:val="none"/>
        </w:rPr>
        <w:t>建设单位（盖章）：</w:t>
      </w:r>
      <w:r>
        <w:rPr>
          <w:rFonts w:hint="eastAsia" w:ascii="宋体" w:hAnsi="宋体" w:cs="宋体"/>
          <w:color w:val="auto"/>
          <w:sz w:val="36"/>
          <w:szCs w:val="36"/>
          <w:u w:val="single"/>
          <w:lang w:val="en-US" w:eastAsia="zh-CN"/>
        </w:rPr>
        <w:t>福建瑞昌新能源科技开发有限公司</w:t>
      </w:r>
    </w:p>
    <w:p w14:paraId="08138358">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jc w:val="left"/>
        <w:textAlignment w:val="auto"/>
        <w:rPr>
          <w:rFonts w:hint="default" w:ascii="Times New Roman" w:hAnsi="Times New Roman" w:eastAsia="宋体" w:cs="Times New Roman"/>
          <w:color w:val="auto"/>
          <w:sz w:val="36"/>
          <w:szCs w:val="36"/>
          <w:highlight w:val="none"/>
          <w:u w:val="single"/>
        </w:rPr>
      </w:pPr>
      <w:r>
        <w:rPr>
          <w:rFonts w:hint="default" w:ascii="Times New Roman" w:hAnsi="Times New Roman" w:eastAsia="宋体" w:cs="Times New Roman"/>
          <w:color w:val="auto"/>
          <w:sz w:val="36"/>
          <w:szCs w:val="36"/>
          <w:highlight w:val="none"/>
        </w:rPr>
        <w:t>编制日期：</w:t>
      </w:r>
      <w:r>
        <w:rPr>
          <w:rFonts w:hint="default" w:ascii="Times New Roman" w:hAnsi="Times New Roman" w:eastAsia="宋体" w:cs="Times New Roman"/>
          <w:color w:val="auto"/>
          <w:sz w:val="36"/>
          <w:szCs w:val="36"/>
          <w:highlight w:val="none"/>
          <w:u w:val="single"/>
          <w:lang w:val="en-US" w:eastAsia="zh-CN"/>
        </w:rPr>
        <w:t xml:space="preserve">      </w:t>
      </w:r>
      <w:r>
        <w:rPr>
          <w:rFonts w:hint="eastAsia" w:ascii="Times New Roman" w:hAnsi="Times New Roman" w:eastAsia="宋体" w:cs="Times New Roman"/>
          <w:color w:val="auto"/>
          <w:sz w:val="36"/>
          <w:szCs w:val="36"/>
          <w:highlight w:val="none"/>
          <w:u w:val="single"/>
          <w:lang w:val="en-US" w:eastAsia="zh-CN"/>
        </w:rPr>
        <w:t xml:space="preserve">    </w:t>
      </w:r>
      <w:r>
        <w:rPr>
          <w:rFonts w:hint="default" w:ascii="Times New Roman" w:hAnsi="Times New Roman" w:eastAsia="宋体" w:cs="Times New Roman"/>
          <w:color w:val="auto"/>
          <w:sz w:val="36"/>
          <w:szCs w:val="36"/>
          <w:highlight w:val="none"/>
          <w:u w:val="single"/>
          <w:lang w:val="en-US" w:eastAsia="zh-CN"/>
        </w:rPr>
        <w:t xml:space="preserve"> 202</w:t>
      </w:r>
      <w:r>
        <w:rPr>
          <w:rFonts w:hint="eastAsia" w:ascii="Times New Roman" w:hAnsi="Times New Roman" w:eastAsia="宋体" w:cs="Times New Roman"/>
          <w:color w:val="auto"/>
          <w:sz w:val="36"/>
          <w:szCs w:val="36"/>
          <w:highlight w:val="none"/>
          <w:u w:val="single"/>
          <w:lang w:val="en-US" w:eastAsia="zh-CN"/>
        </w:rPr>
        <w:t>5</w:t>
      </w:r>
      <w:r>
        <w:rPr>
          <w:rFonts w:hint="default" w:ascii="Times New Roman" w:hAnsi="Times New Roman" w:eastAsia="宋体" w:cs="Times New Roman"/>
          <w:color w:val="auto"/>
          <w:sz w:val="36"/>
          <w:szCs w:val="36"/>
          <w:highlight w:val="none"/>
          <w:u w:val="single"/>
          <w:lang w:val="en-US" w:eastAsia="zh-CN"/>
        </w:rPr>
        <w:t>年</w:t>
      </w:r>
      <w:r>
        <w:rPr>
          <w:rFonts w:hint="eastAsia" w:cs="Times New Roman"/>
          <w:color w:val="auto"/>
          <w:sz w:val="36"/>
          <w:szCs w:val="36"/>
          <w:highlight w:val="none"/>
          <w:u w:val="single"/>
          <w:lang w:val="en-US" w:eastAsia="zh-CN"/>
        </w:rPr>
        <w:t>11</w:t>
      </w:r>
      <w:r>
        <w:rPr>
          <w:rFonts w:hint="default" w:ascii="Times New Roman" w:hAnsi="Times New Roman" w:eastAsia="宋体" w:cs="Times New Roman"/>
          <w:color w:val="auto"/>
          <w:sz w:val="36"/>
          <w:szCs w:val="36"/>
          <w:highlight w:val="none"/>
          <w:u w:val="single"/>
          <w:lang w:val="en-US" w:eastAsia="zh-CN"/>
        </w:rPr>
        <w:t>月</w:t>
      </w:r>
      <w:r>
        <w:rPr>
          <w:rFonts w:hint="default" w:ascii="Times New Roman" w:hAnsi="Times New Roman" w:eastAsia="宋体" w:cs="Times New Roman"/>
          <w:color w:val="auto"/>
          <w:sz w:val="36"/>
          <w:szCs w:val="36"/>
          <w:highlight w:val="none"/>
          <w:u w:val="single"/>
        </w:rPr>
        <w:t xml:space="preserve">     </w:t>
      </w:r>
      <w:r>
        <w:rPr>
          <w:rFonts w:hint="eastAsia" w:ascii="Times New Roman" w:hAnsi="Times New Roman" w:eastAsia="宋体" w:cs="Times New Roman"/>
          <w:color w:val="auto"/>
          <w:sz w:val="36"/>
          <w:szCs w:val="36"/>
          <w:highlight w:val="none"/>
          <w:u w:val="single"/>
          <w:lang w:val="en-US" w:eastAsia="zh-CN"/>
        </w:rPr>
        <w:t xml:space="preserve">       </w:t>
      </w:r>
      <w:r>
        <w:rPr>
          <w:rFonts w:hint="default" w:ascii="Times New Roman" w:hAnsi="Times New Roman" w:eastAsia="宋体" w:cs="Times New Roman"/>
          <w:color w:val="auto"/>
          <w:sz w:val="36"/>
          <w:szCs w:val="36"/>
          <w:highlight w:val="none"/>
          <w:u w:val="single"/>
        </w:rPr>
        <w:t xml:space="preserve"> </w:t>
      </w:r>
      <w:r>
        <w:rPr>
          <w:rFonts w:hint="default" w:ascii="Times New Roman" w:hAnsi="Times New Roman" w:eastAsia="宋体" w:cs="Times New Roman"/>
          <w:color w:val="auto"/>
          <w:sz w:val="36"/>
          <w:szCs w:val="36"/>
          <w:highlight w:val="none"/>
          <w:u w:val="single"/>
          <w:lang w:val="en-US" w:eastAsia="zh-CN"/>
        </w:rPr>
        <w:t xml:space="preserve">   </w:t>
      </w:r>
    </w:p>
    <w:p w14:paraId="10F1FF98">
      <w:pPr>
        <w:keepNext w:val="0"/>
        <w:keepLines w:val="0"/>
        <w:pageBreakBefore w:val="0"/>
        <w:widowControl w:val="0"/>
        <w:kinsoku/>
        <w:wordWrap/>
        <w:overflowPunct/>
        <w:topLinePunct w:val="0"/>
        <w:autoSpaceDE/>
        <w:autoSpaceDN/>
        <w:bidi w:val="0"/>
        <w:adjustRightInd w:val="0"/>
        <w:snapToGrid w:val="0"/>
        <w:spacing w:line="360" w:lineRule="auto"/>
        <w:ind w:firstLine="1040"/>
        <w:textAlignment w:val="auto"/>
        <w:rPr>
          <w:rFonts w:hint="default" w:ascii="Times New Roman" w:hAnsi="Times New Roman" w:eastAsia="宋体" w:cs="Times New Roman"/>
          <w:color w:val="auto"/>
          <w:sz w:val="36"/>
          <w:szCs w:val="36"/>
          <w:highlight w:val="none"/>
          <w:u w:val="single"/>
        </w:rPr>
      </w:pPr>
    </w:p>
    <w:p w14:paraId="22E5E2AB">
      <w:pPr>
        <w:keepNext w:val="0"/>
        <w:keepLines w:val="0"/>
        <w:pageBreakBefore w:val="0"/>
        <w:widowControl w:val="0"/>
        <w:kinsoku/>
        <w:wordWrap/>
        <w:overflowPunct/>
        <w:topLinePunct w:val="0"/>
        <w:autoSpaceDE/>
        <w:autoSpaceDN/>
        <w:bidi w:val="0"/>
        <w:adjustRightInd w:val="0"/>
        <w:snapToGrid w:val="0"/>
        <w:spacing w:line="360" w:lineRule="auto"/>
        <w:ind w:firstLine="1040"/>
        <w:textAlignment w:val="auto"/>
        <w:rPr>
          <w:rFonts w:hint="default" w:ascii="Times New Roman" w:hAnsi="Times New Roman" w:eastAsia="宋体" w:cs="Times New Roman"/>
          <w:color w:val="auto"/>
          <w:sz w:val="36"/>
          <w:szCs w:val="36"/>
          <w:highlight w:val="none"/>
        </w:rPr>
      </w:pPr>
    </w:p>
    <w:p w14:paraId="33A72B51">
      <w:pPr>
        <w:keepNext w:val="0"/>
        <w:keepLines w:val="0"/>
        <w:pageBreakBefore w:val="0"/>
        <w:widowControl w:val="0"/>
        <w:kinsoku/>
        <w:wordWrap/>
        <w:overflowPunct/>
        <w:topLinePunct w:val="0"/>
        <w:autoSpaceDE/>
        <w:autoSpaceDN/>
        <w:bidi w:val="0"/>
        <w:adjustRightInd w:val="0"/>
        <w:snapToGrid w:val="0"/>
        <w:spacing w:line="360" w:lineRule="auto"/>
        <w:ind w:firstLine="1040"/>
        <w:textAlignment w:val="auto"/>
        <w:rPr>
          <w:rFonts w:hint="default" w:ascii="Times New Roman" w:hAnsi="Times New Roman" w:eastAsia="宋体" w:cs="Times New Roman"/>
          <w:color w:val="auto"/>
          <w:sz w:val="36"/>
          <w:szCs w:val="36"/>
          <w:highlight w:val="none"/>
        </w:rPr>
      </w:pPr>
    </w:p>
    <w:p w14:paraId="76BC4882">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0ECF4C3D">
      <w:pPr>
        <w:pStyle w:val="15"/>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t>中华人民共和国生态环境部制</w:t>
      </w:r>
    </w:p>
    <w:p w14:paraId="062A0CAC">
      <w:pP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br w:type="page"/>
      </w:r>
    </w:p>
    <w:p w14:paraId="739B3F88">
      <w:pPr>
        <w:rPr>
          <w:rFonts w:hint="eastAsia"/>
        </w:rPr>
      </w:pPr>
      <w:r>
        <w:rPr>
          <w:sz w:val="21"/>
        </w:rPr>
        <mc:AlternateContent>
          <mc:Choice Requires="wps">
            <w:drawing>
              <wp:anchor distT="0" distB="0" distL="114300" distR="114300" simplePos="0" relativeHeight="251694080" behindDoc="0" locked="0" layoutInCell="1" allowOverlap="1">
                <wp:simplePos x="0" y="0"/>
                <wp:positionH relativeFrom="column">
                  <wp:posOffset>3609975</wp:posOffset>
                </wp:positionH>
                <wp:positionV relativeFrom="paragraph">
                  <wp:posOffset>7158355</wp:posOffset>
                </wp:positionV>
                <wp:extent cx="2123440" cy="802640"/>
                <wp:effectExtent l="6350" t="6350" r="22860" b="10160"/>
                <wp:wrapNone/>
                <wp:docPr id="168" name="矩形 168"/>
                <wp:cNvGraphicFramePr/>
                <a:graphic xmlns:a="http://schemas.openxmlformats.org/drawingml/2006/main">
                  <a:graphicData uri="http://schemas.microsoft.com/office/word/2010/wordprocessingShape">
                    <wps:wsp>
                      <wps:cNvSpPr/>
                      <wps:spPr>
                        <a:xfrm>
                          <a:off x="0" y="0"/>
                          <a:ext cx="2123440" cy="80264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25pt;margin-top:563.65pt;height:63.2pt;width:167.2pt;z-index:251694080;v-text-anchor:middle;mso-width-relative:page;mso-height-relative:page;" fillcolor="#FFFFFF [3212]" filled="t" stroked="t" coordsize="21600,21600" o:gfxdata="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vDCI02wAAAA0BAAAPAAAAAAAAAAEAIAAAACIAAABkcnMvZG93bnJldi54&#10;bWxQSwECFAAUAAAACACHTuJAamcqWWkCAAD4BAAADgAAAAAAAAABACAAAAAqAQAAZHJzL2Uyb0Rv&#10;Yy54bWxQSwUGAAAAAAYABgBZAQAABQ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1417955</wp:posOffset>
                </wp:positionH>
                <wp:positionV relativeFrom="paragraph">
                  <wp:posOffset>5062855</wp:posOffset>
                </wp:positionV>
                <wp:extent cx="2654935" cy="353695"/>
                <wp:effectExtent l="6350" t="6350" r="24765" b="20955"/>
                <wp:wrapNone/>
                <wp:docPr id="167" name="矩形 167"/>
                <wp:cNvGraphicFramePr/>
                <a:graphic xmlns:a="http://schemas.openxmlformats.org/drawingml/2006/main">
                  <a:graphicData uri="http://schemas.microsoft.com/office/word/2010/wordprocessingShape">
                    <wps:wsp>
                      <wps:cNvSpPr/>
                      <wps:spPr>
                        <a:xfrm>
                          <a:off x="0" y="0"/>
                          <a:ext cx="2654935" cy="35369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65pt;margin-top:398.65pt;height:27.85pt;width:209.05pt;z-index:251693056;v-text-anchor:middle;mso-width-relative:page;mso-height-relative:page;" fillcolor="#FFFFFF [3212]" filled="t" stroked="t" coordsize="21600,21600" o:gfxdata="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KETZK2wAAAAsBAAAPAAAAAAAAAAEAIAAAACIAAABkcnMvZG93&#10;bnJldi54bWxQSwECFAAUAAAACACHTuJAWC5q028CAAD4BAAADgAAAAAAAAABACAAAAAqAQAAZHJz&#10;L2Uyb0RvYy54bWxQSwUGAAAAAAYABgBZAQAACw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153035</wp:posOffset>
                </wp:positionH>
                <wp:positionV relativeFrom="paragraph">
                  <wp:posOffset>4681855</wp:posOffset>
                </wp:positionV>
                <wp:extent cx="953770" cy="680085"/>
                <wp:effectExtent l="6350" t="6350" r="11430" b="18415"/>
                <wp:wrapNone/>
                <wp:docPr id="166" name="矩形 166"/>
                <wp:cNvGraphicFramePr/>
                <a:graphic xmlns:a="http://schemas.openxmlformats.org/drawingml/2006/main">
                  <a:graphicData uri="http://schemas.microsoft.com/office/word/2010/wordprocessingShape">
                    <wps:wsp>
                      <wps:cNvSpPr/>
                      <wps:spPr>
                        <a:xfrm>
                          <a:off x="0" y="0"/>
                          <a:ext cx="953770" cy="68008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05pt;margin-top:368.65pt;height:53.55pt;width:75.1pt;z-index:251692032;v-text-anchor:middle;mso-width-relative:page;mso-height-relative:page;" fillcolor="#FFFFFF [3212]" filled="t" stroked="t" coordsize="21600,21600" o:gfxdata="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EmTPtkAAAAKAQAADwAAAAAAAAABACAAAAAiAAAAZHJzL2Rvd25yZXYu&#10;eG1sUEsBAhQAFAAAAAgAh07iQPFiZ8BsAgAA9wQAAA4AAAAAAAAAAQAgAAAAKAEAAGRycy9lMm9E&#10;b2MueG1sUEsFBgAAAAAGAAYAWQEAAAY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3744595</wp:posOffset>
                </wp:positionH>
                <wp:positionV relativeFrom="paragraph">
                  <wp:posOffset>4627245</wp:posOffset>
                </wp:positionV>
                <wp:extent cx="614045" cy="353695"/>
                <wp:effectExtent l="6350" t="6350" r="8255" b="20955"/>
                <wp:wrapNone/>
                <wp:docPr id="165" name="矩形 165"/>
                <wp:cNvGraphicFramePr/>
                <a:graphic xmlns:a="http://schemas.openxmlformats.org/drawingml/2006/main">
                  <a:graphicData uri="http://schemas.microsoft.com/office/word/2010/wordprocessingShape">
                    <wps:wsp>
                      <wps:cNvSpPr/>
                      <wps:spPr>
                        <a:xfrm>
                          <a:off x="0" y="0"/>
                          <a:ext cx="614045" cy="35369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4.85pt;margin-top:364.35pt;height:27.85pt;width:48.35pt;z-index:251691008;v-text-anchor:middle;mso-width-relative:page;mso-height-relative:page;" fillcolor="#FFFFFF [3212]" filled="t" stroked="t" coordsize="21600,21600" o:gfxdata="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E78kFTZAAAACwEAAA8AAAAAAAAAAQAgAAAAIgAAAGRycy9kb3ducmV2&#10;LnhtbFBLAQIUABQAAAAIAIdO4kDPX6SQbQIAAPcEAAAOAAAAAAAAAAEAIAAAACgBAABkcnMvZTJv&#10;RG9jLnhtbFBLBQYAAAAABgAGAFkBAAAH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1823720</wp:posOffset>
                </wp:positionH>
                <wp:positionV relativeFrom="paragraph">
                  <wp:posOffset>3890010</wp:posOffset>
                </wp:positionV>
                <wp:extent cx="614045" cy="353695"/>
                <wp:effectExtent l="6350" t="6350" r="8255" b="20955"/>
                <wp:wrapNone/>
                <wp:docPr id="164" name="矩形 164"/>
                <wp:cNvGraphicFramePr/>
                <a:graphic xmlns:a="http://schemas.openxmlformats.org/drawingml/2006/main">
                  <a:graphicData uri="http://schemas.microsoft.com/office/word/2010/wordprocessingShape">
                    <wps:wsp>
                      <wps:cNvSpPr/>
                      <wps:spPr>
                        <a:xfrm>
                          <a:off x="0" y="0"/>
                          <a:ext cx="614045" cy="35369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3.6pt;margin-top:306.3pt;height:27.85pt;width:48.35pt;z-index:251689984;v-text-anchor:middle;mso-width-relative:page;mso-height-relative:page;" fillcolor="#FFFFFF [3212]" filled="t" stroked="t" coordsize="21600,21600" o:gfxdata="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f9TSZ2gAAAAsBAAAPAAAAAAAAAAEAIAAAACIAAABkcnMvZG93bnJl&#10;di54bWxQSwECFAAUAAAACACHTuJAKpvOCG0CAAD3BAAADgAAAAAAAAABACAAAAApAQAAZHJzL2Uy&#10;b0RvYy54bWxQSwUGAAAAAAYABgBZAQAACA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1251585</wp:posOffset>
                </wp:positionH>
                <wp:positionV relativeFrom="paragraph">
                  <wp:posOffset>4257675</wp:posOffset>
                </wp:positionV>
                <wp:extent cx="2980055" cy="353695"/>
                <wp:effectExtent l="6350" t="6350" r="23495" b="20955"/>
                <wp:wrapNone/>
                <wp:docPr id="163" name="矩形 163"/>
                <wp:cNvGraphicFramePr/>
                <a:graphic xmlns:a="http://schemas.openxmlformats.org/drawingml/2006/main">
                  <a:graphicData uri="http://schemas.microsoft.com/office/word/2010/wordprocessingShape">
                    <wps:wsp>
                      <wps:cNvSpPr/>
                      <wps:spPr>
                        <a:xfrm>
                          <a:off x="0" y="0"/>
                          <a:ext cx="2980055" cy="35369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8.55pt;margin-top:335.25pt;height:27.85pt;width:234.65pt;z-index:251688960;v-text-anchor:middle;mso-width-relative:page;mso-height-relative:page;" fillcolor="#FFFFFF [3212]" filled="t" stroked="t" coordsize="21600,21600" o:gfxdata="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E0SP52QAAAAsBAAAPAAAAAAAAAAEAIAAAACIAAABkcnMvZG93bnJl&#10;di54bWxQSwECFAAUAAAACACHTuJAp7MZu24CAAD4BAAADgAAAAAAAAABACAAAAAoAQAAZHJzL2Uy&#10;b0RvYy54bWxQSwUGAAAAAAYABgBZAQAACA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732155</wp:posOffset>
                </wp:positionH>
                <wp:positionV relativeFrom="paragraph">
                  <wp:posOffset>1179830</wp:posOffset>
                </wp:positionV>
                <wp:extent cx="2327910" cy="353695"/>
                <wp:effectExtent l="6350" t="6350" r="8890" b="20955"/>
                <wp:wrapNone/>
                <wp:docPr id="162" name="矩形 162"/>
                <wp:cNvGraphicFramePr/>
                <a:graphic xmlns:a="http://schemas.openxmlformats.org/drawingml/2006/main">
                  <a:graphicData uri="http://schemas.microsoft.com/office/word/2010/wordprocessingShape">
                    <wps:wsp>
                      <wps:cNvSpPr/>
                      <wps:spPr>
                        <a:xfrm>
                          <a:off x="1346200" y="2187575"/>
                          <a:ext cx="2327910" cy="35369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65pt;margin-top:92.9pt;height:27.85pt;width:183.3pt;z-index:251687936;v-text-anchor:middle;mso-width-relative:page;mso-height-relative:page;" fillcolor="#FFFFFF [3212]" filled="t" stroked="t" coordsize="21600,21600" o:gfxdata="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TV43ldgAAAALAQAADwAAAAAAAAABACAAAAAiAAAA&#10;ZHJzL2Rvd25yZXYueG1sUEsBAhQAFAAAAAgAh07iQGZIdmx5AgAABAUAAA4AAAAAAAAAAQAgAAAA&#10;JwEAAGRycy9lMm9Eb2MueG1sUEsFBgAAAAAGAAYAWQEAABIGAAAAAA==&#10;">
                <v:fill on="t" focussize="0,0"/>
                <v:stroke weight="1pt" color="#FFFFFF [3212]" miterlimit="8" joinstyle="miter"/>
                <v:imagedata o:title=""/>
                <o:lock v:ext="edit" aspectratio="f"/>
              </v:rect>
            </w:pict>
          </mc:Fallback>
        </mc:AlternateContent>
      </w:r>
      <w:r>
        <w:drawing>
          <wp:anchor distT="0" distB="0" distL="114300" distR="114300" simplePos="0" relativeHeight="251678720" behindDoc="0" locked="0" layoutInCell="1" allowOverlap="1">
            <wp:simplePos x="0" y="0"/>
            <wp:positionH relativeFrom="column">
              <wp:posOffset>-880745</wp:posOffset>
            </wp:positionH>
            <wp:positionV relativeFrom="paragraph">
              <wp:posOffset>-1011555</wp:posOffset>
            </wp:positionV>
            <wp:extent cx="7522845" cy="10689590"/>
            <wp:effectExtent l="0" t="0" r="1905" b="16510"/>
            <wp:wrapNone/>
            <wp:docPr id="1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
                    <pic:cNvPicPr>
                      <a:picLocks noChangeAspect="1"/>
                    </pic:cNvPicPr>
                  </pic:nvPicPr>
                  <pic:blipFill>
                    <a:blip r:embed="rId11"/>
                    <a:stretch>
                      <a:fillRect/>
                    </a:stretch>
                  </pic:blipFill>
                  <pic:spPr>
                    <a:xfrm>
                      <a:off x="0" y="0"/>
                      <a:ext cx="7522845" cy="10689590"/>
                    </a:xfrm>
                    <a:prstGeom prst="rect">
                      <a:avLst/>
                    </a:prstGeom>
                    <a:noFill/>
                    <a:ln>
                      <a:noFill/>
                    </a:ln>
                  </pic:spPr>
                </pic:pic>
              </a:graphicData>
            </a:graphic>
          </wp:anchor>
        </w:drawing>
      </w:r>
      <w:r>
        <w:rPr>
          <w:rFonts w:hint="eastAsia"/>
        </w:rPr>
        <w:br w:type="page"/>
      </w:r>
    </w:p>
    <w:p w14:paraId="33757586">
      <w:pPr>
        <w:rPr>
          <w:rFonts w:hint="eastAsia"/>
        </w:rPr>
      </w:pPr>
      <w:r>
        <w:rPr>
          <w:sz w:val="21"/>
        </w:rPr>
        <mc:AlternateContent>
          <mc:Choice Requires="wps">
            <w:drawing>
              <wp:anchor distT="0" distB="0" distL="114300" distR="114300" simplePos="0" relativeHeight="251699200" behindDoc="0" locked="0" layoutInCell="1" allowOverlap="1">
                <wp:simplePos x="0" y="0"/>
                <wp:positionH relativeFrom="column">
                  <wp:posOffset>3612515</wp:posOffset>
                </wp:positionH>
                <wp:positionV relativeFrom="paragraph">
                  <wp:posOffset>7552055</wp:posOffset>
                </wp:positionV>
                <wp:extent cx="2360295" cy="946150"/>
                <wp:effectExtent l="6350" t="6350" r="14605" b="19050"/>
                <wp:wrapNone/>
                <wp:docPr id="190" name="矩形 190"/>
                <wp:cNvGraphicFramePr/>
                <a:graphic xmlns:a="http://schemas.openxmlformats.org/drawingml/2006/main">
                  <a:graphicData uri="http://schemas.microsoft.com/office/word/2010/wordprocessingShape">
                    <wps:wsp>
                      <wps:cNvSpPr/>
                      <wps:spPr>
                        <a:xfrm>
                          <a:off x="0" y="0"/>
                          <a:ext cx="2360295" cy="94615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45pt;margin-top:594.65pt;height:74.5pt;width:185.85pt;z-index:251699200;v-text-anchor:middle;mso-width-relative:page;mso-height-relative:page;" fillcolor="#FFFFFF [3212]" filled="t" stroked="t" coordsize="21600,21600" o:gfxdata="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5UrnS9oAAAANAQAADwAAAAAAAAABACAAAAAiAAAAZHJzL2Rvd25y&#10;ZXYueG1sUEsBAhQAFAAAAAgAh07iQJjb3ftuAgAA+AQAAA4AAAAAAAAAAQAgAAAAKQEAAGRycy9l&#10;Mm9Eb2MueG1sUEsFBgAAAAAGAAYAWQEAAAk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98176" behindDoc="0" locked="0" layoutInCell="1" allowOverlap="1">
                <wp:simplePos x="0" y="0"/>
                <wp:positionH relativeFrom="column">
                  <wp:posOffset>109220</wp:posOffset>
                </wp:positionH>
                <wp:positionV relativeFrom="paragraph">
                  <wp:posOffset>7668260</wp:posOffset>
                </wp:positionV>
                <wp:extent cx="614045" cy="776605"/>
                <wp:effectExtent l="6350" t="6350" r="8255" b="17145"/>
                <wp:wrapNone/>
                <wp:docPr id="182" name="矩形 182"/>
                <wp:cNvGraphicFramePr/>
                <a:graphic xmlns:a="http://schemas.openxmlformats.org/drawingml/2006/main">
                  <a:graphicData uri="http://schemas.microsoft.com/office/word/2010/wordprocessingShape">
                    <wps:wsp>
                      <wps:cNvSpPr/>
                      <wps:spPr>
                        <a:xfrm>
                          <a:off x="0" y="0"/>
                          <a:ext cx="614045" cy="77660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6pt;margin-top:603.8pt;height:61.15pt;width:48.35pt;z-index:251698176;v-text-anchor:middle;mso-width-relative:page;mso-height-relative:page;" fillcolor="#FFFFFF [3212]" filled="t" stroked="t" coordsize="21600,21600" o:gfxdata="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EUoV4PaAAAADAEAAA8AAAAAAAAAAQAgAAAAIgAAAGRycy9kb3ducmV2&#10;LnhtbFBLAQIUABQAAAAIAIdO4kCZIx/ibAIAAPcEAAAOAAAAAAAAAAEAIAAAACkBAABkcnMvZTJv&#10;RG9jLnhtbFBLBQYAAAAABgAGAFkBAAAH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-38735</wp:posOffset>
                </wp:positionH>
                <wp:positionV relativeFrom="paragraph">
                  <wp:posOffset>6346190</wp:posOffset>
                </wp:positionV>
                <wp:extent cx="5842000" cy="353695"/>
                <wp:effectExtent l="6350" t="6350" r="19050" b="20955"/>
                <wp:wrapNone/>
                <wp:docPr id="181" name="矩形 181"/>
                <wp:cNvGraphicFramePr/>
                <a:graphic xmlns:a="http://schemas.openxmlformats.org/drawingml/2006/main">
                  <a:graphicData uri="http://schemas.microsoft.com/office/word/2010/wordprocessingShape">
                    <wps:wsp>
                      <wps:cNvSpPr/>
                      <wps:spPr>
                        <a:xfrm>
                          <a:off x="0" y="0"/>
                          <a:ext cx="5842000" cy="35369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5pt;margin-top:499.7pt;height:27.85pt;width:460pt;z-index:251697152;v-text-anchor:middle;mso-width-relative:page;mso-height-relative:page;" fillcolor="#FFFFFF [3212]" filled="t" stroked="t" coordsize="21600,21600" o:gfxdata="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a5wOcdkAAAALAQAADwAAAAAAAAABACAAAAAiAAAAZHJzL2Rvd25yZXYu&#10;eG1sUEsBAhQAFAAAAAgAh07iQBR1cGVsAgAA+AQAAA4AAAAAAAAAAQAgAAAAKAEAAGRycy9lMm9E&#10;b2MueG1sUEsFBgAAAAAGAAYAWQEAAAY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1939925</wp:posOffset>
                </wp:positionH>
                <wp:positionV relativeFrom="paragraph">
                  <wp:posOffset>4717415</wp:posOffset>
                </wp:positionV>
                <wp:extent cx="2539365" cy="353695"/>
                <wp:effectExtent l="6350" t="6350" r="6985" b="20955"/>
                <wp:wrapNone/>
                <wp:docPr id="171" name="矩形 171"/>
                <wp:cNvGraphicFramePr/>
                <a:graphic xmlns:a="http://schemas.openxmlformats.org/drawingml/2006/main">
                  <a:graphicData uri="http://schemas.microsoft.com/office/word/2010/wordprocessingShape">
                    <wps:wsp>
                      <wps:cNvSpPr/>
                      <wps:spPr>
                        <a:xfrm>
                          <a:off x="0" y="0"/>
                          <a:ext cx="2539365" cy="35369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2.75pt;margin-top:371.45pt;height:27.85pt;width:199.95pt;z-index:251696128;v-text-anchor:middle;mso-width-relative:page;mso-height-relative:page;" fillcolor="#FFFFFF [3212]" filled="t" stroked="t" coordsize="21600,21600" o:gfxdata="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895ND2gAAAAsBAAAPAAAAAAAAAAEAIAAAACIAAABkcnMvZG93bnJl&#10;di54bWxQSwECFAAUAAAACACHTuJADKKS920CAAD4BAAADgAAAAAAAAABACAAAAApAQAAZHJzL2Uy&#10;b0RvYy54bWxQSwUGAAAAAAYABgBZAQAACA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1971040</wp:posOffset>
                </wp:positionH>
                <wp:positionV relativeFrom="paragraph">
                  <wp:posOffset>2414270</wp:posOffset>
                </wp:positionV>
                <wp:extent cx="1905000" cy="1517015"/>
                <wp:effectExtent l="6350" t="6350" r="12700" b="19685"/>
                <wp:wrapNone/>
                <wp:docPr id="169" name="矩形 169"/>
                <wp:cNvGraphicFramePr/>
                <a:graphic xmlns:a="http://schemas.openxmlformats.org/drawingml/2006/main">
                  <a:graphicData uri="http://schemas.microsoft.com/office/word/2010/wordprocessingShape">
                    <wps:wsp>
                      <wps:cNvSpPr/>
                      <wps:spPr>
                        <a:xfrm>
                          <a:off x="0" y="0"/>
                          <a:ext cx="1905000" cy="151701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5.2pt;margin-top:190.1pt;height:119.45pt;width:150pt;z-index:251695104;v-text-anchor:middle;mso-width-relative:page;mso-height-relative:page;" fillcolor="#FFFFFF [3212]" filled="t" stroked="t" coordsize="21600,21600" o:gfxdata="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Pp7CY9gAAAALAQAADwAAAAAAAAABACAAAAAiAAAAZHJzL2Rvd25yZXYu&#10;eG1sUEsBAhQAFAAAAAgAh07iQA2r451tAgAA+QQAAA4AAAAAAAAAAQAgAAAAJwEAAGRycy9lMm9E&#10;b2MueG1sUEsFBgAAAAAGAAYAWQEAAAYGAAAAAA==&#10;">
                <v:fill on="t" focussize="0,0"/>
                <v:stroke weight="1pt" color="#FFFFFF [3212]" miterlimit="8" joinstyle="miter"/>
                <v:imagedata o:title=""/>
                <o:lock v:ext="edit" aspectratio="f"/>
              </v:rect>
            </w:pict>
          </mc:Fallback>
        </mc:AlternateContent>
      </w:r>
      <w:r>
        <w:drawing>
          <wp:anchor distT="0" distB="0" distL="114300" distR="114300" simplePos="0" relativeHeight="251679744" behindDoc="0" locked="0" layoutInCell="1" allowOverlap="1">
            <wp:simplePos x="0" y="0"/>
            <wp:positionH relativeFrom="column">
              <wp:posOffset>-881380</wp:posOffset>
            </wp:positionH>
            <wp:positionV relativeFrom="paragraph">
              <wp:posOffset>-988060</wp:posOffset>
            </wp:positionV>
            <wp:extent cx="7531735" cy="10665460"/>
            <wp:effectExtent l="0" t="0" r="12065" b="2540"/>
            <wp:wrapNone/>
            <wp:docPr id="1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
                    <pic:cNvPicPr>
                      <a:picLocks noChangeAspect="1"/>
                    </pic:cNvPicPr>
                  </pic:nvPicPr>
                  <pic:blipFill>
                    <a:blip r:embed="rId12"/>
                    <a:stretch>
                      <a:fillRect/>
                    </a:stretch>
                  </pic:blipFill>
                  <pic:spPr>
                    <a:xfrm>
                      <a:off x="0" y="0"/>
                      <a:ext cx="7531735" cy="10665460"/>
                    </a:xfrm>
                    <a:prstGeom prst="rect">
                      <a:avLst/>
                    </a:prstGeom>
                    <a:noFill/>
                    <a:ln>
                      <a:noFill/>
                    </a:ln>
                  </pic:spPr>
                </pic:pic>
              </a:graphicData>
            </a:graphic>
          </wp:anchor>
        </w:drawing>
      </w:r>
      <w:r>
        <w:rPr>
          <w:rFonts w:hint="eastAsia"/>
          <w:lang w:val="en-US" w:eastAsia="zh-CN"/>
        </w:rPr>
        <w:t xml:space="preserve"> </w:t>
      </w:r>
      <w:r>
        <w:rPr>
          <w:rFonts w:hint="eastAsia"/>
        </w:rPr>
        <w:br w:type="page"/>
      </w:r>
    </w:p>
    <w:p w14:paraId="41A1417E">
      <w:pPr>
        <w:rPr>
          <w:rFonts w:hint="eastAsia"/>
        </w:rPr>
      </w:pPr>
      <w:r>
        <w:rPr>
          <w:sz w:val="21"/>
        </w:rPr>
        <mc:AlternateContent>
          <mc:Choice Requires="wps">
            <w:drawing>
              <wp:anchor distT="0" distB="0" distL="114300" distR="114300" simplePos="0" relativeHeight="251701248" behindDoc="0" locked="0" layoutInCell="1" allowOverlap="1">
                <wp:simplePos x="0" y="0"/>
                <wp:positionH relativeFrom="column">
                  <wp:posOffset>3294380</wp:posOffset>
                </wp:positionH>
                <wp:positionV relativeFrom="paragraph">
                  <wp:posOffset>7033260</wp:posOffset>
                </wp:positionV>
                <wp:extent cx="2794000" cy="1052830"/>
                <wp:effectExtent l="6350" t="6350" r="19050" b="7620"/>
                <wp:wrapNone/>
                <wp:docPr id="203" name="矩形 203"/>
                <wp:cNvGraphicFramePr/>
                <a:graphic xmlns:a="http://schemas.openxmlformats.org/drawingml/2006/main">
                  <a:graphicData uri="http://schemas.microsoft.com/office/word/2010/wordprocessingShape">
                    <wps:wsp>
                      <wps:cNvSpPr/>
                      <wps:spPr>
                        <a:xfrm>
                          <a:off x="0" y="0"/>
                          <a:ext cx="2794000" cy="105283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9.4pt;margin-top:553.8pt;height:82.9pt;width:220pt;z-index:251701248;v-text-anchor:middle;mso-width-relative:page;mso-height-relative:page;" fillcolor="#FFFFFF [3212]" filled="t" stroked="t" coordsize="21600,21600" o:gfxdata="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WdReHaAAAADQEAAA8AAAAAAAAAAQAgAAAAIgAAAGRycy9kb3du&#10;cmV2LnhtbFBLAQIUABQAAAAIAIdO4kDtEKi2bwIAAPkEAAAOAAAAAAAAAAEAIAAAACkBAABkcnMv&#10;ZTJvRG9jLnhtbFBLBQYAAAAABgAGAFkBAAAK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1009015</wp:posOffset>
                </wp:positionH>
                <wp:positionV relativeFrom="paragraph">
                  <wp:posOffset>831215</wp:posOffset>
                </wp:positionV>
                <wp:extent cx="1925320" cy="353695"/>
                <wp:effectExtent l="6350" t="6350" r="11430" b="20955"/>
                <wp:wrapNone/>
                <wp:docPr id="201" name="矩形 201"/>
                <wp:cNvGraphicFramePr/>
                <a:graphic xmlns:a="http://schemas.openxmlformats.org/drawingml/2006/main">
                  <a:graphicData uri="http://schemas.microsoft.com/office/word/2010/wordprocessingShape">
                    <wps:wsp>
                      <wps:cNvSpPr/>
                      <wps:spPr>
                        <a:xfrm>
                          <a:off x="0" y="0"/>
                          <a:ext cx="1925320" cy="35369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45pt;margin-top:65.45pt;height:27.85pt;width:151.6pt;z-index:251700224;v-text-anchor:middle;mso-width-relative:page;mso-height-relative:page;" fillcolor="#FFFFFF [3212]" filled="t" stroked="t" coordsize="21600,21600" o:gfxdata="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92cffYAAAACwEAAA8AAAAAAAAAAQAgAAAAIgAAAGRycy9kb3ducmV2Lnht&#10;bFBLAQIUABQAAAAIAIdO4kBWh0mCawIAAPgEAAAOAAAAAAAAAAEAIAAAACcBAABkcnMvZTJvRG9j&#10;LnhtbFBLBQYAAAAABgAGAFkBAAAEBgAAAAA=&#10;">
                <v:fill on="t" focussize="0,0"/>
                <v:stroke weight="1pt" color="#FFFFFF [3212]" miterlimit="8" joinstyle="miter"/>
                <v:imagedata o:title=""/>
                <o:lock v:ext="edit" aspectratio="f"/>
              </v:rect>
            </w:pict>
          </mc:Fallback>
        </mc:AlternateContent>
      </w:r>
      <w:r>
        <w:drawing>
          <wp:anchor distT="0" distB="0" distL="114300" distR="114300" simplePos="0" relativeHeight="251680768" behindDoc="0" locked="0" layoutInCell="1" allowOverlap="1">
            <wp:simplePos x="0" y="0"/>
            <wp:positionH relativeFrom="column">
              <wp:posOffset>-892810</wp:posOffset>
            </wp:positionH>
            <wp:positionV relativeFrom="paragraph">
              <wp:posOffset>-974090</wp:posOffset>
            </wp:positionV>
            <wp:extent cx="7564755" cy="10658475"/>
            <wp:effectExtent l="0" t="0" r="17145" b="9525"/>
            <wp:wrapNone/>
            <wp:docPr id="1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6"/>
                    <pic:cNvPicPr>
                      <a:picLocks noChangeAspect="1"/>
                    </pic:cNvPicPr>
                  </pic:nvPicPr>
                  <pic:blipFill>
                    <a:blip r:embed="rId13"/>
                    <a:stretch>
                      <a:fillRect/>
                    </a:stretch>
                  </pic:blipFill>
                  <pic:spPr>
                    <a:xfrm>
                      <a:off x="0" y="0"/>
                      <a:ext cx="7564755" cy="10658475"/>
                    </a:xfrm>
                    <a:prstGeom prst="rect">
                      <a:avLst/>
                    </a:prstGeom>
                    <a:noFill/>
                    <a:ln>
                      <a:noFill/>
                    </a:ln>
                  </pic:spPr>
                </pic:pic>
              </a:graphicData>
            </a:graphic>
          </wp:anchor>
        </w:drawing>
      </w:r>
      <w:r>
        <w:rPr>
          <w:rFonts w:hint="eastAsia"/>
        </w:rPr>
        <w:br w:type="page"/>
      </w:r>
    </w:p>
    <w:p w14:paraId="6D655746">
      <w:pPr>
        <w:rPr>
          <w:rFonts w:hint="eastAsia"/>
        </w:rPr>
      </w:pPr>
      <w:r>
        <w:rPr>
          <w:sz w:val="21"/>
        </w:rPr>
        <mc:AlternateContent>
          <mc:Choice Requires="wps">
            <w:drawing>
              <wp:anchor distT="0" distB="0" distL="114300" distR="114300" simplePos="0" relativeHeight="251704320" behindDoc="0" locked="0" layoutInCell="1" allowOverlap="1">
                <wp:simplePos x="0" y="0"/>
                <wp:positionH relativeFrom="column">
                  <wp:posOffset>1061720</wp:posOffset>
                </wp:positionH>
                <wp:positionV relativeFrom="paragraph">
                  <wp:posOffset>3836670</wp:posOffset>
                </wp:positionV>
                <wp:extent cx="1947545" cy="353695"/>
                <wp:effectExtent l="6350" t="6350" r="8255" b="20955"/>
                <wp:wrapNone/>
                <wp:docPr id="206" name="矩形 206"/>
                <wp:cNvGraphicFramePr/>
                <a:graphic xmlns:a="http://schemas.openxmlformats.org/drawingml/2006/main">
                  <a:graphicData uri="http://schemas.microsoft.com/office/word/2010/wordprocessingShape">
                    <wps:wsp>
                      <wps:cNvSpPr/>
                      <wps:spPr>
                        <a:xfrm>
                          <a:off x="0" y="0"/>
                          <a:ext cx="1947545" cy="35369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6pt;margin-top:302.1pt;height:27.85pt;width:153.35pt;z-index:251704320;v-text-anchor:middle;mso-width-relative:page;mso-height-relative:page;" fillcolor="#FFFFFF [3212]" filled="t" stroked="t" coordsize="21600,21600" o:gfxdata="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VachXaAAAACwEAAA8AAAAAAAAAAQAgAAAAIgAAAGRycy9kb3du&#10;cmV2LnhtbFBLAQIUABQAAAAIAIdO4kB6/O9qbwIAAPgEAAAOAAAAAAAAAAEAIAAAACkBAABkcnMv&#10;ZTJvRG9jLnhtbFBLBQYAAAAABgAGAFkBAAAK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703296" behindDoc="0" locked="0" layoutInCell="1" allowOverlap="1">
                <wp:simplePos x="0" y="0"/>
                <wp:positionH relativeFrom="column">
                  <wp:posOffset>807720</wp:posOffset>
                </wp:positionH>
                <wp:positionV relativeFrom="paragraph">
                  <wp:posOffset>3191510</wp:posOffset>
                </wp:positionV>
                <wp:extent cx="1534795" cy="353695"/>
                <wp:effectExtent l="6350" t="6350" r="20955" b="20955"/>
                <wp:wrapNone/>
                <wp:docPr id="205" name="矩形 205"/>
                <wp:cNvGraphicFramePr/>
                <a:graphic xmlns:a="http://schemas.openxmlformats.org/drawingml/2006/main">
                  <a:graphicData uri="http://schemas.microsoft.com/office/word/2010/wordprocessingShape">
                    <wps:wsp>
                      <wps:cNvSpPr/>
                      <wps:spPr>
                        <a:xfrm>
                          <a:off x="0" y="0"/>
                          <a:ext cx="1534795" cy="35369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6pt;margin-top:251.3pt;height:27.85pt;width:120.85pt;z-index:251703296;v-text-anchor:middle;mso-width-relative:page;mso-height-relative:page;" fillcolor="#FFFFFF [3212]" filled="t" stroked="t" coordsize="21600,21600" o:gfxdata="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1WDAtgAAAALAQAADwAAAAAAAAABACAAAAAiAAAAZHJzL2Rvd25yZXYu&#10;eG1sUEsBAhQAFAAAAAgAh07iQHT2lvBtAgAA+AQAAA4AAAAAAAAAAQAgAAAAJwEAAGRycy9lMm9E&#10;b2MueG1sUEsFBgAAAAAGAAYAWQEAAAY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702272" behindDoc="0" locked="0" layoutInCell="1" allowOverlap="1">
                <wp:simplePos x="0" y="0"/>
                <wp:positionH relativeFrom="column">
                  <wp:posOffset>4674235</wp:posOffset>
                </wp:positionH>
                <wp:positionV relativeFrom="paragraph">
                  <wp:posOffset>511175</wp:posOffset>
                </wp:positionV>
                <wp:extent cx="614045" cy="353695"/>
                <wp:effectExtent l="6350" t="6350" r="8255" b="20955"/>
                <wp:wrapNone/>
                <wp:docPr id="204" name="矩形 204"/>
                <wp:cNvGraphicFramePr/>
                <a:graphic xmlns:a="http://schemas.openxmlformats.org/drawingml/2006/main">
                  <a:graphicData uri="http://schemas.microsoft.com/office/word/2010/wordprocessingShape">
                    <wps:wsp>
                      <wps:cNvSpPr/>
                      <wps:spPr>
                        <a:xfrm>
                          <a:off x="0" y="0"/>
                          <a:ext cx="614045" cy="35369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8.05pt;margin-top:40.25pt;height:27.85pt;width:48.35pt;z-index:251702272;v-text-anchor:middle;mso-width-relative:page;mso-height-relative:page;" fillcolor="#FFFFFF [3212]" filled="t" stroked="t" coordsize="21600,21600" o:gfxdata="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PvpabdgAAAAKAQAADwAAAAAAAAABACAAAAAiAAAAZHJzL2Rvd25yZXYu&#10;eG1sUEsBAhQAFAAAAAgAh07iQLw0PJ1tAgAA9wQAAA4AAAAAAAAAAQAgAAAAJwEAAGRycy9lMm9E&#10;b2MueG1sUEsFBgAAAAAGAAYAWQEAAAYGAAAAAA==&#10;">
                <v:fill on="t" focussize="0,0"/>
                <v:stroke weight="1pt" color="#FFFFFF [3212]" miterlimit="8" joinstyle="miter"/>
                <v:imagedata o:title=""/>
                <o:lock v:ext="edit" aspectratio="f"/>
              </v:rect>
            </w:pict>
          </mc:Fallback>
        </mc:AlternateContent>
      </w:r>
      <w:r>
        <w:drawing>
          <wp:anchor distT="0" distB="0" distL="114300" distR="114300" simplePos="0" relativeHeight="251681792" behindDoc="0" locked="0" layoutInCell="1" allowOverlap="1">
            <wp:simplePos x="0" y="0"/>
            <wp:positionH relativeFrom="column">
              <wp:posOffset>-904875</wp:posOffset>
            </wp:positionH>
            <wp:positionV relativeFrom="paragraph">
              <wp:posOffset>-997585</wp:posOffset>
            </wp:positionV>
            <wp:extent cx="7565390" cy="10684510"/>
            <wp:effectExtent l="0" t="0" r="16510" b="2540"/>
            <wp:wrapNone/>
            <wp:docPr id="1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7"/>
                    <pic:cNvPicPr>
                      <a:picLocks noChangeAspect="1"/>
                    </pic:cNvPicPr>
                  </pic:nvPicPr>
                  <pic:blipFill>
                    <a:blip r:embed="rId14"/>
                    <a:stretch>
                      <a:fillRect/>
                    </a:stretch>
                  </pic:blipFill>
                  <pic:spPr>
                    <a:xfrm>
                      <a:off x="0" y="0"/>
                      <a:ext cx="7565390" cy="10684510"/>
                    </a:xfrm>
                    <a:prstGeom prst="rect">
                      <a:avLst/>
                    </a:prstGeom>
                    <a:noFill/>
                    <a:ln>
                      <a:noFill/>
                    </a:ln>
                  </pic:spPr>
                </pic:pic>
              </a:graphicData>
            </a:graphic>
          </wp:anchor>
        </w:drawing>
      </w:r>
      <w:r>
        <w:rPr>
          <w:rFonts w:hint="eastAsia"/>
        </w:rPr>
        <w:br w:type="page"/>
      </w:r>
    </w:p>
    <w:p w14:paraId="31045B7A">
      <w:pPr>
        <w:rPr>
          <w:rFonts w:hint="eastAsia"/>
        </w:rPr>
      </w:pPr>
      <w:r>
        <w:rPr>
          <w:sz w:val="21"/>
        </w:rPr>
        <mc:AlternateContent>
          <mc:Choice Requires="wps">
            <w:drawing>
              <wp:anchor distT="0" distB="0" distL="114300" distR="114300" simplePos="0" relativeHeight="251706368" behindDoc="0" locked="0" layoutInCell="1" allowOverlap="1">
                <wp:simplePos x="0" y="0"/>
                <wp:positionH relativeFrom="column">
                  <wp:posOffset>3263900</wp:posOffset>
                </wp:positionH>
                <wp:positionV relativeFrom="paragraph">
                  <wp:posOffset>5361305</wp:posOffset>
                </wp:positionV>
                <wp:extent cx="381635" cy="1877060"/>
                <wp:effectExtent l="6350" t="6350" r="12065" b="21590"/>
                <wp:wrapNone/>
                <wp:docPr id="208" name="矩形 208"/>
                <wp:cNvGraphicFramePr/>
                <a:graphic xmlns:a="http://schemas.openxmlformats.org/drawingml/2006/main">
                  <a:graphicData uri="http://schemas.microsoft.com/office/word/2010/wordprocessingShape">
                    <wps:wsp>
                      <wps:cNvSpPr/>
                      <wps:spPr>
                        <a:xfrm>
                          <a:off x="0" y="0"/>
                          <a:ext cx="381635" cy="187706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7pt;margin-top:422.15pt;height:147.8pt;width:30.05pt;z-index:251706368;v-text-anchor:middle;mso-width-relative:page;mso-height-relative:page;" fillcolor="#FFFFFF [3212]" filled="t" stroked="t" coordsize="21600,21600" o:gfxdata="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5R+cp2wAAAAwBAAAPAAAAAAAAAAEAIAAAACIAAABkcnMvZG93&#10;bnJldi54bWxQSwECFAAUAAAACACHTuJAKGKCjG8CAAD4BAAADgAAAAAAAAABACAAAAAqAQAAZHJz&#10;L2Uyb0RvYy54bWxQSwUGAAAAAAYABgBZAQAACw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705344" behindDoc="0" locked="0" layoutInCell="1" allowOverlap="1">
                <wp:simplePos x="0" y="0"/>
                <wp:positionH relativeFrom="column">
                  <wp:posOffset>1559560</wp:posOffset>
                </wp:positionH>
                <wp:positionV relativeFrom="paragraph">
                  <wp:posOffset>6853555</wp:posOffset>
                </wp:positionV>
                <wp:extent cx="381635" cy="1602740"/>
                <wp:effectExtent l="6350" t="6350" r="12065" b="10160"/>
                <wp:wrapNone/>
                <wp:docPr id="207" name="矩形 207"/>
                <wp:cNvGraphicFramePr/>
                <a:graphic xmlns:a="http://schemas.openxmlformats.org/drawingml/2006/main">
                  <a:graphicData uri="http://schemas.microsoft.com/office/word/2010/wordprocessingShape">
                    <wps:wsp>
                      <wps:cNvSpPr/>
                      <wps:spPr>
                        <a:xfrm>
                          <a:off x="0" y="0"/>
                          <a:ext cx="381635" cy="160274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2.8pt;margin-top:539.65pt;height:126.2pt;width:30.05pt;z-index:251705344;v-text-anchor:middle;mso-width-relative:page;mso-height-relative:page;" fillcolor="#FFFFFF [3212]" filled="t" stroked="t" coordsize="21600,21600" o:gfxdata="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XZNfTNsAAAANAQAADwAAAAAAAAABACAAAAAiAAAAZHJzL2Rv&#10;d25yZXYueG1sUEsBAhQAFAAAAAgAh07iQKWgWV1wAgAA+AQAAA4AAAAAAAAAAQAgAAAAKgEAAGRy&#10;cy9lMm9Eb2MueG1sUEsFBgAAAAAGAAYAWQEAAAwGAAAAAA==&#10;">
                <v:fill on="t" focussize="0,0"/>
                <v:stroke weight="1pt" color="#FFFFFF [3212]" miterlimit="8" joinstyle="miter"/>
                <v:imagedata o:title=""/>
                <o:lock v:ext="edit" aspectratio="f"/>
              </v:rect>
            </w:pict>
          </mc:Fallback>
        </mc:AlternateContent>
      </w:r>
      <w:r>
        <w:drawing>
          <wp:anchor distT="0" distB="0" distL="114300" distR="114300" simplePos="0" relativeHeight="251682816" behindDoc="0" locked="0" layoutInCell="1" allowOverlap="1">
            <wp:simplePos x="0" y="0"/>
            <wp:positionH relativeFrom="column">
              <wp:posOffset>-893445</wp:posOffset>
            </wp:positionH>
            <wp:positionV relativeFrom="paragraph">
              <wp:posOffset>-990600</wp:posOffset>
            </wp:positionV>
            <wp:extent cx="7559675" cy="10650220"/>
            <wp:effectExtent l="0" t="0" r="3175" b="17780"/>
            <wp:wrapNone/>
            <wp:docPr id="1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8"/>
                    <pic:cNvPicPr>
                      <a:picLocks noChangeAspect="1"/>
                    </pic:cNvPicPr>
                  </pic:nvPicPr>
                  <pic:blipFill>
                    <a:blip r:embed="rId15"/>
                    <a:stretch>
                      <a:fillRect/>
                    </a:stretch>
                  </pic:blipFill>
                  <pic:spPr>
                    <a:xfrm>
                      <a:off x="0" y="0"/>
                      <a:ext cx="7559675" cy="10650220"/>
                    </a:xfrm>
                    <a:prstGeom prst="rect">
                      <a:avLst/>
                    </a:prstGeom>
                    <a:noFill/>
                    <a:ln>
                      <a:noFill/>
                    </a:ln>
                  </pic:spPr>
                </pic:pic>
              </a:graphicData>
            </a:graphic>
          </wp:anchor>
        </w:drawing>
      </w:r>
      <w:r>
        <w:rPr>
          <w:rFonts w:hint="eastAsia"/>
        </w:rPr>
        <w:br w:type="page"/>
      </w:r>
    </w:p>
    <w:p w14:paraId="7FEBE451">
      <w:pPr>
        <w:rPr>
          <w:rFonts w:hint="eastAsia"/>
        </w:rPr>
      </w:pPr>
      <w:r>
        <w:rPr>
          <w:sz w:val="21"/>
        </w:rPr>
        <mc:AlternateContent>
          <mc:Choice Requires="wps">
            <w:drawing>
              <wp:anchor distT="0" distB="0" distL="114300" distR="114300" simplePos="0" relativeHeight="251710464" behindDoc="0" locked="0" layoutInCell="1" allowOverlap="1">
                <wp:simplePos x="0" y="0"/>
                <wp:positionH relativeFrom="column">
                  <wp:posOffset>4681220</wp:posOffset>
                </wp:positionH>
                <wp:positionV relativeFrom="paragraph">
                  <wp:posOffset>6662420</wp:posOffset>
                </wp:positionV>
                <wp:extent cx="963295" cy="459105"/>
                <wp:effectExtent l="6350" t="6350" r="20955" b="10795"/>
                <wp:wrapNone/>
                <wp:docPr id="212" name="矩形 212"/>
                <wp:cNvGraphicFramePr/>
                <a:graphic xmlns:a="http://schemas.openxmlformats.org/drawingml/2006/main">
                  <a:graphicData uri="http://schemas.microsoft.com/office/word/2010/wordprocessingShape">
                    <wps:wsp>
                      <wps:cNvSpPr/>
                      <wps:spPr>
                        <a:xfrm>
                          <a:off x="0" y="0"/>
                          <a:ext cx="963295" cy="45910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8.6pt;margin-top:524.6pt;height:36.15pt;width:75.85pt;z-index:251710464;v-text-anchor:middle;mso-width-relative:page;mso-height-relative:page;" fillcolor="#FFFFFF [3212]" filled="t" stroked="t" coordsize="21600,21600" o:gfxdata="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thcd9NsAAAANAQAADwAAAAAAAAABACAAAAAiAAAAZHJzL2Rvd25y&#10;ZXYueG1sUEsBAhQAFAAAAAgAh07iQGyBZyZtAgAA9wQAAA4AAAAAAAAAAQAgAAAAKgEAAGRycy9l&#10;Mm9Eb2MueG1sUEsFBgAAAAAGAAYAWQEAAAk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709440" behindDoc="0" locked="0" layoutInCell="1" allowOverlap="1">
                <wp:simplePos x="0" y="0"/>
                <wp:positionH relativeFrom="column">
                  <wp:posOffset>2416175</wp:posOffset>
                </wp:positionH>
                <wp:positionV relativeFrom="paragraph">
                  <wp:posOffset>1413510</wp:posOffset>
                </wp:positionV>
                <wp:extent cx="1767205" cy="353695"/>
                <wp:effectExtent l="6350" t="6350" r="17145" b="20955"/>
                <wp:wrapNone/>
                <wp:docPr id="211" name="矩形 211"/>
                <wp:cNvGraphicFramePr/>
                <a:graphic xmlns:a="http://schemas.openxmlformats.org/drawingml/2006/main">
                  <a:graphicData uri="http://schemas.microsoft.com/office/word/2010/wordprocessingShape">
                    <wps:wsp>
                      <wps:cNvSpPr/>
                      <wps:spPr>
                        <a:xfrm>
                          <a:off x="0" y="0"/>
                          <a:ext cx="1767205" cy="35369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0.25pt;margin-top:111.3pt;height:27.85pt;width:139.15pt;z-index:251709440;v-text-anchor:middle;mso-width-relative:page;mso-height-relative:page;" fillcolor="#FFFFFF [3212]" filled="t" stroked="t" coordsize="21600,21600" o:gfxdata="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bDpJ92QAAAAsBAAAPAAAAAAAAAAEAIAAAACIAAABkcnMvZG93bnJl&#10;di54bWxQSwECFAAUAAAACACHTuJAh7jAr24CAAD4BAAADgAAAAAAAAABACAAAAAoAQAAZHJzL2Uy&#10;b0RvYy54bWxQSwUGAAAAAAYABgBZAQAACA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708416" behindDoc="0" locked="0" layoutInCell="1" allowOverlap="1">
                <wp:simplePos x="0" y="0"/>
                <wp:positionH relativeFrom="column">
                  <wp:posOffset>3284220</wp:posOffset>
                </wp:positionH>
                <wp:positionV relativeFrom="paragraph">
                  <wp:posOffset>630555</wp:posOffset>
                </wp:positionV>
                <wp:extent cx="1894205" cy="353695"/>
                <wp:effectExtent l="6350" t="6350" r="23495" b="20955"/>
                <wp:wrapNone/>
                <wp:docPr id="210" name="矩形 210"/>
                <wp:cNvGraphicFramePr/>
                <a:graphic xmlns:a="http://schemas.openxmlformats.org/drawingml/2006/main">
                  <a:graphicData uri="http://schemas.microsoft.com/office/word/2010/wordprocessingShape">
                    <wps:wsp>
                      <wps:cNvSpPr/>
                      <wps:spPr>
                        <a:xfrm>
                          <a:off x="0" y="0"/>
                          <a:ext cx="1894205" cy="35369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8.6pt;margin-top:49.65pt;height:27.85pt;width:149.15pt;z-index:251708416;v-text-anchor:middle;mso-width-relative:page;mso-height-relative:page;" fillcolor="#FFFFFF [3212]" filled="t" stroked="t" coordsize="21600,21600" o:gfxdata="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hsIh6dgAAAAKAQAADwAAAAAAAAABACAAAAAiAAAAZHJzL2Rvd25yZXYu&#10;eG1sUEsBAhQAFAAAAAgAh07iQIGZKmltAgAA+AQAAA4AAAAAAAAAAQAgAAAAJwEAAGRycy9lMm9E&#10;b2MueG1sUEsFBgAAAAAGAAYAWQEAAAY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707392" behindDoc="0" locked="0" layoutInCell="1" allowOverlap="1">
                <wp:simplePos x="0" y="0"/>
                <wp:positionH relativeFrom="column">
                  <wp:posOffset>1146175</wp:posOffset>
                </wp:positionH>
                <wp:positionV relativeFrom="paragraph">
                  <wp:posOffset>672465</wp:posOffset>
                </wp:positionV>
                <wp:extent cx="614045" cy="353695"/>
                <wp:effectExtent l="6350" t="6350" r="8255" b="20955"/>
                <wp:wrapNone/>
                <wp:docPr id="209" name="矩形 209"/>
                <wp:cNvGraphicFramePr/>
                <a:graphic xmlns:a="http://schemas.openxmlformats.org/drawingml/2006/main">
                  <a:graphicData uri="http://schemas.microsoft.com/office/word/2010/wordprocessingShape">
                    <wps:wsp>
                      <wps:cNvSpPr/>
                      <wps:spPr>
                        <a:xfrm>
                          <a:off x="0" y="0"/>
                          <a:ext cx="614045" cy="35369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25pt;margin-top:52.95pt;height:27.85pt;width:48.35pt;z-index:251707392;v-text-anchor:middle;mso-width-relative:page;mso-height-relative:page;" fillcolor="#FFFFFF [3212]" filled="t" stroked="t" coordsize="21600,21600" o:gfxdata="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iPYWA2QAAAAsBAAAPAAAAAAAAAAEAIAAAACIAAABkcnMvZG93bnJl&#10;di54bWxQSwECFAAUAAAACACHTuJAoNseEW4CAAD3BAAADgAAAAAAAAABACAAAAAoAQAAZHJzL2Uy&#10;b0RvYy54bWxQSwUGAAAAAAYABgBZAQAACAYAAAAA&#10;">
                <v:fill on="t" focussize="0,0"/>
                <v:stroke weight="1pt" color="#FFFFFF [3212]" miterlimit="8" joinstyle="miter"/>
                <v:imagedata o:title=""/>
                <o:lock v:ext="edit" aspectratio="f"/>
              </v:rect>
            </w:pict>
          </mc:Fallback>
        </mc:AlternateContent>
      </w:r>
      <w:r>
        <w:drawing>
          <wp:anchor distT="0" distB="0" distL="114300" distR="114300" simplePos="0" relativeHeight="251683840" behindDoc="0" locked="0" layoutInCell="1" allowOverlap="1">
            <wp:simplePos x="0" y="0"/>
            <wp:positionH relativeFrom="column">
              <wp:posOffset>-892810</wp:posOffset>
            </wp:positionH>
            <wp:positionV relativeFrom="paragraph">
              <wp:posOffset>-988695</wp:posOffset>
            </wp:positionV>
            <wp:extent cx="7548880" cy="10672445"/>
            <wp:effectExtent l="0" t="0" r="13970" b="14605"/>
            <wp:wrapNone/>
            <wp:docPr id="1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9"/>
                    <pic:cNvPicPr>
                      <a:picLocks noChangeAspect="1"/>
                    </pic:cNvPicPr>
                  </pic:nvPicPr>
                  <pic:blipFill>
                    <a:blip r:embed="rId16"/>
                    <a:stretch>
                      <a:fillRect/>
                    </a:stretch>
                  </pic:blipFill>
                  <pic:spPr>
                    <a:xfrm>
                      <a:off x="0" y="0"/>
                      <a:ext cx="7548880" cy="10672445"/>
                    </a:xfrm>
                    <a:prstGeom prst="rect">
                      <a:avLst/>
                    </a:prstGeom>
                    <a:noFill/>
                    <a:ln>
                      <a:noFill/>
                    </a:ln>
                  </pic:spPr>
                </pic:pic>
              </a:graphicData>
            </a:graphic>
          </wp:anchor>
        </w:drawing>
      </w:r>
      <w:r>
        <w:rPr>
          <w:rFonts w:hint="eastAsia"/>
        </w:rPr>
        <w:br w:type="page"/>
      </w:r>
    </w:p>
    <w:p w14:paraId="287F1506">
      <w:pPr>
        <w:spacing w:before="0" w:beforeLines="0" w:after="0" w:afterLines="0" w:line="240" w:lineRule="auto"/>
        <w:ind w:left="0" w:leftChars="0" w:right="0" w:rightChars="0" w:firstLine="0" w:firstLineChars="0"/>
        <w:jc w:val="center"/>
        <w:sectPr>
          <w:footerReference r:id="rId3" w:type="default"/>
          <w:pgSz w:w="11906" w:h="16838"/>
          <w:pgMar w:top="1587" w:right="1417" w:bottom="1587" w:left="1417" w:header="851" w:footer="992" w:gutter="0"/>
          <w:pgBorders>
            <w:top w:val="none" w:sz="0" w:space="0"/>
            <w:left w:val="none" w:sz="0" w:space="0"/>
            <w:bottom w:val="none" w:sz="0" w:space="0"/>
            <w:right w:val="none" w:sz="0" w:space="0"/>
          </w:pgBorders>
          <w:pgNumType w:fmt="upperRoman" w:start="1"/>
          <w:cols w:space="0" w:num="1"/>
          <w:rtlGutter w:val="0"/>
          <w:docGrid w:type="lines" w:linePitch="318" w:charSpace="0"/>
        </w:sectPr>
      </w:pPr>
      <w:r>
        <w:rPr>
          <w:sz w:val="21"/>
        </w:rPr>
        <mc:AlternateContent>
          <mc:Choice Requires="wps">
            <w:drawing>
              <wp:anchor distT="0" distB="0" distL="114300" distR="114300" simplePos="0" relativeHeight="251714560" behindDoc="0" locked="0" layoutInCell="1" allowOverlap="1">
                <wp:simplePos x="0" y="0"/>
                <wp:positionH relativeFrom="column">
                  <wp:posOffset>4522470</wp:posOffset>
                </wp:positionH>
                <wp:positionV relativeFrom="paragraph">
                  <wp:posOffset>6430010</wp:posOffset>
                </wp:positionV>
                <wp:extent cx="963295" cy="554990"/>
                <wp:effectExtent l="6350" t="6350" r="20955" b="10160"/>
                <wp:wrapNone/>
                <wp:docPr id="216" name="矩形 216"/>
                <wp:cNvGraphicFramePr/>
                <a:graphic xmlns:a="http://schemas.openxmlformats.org/drawingml/2006/main">
                  <a:graphicData uri="http://schemas.microsoft.com/office/word/2010/wordprocessingShape">
                    <wps:wsp>
                      <wps:cNvSpPr/>
                      <wps:spPr>
                        <a:xfrm>
                          <a:off x="0" y="0"/>
                          <a:ext cx="963295" cy="55499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6.1pt;margin-top:506.3pt;height:43.7pt;width:75.85pt;z-index:251714560;v-text-anchor:middle;mso-width-relative:page;mso-height-relative:page;" fillcolor="#FFFFFF [3212]" filled="t" stroked="t" coordsize="21600,21600" o:gfxdata="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3GQBhNkAAAANAQAADwAAAAAAAAABACAAAAAiAAAAZHJzL2Rvd25y&#10;ZXYueG1sUEsBAhQAFAAAAAgAh07iQEObE9BvAgAA9wQAAA4AAAAAAAAAAQAgAAAAKAEAAGRycy9l&#10;Mm9Eb2MueG1sUEsFBgAAAAAGAAYAWQEAAAk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713536" behindDoc="0" locked="0" layoutInCell="1" allowOverlap="1">
                <wp:simplePos x="0" y="0"/>
                <wp:positionH relativeFrom="column">
                  <wp:posOffset>2416175</wp:posOffset>
                </wp:positionH>
                <wp:positionV relativeFrom="paragraph">
                  <wp:posOffset>1392555</wp:posOffset>
                </wp:positionV>
                <wp:extent cx="1714500" cy="353695"/>
                <wp:effectExtent l="6350" t="6350" r="12700" b="20955"/>
                <wp:wrapNone/>
                <wp:docPr id="215" name="矩形 215"/>
                <wp:cNvGraphicFramePr/>
                <a:graphic xmlns:a="http://schemas.openxmlformats.org/drawingml/2006/main">
                  <a:graphicData uri="http://schemas.microsoft.com/office/word/2010/wordprocessingShape">
                    <wps:wsp>
                      <wps:cNvSpPr/>
                      <wps:spPr>
                        <a:xfrm>
                          <a:off x="0" y="0"/>
                          <a:ext cx="1714500" cy="35369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0.25pt;margin-top:109.65pt;height:27.85pt;width:135pt;z-index:251713536;v-text-anchor:middle;mso-width-relative:page;mso-height-relative:page;" fillcolor="#FFFFFF [3212]" filled="t" stroked="t" coordsize="21600,21600" o:gfxdata="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YNNQvYAAAACwEAAA8AAAAAAAAAAQAgAAAAIgAAAGRycy9kb3ducmV2&#10;LnhtbFBLAQIUABQAAAAIAIdO4kD94ZdsbgIAAPgEAAAOAAAAAAAAAAEAIAAAACcBAABkcnMvZTJv&#10;RG9jLnhtbFBLBQYAAAAABgAGAFkBAAAH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712512" behindDoc="0" locked="0" layoutInCell="1" allowOverlap="1">
                <wp:simplePos x="0" y="0"/>
                <wp:positionH relativeFrom="column">
                  <wp:posOffset>3295015</wp:posOffset>
                </wp:positionH>
                <wp:positionV relativeFrom="paragraph">
                  <wp:posOffset>735965</wp:posOffset>
                </wp:positionV>
                <wp:extent cx="1713865" cy="353695"/>
                <wp:effectExtent l="6350" t="6350" r="13335" b="20955"/>
                <wp:wrapNone/>
                <wp:docPr id="214" name="矩形 214"/>
                <wp:cNvGraphicFramePr/>
                <a:graphic xmlns:a="http://schemas.openxmlformats.org/drawingml/2006/main">
                  <a:graphicData uri="http://schemas.microsoft.com/office/word/2010/wordprocessingShape">
                    <wps:wsp>
                      <wps:cNvSpPr/>
                      <wps:spPr>
                        <a:xfrm>
                          <a:off x="0" y="0"/>
                          <a:ext cx="1713865" cy="35369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9.45pt;margin-top:57.95pt;height:27.85pt;width:134.95pt;z-index:251712512;v-text-anchor:middle;mso-width-relative:page;mso-height-relative:page;" fillcolor="#FFFFFF [3212]" filled="t" stroked="t" coordsize="21600,21600" o:gfxdata="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7Qutx2AAAAAsBAAAPAAAAAAAAAAEAIAAAACIAAABkcnMvZG93bnJl&#10;di54bWxQSwECFAAUAAAACACHTuJA4HQz9W8CAAD4BAAADgAAAAAAAAABACAAAAAnAQAAZHJzL2Uy&#10;b0RvYy54bWxQSwUGAAAAAAYABgBZAQAACA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711488" behindDoc="0" locked="0" layoutInCell="1" allowOverlap="1">
                <wp:simplePos x="0" y="0"/>
                <wp:positionH relativeFrom="column">
                  <wp:posOffset>1177925</wp:posOffset>
                </wp:positionH>
                <wp:positionV relativeFrom="paragraph">
                  <wp:posOffset>725170</wp:posOffset>
                </wp:positionV>
                <wp:extent cx="614045" cy="353695"/>
                <wp:effectExtent l="6350" t="6350" r="8255" b="20955"/>
                <wp:wrapNone/>
                <wp:docPr id="213" name="矩形 213"/>
                <wp:cNvGraphicFramePr/>
                <a:graphic xmlns:a="http://schemas.openxmlformats.org/drawingml/2006/main">
                  <a:graphicData uri="http://schemas.microsoft.com/office/word/2010/wordprocessingShape">
                    <wps:wsp>
                      <wps:cNvSpPr/>
                      <wps:spPr>
                        <a:xfrm>
                          <a:off x="0" y="0"/>
                          <a:ext cx="614045" cy="35369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75pt;margin-top:57.1pt;height:27.85pt;width:48.35pt;z-index:251711488;v-text-anchor:middle;mso-width-relative:page;mso-height-relative:page;" fillcolor="#FFFFFF [3212]" filled="t" stroked="t" coordsize="21600,21600" o:gfxdata="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Hc11rXYAAAACwEAAA8AAAAAAAAAAQAgAAAAIgAAAGRycy9kb3ducmV2&#10;LnhtbFBLAQIUABQAAAAIAIdO4kC2GjIybgIAAPcEAAAOAAAAAAAAAAEAIAAAACcBAABkcnMvZTJv&#10;RG9jLnhtbFBLBQYAAAAABgAGAFkBAAAHBgAAAAA=&#10;">
                <v:fill on="t" focussize="0,0"/>
                <v:stroke weight="1pt" color="#FFFFFF [3212]" miterlimit="8" joinstyle="miter"/>
                <v:imagedata o:title=""/>
                <o:lock v:ext="edit" aspectratio="f"/>
              </v:rect>
            </w:pict>
          </mc:Fallback>
        </mc:AlternateContent>
      </w:r>
      <w:r>
        <w:drawing>
          <wp:anchor distT="0" distB="0" distL="114300" distR="114300" simplePos="0" relativeHeight="251684864" behindDoc="0" locked="0" layoutInCell="1" allowOverlap="1">
            <wp:simplePos x="0" y="0"/>
            <wp:positionH relativeFrom="column">
              <wp:posOffset>-904875</wp:posOffset>
            </wp:positionH>
            <wp:positionV relativeFrom="paragraph">
              <wp:posOffset>-992505</wp:posOffset>
            </wp:positionV>
            <wp:extent cx="7538720" cy="10644505"/>
            <wp:effectExtent l="0" t="0" r="5080" b="4445"/>
            <wp:wrapNone/>
            <wp:docPr id="1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0"/>
                    <pic:cNvPicPr>
                      <a:picLocks noChangeAspect="1"/>
                    </pic:cNvPicPr>
                  </pic:nvPicPr>
                  <pic:blipFill>
                    <a:blip r:embed="rId17"/>
                    <a:stretch>
                      <a:fillRect/>
                    </a:stretch>
                  </pic:blipFill>
                  <pic:spPr>
                    <a:xfrm>
                      <a:off x="0" y="0"/>
                      <a:ext cx="7538720" cy="10644505"/>
                    </a:xfrm>
                    <a:prstGeom prst="rect">
                      <a:avLst/>
                    </a:prstGeom>
                    <a:noFill/>
                    <a:ln>
                      <a:noFill/>
                    </a:ln>
                  </pic:spPr>
                </pic:pic>
              </a:graphicData>
            </a:graphic>
          </wp:anchor>
        </w:drawing>
      </w:r>
    </w:p>
    <w:p w14:paraId="2BD7DDB9">
      <w:pPr>
        <w:spacing w:before="0" w:beforeLines="0" w:after="0" w:afterLines="0" w:line="240" w:lineRule="auto"/>
        <w:ind w:left="0" w:leftChars="0" w:right="0" w:rightChars="0" w:firstLine="0" w:firstLineChars="0"/>
        <w:jc w:val="center"/>
        <w:rPr>
          <w:rFonts w:hint="eastAsia" w:ascii="黑体" w:hAnsi="黑体" w:eastAsia="黑体" w:cs="黑体"/>
          <w:b/>
          <w:bCs/>
          <w:sz w:val="36"/>
          <w:szCs w:val="36"/>
        </w:rPr>
      </w:pPr>
      <w:r>
        <w:rPr>
          <w:rFonts w:hint="eastAsia" w:ascii="黑体" w:hAnsi="黑体" w:eastAsia="黑体" w:cs="黑体"/>
          <w:b/>
          <w:bCs/>
          <w:sz w:val="36"/>
          <w:szCs w:val="36"/>
        </w:rPr>
        <w:t>目</w:t>
      </w:r>
      <w:r>
        <w:rPr>
          <w:rFonts w:hint="eastAsia" w:ascii="黑体" w:hAnsi="黑体" w:eastAsia="黑体" w:cs="黑体"/>
          <w:b/>
          <w:bCs/>
          <w:sz w:val="36"/>
          <w:szCs w:val="36"/>
          <w:lang w:val="en-US" w:eastAsia="zh-CN"/>
        </w:rPr>
        <w:t xml:space="preserve">  </w:t>
      </w:r>
      <w:r>
        <w:rPr>
          <w:rFonts w:hint="eastAsia" w:ascii="黑体" w:hAnsi="黑体" w:eastAsia="黑体" w:cs="黑体"/>
          <w:b/>
          <w:bCs/>
          <w:sz w:val="36"/>
          <w:szCs w:val="36"/>
        </w:rPr>
        <w:t>录</w:t>
      </w:r>
    </w:p>
    <w:p w14:paraId="43701C4B">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fldChar w:fldCharType="begin"/>
      </w:r>
      <w:r>
        <w:instrText xml:space="preserve">TOC \o "1-3" \h \u </w:instrText>
      </w:r>
      <w:r>
        <w:fldChar w:fldCharType="separate"/>
      </w:r>
      <w:r>
        <w:rPr>
          <w:sz w:val="24"/>
          <w:szCs w:val="24"/>
        </w:rPr>
        <w:fldChar w:fldCharType="begin"/>
      </w:r>
      <w:r>
        <w:rPr>
          <w:sz w:val="24"/>
          <w:szCs w:val="24"/>
        </w:rPr>
        <w:instrText xml:space="preserve"> HYPERLINK \l _Toc29490 </w:instrText>
      </w:r>
      <w:r>
        <w:rPr>
          <w:sz w:val="24"/>
          <w:szCs w:val="24"/>
        </w:rPr>
        <w:fldChar w:fldCharType="separate"/>
      </w:r>
      <w:r>
        <w:rPr>
          <w:rFonts w:hint="default" w:ascii="Times New Roman" w:hAnsi="Times New Roman" w:eastAsia="黑体" w:cs="Times New Roman"/>
          <w:snapToGrid w:val="0"/>
          <w:sz w:val="24"/>
          <w:szCs w:val="24"/>
          <w:lang w:val="en-US" w:eastAsia="zh-CN"/>
        </w:rPr>
        <w:t>一、建设项目基本情况</w:t>
      </w:r>
      <w:r>
        <w:rPr>
          <w:sz w:val="24"/>
          <w:szCs w:val="24"/>
        </w:rPr>
        <w:tab/>
      </w:r>
      <w:r>
        <w:rPr>
          <w:sz w:val="24"/>
          <w:szCs w:val="24"/>
        </w:rPr>
        <w:fldChar w:fldCharType="begin"/>
      </w:r>
      <w:r>
        <w:rPr>
          <w:sz w:val="24"/>
          <w:szCs w:val="24"/>
        </w:rPr>
        <w:instrText xml:space="preserve"> PAGEREF _Toc29490 \h </w:instrText>
      </w:r>
      <w:r>
        <w:rPr>
          <w:sz w:val="24"/>
          <w:szCs w:val="24"/>
        </w:rPr>
        <w:fldChar w:fldCharType="separate"/>
      </w:r>
      <w:r>
        <w:rPr>
          <w:sz w:val="24"/>
          <w:szCs w:val="24"/>
        </w:rPr>
        <w:t>1</w:t>
      </w:r>
      <w:r>
        <w:rPr>
          <w:sz w:val="24"/>
          <w:szCs w:val="24"/>
        </w:rPr>
        <w:fldChar w:fldCharType="end"/>
      </w:r>
      <w:r>
        <w:rPr>
          <w:sz w:val="24"/>
          <w:szCs w:val="24"/>
        </w:rPr>
        <w:fldChar w:fldCharType="end"/>
      </w:r>
    </w:p>
    <w:p w14:paraId="421FF3F7">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_Toc8447 </w:instrText>
      </w:r>
      <w:r>
        <w:rPr>
          <w:sz w:val="24"/>
          <w:szCs w:val="24"/>
        </w:rPr>
        <w:fldChar w:fldCharType="separate"/>
      </w:r>
      <w:r>
        <w:rPr>
          <w:rFonts w:hint="default" w:ascii="Times New Roman" w:hAnsi="Times New Roman" w:eastAsia="黑体" w:cs="Times New Roman"/>
          <w:snapToGrid w:val="0"/>
          <w:sz w:val="24"/>
          <w:szCs w:val="24"/>
          <w:highlight w:val="none"/>
          <w:lang w:val="en-US" w:eastAsia="zh-CN"/>
        </w:rPr>
        <w:t>二、建设项目工程分析</w:t>
      </w:r>
      <w:r>
        <w:rPr>
          <w:sz w:val="24"/>
          <w:szCs w:val="24"/>
        </w:rPr>
        <w:tab/>
      </w:r>
      <w:r>
        <w:rPr>
          <w:sz w:val="24"/>
          <w:szCs w:val="24"/>
        </w:rPr>
        <w:fldChar w:fldCharType="begin"/>
      </w:r>
      <w:r>
        <w:rPr>
          <w:sz w:val="24"/>
          <w:szCs w:val="24"/>
        </w:rPr>
        <w:instrText xml:space="preserve"> PAGEREF _Toc8447 \h </w:instrText>
      </w:r>
      <w:r>
        <w:rPr>
          <w:sz w:val="24"/>
          <w:szCs w:val="24"/>
        </w:rPr>
        <w:fldChar w:fldCharType="separate"/>
      </w:r>
      <w:r>
        <w:rPr>
          <w:sz w:val="24"/>
          <w:szCs w:val="24"/>
        </w:rPr>
        <w:t>27</w:t>
      </w:r>
      <w:r>
        <w:rPr>
          <w:sz w:val="24"/>
          <w:szCs w:val="24"/>
        </w:rPr>
        <w:fldChar w:fldCharType="end"/>
      </w:r>
      <w:r>
        <w:rPr>
          <w:sz w:val="24"/>
          <w:szCs w:val="24"/>
        </w:rPr>
        <w:fldChar w:fldCharType="end"/>
      </w:r>
    </w:p>
    <w:p w14:paraId="37783A1C">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_Toc7822 </w:instrText>
      </w:r>
      <w:r>
        <w:rPr>
          <w:sz w:val="24"/>
          <w:szCs w:val="24"/>
        </w:rPr>
        <w:fldChar w:fldCharType="separate"/>
      </w:r>
      <w:r>
        <w:rPr>
          <w:rFonts w:hint="default" w:ascii="Times New Roman" w:hAnsi="Times New Roman" w:eastAsia="宋体" w:cs="Times New Roman"/>
          <w:sz w:val="24"/>
          <w:szCs w:val="24"/>
          <w:highlight w:val="none"/>
          <w:lang w:val="en-US" w:eastAsia="zh-CN"/>
        </w:rPr>
        <w:t>2.1 项目由来</w:t>
      </w:r>
      <w:r>
        <w:rPr>
          <w:sz w:val="24"/>
          <w:szCs w:val="24"/>
        </w:rPr>
        <w:tab/>
      </w:r>
      <w:r>
        <w:rPr>
          <w:sz w:val="24"/>
          <w:szCs w:val="24"/>
        </w:rPr>
        <w:fldChar w:fldCharType="begin"/>
      </w:r>
      <w:r>
        <w:rPr>
          <w:sz w:val="24"/>
          <w:szCs w:val="24"/>
        </w:rPr>
        <w:instrText xml:space="preserve"> PAGEREF _Toc7822 \h </w:instrText>
      </w:r>
      <w:r>
        <w:rPr>
          <w:sz w:val="24"/>
          <w:szCs w:val="24"/>
        </w:rPr>
        <w:fldChar w:fldCharType="separate"/>
      </w:r>
      <w:r>
        <w:rPr>
          <w:sz w:val="24"/>
          <w:szCs w:val="24"/>
        </w:rPr>
        <w:t>27</w:t>
      </w:r>
      <w:r>
        <w:rPr>
          <w:sz w:val="24"/>
          <w:szCs w:val="24"/>
        </w:rPr>
        <w:fldChar w:fldCharType="end"/>
      </w:r>
      <w:r>
        <w:rPr>
          <w:sz w:val="24"/>
          <w:szCs w:val="24"/>
        </w:rPr>
        <w:fldChar w:fldCharType="end"/>
      </w:r>
    </w:p>
    <w:p w14:paraId="5AEBFF4F">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_Toc12846 </w:instrText>
      </w:r>
      <w:r>
        <w:rPr>
          <w:sz w:val="24"/>
          <w:szCs w:val="24"/>
        </w:rPr>
        <w:fldChar w:fldCharType="separate"/>
      </w:r>
      <w:r>
        <w:rPr>
          <w:rFonts w:hint="eastAsia" w:ascii="Times New Roman" w:hAnsi="Times New Roman" w:eastAsia="宋体" w:cs="Times New Roman"/>
          <w:sz w:val="24"/>
          <w:szCs w:val="24"/>
          <w:highlight w:val="none"/>
          <w:lang w:val="en-US" w:eastAsia="zh-CN"/>
        </w:rPr>
        <w:t>2.2</w:t>
      </w:r>
      <w:r>
        <w:rPr>
          <w:rFonts w:hint="eastAsia" w:cs="Times New Roman"/>
          <w:sz w:val="24"/>
          <w:szCs w:val="24"/>
          <w:highlight w:val="none"/>
          <w:lang w:val="en-US" w:eastAsia="zh-CN"/>
        </w:rPr>
        <w:t xml:space="preserve"> </w:t>
      </w:r>
      <w:r>
        <w:rPr>
          <w:rFonts w:hint="eastAsia" w:ascii="Times New Roman" w:hAnsi="Times New Roman" w:eastAsia="宋体" w:cs="Times New Roman"/>
          <w:sz w:val="24"/>
          <w:szCs w:val="24"/>
          <w:highlight w:val="none"/>
          <w:lang w:val="en-US" w:eastAsia="zh-CN"/>
        </w:rPr>
        <w:t>工程概况</w:t>
      </w:r>
      <w:r>
        <w:rPr>
          <w:sz w:val="24"/>
          <w:szCs w:val="24"/>
        </w:rPr>
        <w:tab/>
      </w:r>
      <w:r>
        <w:rPr>
          <w:sz w:val="24"/>
          <w:szCs w:val="24"/>
        </w:rPr>
        <w:fldChar w:fldCharType="begin"/>
      </w:r>
      <w:r>
        <w:rPr>
          <w:sz w:val="24"/>
          <w:szCs w:val="24"/>
        </w:rPr>
        <w:instrText xml:space="preserve"> PAGEREF _Toc12846 \h </w:instrText>
      </w:r>
      <w:r>
        <w:rPr>
          <w:sz w:val="24"/>
          <w:szCs w:val="24"/>
        </w:rPr>
        <w:fldChar w:fldCharType="separate"/>
      </w:r>
      <w:r>
        <w:rPr>
          <w:sz w:val="24"/>
          <w:szCs w:val="24"/>
        </w:rPr>
        <w:t>28</w:t>
      </w:r>
      <w:r>
        <w:rPr>
          <w:sz w:val="24"/>
          <w:szCs w:val="24"/>
        </w:rPr>
        <w:fldChar w:fldCharType="end"/>
      </w:r>
      <w:r>
        <w:rPr>
          <w:sz w:val="24"/>
          <w:szCs w:val="24"/>
        </w:rPr>
        <w:fldChar w:fldCharType="end"/>
      </w:r>
    </w:p>
    <w:p w14:paraId="3D7B0D10">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_Toc11991 </w:instrText>
      </w:r>
      <w:r>
        <w:rPr>
          <w:sz w:val="24"/>
          <w:szCs w:val="24"/>
        </w:rPr>
        <w:fldChar w:fldCharType="separate"/>
      </w:r>
      <w:r>
        <w:rPr>
          <w:rFonts w:hint="default" w:ascii="Times New Roman" w:hAnsi="Times New Roman" w:eastAsia="宋体" w:cs="Times New Roman"/>
          <w:bCs/>
          <w:sz w:val="24"/>
          <w:szCs w:val="24"/>
          <w:highlight w:val="none"/>
          <w:lang w:val="en-US" w:eastAsia="zh-CN"/>
        </w:rPr>
        <w:t>2.2.1 企业基本情况</w:t>
      </w:r>
      <w:r>
        <w:rPr>
          <w:sz w:val="24"/>
          <w:szCs w:val="24"/>
        </w:rPr>
        <w:tab/>
      </w:r>
      <w:r>
        <w:rPr>
          <w:sz w:val="24"/>
          <w:szCs w:val="24"/>
        </w:rPr>
        <w:fldChar w:fldCharType="begin"/>
      </w:r>
      <w:r>
        <w:rPr>
          <w:sz w:val="24"/>
          <w:szCs w:val="24"/>
        </w:rPr>
        <w:instrText xml:space="preserve"> PAGEREF _Toc11991 \h </w:instrText>
      </w:r>
      <w:r>
        <w:rPr>
          <w:sz w:val="24"/>
          <w:szCs w:val="24"/>
        </w:rPr>
        <w:fldChar w:fldCharType="separate"/>
      </w:r>
      <w:r>
        <w:rPr>
          <w:sz w:val="24"/>
          <w:szCs w:val="24"/>
        </w:rPr>
        <w:t>28</w:t>
      </w:r>
      <w:r>
        <w:rPr>
          <w:sz w:val="24"/>
          <w:szCs w:val="24"/>
        </w:rPr>
        <w:fldChar w:fldCharType="end"/>
      </w:r>
      <w:r>
        <w:rPr>
          <w:sz w:val="24"/>
          <w:szCs w:val="24"/>
        </w:rPr>
        <w:fldChar w:fldCharType="end"/>
      </w:r>
    </w:p>
    <w:p w14:paraId="7A89F4BC">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_Toc15596 </w:instrText>
      </w:r>
      <w:r>
        <w:rPr>
          <w:sz w:val="24"/>
          <w:szCs w:val="24"/>
        </w:rPr>
        <w:fldChar w:fldCharType="separate"/>
      </w:r>
      <w:r>
        <w:rPr>
          <w:rFonts w:hint="default" w:ascii="Times New Roman" w:hAnsi="Times New Roman" w:eastAsia="宋体" w:cs="Times New Roman"/>
          <w:bCs/>
          <w:sz w:val="24"/>
          <w:szCs w:val="24"/>
          <w:highlight w:val="none"/>
          <w:lang w:val="en-US" w:eastAsia="zh-CN"/>
        </w:rPr>
        <w:t>2.2.</w:t>
      </w:r>
      <w:r>
        <w:rPr>
          <w:rFonts w:hint="eastAsia" w:ascii="Times New Roman" w:hAnsi="Times New Roman" w:eastAsia="宋体" w:cs="Times New Roman"/>
          <w:bCs/>
          <w:sz w:val="24"/>
          <w:szCs w:val="24"/>
          <w:highlight w:val="none"/>
          <w:lang w:val="en-US" w:eastAsia="zh-CN"/>
        </w:rPr>
        <w:t>2</w:t>
      </w:r>
      <w:r>
        <w:rPr>
          <w:rFonts w:hint="default" w:ascii="Times New Roman" w:hAnsi="Times New Roman" w:eastAsia="宋体" w:cs="Times New Roman"/>
          <w:bCs/>
          <w:sz w:val="24"/>
          <w:szCs w:val="24"/>
          <w:highlight w:val="none"/>
          <w:lang w:val="en-US" w:eastAsia="zh-CN"/>
        </w:rPr>
        <w:t xml:space="preserve"> </w:t>
      </w:r>
      <w:r>
        <w:rPr>
          <w:rFonts w:hint="eastAsia" w:ascii="Times New Roman" w:hAnsi="Times New Roman" w:eastAsia="宋体" w:cs="Times New Roman"/>
          <w:bCs/>
          <w:sz w:val="24"/>
          <w:szCs w:val="24"/>
          <w:highlight w:val="none"/>
          <w:lang w:val="en-US" w:eastAsia="zh-CN"/>
        </w:rPr>
        <w:t>项目基本情况</w:t>
      </w:r>
      <w:r>
        <w:rPr>
          <w:sz w:val="24"/>
          <w:szCs w:val="24"/>
        </w:rPr>
        <w:tab/>
      </w:r>
      <w:r>
        <w:rPr>
          <w:sz w:val="24"/>
          <w:szCs w:val="24"/>
        </w:rPr>
        <w:fldChar w:fldCharType="begin"/>
      </w:r>
      <w:r>
        <w:rPr>
          <w:sz w:val="24"/>
          <w:szCs w:val="24"/>
        </w:rPr>
        <w:instrText xml:space="preserve"> PAGEREF _Toc15596 \h </w:instrText>
      </w:r>
      <w:r>
        <w:rPr>
          <w:sz w:val="24"/>
          <w:szCs w:val="24"/>
        </w:rPr>
        <w:fldChar w:fldCharType="separate"/>
      </w:r>
      <w:r>
        <w:rPr>
          <w:sz w:val="24"/>
          <w:szCs w:val="24"/>
        </w:rPr>
        <w:t>29</w:t>
      </w:r>
      <w:r>
        <w:rPr>
          <w:sz w:val="24"/>
          <w:szCs w:val="24"/>
        </w:rPr>
        <w:fldChar w:fldCharType="end"/>
      </w:r>
      <w:r>
        <w:rPr>
          <w:sz w:val="24"/>
          <w:szCs w:val="24"/>
        </w:rPr>
        <w:fldChar w:fldCharType="end"/>
      </w:r>
    </w:p>
    <w:p w14:paraId="746B8764">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_Toc18032 </w:instrText>
      </w:r>
      <w:r>
        <w:rPr>
          <w:sz w:val="24"/>
          <w:szCs w:val="24"/>
        </w:rPr>
        <w:fldChar w:fldCharType="separate"/>
      </w:r>
      <w:r>
        <w:rPr>
          <w:rFonts w:hint="default" w:ascii="Times New Roman" w:hAnsi="Times New Roman" w:eastAsia="宋体" w:cs="Times New Roman"/>
          <w:bCs/>
          <w:sz w:val="24"/>
          <w:szCs w:val="24"/>
          <w:highlight w:val="none"/>
          <w:lang w:val="en-US" w:eastAsia="zh-CN"/>
        </w:rPr>
        <w:t>2.2.</w:t>
      </w:r>
      <w:r>
        <w:rPr>
          <w:rFonts w:hint="default" w:cs="Times New Roman"/>
          <w:bCs/>
          <w:sz w:val="24"/>
          <w:szCs w:val="24"/>
          <w:highlight w:val="none"/>
          <w:lang w:val="en-US" w:eastAsia="zh-CN"/>
        </w:rPr>
        <w:t>3</w:t>
      </w:r>
      <w:r>
        <w:rPr>
          <w:rFonts w:hint="default" w:ascii="Times New Roman" w:hAnsi="Times New Roman" w:eastAsia="宋体" w:cs="Times New Roman"/>
          <w:bCs/>
          <w:sz w:val="24"/>
          <w:szCs w:val="24"/>
          <w:highlight w:val="none"/>
          <w:lang w:val="en-US" w:eastAsia="zh-CN"/>
        </w:rPr>
        <w:t xml:space="preserve"> </w:t>
      </w:r>
      <w:r>
        <w:rPr>
          <w:rFonts w:hint="eastAsia" w:ascii="Times New Roman" w:hAnsi="Times New Roman" w:eastAsia="宋体" w:cs="Times New Roman"/>
          <w:bCs/>
          <w:sz w:val="24"/>
          <w:szCs w:val="24"/>
          <w:highlight w:val="none"/>
          <w:lang w:val="en-US" w:eastAsia="zh-CN"/>
        </w:rPr>
        <w:t>项目工程组成及建设内容</w:t>
      </w:r>
      <w:r>
        <w:rPr>
          <w:sz w:val="24"/>
          <w:szCs w:val="24"/>
        </w:rPr>
        <w:tab/>
      </w:r>
      <w:r>
        <w:rPr>
          <w:sz w:val="24"/>
          <w:szCs w:val="24"/>
        </w:rPr>
        <w:fldChar w:fldCharType="begin"/>
      </w:r>
      <w:r>
        <w:rPr>
          <w:sz w:val="24"/>
          <w:szCs w:val="24"/>
        </w:rPr>
        <w:instrText xml:space="preserve"> PAGEREF _Toc18032 \h </w:instrText>
      </w:r>
      <w:r>
        <w:rPr>
          <w:sz w:val="24"/>
          <w:szCs w:val="24"/>
        </w:rPr>
        <w:fldChar w:fldCharType="separate"/>
      </w:r>
      <w:r>
        <w:rPr>
          <w:sz w:val="24"/>
          <w:szCs w:val="24"/>
        </w:rPr>
        <w:t>29</w:t>
      </w:r>
      <w:r>
        <w:rPr>
          <w:sz w:val="24"/>
          <w:szCs w:val="24"/>
        </w:rPr>
        <w:fldChar w:fldCharType="end"/>
      </w:r>
      <w:r>
        <w:rPr>
          <w:sz w:val="24"/>
          <w:szCs w:val="24"/>
        </w:rPr>
        <w:fldChar w:fldCharType="end"/>
      </w:r>
    </w:p>
    <w:p w14:paraId="39CB42D2">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_Toc3788 </w:instrText>
      </w:r>
      <w:r>
        <w:rPr>
          <w:sz w:val="24"/>
          <w:szCs w:val="24"/>
        </w:rPr>
        <w:fldChar w:fldCharType="separate"/>
      </w:r>
      <w:r>
        <w:rPr>
          <w:rFonts w:hint="default" w:ascii="Times New Roman" w:hAnsi="Times New Roman" w:eastAsia="宋体" w:cs="Times New Roman"/>
          <w:bCs/>
          <w:sz w:val="24"/>
          <w:szCs w:val="24"/>
          <w:highlight w:val="none"/>
          <w:lang w:val="en-US" w:eastAsia="zh-CN"/>
        </w:rPr>
        <w:t>2.2.</w:t>
      </w:r>
      <w:r>
        <w:rPr>
          <w:rFonts w:hint="default" w:cs="Times New Roman"/>
          <w:bCs/>
          <w:sz w:val="24"/>
          <w:szCs w:val="24"/>
          <w:highlight w:val="none"/>
          <w:lang w:val="en-US" w:eastAsia="zh-CN"/>
        </w:rPr>
        <w:t>4</w:t>
      </w:r>
      <w:r>
        <w:rPr>
          <w:rFonts w:hint="default" w:ascii="Times New Roman" w:hAnsi="Times New Roman" w:eastAsia="宋体" w:cs="Times New Roman"/>
          <w:bCs/>
          <w:sz w:val="24"/>
          <w:szCs w:val="24"/>
          <w:highlight w:val="none"/>
          <w:lang w:val="en-US" w:eastAsia="zh-CN"/>
        </w:rPr>
        <w:t xml:space="preserve"> </w:t>
      </w:r>
      <w:r>
        <w:rPr>
          <w:rFonts w:hint="eastAsia" w:ascii="Times New Roman" w:hAnsi="Times New Roman" w:eastAsia="宋体" w:cs="Times New Roman"/>
          <w:bCs/>
          <w:sz w:val="24"/>
          <w:szCs w:val="24"/>
          <w:highlight w:val="none"/>
          <w:lang w:val="en-US" w:eastAsia="zh-CN"/>
        </w:rPr>
        <w:t>项目工程组成及建设内容</w:t>
      </w:r>
      <w:r>
        <w:rPr>
          <w:sz w:val="24"/>
          <w:szCs w:val="24"/>
        </w:rPr>
        <w:tab/>
      </w:r>
      <w:r>
        <w:rPr>
          <w:sz w:val="24"/>
          <w:szCs w:val="24"/>
        </w:rPr>
        <w:fldChar w:fldCharType="begin"/>
      </w:r>
      <w:r>
        <w:rPr>
          <w:sz w:val="24"/>
          <w:szCs w:val="24"/>
        </w:rPr>
        <w:instrText xml:space="preserve"> PAGEREF _Toc3788 \h </w:instrText>
      </w:r>
      <w:r>
        <w:rPr>
          <w:sz w:val="24"/>
          <w:szCs w:val="24"/>
        </w:rPr>
        <w:fldChar w:fldCharType="separate"/>
      </w:r>
      <w:r>
        <w:rPr>
          <w:sz w:val="24"/>
          <w:szCs w:val="24"/>
        </w:rPr>
        <w:t>30</w:t>
      </w:r>
      <w:r>
        <w:rPr>
          <w:sz w:val="24"/>
          <w:szCs w:val="24"/>
        </w:rPr>
        <w:fldChar w:fldCharType="end"/>
      </w:r>
      <w:r>
        <w:rPr>
          <w:sz w:val="24"/>
          <w:szCs w:val="24"/>
        </w:rPr>
        <w:fldChar w:fldCharType="end"/>
      </w:r>
    </w:p>
    <w:p w14:paraId="1A2BB1A9">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_Toc18030 </w:instrText>
      </w:r>
      <w:r>
        <w:rPr>
          <w:sz w:val="24"/>
          <w:szCs w:val="24"/>
        </w:rPr>
        <w:fldChar w:fldCharType="separate"/>
      </w:r>
      <w:r>
        <w:rPr>
          <w:rFonts w:hint="default" w:ascii="Times New Roman" w:hAnsi="Times New Roman" w:eastAsia="宋体" w:cs="Times New Roman"/>
          <w:bCs/>
          <w:sz w:val="24"/>
          <w:szCs w:val="24"/>
          <w:highlight w:val="none"/>
          <w:lang w:val="en-US" w:eastAsia="zh-CN"/>
        </w:rPr>
        <w:t>2.2.</w:t>
      </w:r>
      <w:r>
        <w:rPr>
          <w:rFonts w:hint="eastAsia" w:ascii="Times New Roman" w:hAnsi="Times New Roman" w:eastAsia="宋体" w:cs="Times New Roman"/>
          <w:bCs/>
          <w:sz w:val="24"/>
          <w:szCs w:val="24"/>
          <w:highlight w:val="none"/>
          <w:lang w:val="en-US" w:eastAsia="zh-CN"/>
        </w:rPr>
        <w:t>5</w:t>
      </w:r>
      <w:r>
        <w:rPr>
          <w:rFonts w:hint="default" w:ascii="Times New Roman" w:hAnsi="Times New Roman" w:eastAsia="宋体" w:cs="Times New Roman"/>
          <w:bCs/>
          <w:sz w:val="24"/>
          <w:szCs w:val="24"/>
          <w:highlight w:val="none"/>
          <w:lang w:val="en-US" w:eastAsia="zh-CN"/>
        </w:rPr>
        <w:t xml:space="preserve"> </w:t>
      </w:r>
      <w:r>
        <w:rPr>
          <w:rFonts w:hint="eastAsia" w:ascii="Times New Roman" w:hAnsi="Times New Roman" w:eastAsia="宋体" w:cs="Times New Roman"/>
          <w:bCs/>
          <w:sz w:val="24"/>
          <w:szCs w:val="24"/>
          <w:highlight w:val="none"/>
          <w:lang w:val="en-US" w:eastAsia="zh-CN"/>
        </w:rPr>
        <w:t>主要生产设备</w:t>
      </w:r>
      <w:r>
        <w:rPr>
          <w:sz w:val="24"/>
          <w:szCs w:val="24"/>
        </w:rPr>
        <w:tab/>
      </w:r>
      <w:r>
        <w:rPr>
          <w:sz w:val="24"/>
          <w:szCs w:val="24"/>
        </w:rPr>
        <w:fldChar w:fldCharType="begin"/>
      </w:r>
      <w:r>
        <w:rPr>
          <w:sz w:val="24"/>
          <w:szCs w:val="24"/>
        </w:rPr>
        <w:instrText xml:space="preserve"> PAGEREF _Toc18030 \h </w:instrText>
      </w:r>
      <w:r>
        <w:rPr>
          <w:sz w:val="24"/>
          <w:szCs w:val="24"/>
        </w:rPr>
        <w:fldChar w:fldCharType="separate"/>
      </w:r>
      <w:r>
        <w:rPr>
          <w:sz w:val="24"/>
          <w:szCs w:val="24"/>
        </w:rPr>
        <w:t>31</w:t>
      </w:r>
      <w:r>
        <w:rPr>
          <w:sz w:val="24"/>
          <w:szCs w:val="24"/>
        </w:rPr>
        <w:fldChar w:fldCharType="end"/>
      </w:r>
      <w:r>
        <w:rPr>
          <w:sz w:val="24"/>
          <w:szCs w:val="24"/>
        </w:rPr>
        <w:fldChar w:fldCharType="end"/>
      </w:r>
    </w:p>
    <w:p w14:paraId="6901BE56">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_Toc28441 </w:instrText>
      </w:r>
      <w:r>
        <w:rPr>
          <w:sz w:val="24"/>
          <w:szCs w:val="24"/>
        </w:rPr>
        <w:fldChar w:fldCharType="separate"/>
      </w:r>
      <w:r>
        <w:rPr>
          <w:rFonts w:hint="default" w:ascii="Times New Roman" w:hAnsi="Times New Roman" w:eastAsia="宋体" w:cs="Times New Roman"/>
          <w:bCs/>
          <w:sz w:val="24"/>
          <w:szCs w:val="24"/>
          <w:highlight w:val="none"/>
          <w:lang w:val="en-US" w:eastAsia="zh-CN"/>
        </w:rPr>
        <w:t>2.2.</w:t>
      </w:r>
      <w:r>
        <w:rPr>
          <w:rFonts w:hint="eastAsia" w:ascii="Times New Roman" w:hAnsi="Times New Roman" w:eastAsia="宋体" w:cs="Times New Roman"/>
          <w:bCs/>
          <w:sz w:val="24"/>
          <w:szCs w:val="24"/>
          <w:highlight w:val="none"/>
          <w:lang w:val="en-US" w:eastAsia="zh-CN"/>
        </w:rPr>
        <w:t>6</w:t>
      </w:r>
      <w:r>
        <w:rPr>
          <w:rFonts w:hint="default" w:ascii="Times New Roman" w:hAnsi="Times New Roman" w:eastAsia="宋体" w:cs="Times New Roman"/>
          <w:bCs/>
          <w:sz w:val="24"/>
          <w:szCs w:val="24"/>
          <w:highlight w:val="none"/>
          <w:lang w:val="en-US" w:eastAsia="zh-CN"/>
        </w:rPr>
        <w:t xml:space="preserve"> </w:t>
      </w:r>
      <w:r>
        <w:rPr>
          <w:rFonts w:hint="eastAsia" w:ascii="Times New Roman" w:hAnsi="Times New Roman" w:eastAsia="宋体" w:cs="Times New Roman"/>
          <w:bCs/>
          <w:sz w:val="24"/>
          <w:szCs w:val="24"/>
          <w:highlight w:val="none"/>
          <w:lang w:val="en-US" w:eastAsia="zh-CN"/>
        </w:rPr>
        <w:t>项目主要原辅材料</w:t>
      </w:r>
      <w:r>
        <w:rPr>
          <w:sz w:val="24"/>
          <w:szCs w:val="24"/>
        </w:rPr>
        <w:tab/>
      </w:r>
      <w:r>
        <w:rPr>
          <w:sz w:val="24"/>
          <w:szCs w:val="24"/>
        </w:rPr>
        <w:fldChar w:fldCharType="begin"/>
      </w:r>
      <w:r>
        <w:rPr>
          <w:sz w:val="24"/>
          <w:szCs w:val="24"/>
        </w:rPr>
        <w:instrText xml:space="preserve"> PAGEREF _Toc28441 \h </w:instrText>
      </w:r>
      <w:r>
        <w:rPr>
          <w:sz w:val="24"/>
          <w:szCs w:val="24"/>
        </w:rPr>
        <w:fldChar w:fldCharType="separate"/>
      </w:r>
      <w:r>
        <w:rPr>
          <w:sz w:val="24"/>
          <w:szCs w:val="24"/>
        </w:rPr>
        <w:t>31</w:t>
      </w:r>
      <w:r>
        <w:rPr>
          <w:sz w:val="24"/>
          <w:szCs w:val="24"/>
        </w:rPr>
        <w:fldChar w:fldCharType="end"/>
      </w:r>
      <w:r>
        <w:rPr>
          <w:sz w:val="24"/>
          <w:szCs w:val="24"/>
        </w:rPr>
        <w:fldChar w:fldCharType="end"/>
      </w:r>
    </w:p>
    <w:p w14:paraId="27BF9025">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_Toc16723 </w:instrText>
      </w:r>
      <w:r>
        <w:rPr>
          <w:sz w:val="24"/>
          <w:szCs w:val="24"/>
        </w:rPr>
        <w:fldChar w:fldCharType="separate"/>
      </w:r>
      <w:r>
        <w:rPr>
          <w:rFonts w:hint="eastAsia" w:ascii="Times New Roman" w:hAnsi="Times New Roman" w:eastAsia="宋体" w:cs="Times New Roman"/>
          <w:bCs/>
          <w:sz w:val="24"/>
          <w:szCs w:val="24"/>
          <w:highlight w:val="none"/>
          <w:lang w:val="en-US" w:eastAsia="zh-CN"/>
        </w:rPr>
        <w:t>2.2.7</w:t>
      </w:r>
      <w:r>
        <w:rPr>
          <w:rFonts w:hint="eastAsia" w:cs="Times New Roman"/>
          <w:bCs/>
          <w:sz w:val="24"/>
          <w:szCs w:val="24"/>
          <w:highlight w:val="none"/>
          <w:lang w:val="en-US" w:eastAsia="zh-CN"/>
        </w:rPr>
        <w:t xml:space="preserve"> </w:t>
      </w:r>
      <w:r>
        <w:rPr>
          <w:rFonts w:hint="eastAsia" w:ascii="Times New Roman" w:hAnsi="Times New Roman" w:eastAsia="宋体" w:cs="Times New Roman"/>
          <w:bCs/>
          <w:sz w:val="24"/>
          <w:szCs w:val="24"/>
          <w:highlight w:val="none"/>
          <w:lang w:val="en-US" w:eastAsia="zh-CN"/>
        </w:rPr>
        <w:t>项目水平衡</w:t>
      </w:r>
      <w:r>
        <w:rPr>
          <w:sz w:val="24"/>
          <w:szCs w:val="24"/>
        </w:rPr>
        <w:tab/>
      </w:r>
      <w:r>
        <w:rPr>
          <w:sz w:val="24"/>
          <w:szCs w:val="24"/>
        </w:rPr>
        <w:fldChar w:fldCharType="begin"/>
      </w:r>
      <w:r>
        <w:rPr>
          <w:sz w:val="24"/>
          <w:szCs w:val="24"/>
        </w:rPr>
        <w:instrText xml:space="preserve"> PAGEREF _Toc16723 \h </w:instrText>
      </w:r>
      <w:r>
        <w:rPr>
          <w:sz w:val="24"/>
          <w:szCs w:val="24"/>
        </w:rPr>
        <w:fldChar w:fldCharType="separate"/>
      </w:r>
      <w:r>
        <w:rPr>
          <w:sz w:val="24"/>
          <w:szCs w:val="24"/>
        </w:rPr>
        <w:t>32</w:t>
      </w:r>
      <w:r>
        <w:rPr>
          <w:sz w:val="24"/>
          <w:szCs w:val="24"/>
        </w:rPr>
        <w:fldChar w:fldCharType="end"/>
      </w:r>
      <w:r>
        <w:rPr>
          <w:sz w:val="24"/>
          <w:szCs w:val="24"/>
        </w:rPr>
        <w:fldChar w:fldCharType="end"/>
      </w:r>
    </w:p>
    <w:p w14:paraId="75156B26">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_Toc29992 </w:instrText>
      </w:r>
      <w:r>
        <w:rPr>
          <w:sz w:val="24"/>
          <w:szCs w:val="24"/>
        </w:rPr>
        <w:fldChar w:fldCharType="separate"/>
      </w:r>
      <w:r>
        <w:rPr>
          <w:rFonts w:hint="eastAsia" w:ascii="Times New Roman" w:hAnsi="Times New Roman" w:eastAsia="宋体" w:cs="Times New Roman"/>
          <w:bCs/>
          <w:sz w:val="24"/>
          <w:szCs w:val="24"/>
          <w:highlight w:val="none"/>
          <w:lang w:val="en-US" w:eastAsia="zh-CN"/>
        </w:rPr>
        <w:t>2.2.8</w:t>
      </w:r>
      <w:r>
        <w:rPr>
          <w:rFonts w:hint="eastAsia" w:cs="Times New Roman"/>
          <w:bCs/>
          <w:sz w:val="24"/>
          <w:szCs w:val="24"/>
          <w:highlight w:val="none"/>
          <w:lang w:val="en-US" w:eastAsia="zh-CN"/>
        </w:rPr>
        <w:t xml:space="preserve"> </w:t>
      </w:r>
      <w:r>
        <w:rPr>
          <w:rFonts w:hint="eastAsia" w:ascii="Times New Roman" w:hAnsi="Times New Roman" w:eastAsia="宋体" w:cs="Times New Roman"/>
          <w:bCs/>
          <w:sz w:val="24"/>
          <w:szCs w:val="24"/>
          <w:highlight w:val="none"/>
          <w:lang w:val="en-US" w:eastAsia="zh-CN"/>
        </w:rPr>
        <w:t>项目平面布置合理性分析</w:t>
      </w:r>
      <w:r>
        <w:rPr>
          <w:sz w:val="24"/>
          <w:szCs w:val="24"/>
        </w:rPr>
        <w:tab/>
      </w:r>
      <w:r>
        <w:rPr>
          <w:sz w:val="24"/>
          <w:szCs w:val="24"/>
        </w:rPr>
        <w:fldChar w:fldCharType="begin"/>
      </w:r>
      <w:r>
        <w:rPr>
          <w:sz w:val="24"/>
          <w:szCs w:val="24"/>
        </w:rPr>
        <w:instrText xml:space="preserve"> PAGEREF _Toc29992 \h </w:instrText>
      </w:r>
      <w:r>
        <w:rPr>
          <w:sz w:val="24"/>
          <w:szCs w:val="24"/>
        </w:rPr>
        <w:fldChar w:fldCharType="separate"/>
      </w:r>
      <w:r>
        <w:rPr>
          <w:sz w:val="24"/>
          <w:szCs w:val="24"/>
        </w:rPr>
        <w:t>34</w:t>
      </w:r>
      <w:r>
        <w:rPr>
          <w:sz w:val="24"/>
          <w:szCs w:val="24"/>
        </w:rPr>
        <w:fldChar w:fldCharType="end"/>
      </w:r>
      <w:r>
        <w:rPr>
          <w:sz w:val="24"/>
          <w:szCs w:val="24"/>
        </w:rPr>
        <w:fldChar w:fldCharType="end"/>
      </w:r>
    </w:p>
    <w:p w14:paraId="7BB6EEA5">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_Toc27795 </w:instrText>
      </w:r>
      <w:r>
        <w:rPr>
          <w:sz w:val="24"/>
          <w:szCs w:val="24"/>
        </w:rPr>
        <w:fldChar w:fldCharType="separate"/>
      </w:r>
      <w:r>
        <w:rPr>
          <w:rFonts w:hint="eastAsia" w:ascii="Times New Roman" w:hAnsi="Times New Roman" w:eastAsia="宋体" w:cs="Times New Roman"/>
          <w:sz w:val="24"/>
          <w:szCs w:val="24"/>
          <w:lang w:val="en-US" w:eastAsia="zh-CN"/>
        </w:rPr>
        <w:t>2.3</w:t>
      </w:r>
      <w:r>
        <w:rPr>
          <w:rFonts w:hint="eastAsia" w:cs="Times New Roman"/>
          <w:sz w:val="24"/>
          <w:szCs w:val="24"/>
          <w:lang w:val="en-US" w:eastAsia="zh-CN"/>
        </w:rPr>
        <w:t xml:space="preserve"> </w:t>
      </w:r>
      <w:r>
        <w:rPr>
          <w:rFonts w:hint="eastAsia" w:ascii="Times New Roman" w:hAnsi="Times New Roman" w:cs="Times New Roman"/>
          <w:sz w:val="24"/>
          <w:szCs w:val="24"/>
          <w:lang w:val="en-US" w:eastAsia="zh-CN"/>
        </w:rPr>
        <w:t>项目</w:t>
      </w:r>
      <w:r>
        <w:rPr>
          <w:rFonts w:hint="eastAsia" w:ascii="Times New Roman" w:hAnsi="Times New Roman" w:eastAsia="宋体" w:cs="Times New Roman"/>
          <w:sz w:val="24"/>
          <w:szCs w:val="24"/>
          <w:lang w:val="en-US" w:eastAsia="zh-CN"/>
        </w:rPr>
        <w:t>生产工艺</w:t>
      </w:r>
      <w:r>
        <w:rPr>
          <w:rFonts w:hint="eastAsia" w:ascii="Times New Roman" w:hAnsi="Times New Roman" w:cs="Times New Roman"/>
          <w:sz w:val="24"/>
          <w:szCs w:val="24"/>
          <w:lang w:val="en-US" w:eastAsia="zh-CN"/>
        </w:rPr>
        <w:t>流程及产污环节</w:t>
      </w:r>
      <w:r>
        <w:rPr>
          <w:sz w:val="24"/>
          <w:szCs w:val="24"/>
        </w:rPr>
        <w:tab/>
      </w:r>
      <w:r>
        <w:rPr>
          <w:sz w:val="24"/>
          <w:szCs w:val="24"/>
        </w:rPr>
        <w:fldChar w:fldCharType="begin"/>
      </w:r>
      <w:r>
        <w:rPr>
          <w:sz w:val="24"/>
          <w:szCs w:val="24"/>
        </w:rPr>
        <w:instrText xml:space="preserve"> PAGEREF _Toc27795 \h </w:instrText>
      </w:r>
      <w:r>
        <w:rPr>
          <w:sz w:val="24"/>
          <w:szCs w:val="24"/>
        </w:rPr>
        <w:fldChar w:fldCharType="separate"/>
      </w:r>
      <w:r>
        <w:rPr>
          <w:sz w:val="24"/>
          <w:szCs w:val="24"/>
        </w:rPr>
        <w:t>34</w:t>
      </w:r>
      <w:r>
        <w:rPr>
          <w:sz w:val="24"/>
          <w:szCs w:val="24"/>
        </w:rPr>
        <w:fldChar w:fldCharType="end"/>
      </w:r>
      <w:r>
        <w:rPr>
          <w:sz w:val="24"/>
          <w:szCs w:val="24"/>
        </w:rPr>
        <w:fldChar w:fldCharType="end"/>
      </w:r>
    </w:p>
    <w:p w14:paraId="4756A34C">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_Toc22081 </w:instrText>
      </w:r>
      <w:r>
        <w:rPr>
          <w:sz w:val="24"/>
          <w:szCs w:val="24"/>
        </w:rPr>
        <w:fldChar w:fldCharType="separate"/>
      </w:r>
      <w:r>
        <w:rPr>
          <w:rFonts w:hint="eastAsia" w:ascii="Times New Roman" w:hAnsi="Times New Roman" w:eastAsia="宋体" w:cs="Times New Roman"/>
          <w:bCs/>
          <w:sz w:val="24"/>
          <w:szCs w:val="24"/>
          <w:lang w:val="en-US" w:eastAsia="zh-CN"/>
        </w:rPr>
        <w:t>2.3.1</w:t>
      </w:r>
      <w:r>
        <w:rPr>
          <w:rFonts w:hint="eastAsia" w:cs="Times New Roman"/>
          <w:bCs/>
          <w:sz w:val="24"/>
          <w:szCs w:val="24"/>
          <w:lang w:val="en-US" w:eastAsia="zh-CN"/>
        </w:rPr>
        <w:t xml:space="preserve"> </w:t>
      </w:r>
      <w:r>
        <w:rPr>
          <w:rFonts w:hint="eastAsia" w:ascii="Times New Roman" w:hAnsi="Times New Roman" w:eastAsia="宋体" w:cs="Times New Roman"/>
          <w:bCs/>
          <w:sz w:val="24"/>
          <w:szCs w:val="24"/>
          <w:lang w:val="en-US" w:eastAsia="zh-CN"/>
        </w:rPr>
        <w:t>项目工艺流程及工艺介绍</w:t>
      </w:r>
      <w:r>
        <w:rPr>
          <w:sz w:val="24"/>
          <w:szCs w:val="24"/>
        </w:rPr>
        <w:tab/>
      </w:r>
      <w:r>
        <w:rPr>
          <w:sz w:val="24"/>
          <w:szCs w:val="24"/>
        </w:rPr>
        <w:fldChar w:fldCharType="begin"/>
      </w:r>
      <w:r>
        <w:rPr>
          <w:sz w:val="24"/>
          <w:szCs w:val="24"/>
        </w:rPr>
        <w:instrText xml:space="preserve"> PAGEREF _Toc22081 \h </w:instrText>
      </w:r>
      <w:r>
        <w:rPr>
          <w:sz w:val="24"/>
          <w:szCs w:val="24"/>
        </w:rPr>
        <w:fldChar w:fldCharType="separate"/>
      </w:r>
      <w:r>
        <w:rPr>
          <w:sz w:val="24"/>
          <w:szCs w:val="24"/>
        </w:rPr>
        <w:t>34</w:t>
      </w:r>
      <w:r>
        <w:rPr>
          <w:sz w:val="24"/>
          <w:szCs w:val="24"/>
        </w:rPr>
        <w:fldChar w:fldCharType="end"/>
      </w:r>
      <w:r>
        <w:rPr>
          <w:sz w:val="24"/>
          <w:szCs w:val="24"/>
        </w:rPr>
        <w:fldChar w:fldCharType="end"/>
      </w:r>
    </w:p>
    <w:p w14:paraId="0DB2BBDD">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_Toc20308 </w:instrText>
      </w:r>
      <w:r>
        <w:rPr>
          <w:sz w:val="24"/>
          <w:szCs w:val="24"/>
        </w:rPr>
        <w:fldChar w:fldCharType="separate"/>
      </w:r>
      <w:r>
        <w:rPr>
          <w:rFonts w:hint="eastAsia" w:ascii="Times New Roman" w:hAnsi="Times New Roman" w:eastAsia="宋体" w:cs="Times New Roman"/>
          <w:bCs/>
          <w:sz w:val="24"/>
          <w:szCs w:val="24"/>
          <w:lang w:val="en-US" w:eastAsia="zh-CN"/>
        </w:rPr>
        <w:t>2.3.2</w:t>
      </w:r>
      <w:r>
        <w:rPr>
          <w:rFonts w:hint="eastAsia" w:cs="Times New Roman"/>
          <w:bCs/>
          <w:sz w:val="24"/>
          <w:szCs w:val="24"/>
          <w:lang w:val="en-US" w:eastAsia="zh-CN"/>
        </w:rPr>
        <w:t xml:space="preserve"> </w:t>
      </w:r>
      <w:r>
        <w:rPr>
          <w:rFonts w:hint="eastAsia" w:ascii="Times New Roman" w:hAnsi="Times New Roman" w:eastAsia="宋体" w:cs="Times New Roman"/>
          <w:bCs/>
          <w:sz w:val="24"/>
          <w:szCs w:val="24"/>
          <w:lang w:val="en-US" w:eastAsia="zh-CN"/>
        </w:rPr>
        <w:t>产污环节分析</w:t>
      </w:r>
      <w:r>
        <w:rPr>
          <w:sz w:val="24"/>
          <w:szCs w:val="24"/>
        </w:rPr>
        <w:tab/>
      </w:r>
      <w:r>
        <w:rPr>
          <w:sz w:val="24"/>
          <w:szCs w:val="24"/>
        </w:rPr>
        <w:fldChar w:fldCharType="begin"/>
      </w:r>
      <w:r>
        <w:rPr>
          <w:sz w:val="24"/>
          <w:szCs w:val="24"/>
        </w:rPr>
        <w:instrText xml:space="preserve"> PAGEREF _Toc20308 \h </w:instrText>
      </w:r>
      <w:r>
        <w:rPr>
          <w:sz w:val="24"/>
          <w:szCs w:val="24"/>
        </w:rPr>
        <w:fldChar w:fldCharType="separate"/>
      </w:r>
      <w:r>
        <w:rPr>
          <w:sz w:val="24"/>
          <w:szCs w:val="24"/>
        </w:rPr>
        <w:t>36</w:t>
      </w:r>
      <w:r>
        <w:rPr>
          <w:sz w:val="24"/>
          <w:szCs w:val="24"/>
        </w:rPr>
        <w:fldChar w:fldCharType="end"/>
      </w:r>
      <w:r>
        <w:rPr>
          <w:sz w:val="24"/>
          <w:szCs w:val="24"/>
        </w:rPr>
        <w:fldChar w:fldCharType="end"/>
      </w:r>
    </w:p>
    <w:p w14:paraId="2AD1451D">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_Toc4083 </w:instrText>
      </w:r>
      <w:r>
        <w:rPr>
          <w:sz w:val="24"/>
          <w:szCs w:val="24"/>
        </w:rPr>
        <w:fldChar w:fldCharType="separate"/>
      </w:r>
      <w:r>
        <w:rPr>
          <w:rFonts w:hint="default" w:ascii="Times New Roman" w:hAnsi="Times New Roman" w:eastAsia="黑体" w:cs="Times New Roman"/>
          <w:snapToGrid w:val="0"/>
          <w:sz w:val="24"/>
          <w:szCs w:val="24"/>
          <w:lang w:val="en-US" w:eastAsia="zh-CN"/>
        </w:rPr>
        <w:t>三、区域环境质量现状、环境保护目标及评价标准</w:t>
      </w:r>
      <w:r>
        <w:rPr>
          <w:sz w:val="24"/>
          <w:szCs w:val="24"/>
        </w:rPr>
        <w:tab/>
      </w:r>
      <w:r>
        <w:rPr>
          <w:sz w:val="24"/>
          <w:szCs w:val="24"/>
        </w:rPr>
        <w:fldChar w:fldCharType="begin"/>
      </w:r>
      <w:r>
        <w:rPr>
          <w:sz w:val="24"/>
          <w:szCs w:val="24"/>
        </w:rPr>
        <w:instrText xml:space="preserve"> PAGEREF _Toc4083 \h </w:instrText>
      </w:r>
      <w:r>
        <w:rPr>
          <w:sz w:val="24"/>
          <w:szCs w:val="24"/>
        </w:rPr>
        <w:fldChar w:fldCharType="separate"/>
      </w:r>
      <w:r>
        <w:rPr>
          <w:sz w:val="24"/>
          <w:szCs w:val="24"/>
        </w:rPr>
        <w:t>38</w:t>
      </w:r>
      <w:r>
        <w:rPr>
          <w:sz w:val="24"/>
          <w:szCs w:val="24"/>
        </w:rPr>
        <w:fldChar w:fldCharType="end"/>
      </w:r>
      <w:r>
        <w:rPr>
          <w:sz w:val="24"/>
          <w:szCs w:val="24"/>
        </w:rPr>
        <w:fldChar w:fldCharType="end"/>
      </w:r>
    </w:p>
    <w:p w14:paraId="09979703">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_Toc8193 </w:instrText>
      </w:r>
      <w:r>
        <w:rPr>
          <w:sz w:val="24"/>
          <w:szCs w:val="24"/>
        </w:rPr>
        <w:fldChar w:fldCharType="separate"/>
      </w:r>
      <w:r>
        <w:rPr>
          <w:rFonts w:hint="eastAsia" w:ascii="Times New Roman" w:hAnsi="Times New Roman" w:eastAsia="宋体" w:cs="Times New Roman"/>
          <w:sz w:val="24"/>
          <w:szCs w:val="24"/>
          <w:lang w:val="en-US" w:eastAsia="zh-CN"/>
        </w:rPr>
        <w:t>3.1</w:t>
      </w:r>
      <w:r>
        <w:rPr>
          <w:rFonts w:hint="eastAsia" w:cs="Times New Roman"/>
          <w:sz w:val="24"/>
          <w:szCs w:val="24"/>
          <w:lang w:val="en-US" w:eastAsia="zh-CN"/>
        </w:rPr>
        <w:t xml:space="preserve"> </w:t>
      </w:r>
      <w:r>
        <w:rPr>
          <w:rFonts w:hint="eastAsia" w:ascii="Times New Roman" w:hAnsi="Times New Roman" w:eastAsia="宋体" w:cs="Times New Roman"/>
          <w:sz w:val="24"/>
          <w:szCs w:val="24"/>
          <w:lang w:val="en-US" w:eastAsia="zh-CN"/>
        </w:rPr>
        <w:t>大气环境质量现状</w:t>
      </w:r>
      <w:r>
        <w:rPr>
          <w:sz w:val="24"/>
          <w:szCs w:val="24"/>
        </w:rPr>
        <w:tab/>
      </w:r>
      <w:r>
        <w:rPr>
          <w:sz w:val="24"/>
          <w:szCs w:val="24"/>
        </w:rPr>
        <w:fldChar w:fldCharType="begin"/>
      </w:r>
      <w:r>
        <w:rPr>
          <w:sz w:val="24"/>
          <w:szCs w:val="24"/>
        </w:rPr>
        <w:instrText xml:space="preserve"> PAGEREF _Toc8193 \h </w:instrText>
      </w:r>
      <w:r>
        <w:rPr>
          <w:sz w:val="24"/>
          <w:szCs w:val="24"/>
        </w:rPr>
        <w:fldChar w:fldCharType="separate"/>
      </w:r>
      <w:r>
        <w:rPr>
          <w:sz w:val="24"/>
          <w:szCs w:val="24"/>
        </w:rPr>
        <w:t>38</w:t>
      </w:r>
      <w:r>
        <w:rPr>
          <w:sz w:val="24"/>
          <w:szCs w:val="24"/>
        </w:rPr>
        <w:fldChar w:fldCharType="end"/>
      </w:r>
      <w:r>
        <w:rPr>
          <w:sz w:val="24"/>
          <w:szCs w:val="24"/>
        </w:rPr>
        <w:fldChar w:fldCharType="end"/>
      </w:r>
    </w:p>
    <w:p w14:paraId="2BF1F426">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_Toc14786 </w:instrText>
      </w:r>
      <w:r>
        <w:rPr>
          <w:sz w:val="24"/>
          <w:szCs w:val="24"/>
        </w:rPr>
        <w:fldChar w:fldCharType="separate"/>
      </w:r>
      <w:r>
        <w:rPr>
          <w:rFonts w:hint="eastAsia" w:ascii="Times New Roman" w:hAnsi="Times New Roman" w:eastAsia="宋体" w:cs="Times New Roman"/>
          <w:bCs/>
          <w:sz w:val="24"/>
          <w:szCs w:val="24"/>
          <w:lang w:val="en-US" w:eastAsia="zh-CN"/>
        </w:rPr>
        <w:t>3.1.1</w:t>
      </w:r>
      <w:r>
        <w:rPr>
          <w:rFonts w:hint="eastAsia" w:cs="Times New Roman"/>
          <w:bCs/>
          <w:sz w:val="24"/>
          <w:szCs w:val="24"/>
          <w:lang w:val="en-US" w:eastAsia="zh-CN"/>
        </w:rPr>
        <w:t xml:space="preserve"> </w:t>
      </w:r>
      <w:r>
        <w:rPr>
          <w:rFonts w:hint="eastAsia" w:ascii="Times New Roman" w:hAnsi="Times New Roman" w:eastAsia="宋体" w:cs="Times New Roman"/>
          <w:bCs/>
          <w:sz w:val="24"/>
          <w:szCs w:val="24"/>
          <w:lang w:val="en-US" w:eastAsia="zh-CN"/>
        </w:rPr>
        <w:t>环境空气质量功能区划</w:t>
      </w:r>
      <w:r>
        <w:rPr>
          <w:sz w:val="24"/>
          <w:szCs w:val="24"/>
        </w:rPr>
        <w:tab/>
      </w:r>
      <w:r>
        <w:rPr>
          <w:sz w:val="24"/>
          <w:szCs w:val="24"/>
        </w:rPr>
        <w:fldChar w:fldCharType="begin"/>
      </w:r>
      <w:r>
        <w:rPr>
          <w:sz w:val="24"/>
          <w:szCs w:val="24"/>
        </w:rPr>
        <w:instrText xml:space="preserve"> PAGEREF _Toc14786 \h </w:instrText>
      </w:r>
      <w:r>
        <w:rPr>
          <w:sz w:val="24"/>
          <w:szCs w:val="24"/>
        </w:rPr>
        <w:fldChar w:fldCharType="separate"/>
      </w:r>
      <w:r>
        <w:rPr>
          <w:sz w:val="24"/>
          <w:szCs w:val="24"/>
        </w:rPr>
        <w:t>38</w:t>
      </w:r>
      <w:r>
        <w:rPr>
          <w:sz w:val="24"/>
          <w:szCs w:val="24"/>
        </w:rPr>
        <w:fldChar w:fldCharType="end"/>
      </w:r>
      <w:r>
        <w:rPr>
          <w:sz w:val="24"/>
          <w:szCs w:val="24"/>
        </w:rPr>
        <w:fldChar w:fldCharType="end"/>
      </w:r>
    </w:p>
    <w:p w14:paraId="03F8B81D">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_Toc4013 </w:instrText>
      </w:r>
      <w:r>
        <w:rPr>
          <w:sz w:val="24"/>
          <w:szCs w:val="24"/>
        </w:rPr>
        <w:fldChar w:fldCharType="separate"/>
      </w:r>
      <w:r>
        <w:rPr>
          <w:rFonts w:hint="default" w:ascii="Times New Roman" w:hAnsi="Times New Roman" w:eastAsia="宋体" w:cs="Times New Roman"/>
          <w:bCs/>
          <w:sz w:val="24"/>
          <w:szCs w:val="24"/>
          <w:lang w:val="en-US" w:eastAsia="zh-CN"/>
        </w:rPr>
        <w:t>3.1.2</w:t>
      </w:r>
      <w:r>
        <w:rPr>
          <w:rFonts w:hint="eastAsia" w:cs="Times New Roman"/>
          <w:bCs/>
          <w:sz w:val="24"/>
          <w:szCs w:val="24"/>
          <w:lang w:val="en-US" w:eastAsia="zh-CN"/>
        </w:rPr>
        <w:t xml:space="preserve"> </w:t>
      </w:r>
      <w:r>
        <w:rPr>
          <w:rFonts w:hint="default" w:ascii="Times New Roman" w:hAnsi="Times New Roman" w:eastAsia="宋体" w:cs="Times New Roman"/>
          <w:bCs/>
          <w:sz w:val="24"/>
          <w:szCs w:val="24"/>
          <w:lang w:val="en-US" w:eastAsia="zh-CN"/>
        </w:rPr>
        <w:t>环境空气质量现状</w:t>
      </w:r>
      <w:r>
        <w:rPr>
          <w:sz w:val="24"/>
          <w:szCs w:val="24"/>
        </w:rPr>
        <w:tab/>
      </w:r>
      <w:r>
        <w:rPr>
          <w:sz w:val="24"/>
          <w:szCs w:val="24"/>
        </w:rPr>
        <w:fldChar w:fldCharType="begin"/>
      </w:r>
      <w:r>
        <w:rPr>
          <w:sz w:val="24"/>
          <w:szCs w:val="24"/>
        </w:rPr>
        <w:instrText xml:space="preserve"> PAGEREF _Toc4013 \h </w:instrText>
      </w:r>
      <w:r>
        <w:rPr>
          <w:sz w:val="24"/>
          <w:szCs w:val="24"/>
        </w:rPr>
        <w:fldChar w:fldCharType="separate"/>
      </w:r>
      <w:r>
        <w:rPr>
          <w:sz w:val="24"/>
          <w:szCs w:val="24"/>
        </w:rPr>
        <w:t>39</w:t>
      </w:r>
      <w:r>
        <w:rPr>
          <w:sz w:val="24"/>
          <w:szCs w:val="24"/>
        </w:rPr>
        <w:fldChar w:fldCharType="end"/>
      </w:r>
      <w:r>
        <w:rPr>
          <w:sz w:val="24"/>
          <w:szCs w:val="24"/>
        </w:rPr>
        <w:fldChar w:fldCharType="end"/>
      </w:r>
    </w:p>
    <w:p w14:paraId="19ED23C7">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_Toc24980 </w:instrText>
      </w:r>
      <w:r>
        <w:rPr>
          <w:sz w:val="24"/>
          <w:szCs w:val="24"/>
        </w:rPr>
        <w:fldChar w:fldCharType="separate"/>
      </w:r>
      <w:r>
        <w:rPr>
          <w:rFonts w:hint="eastAsia" w:ascii="Times New Roman" w:hAnsi="Times New Roman" w:eastAsia="宋体" w:cs="Times New Roman"/>
          <w:sz w:val="24"/>
          <w:szCs w:val="24"/>
          <w:lang w:val="en-US" w:eastAsia="zh-CN"/>
        </w:rPr>
        <w:t>3.2</w:t>
      </w:r>
      <w:r>
        <w:rPr>
          <w:rFonts w:hint="eastAsia" w:cs="Times New Roman"/>
          <w:sz w:val="24"/>
          <w:szCs w:val="24"/>
          <w:lang w:val="en-US" w:eastAsia="zh-CN"/>
        </w:rPr>
        <w:t xml:space="preserve"> </w:t>
      </w:r>
      <w:r>
        <w:rPr>
          <w:rFonts w:hint="eastAsia" w:ascii="Times New Roman" w:hAnsi="Times New Roman" w:eastAsia="宋体" w:cs="Times New Roman"/>
          <w:sz w:val="24"/>
          <w:szCs w:val="24"/>
          <w:lang w:val="en-US" w:eastAsia="zh-CN"/>
        </w:rPr>
        <w:t>水环境质量现状</w:t>
      </w:r>
      <w:r>
        <w:rPr>
          <w:sz w:val="24"/>
          <w:szCs w:val="24"/>
        </w:rPr>
        <w:tab/>
      </w:r>
      <w:r>
        <w:rPr>
          <w:sz w:val="24"/>
          <w:szCs w:val="24"/>
        </w:rPr>
        <w:fldChar w:fldCharType="begin"/>
      </w:r>
      <w:r>
        <w:rPr>
          <w:sz w:val="24"/>
          <w:szCs w:val="24"/>
        </w:rPr>
        <w:instrText xml:space="preserve"> PAGEREF _Toc24980 \h </w:instrText>
      </w:r>
      <w:r>
        <w:rPr>
          <w:sz w:val="24"/>
          <w:szCs w:val="24"/>
        </w:rPr>
        <w:fldChar w:fldCharType="separate"/>
      </w:r>
      <w:r>
        <w:rPr>
          <w:sz w:val="24"/>
          <w:szCs w:val="24"/>
        </w:rPr>
        <w:t>42</w:t>
      </w:r>
      <w:r>
        <w:rPr>
          <w:sz w:val="24"/>
          <w:szCs w:val="24"/>
        </w:rPr>
        <w:fldChar w:fldCharType="end"/>
      </w:r>
      <w:r>
        <w:rPr>
          <w:sz w:val="24"/>
          <w:szCs w:val="24"/>
        </w:rPr>
        <w:fldChar w:fldCharType="end"/>
      </w:r>
    </w:p>
    <w:p w14:paraId="7E53244D">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_Toc31064 </w:instrText>
      </w:r>
      <w:r>
        <w:rPr>
          <w:sz w:val="24"/>
          <w:szCs w:val="24"/>
        </w:rPr>
        <w:fldChar w:fldCharType="separate"/>
      </w:r>
      <w:r>
        <w:rPr>
          <w:rFonts w:hint="eastAsia" w:ascii="Times New Roman" w:hAnsi="Times New Roman" w:eastAsia="宋体" w:cs="Times New Roman"/>
          <w:bCs/>
          <w:sz w:val="24"/>
          <w:szCs w:val="24"/>
          <w:lang w:val="en-US" w:eastAsia="zh-CN"/>
        </w:rPr>
        <w:t>3.2.1</w:t>
      </w:r>
      <w:r>
        <w:rPr>
          <w:rFonts w:hint="eastAsia" w:cs="Times New Roman"/>
          <w:bCs/>
          <w:sz w:val="24"/>
          <w:szCs w:val="24"/>
          <w:lang w:val="en-US" w:eastAsia="zh-CN"/>
        </w:rPr>
        <w:t xml:space="preserve"> </w:t>
      </w:r>
      <w:r>
        <w:rPr>
          <w:rFonts w:hint="eastAsia" w:ascii="Times New Roman" w:hAnsi="Times New Roman" w:eastAsia="宋体" w:cs="Times New Roman"/>
          <w:bCs/>
          <w:sz w:val="24"/>
          <w:szCs w:val="24"/>
          <w:lang w:val="en-US" w:eastAsia="zh-CN"/>
        </w:rPr>
        <w:t>地表水功能区划</w:t>
      </w:r>
      <w:r>
        <w:rPr>
          <w:sz w:val="24"/>
          <w:szCs w:val="24"/>
        </w:rPr>
        <w:tab/>
      </w:r>
      <w:r>
        <w:rPr>
          <w:sz w:val="24"/>
          <w:szCs w:val="24"/>
        </w:rPr>
        <w:fldChar w:fldCharType="begin"/>
      </w:r>
      <w:r>
        <w:rPr>
          <w:sz w:val="24"/>
          <w:szCs w:val="24"/>
        </w:rPr>
        <w:instrText xml:space="preserve"> PAGEREF _Toc31064 \h </w:instrText>
      </w:r>
      <w:r>
        <w:rPr>
          <w:sz w:val="24"/>
          <w:szCs w:val="24"/>
        </w:rPr>
        <w:fldChar w:fldCharType="separate"/>
      </w:r>
      <w:r>
        <w:rPr>
          <w:sz w:val="24"/>
          <w:szCs w:val="24"/>
        </w:rPr>
        <w:t>42</w:t>
      </w:r>
      <w:r>
        <w:rPr>
          <w:sz w:val="24"/>
          <w:szCs w:val="24"/>
        </w:rPr>
        <w:fldChar w:fldCharType="end"/>
      </w:r>
      <w:r>
        <w:rPr>
          <w:sz w:val="24"/>
          <w:szCs w:val="24"/>
        </w:rPr>
        <w:fldChar w:fldCharType="end"/>
      </w:r>
    </w:p>
    <w:p w14:paraId="728CBCED">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_Toc12367 </w:instrText>
      </w:r>
      <w:r>
        <w:rPr>
          <w:sz w:val="24"/>
          <w:szCs w:val="24"/>
        </w:rPr>
        <w:fldChar w:fldCharType="separate"/>
      </w:r>
      <w:r>
        <w:rPr>
          <w:rFonts w:hint="eastAsia" w:ascii="Times New Roman" w:hAnsi="Times New Roman" w:eastAsia="宋体" w:cs="Times New Roman"/>
          <w:bCs/>
          <w:sz w:val="24"/>
          <w:szCs w:val="24"/>
          <w:lang w:val="en-US" w:eastAsia="zh-CN"/>
        </w:rPr>
        <w:t>3.2.2</w:t>
      </w:r>
      <w:r>
        <w:rPr>
          <w:rFonts w:hint="eastAsia" w:cs="Times New Roman"/>
          <w:bCs/>
          <w:sz w:val="24"/>
          <w:szCs w:val="24"/>
          <w:lang w:val="en-US" w:eastAsia="zh-CN"/>
        </w:rPr>
        <w:t xml:space="preserve"> </w:t>
      </w:r>
      <w:r>
        <w:rPr>
          <w:rFonts w:hint="eastAsia" w:ascii="Times New Roman" w:hAnsi="Times New Roman" w:eastAsia="宋体" w:cs="Times New Roman"/>
          <w:bCs/>
          <w:sz w:val="24"/>
          <w:szCs w:val="24"/>
          <w:lang w:val="en-US" w:eastAsia="zh-CN"/>
        </w:rPr>
        <w:t>地表水环境质量现状</w:t>
      </w:r>
      <w:r>
        <w:rPr>
          <w:sz w:val="24"/>
          <w:szCs w:val="24"/>
        </w:rPr>
        <w:tab/>
      </w:r>
      <w:r>
        <w:rPr>
          <w:sz w:val="24"/>
          <w:szCs w:val="24"/>
        </w:rPr>
        <w:fldChar w:fldCharType="begin"/>
      </w:r>
      <w:r>
        <w:rPr>
          <w:sz w:val="24"/>
          <w:szCs w:val="24"/>
        </w:rPr>
        <w:instrText xml:space="preserve"> PAGEREF _Toc12367 \h </w:instrText>
      </w:r>
      <w:r>
        <w:rPr>
          <w:sz w:val="24"/>
          <w:szCs w:val="24"/>
        </w:rPr>
        <w:fldChar w:fldCharType="separate"/>
      </w:r>
      <w:r>
        <w:rPr>
          <w:sz w:val="24"/>
          <w:szCs w:val="24"/>
        </w:rPr>
        <w:t>42</w:t>
      </w:r>
      <w:r>
        <w:rPr>
          <w:sz w:val="24"/>
          <w:szCs w:val="24"/>
        </w:rPr>
        <w:fldChar w:fldCharType="end"/>
      </w:r>
      <w:r>
        <w:rPr>
          <w:sz w:val="24"/>
          <w:szCs w:val="24"/>
        </w:rPr>
        <w:fldChar w:fldCharType="end"/>
      </w:r>
    </w:p>
    <w:p w14:paraId="43F9B62F">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_Toc23700 </w:instrText>
      </w:r>
      <w:r>
        <w:rPr>
          <w:sz w:val="24"/>
          <w:szCs w:val="24"/>
        </w:rPr>
        <w:fldChar w:fldCharType="separate"/>
      </w:r>
      <w:r>
        <w:rPr>
          <w:rFonts w:hint="eastAsia" w:ascii="Times New Roman" w:hAnsi="Times New Roman" w:eastAsia="宋体" w:cs="Times New Roman"/>
          <w:sz w:val="24"/>
          <w:szCs w:val="24"/>
          <w:lang w:val="en-US" w:eastAsia="zh-CN"/>
        </w:rPr>
        <w:t>3.3</w:t>
      </w:r>
      <w:r>
        <w:rPr>
          <w:rFonts w:hint="eastAsia" w:cs="Times New Roman"/>
          <w:sz w:val="24"/>
          <w:szCs w:val="24"/>
          <w:lang w:val="en-US" w:eastAsia="zh-CN"/>
        </w:rPr>
        <w:t xml:space="preserve"> </w:t>
      </w:r>
      <w:r>
        <w:rPr>
          <w:rFonts w:hint="eastAsia" w:ascii="Times New Roman" w:hAnsi="Times New Roman" w:eastAsia="宋体" w:cs="Times New Roman"/>
          <w:sz w:val="24"/>
          <w:szCs w:val="24"/>
          <w:lang w:val="en-US" w:eastAsia="zh-CN"/>
        </w:rPr>
        <w:t>声环境质量现状</w:t>
      </w:r>
      <w:r>
        <w:rPr>
          <w:sz w:val="24"/>
          <w:szCs w:val="24"/>
        </w:rPr>
        <w:tab/>
      </w:r>
      <w:r>
        <w:rPr>
          <w:sz w:val="24"/>
          <w:szCs w:val="24"/>
        </w:rPr>
        <w:fldChar w:fldCharType="begin"/>
      </w:r>
      <w:r>
        <w:rPr>
          <w:sz w:val="24"/>
          <w:szCs w:val="24"/>
        </w:rPr>
        <w:instrText xml:space="preserve"> PAGEREF _Toc23700 \h </w:instrText>
      </w:r>
      <w:r>
        <w:rPr>
          <w:sz w:val="24"/>
          <w:szCs w:val="24"/>
        </w:rPr>
        <w:fldChar w:fldCharType="separate"/>
      </w:r>
      <w:r>
        <w:rPr>
          <w:sz w:val="24"/>
          <w:szCs w:val="24"/>
        </w:rPr>
        <w:t>45</w:t>
      </w:r>
      <w:r>
        <w:rPr>
          <w:sz w:val="24"/>
          <w:szCs w:val="24"/>
        </w:rPr>
        <w:fldChar w:fldCharType="end"/>
      </w:r>
      <w:r>
        <w:rPr>
          <w:sz w:val="24"/>
          <w:szCs w:val="24"/>
        </w:rPr>
        <w:fldChar w:fldCharType="end"/>
      </w:r>
    </w:p>
    <w:p w14:paraId="4B31585B">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_Toc16505 </w:instrText>
      </w:r>
      <w:r>
        <w:rPr>
          <w:sz w:val="24"/>
          <w:szCs w:val="24"/>
        </w:rPr>
        <w:fldChar w:fldCharType="separate"/>
      </w:r>
      <w:r>
        <w:rPr>
          <w:rFonts w:hint="default" w:ascii="Times New Roman" w:hAnsi="Times New Roman" w:eastAsia="宋体" w:cs="Times New Roman"/>
          <w:bCs/>
          <w:sz w:val="24"/>
          <w:szCs w:val="24"/>
          <w:lang w:val="en-US" w:eastAsia="zh-CN"/>
        </w:rPr>
        <w:t>3.</w:t>
      </w:r>
      <w:r>
        <w:rPr>
          <w:rFonts w:hint="eastAsia" w:ascii="Times New Roman" w:hAnsi="Times New Roman" w:eastAsia="宋体" w:cs="Times New Roman"/>
          <w:bCs/>
          <w:sz w:val="24"/>
          <w:szCs w:val="24"/>
          <w:lang w:val="en-US" w:eastAsia="zh-CN"/>
        </w:rPr>
        <w:t>3</w:t>
      </w:r>
      <w:r>
        <w:rPr>
          <w:rFonts w:hint="default" w:ascii="Times New Roman" w:hAnsi="Times New Roman" w:eastAsia="宋体" w:cs="Times New Roman"/>
          <w:bCs/>
          <w:sz w:val="24"/>
          <w:szCs w:val="24"/>
          <w:lang w:val="en-US" w:eastAsia="zh-CN"/>
        </w:rPr>
        <w:t>.1</w:t>
      </w:r>
      <w:r>
        <w:rPr>
          <w:rFonts w:hint="eastAsia" w:cs="Times New Roman"/>
          <w:bCs/>
          <w:sz w:val="24"/>
          <w:szCs w:val="24"/>
          <w:lang w:val="en-US" w:eastAsia="zh-CN"/>
        </w:rPr>
        <w:t xml:space="preserve"> </w:t>
      </w:r>
      <w:r>
        <w:rPr>
          <w:rFonts w:hint="eastAsia" w:ascii="Times New Roman" w:hAnsi="Times New Roman" w:eastAsia="宋体" w:cs="Times New Roman"/>
          <w:bCs/>
          <w:sz w:val="24"/>
          <w:szCs w:val="24"/>
          <w:lang w:val="en-US" w:eastAsia="zh-CN"/>
        </w:rPr>
        <w:t>声环境质量标准</w:t>
      </w:r>
      <w:r>
        <w:rPr>
          <w:sz w:val="24"/>
          <w:szCs w:val="24"/>
        </w:rPr>
        <w:tab/>
      </w:r>
      <w:r>
        <w:rPr>
          <w:sz w:val="24"/>
          <w:szCs w:val="24"/>
        </w:rPr>
        <w:fldChar w:fldCharType="begin"/>
      </w:r>
      <w:r>
        <w:rPr>
          <w:sz w:val="24"/>
          <w:szCs w:val="24"/>
        </w:rPr>
        <w:instrText xml:space="preserve"> PAGEREF _Toc16505 \h </w:instrText>
      </w:r>
      <w:r>
        <w:rPr>
          <w:sz w:val="24"/>
          <w:szCs w:val="24"/>
        </w:rPr>
        <w:fldChar w:fldCharType="separate"/>
      </w:r>
      <w:r>
        <w:rPr>
          <w:sz w:val="24"/>
          <w:szCs w:val="24"/>
        </w:rPr>
        <w:t>45</w:t>
      </w:r>
      <w:r>
        <w:rPr>
          <w:sz w:val="24"/>
          <w:szCs w:val="24"/>
        </w:rPr>
        <w:fldChar w:fldCharType="end"/>
      </w:r>
      <w:r>
        <w:rPr>
          <w:sz w:val="24"/>
          <w:szCs w:val="24"/>
        </w:rPr>
        <w:fldChar w:fldCharType="end"/>
      </w:r>
    </w:p>
    <w:p w14:paraId="777623CB">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_Toc1566 </w:instrText>
      </w:r>
      <w:r>
        <w:rPr>
          <w:sz w:val="24"/>
          <w:szCs w:val="24"/>
        </w:rPr>
        <w:fldChar w:fldCharType="separate"/>
      </w:r>
      <w:r>
        <w:rPr>
          <w:rFonts w:hint="eastAsia" w:ascii="Times New Roman" w:hAnsi="Times New Roman" w:eastAsia="宋体" w:cs="Times New Roman"/>
          <w:bCs/>
          <w:sz w:val="24"/>
          <w:szCs w:val="24"/>
          <w:lang w:val="en-US" w:eastAsia="zh-CN"/>
        </w:rPr>
        <w:t>3.3.2</w:t>
      </w:r>
      <w:r>
        <w:rPr>
          <w:rFonts w:hint="eastAsia" w:cs="Times New Roman"/>
          <w:bCs/>
          <w:sz w:val="24"/>
          <w:szCs w:val="24"/>
          <w:lang w:val="en-US" w:eastAsia="zh-CN"/>
        </w:rPr>
        <w:t xml:space="preserve"> </w:t>
      </w:r>
      <w:r>
        <w:rPr>
          <w:rFonts w:hint="eastAsia" w:ascii="Times New Roman" w:hAnsi="Times New Roman" w:eastAsia="宋体" w:cs="Times New Roman"/>
          <w:bCs/>
          <w:sz w:val="24"/>
          <w:szCs w:val="24"/>
          <w:lang w:val="en-US" w:eastAsia="zh-CN"/>
        </w:rPr>
        <w:t>声环境质量现状</w:t>
      </w:r>
      <w:r>
        <w:rPr>
          <w:sz w:val="24"/>
          <w:szCs w:val="24"/>
        </w:rPr>
        <w:tab/>
      </w:r>
      <w:r>
        <w:rPr>
          <w:sz w:val="24"/>
          <w:szCs w:val="24"/>
        </w:rPr>
        <w:fldChar w:fldCharType="begin"/>
      </w:r>
      <w:r>
        <w:rPr>
          <w:sz w:val="24"/>
          <w:szCs w:val="24"/>
        </w:rPr>
        <w:instrText xml:space="preserve"> PAGEREF _Toc1566 \h </w:instrText>
      </w:r>
      <w:r>
        <w:rPr>
          <w:sz w:val="24"/>
          <w:szCs w:val="24"/>
        </w:rPr>
        <w:fldChar w:fldCharType="separate"/>
      </w:r>
      <w:r>
        <w:rPr>
          <w:sz w:val="24"/>
          <w:szCs w:val="24"/>
        </w:rPr>
        <w:t>45</w:t>
      </w:r>
      <w:r>
        <w:rPr>
          <w:sz w:val="24"/>
          <w:szCs w:val="24"/>
        </w:rPr>
        <w:fldChar w:fldCharType="end"/>
      </w:r>
      <w:r>
        <w:rPr>
          <w:sz w:val="24"/>
          <w:szCs w:val="24"/>
        </w:rPr>
        <w:fldChar w:fldCharType="end"/>
      </w:r>
    </w:p>
    <w:p w14:paraId="6862E3AE">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_Toc7909 </w:instrText>
      </w:r>
      <w:r>
        <w:rPr>
          <w:sz w:val="24"/>
          <w:szCs w:val="24"/>
        </w:rPr>
        <w:fldChar w:fldCharType="separate"/>
      </w:r>
      <w:r>
        <w:rPr>
          <w:rFonts w:hint="eastAsia" w:ascii="Times New Roman" w:hAnsi="Times New Roman" w:eastAsia="宋体" w:cs="Times New Roman"/>
          <w:sz w:val="24"/>
          <w:szCs w:val="24"/>
          <w:lang w:val="en-US" w:eastAsia="zh-CN"/>
        </w:rPr>
        <w:t>3.4</w:t>
      </w:r>
      <w:r>
        <w:rPr>
          <w:rFonts w:hint="eastAsia" w:cs="Times New Roman"/>
          <w:sz w:val="24"/>
          <w:szCs w:val="24"/>
          <w:lang w:val="en-US" w:eastAsia="zh-CN"/>
        </w:rPr>
        <w:t xml:space="preserve"> </w:t>
      </w:r>
      <w:r>
        <w:rPr>
          <w:rFonts w:hint="eastAsia" w:ascii="Times New Roman" w:hAnsi="Times New Roman" w:eastAsia="宋体" w:cs="Times New Roman"/>
          <w:sz w:val="24"/>
          <w:szCs w:val="24"/>
          <w:lang w:val="en-US" w:eastAsia="zh-CN"/>
        </w:rPr>
        <w:t>生态环境</w:t>
      </w:r>
      <w:r>
        <w:rPr>
          <w:sz w:val="24"/>
          <w:szCs w:val="24"/>
        </w:rPr>
        <w:tab/>
      </w:r>
      <w:r>
        <w:rPr>
          <w:sz w:val="24"/>
          <w:szCs w:val="24"/>
        </w:rPr>
        <w:fldChar w:fldCharType="begin"/>
      </w:r>
      <w:r>
        <w:rPr>
          <w:sz w:val="24"/>
          <w:szCs w:val="24"/>
        </w:rPr>
        <w:instrText xml:space="preserve"> PAGEREF _Toc7909 \h </w:instrText>
      </w:r>
      <w:r>
        <w:rPr>
          <w:sz w:val="24"/>
          <w:szCs w:val="24"/>
        </w:rPr>
        <w:fldChar w:fldCharType="separate"/>
      </w:r>
      <w:r>
        <w:rPr>
          <w:sz w:val="24"/>
          <w:szCs w:val="24"/>
        </w:rPr>
        <w:t>45</w:t>
      </w:r>
      <w:r>
        <w:rPr>
          <w:sz w:val="24"/>
          <w:szCs w:val="24"/>
        </w:rPr>
        <w:fldChar w:fldCharType="end"/>
      </w:r>
      <w:r>
        <w:rPr>
          <w:sz w:val="24"/>
          <w:szCs w:val="24"/>
        </w:rPr>
        <w:fldChar w:fldCharType="end"/>
      </w:r>
    </w:p>
    <w:p w14:paraId="06D5EDD8">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_Toc7776 </w:instrText>
      </w:r>
      <w:r>
        <w:rPr>
          <w:sz w:val="24"/>
          <w:szCs w:val="24"/>
        </w:rPr>
        <w:fldChar w:fldCharType="separate"/>
      </w:r>
      <w:r>
        <w:rPr>
          <w:rFonts w:hint="eastAsia" w:ascii="Times New Roman" w:hAnsi="Times New Roman" w:eastAsia="宋体" w:cs="Times New Roman"/>
          <w:sz w:val="24"/>
          <w:szCs w:val="24"/>
          <w:lang w:val="en-US" w:eastAsia="zh-CN"/>
        </w:rPr>
        <w:t>3.</w:t>
      </w:r>
      <w:r>
        <w:rPr>
          <w:rFonts w:hint="eastAsia" w:ascii="Times New Roman" w:hAnsi="Times New Roman" w:cs="Times New Roman"/>
          <w:sz w:val="24"/>
          <w:szCs w:val="24"/>
          <w:lang w:val="en-US" w:eastAsia="zh-CN"/>
        </w:rPr>
        <w:t>5</w:t>
      </w:r>
      <w:r>
        <w:rPr>
          <w:rFonts w:hint="eastAsia" w:cs="Times New Roman"/>
          <w:sz w:val="24"/>
          <w:szCs w:val="24"/>
          <w:lang w:val="en-US" w:eastAsia="zh-CN"/>
        </w:rPr>
        <w:t xml:space="preserve"> </w:t>
      </w:r>
      <w:r>
        <w:rPr>
          <w:rFonts w:hint="eastAsia" w:ascii="Times New Roman" w:hAnsi="Times New Roman" w:eastAsia="宋体" w:cs="Times New Roman"/>
          <w:sz w:val="24"/>
          <w:szCs w:val="24"/>
          <w:lang w:val="en-US" w:eastAsia="zh-CN"/>
        </w:rPr>
        <w:t>土壤、地下水环境</w:t>
      </w:r>
      <w:r>
        <w:rPr>
          <w:sz w:val="24"/>
          <w:szCs w:val="24"/>
        </w:rPr>
        <w:tab/>
      </w:r>
      <w:r>
        <w:rPr>
          <w:sz w:val="24"/>
          <w:szCs w:val="24"/>
        </w:rPr>
        <w:fldChar w:fldCharType="begin"/>
      </w:r>
      <w:r>
        <w:rPr>
          <w:sz w:val="24"/>
          <w:szCs w:val="24"/>
        </w:rPr>
        <w:instrText xml:space="preserve"> PAGEREF _Toc7776 \h </w:instrText>
      </w:r>
      <w:r>
        <w:rPr>
          <w:sz w:val="24"/>
          <w:szCs w:val="24"/>
        </w:rPr>
        <w:fldChar w:fldCharType="separate"/>
      </w:r>
      <w:r>
        <w:rPr>
          <w:sz w:val="24"/>
          <w:szCs w:val="24"/>
        </w:rPr>
        <w:t>45</w:t>
      </w:r>
      <w:r>
        <w:rPr>
          <w:sz w:val="24"/>
          <w:szCs w:val="24"/>
        </w:rPr>
        <w:fldChar w:fldCharType="end"/>
      </w:r>
      <w:r>
        <w:rPr>
          <w:sz w:val="24"/>
          <w:szCs w:val="24"/>
        </w:rPr>
        <w:fldChar w:fldCharType="end"/>
      </w:r>
    </w:p>
    <w:p w14:paraId="7EA402EC">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_Toc28075 </w:instrText>
      </w:r>
      <w:r>
        <w:rPr>
          <w:sz w:val="24"/>
          <w:szCs w:val="24"/>
        </w:rPr>
        <w:fldChar w:fldCharType="separate"/>
      </w:r>
      <w:r>
        <w:rPr>
          <w:sz w:val="24"/>
          <w:szCs w:val="24"/>
        </w:rPr>
        <w:t>3.</w:t>
      </w:r>
      <w:r>
        <w:rPr>
          <w:rFonts w:hint="eastAsia"/>
          <w:sz w:val="24"/>
          <w:szCs w:val="24"/>
          <w:lang w:val="en-US" w:eastAsia="zh-CN"/>
        </w:rPr>
        <w:t xml:space="preserve">6 </w:t>
      </w:r>
      <w:r>
        <w:rPr>
          <w:sz w:val="24"/>
          <w:szCs w:val="24"/>
        </w:rPr>
        <w:t>主要环境保护目标</w:t>
      </w:r>
      <w:r>
        <w:rPr>
          <w:sz w:val="24"/>
          <w:szCs w:val="24"/>
        </w:rPr>
        <w:tab/>
      </w:r>
      <w:r>
        <w:rPr>
          <w:sz w:val="24"/>
          <w:szCs w:val="24"/>
        </w:rPr>
        <w:fldChar w:fldCharType="begin"/>
      </w:r>
      <w:r>
        <w:rPr>
          <w:sz w:val="24"/>
          <w:szCs w:val="24"/>
        </w:rPr>
        <w:instrText xml:space="preserve"> PAGEREF _Toc28075 \h </w:instrText>
      </w:r>
      <w:r>
        <w:rPr>
          <w:sz w:val="24"/>
          <w:szCs w:val="24"/>
        </w:rPr>
        <w:fldChar w:fldCharType="separate"/>
      </w:r>
      <w:r>
        <w:rPr>
          <w:sz w:val="24"/>
          <w:szCs w:val="24"/>
        </w:rPr>
        <w:t>46</w:t>
      </w:r>
      <w:r>
        <w:rPr>
          <w:sz w:val="24"/>
          <w:szCs w:val="24"/>
        </w:rPr>
        <w:fldChar w:fldCharType="end"/>
      </w:r>
      <w:r>
        <w:rPr>
          <w:sz w:val="24"/>
          <w:szCs w:val="24"/>
        </w:rPr>
        <w:fldChar w:fldCharType="end"/>
      </w:r>
    </w:p>
    <w:p w14:paraId="685BFCB9">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_Toc21763 </w:instrText>
      </w:r>
      <w:r>
        <w:rPr>
          <w:sz w:val="24"/>
          <w:szCs w:val="24"/>
        </w:rPr>
        <w:fldChar w:fldCharType="separate"/>
      </w:r>
      <w:r>
        <w:rPr>
          <w:rFonts w:hint="default"/>
          <w:sz w:val="24"/>
          <w:szCs w:val="24"/>
          <w:highlight w:val="none"/>
          <w:lang w:val="en-US" w:eastAsia="zh-CN"/>
        </w:rPr>
        <w:t>3.7 污染物排放标准</w:t>
      </w:r>
      <w:r>
        <w:rPr>
          <w:sz w:val="24"/>
          <w:szCs w:val="24"/>
        </w:rPr>
        <w:tab/>
      </w:r>
      <w:r>
        <w:rPr>
          <w:sz w:val="24"/>
          <w:szCs w:val="24"/>
        </w:rPr>
        <w:fldChar w:fldCharType="begin"/>
      </w:r>
      <w:r>
        <w:rPr>
          <w:sz w:val="24"/>
          <w:szCs w:val="24"/>
        </w:rPr>
        <w:instrText xml:space="preserve"> PAGEREF _Toc21763 \h </w:instrText>
      </w:r>
      <w:r>
        <w:rPr>
          <w:sz w:val="24"/>
          <w:szCs w:val="24"/>
        </w:rPr>
        <w:fldChar w:fldCharType="separate"/>
      </w:r>
      <w:r>
        <w:rPr>
          <w:sz w:val="24"/>
          <w:szCs w:val="24"/>
        </w:rPr>
        <w:t>46</w:t>
      </w:r>
      <w:r>
        <w:rPr>
          <w:sz w:val="24"/>
          <w:szCs w:val="24"/>
        </w:rPr>
        <w:fldChar w:fldCharType="end"/>
      </w:r>
      <w:r>
        <w:rPr>
          <w:sz w:val="24"/>
          <w:szCs w:val="24"/>
        </w:rPr>
        <w:fldChar w:fldCharType="end"/>
      </w:r>
    </w:p>
    <w:p w14:paraId="71F6304F">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_Toc9216 </w:instrText>
      </w:r>
      <w:r>
        <w:rPr>
          <w:sz w:val="24"/>
          <w:szCs w:val="24"/>
        </w:rPr>
        <w:fldChar w:fldCharType="separate"/>
      </w:r>
      <w:r>
        <w:rPr>
          <w:rFonts w:hint="eastAsia" w:ascii="Times New Roman" w:hAnsi="Times New Roman" w:eastAsia="宋体" w:cs="Times New Roman"/>
          <w:bCs/>
          <w:sz w:val="24"/>
          <w:szCs w:val="24"/>
          <w:highlight w:val="none"/>
          <w:lang w:val="en-US" w:eastAsia="zh-CN"/>
        </w:rPr>
        <w:t xml:space="preserve">3.7.1 </w:t>
      </w:r>
      <w:r>
        <w:rPr>
          <w:rFonts w:hint="default" w:ascii="Times New Roman" w:hAnsi="Times New Roman" w:eastAsia="宋体" w:cs="Times New Roman"/>
          <w:bCs/>
          <w:sz w:val="24"/>
          <w:szCs w:val="24"/>
          <w:highlight w:val="none"/>
          <w:lang w:val="en-US" w:eastAsia="zh-CN"/>
        </w:rPr>
        <w:t>废水</w:t>
      </w:r>
      <w:r>
        <w:rPr>
          <w:sz w:val="24"/>
          <w:szCs w:val="24"/>
        </w:rPr>
        <w:tab/>
      </w:r>
      <w:r>
        <w:rPr>
          <w:sz w:val="24"/>
          <w:szCs w:val="24"/>
        </w:rPr>
        <w:fldChar w:fldCharType="begin"/>
      </w:r>
      <w:r>
        <w:rPr>
          <w:sz w:val="24"/>
          <w:szCs w:val="24"/>
        </w:rPr>
        <w:instrText xml:space="preserve"> PAGEREF _Toc9216 \h </w:instrText>
      </w:r>
      <w:r>
        <w:rPr>
          <w:sz w:val="24"/>
          <w:szCs w:val="24"/>
        </w:rPr>
        <w:fldChar w:fldCharType="separate"/>
      </w:r>
      <w:r>
        <w:rPr>
          <w:sz w:val="24"/>
          <w:szCs w:val="24"/>
        </w:rPr>
        <w:t>46</w:t>
      </w:r>
      <w:r>
        <w:rPr>
          <w:sz w:val="24"/>
          <w:szCs w:val="24"/>
        </w:rPr>
        <w:fldChar w:fldCharType="end"/>
      </w:r>
      <w:r>
        <w:rPr>
          <w:sz w:val="24"/>
          <w:szCs w:val="24"/>
        </w:rPr>
        <w:fldChar w:fldCharType="end"/>
      </w:r>
    </w:p>
    <w:p w14:paraId="3B141122">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_Toc23022 </w:instrText>
      </w:r>
      <w:r>
        <w:rPr>
          <w:sz w:val="24"/>
          <w:szCs w:val="24"/>
        </w:rPr>
        <w:fldChar w:fldCharType="separate"/>
      </w:r>
      <w:r>
        <w:rPr>
          <w:rFonts w:hint="eastAsia" w:ascii="Times New Roman" w:hAnsi="Times New Roman" w:eastAsia="宋体" w:cs="Times New Roman"/>
          <w:bCs/>
          <w:sz w:val="24"/>
          <w:szCs w:val="24"/>
          <w:highlight w:val="none"/>
          <w:lang w:val="en-US" w:eastAsia="zh-CN"/>
        </w:rPr>
        <w:t>3.7.2 废气</w:t>
      </w:r>
      <w:r>
        <w:rPr>
          <w:sz w:val="24"/>
          <w:szCs w:val="24"/>
        </w:rPr>
        <w:tab/>
      </w:r>
      <w:r>
        <w:rPr>
          <w:sz w:val="24"/>
          <w:szCs w:val="24"/>
        </w:rPr>
        <w:fldChar w:fldCharType="begin"/>
      </w:r>
      <w:r>
        <w:rPr>
          <w:sz w:val="24"/>
          <w:szCs w:val="24"/>
        </w:rPr>
        <w:instrText xml:space="preserve"> PAGEREF _Toc23022 \h </w:instrText>
      </w:r>
      <w:r>
        <w:rPr>
          <w:sz w:val="24"/>
          <w:szCs w:val="24"/>
        </w:rPr>
        <w:fldChar w:fldCharType="separate"/>
      </w:r>
      <w:r>
        <w:rPr>
          <w:sz w:val="24"/>
          <w:szCs w:val="24"/>
        </w:rPr>
        <w:t>47</w:t>
      </w:r>
      <w:r>
        <w:rPr>
          <w:sz w:val="24"/>
          <w:szCs w:val="24"/>
        </w:rPr>
        <w:fldChar w:fldCharType="end"/>
      </w:r>
      <w:r>
        <w:rPr>
          <w:sz w:val="24"/>
          <w:szCs w:val="24"/>
        </w:rPr>
        <w:fldChar w:fldCharType="end"/>
      </w:r>
    </w:p>
    <w:p w14:paraId="6E2F93AA">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_Toc31142 </w:instrText>
      </w:r>
      <w:r>
        <w:rPr>
          <w:sz w:val="24"/>
          <w:szCs w:val="24"/>
        </w:rPr>
        <w:fldChar w:fldCharType="separate"/>
      </w:r>
      <w:r>
        <w:rPr>
          <w:rFonts w:hint="eastAsia" w:ascii="Times New Roman" w:hAnsi="Times New Roman" w:eastAsia="宋体" w:cs="Times New Roman"/>
          <w:bCs/>
          <w:sz w:val="24"/>
          <w:szCs w:val="24"/>
          <w:highlight w:val="none"/>
          <w:lang w:val="en-US" w:eastAsia="zh-CN"/>
        </w:rPr>
        <w:t>3.7.3</w:t>
      </w:r>
      <w:r>
        <w:rPr>
          <w:rFonts w:hint="eastAsia" w:cs="Times New Roman"/>
          <w:bCs/>
          <w:sz w:val="24"/>
          <w:szCs w:val="24"/>
          <w:highlight w:val="none"/>
          <w:lang w:val="en-US" w:eastAsia="zh-CN"/>
        </w:rPr>
        <w:t xml:space="preserve"> </w:t>
      </w:r>
      <w:r>
        <w:rPr>
          <w:rFonts w:hint="eastAsia" w:ascii="Times New Roman" w:hAnsi="Times New Roman" w:eastAsia="宋体" w:cs="Times New Roman"/>
          <w:bCs/>
          <w:sz w:val="24"/>
          <w:szCs w:val="24"/>
          <w:highlight w:val="none"/>
          <w:lang w:val="en-US" w:eastAsia="zh-CN"/>
        </w:rPr>
        <w:t>噪声</w:t>
      </w:r>
      <w:r>
        <w:rPr>
          <w:sz w:val="24"/>
          <w:szCs w:val="24"/>
        </w:rPr>
        <w:tab/>
      </w:r>
      <w:r>
        <w:rPr>
          <w:sz w:val="24"/>
          <w:szCs w:val="24"/>
        </w:rPr>
        <w:fldChar w:fldCharType="begin"/>
      </w:r>
      <w:r>
        <w:rPr>
          <w:sz w:val="24"/>
          <w:szCs w:val="24"/>
        </w:rPr>
        <w:instrText xml:space="preserve"> PAGEREF _Toc31142 \h </w:instrText>
      </w:r>
      <w:r>
        <w:rPr>
          <w:sz w:val="24"/>
          <w:szCs w:val="24"/>
        </w:rPr>
        <w:fldChar w:fldCharType="separate"/>
      </w:r>
      <w:r>
        <w:rPr>
          <w:sz w:val="24"/>
          <w:szCs w:val="24"/>
        </w:rPr>
        <w:t>49</w:t>
      </w:r>
      <w:r>
        <w:rPr>
          <w:sz w:val="24"/>
          <w:szCs w:val="24"/>
        </w:rPr>
        <w:fldChar w:fldCharType="end"/>
      </w:r>
      <w:r>
        <w:rPr>
          <w:sz w:val="24"/>
          <w:szCs w:val="24"/>
        </w:rPr>
        <w:fldChar w:fldCharType="end"/>
      </w:r>
    </w:p>
    <w:p w14:paraId="18041A00">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_Toc5993 </w:instrText>
      </w:r>
      <w:r>
        <w:rPr>
          <w:sz w:val="24"/>
          <w:szCs w:val="24"/>
        </w:rPr>
        <w:fldChar w:fldCharType="separate"/>
      </w:r>
      <w:r>
        <w:rPr>
          <w:rFonts w:hint="eastAsia" w:ascii="Times New Roman" w:hAnsi="Times New Roman" w:eastAsia="宋体" w:cs="Times New Roman"/>
          <w:bCs/>
          <w:sz w:val="24"/>
          <w:szCs w:val="24"/>
          <w:highlight w:val="none"/>
          <w:lang w:val="en-US" w:eastAsia="zh-CN"/>
        </w:rPr>
        <w:t>3.7.4</w:t>
      </w:r>
      <w:r>
        <w:rPr>
          <w:rFonts w:hint="eastAsia" w:cs="Times New Roman"/>
          <w:bCs/>
          <w:sz w:val="24"/>
          <w:szCs w:val="24"/>
          <w:highlight w:val="none"/>
          <w:lang w:val="en-US" w:eastAsia="zh-CN"/>
        </w:rPr>
        <w:t xml:space="preserve"> </w:t>
      </w:r>
      <w:r>
        <w:rPr>
          <w:rFonts w:hint="eastAsia" w:ascii="Times New Roman" w:hAnsi="Times New Roman" w:eastAsia="宋体" w:cs="Times New Roman"/>
          <w:bCs/>
          <w:sz w:val="24"/>
          <w:szCs w:val="24"/>
          <w:highlight w:val="none"/>
          <w:lang w:val="en-US" w:eastAsia="zh-CN"/>
        </w:rPr>
        <w:t>固废</w:t>
      </w:r>
      <w:r>
        <w:rPr>
          <w:sz w:val="24"/>
          <w:szCs w:val="24"/>
        </w:rPr>
        <w:tab/>
      </w:r>
      <w:r>
        <w:rPr>
          <w:sz w:val="24"/>
          <w:szCs w:val="24"/>
        </w:rPr>
        <w:fldChar w:fldCharType="begin"/>
      </w:r>
      <w:r>
        <w:rPr>
          <w:sz w:val="24"/>
          <w:szCs w:val="24"/>
        </w:rPr>
        <w:instrText xml:space="preserve"> PAGEREF _Toc5993 \h </w:instrText>
      </w:r>
      <w:r>
        <w:rPr>
          <w:sz w:val="24"/>
          <w:szCs w:val="24"/>
        </w:rPr>
        <w:fldChar w:fldCharType="separate"/>
      </w:r>
      <w:r>
        <w:rPr>
          <w:sz w:val="24"/>
          <w:szCs w:val="24"/>
        </w:rPr>
        <w:t>49</w:t>
      </w:r>
      <w:r>
        <w:rPr>
          <w:sz w:val="24"/>
          <w:szCs w:val="24"/>
        </w:rPr>
        <w:fldChar w:fldCharType="end"/>
      </w:r>
      <w:r>
        <w:rPr>
          <w:sz w:val="24"/>
          <w:szCs w:val="24"/>
        </w:rPr>
        <w:fldChar w:fldCharType="end"/>
      </w:r>
    </w:p>
    <w:p w14:paraId="1BBD2A02">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_Toc17166 </w:instrText>
      </w:r>
      <w:r>
        <w:rPr>
          <w:sz w:val="24"/>
          <w:szCs w:val="24"/>
        </w:rPr>
        <w:fldChar w:fldCharType="separate"/>
      </w:r>
      <w:r>
        <w:rPr>
          <w:rFonts w:hint="eastAsia"/>
          <w:sz w:val="24"/>
          <w:szCs w:val="24"/>
          <w:highlight w:val="none"/>
          <w:lang w:val="en-US" w:eastAsia="zh-CN"/>
        </w:rPr>
        <w:t>3.8 总量控制</w:t>
      </w:r>
      <w:r>
        <w:rPr>
          <w:sz w:val="24"/>
          <w:szCs w:val="24"/>
        </w:rPr>
        <w:tab/>
      </w:r>
      <w:r>
        <w:rPr>
          <w:sz w:val="24"/>
          <w:szCs w:val="24"/>
        </w:rPr>
        <w:fldChar w:fldCharType="begin"/>
      </w:r>
      <w:r>
        <w:rPr>
          <w:sz w:val="24"/>
          <w:szCs w:val="24"/>
        </w:rPr>
        <w:instrText xml:space="preserve"> PAGEREF _Toc17166 \h </w:instrText>
      </w:r>
      <w:r>
        <w:rPr>
          <w:sz w:val="24"/>
          <w:szCs w:val="24"/>
        </w:rPr>
        <w:fldChar w:fldCharType="separate"/>
      </w:r>
      <w:r>
        <w:rPr>
          <w:sz w:val="24"/>
          <w:szCs w:val="24"/>
        </w:rPr>
        <w:t>49</w:t>
      </w:r>
      <w:r>
        <w:rPr>
          <w:sz w:val="24"/>
          <w:szCs w:val="24"/>
        </w:rPr>
        <w:fldChar w:fldCharType="end"/>
      </w:r>
      <w:r>
        <w:rPr>
          <w:sz w:val="24"/>
          <w:szCs w:val="24"/>
        </w:rPr>
        <w:fldChar w:fldCharType="end"/>
      </w:r>
    </w:p>
    <w:p w14:paraId="62A39F58">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_Toc32323 </w:instrText>
      </w:r>
      <w:r>
        <w:rPr>
          <w:sz w:val="24"/>
          <w:szCs w:val="24"/>
        </w:rPr>
        <w:fldChar w:fldCharType="separate"/>
      </w:r>
      <w:r>
        <w:rPr>
          <w:rFonts w:hint="eastAsia" w:ascii="Times New Roman" w:hAnsi="Times New Roman" w:eastAsia="宋体" w:cs="Times New Roman"/>
          <w:bCs/>
          <w:sz w:val="24"/>
          <w:szCs w:val="24"/>
          <w:highlight w:val="none"/>
          <w:lang w:val="en-US" w:eastAsia="zh-CN"/>
        </w:rPr>
        <w:t>3.8.1</w:t>
      </w:r>
      <w:r>
        <w:rPr>
          <w:rFonts w:hint="eastAsia" w:cs="Times New Roman"/>
          <w:bCs/>
          <w:sz w:val="24"/>
          <w:szCs w:val="24"/>
          <w:highlight w:val="none"/>
          <w:lang w:val="en-US" w:eastAsia="zh-CN"/>
        </w:rPr>
        <w:t xml:space="preserve"> </w:t>
      </w:r>
      <w:r>
        <w:rPr>
          <w:rFonts w:hint="eastAsia" w:ascii="Times New Roman" w:hAnsi="Times New Roman" w:eastAsia="宋体" w:cs="Times New Roman"/>
          <w:bCs/>
          <w:sz w:val="24"/>
          <w:szCs w:val="24"/>
          <w:highlight w:val="none"/>
          <w:lang w:val="en-US" w:eastAsia="zh-CN"/>
        </w:rPr>
        <w:t>废水总量</w:t>
      </w:r>
      <w:r>
        <w:rPr>
          <w:sz w:val="24"/>
          <w:szCs w:val="24"/>
        </w:rPr>
        <w:tab/>
      </w:r>
      <w:r>
        <w:rPr>
          <w:sz w:val="24"/>
          <w:szCs w:val="24"/>
        </w:rPr>
        <w:fldChar w:fldCharType="begin"/>
      </w:r>
      <w:r>
        <w:rPr>
          <w:sz w:val="24"/>
          <w:szCs w:val="24"/>
        </w:rPr>
        <w:instrText xml:space="preserve"> PAGEREF _Toc32323 \h </w:instrText>
      </w:r>
      <w:r>
        <w:rPr>
          <w:sz w:val="24"/>
          <w:szCs w:val="24"/>
        </w:rPr>
        <w:fldChar w:fldCharType="separate"/>
      </w:r>
      <w:r>
        <w:rPr>
          <w:sz w:val="24"/>
          <w:szCs w:val="24"/>
        </w:rPr>
        <w:t>49</w:t>
      </w:r>
      <w:r>
        <w:rPr>
          <w:sz w:val="24"/>
          <w:szCs w:val="24"/>
        </w:rPr>
        <w:fldChar w:fldCharType="end"/>
      </w:r>
      <w:r>
        <w:rPr>
          <w:sz w:val="24"/>
          <w:szCs w:val="24"/>
        </w:rPr>
        <w:fldChar w:fldCharType="end"/>
      </w:r>
    </w:p>
    <w:p w14:paraId="6D7CAC29">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_Toc27495 </w:instrText>
      </w:r>
      <w:r>
        <w:rPr>
          <w:sz w:val="24"/>
          <w:szCs w:val="24"/>
        </w:rPr>
        <w:fldChar w:fldCharType="separate"/>
      </w:r>
      <w:r>
        <w:rPr>
          <w:rFonts w:hint="eastAsia" w:ascii="Times New Roman" w:hAnsi="Times New Roman" w:eastAsia="宋体" w:cs="Times New Roman"/>
          <w:bCs/>
          <w:sz w:val="24"/>
          <w:szCs w:val="24"/>
          <w:highlight w:val="none"/>
          <w:lang w:val="en-US" w:eastAsia="zh-CN"/>
        </w:rPr>
        <w:t>3.8.2</w:t>
      </w:r>
      <w:r>
        <w:rPr>
          <w:rFonts w:hint="eastAsia" w:cs="Times New Roman"/>
          <w:bCs/>
          <w:sz w:val="24"/>
          <w:szCs w:val="24"/>
          <w:highlight w:val="none"/>
          <w:lang w:val="en-US" w:eastAsia="zh-CN"/>
        </w:rPr>
        <w:t xml:space="preserve"> </w:t>
      </w:r>
      <w:r>
        <w:rPr>
          <w:rFonts w:hint="eastAsia" w:ascii="Times New Roman" w:hAnsi="Times New Roman" w:eastAsia="宋体" w:cs="Times New Roman"/>
          <w:bCs/>
          <w:sz w:val="24"/>
          <w:szCs w:val="24"/>
          <w:highlight w:val="none"/>
          <w:lang w:val="en-US" w:eastAsia="zh-CN"/>
        </w:rPr>
        <w:t>废气总量</w:t>
      </w:r>
      <w:r>
        <w:rPr>
          <w:sz w:val="24"/>
          <w:szCs w:val="24"/>
        </w:rPr>
        <w:tab/>
      </w:r>
      <w:r>
        <w:rPr>
          <w:sz w:val="24"/>
          <w:szCs w:val="24"/>
        </w:rPr>
        <w:fldChar w:fldCharType="begin"/>
      </w:r>
      <w:r>
        <w:rPr>
          <w:sz w:val="24"/>
          <w:szCs w:val="24"/>
        </w:rPr>
        <w:instrText xml:space="preserve"> PAGEREF _Toc27495 \h </w:instrText>
      </w:r>
      <w:r>
        <w:rPr>
          <w:sz w:val="24"/>
          <w:szCs w:val="24"/>
        </w:rPr>
        <w:fldChar w:fldCharType="separate"/>
      </w:r>
      <w:r>
        <w:rPr>
          <w:sz w:val="24"/>
          <w:szCs w:val="24"/>
        </w:rPr>
        <w:t>50</w:t>
      </w:r>
      <w:r>
        <w:rPr>
          <w:sz w:val="24"/>
          <w:szCs w:val="24"/>
        </w:rPr>
        <w:fldChar w:fldCharType="end"/>
      </w:r>
      <w:r>
        <w:rPr>
          <w:sz w:val="24"/>
          <w:szCs w:val="24"/>
        </w:rPr>
        <w:fldChar w:fldCharType="end"/>
      </w:r>
    </w:p>
    <w:p w14:paraId="65E73CFC">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_Toc31779 </w:instrText>
      </w:r>
      <w:r>
        <w:rPr>
          <w:sz w:val="24"/>
          <w:szCs w:val="24"/>
        </w:rPr>
        <w:fldChar w:fldCharType="separate"/>
      </w:r>
      <w:r>
        <w:rPr>
          <w:rFonts w:hint="eastAsia" w:ascii="Times New Roman" w:hAnsi="Times New Roman" w:eastAsia="黑体" w:cs="Times New Roman"/>
          <w:snapToGrid w:val="0"/>
          <w:sz w:val="24"/>
          <w:szCs w:val="24"/>
          <w:lang w:val="en-US" w:eastAsia="zh-CN"/>
        </w:rPr>
        <w:t>四、</w:t>
      </w:r>
      <w:r>
        <w:rPr>
          <w:rFonts w:hint="default" w:ascii="Times New Roman" w:hAnsi="Times New Roman" w:eastAsia="黑体" w:cs="Times New Roman"/>
          <w:snapToGrid w:val="0"/>
          <w:sz w:val="24"/>
          <w:szCs w:val="24"/>
          <w:lang w:val="en-US" w:eastAsia="zh-CN"/>
        </w:rPr>
        <w:t>主要环境影响和保护措施</w:t>
      </w:r>
      <w:r>
        <w:rPr>
          <w:sz w:val="24"/>
          <w:szCs w:val="24"/>
        </w:rPr>
        <w:tab/>
      </w:r>
      <w:r>
        <w:rPr>
          <w:sz w:val="24"/>
          <w:szCs w:val="24"/>
        </w:rPr>
        <w:fldChar w:fldCharType="begin"/>
      </w:r>
      <w:r>
        <w:rPr>
          <w:sz w:val="24"/>
          <w:szCs w:val="24"/>
        </w:rPr>
        <w:instrText xml:space="preserve"> PAGEREF _Toc31779 \h </w:instrText>
      </w:r>
      <w:r>
        <w:rPr>
          <w:sz w:val="24"/>
          <w:szCs w:val="24"/>
        </w:rPr>
        <w:fldChar w:fldCharType="separate"/>
      </w:r>
      <w:r>
        <w:rPr>
          <w:sz w:val="24"/>
          <w:szCs w:val="24"/>
        </w:rPr>
        <w:t>51</w:t>
      </w:r>
      <w:r>
        <w:rPr>
          <w:sz w:val="24"/>
          <w:szCs w:val="24"/>
        </w:rPr>
        <w:fldChar w:fldCharType="end"/>
      </w:r>
      <w:r>
        <w:rPr>
          <w:sz w:val="24"/>
          <w:szCs w:val="24"/>
        </w:rPr>
        <w:fldChar w:fldCharType="end"/>
      </w:r>
    </w:p>
    <w:p w14:paraId="15844235">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_Toc25636 </w:instrText>
      </w:r>
      <w:r>
        <w:rPr>
          <w:sz w:val="24"/>
          <w:szCs w:val="24"/>
        </w:rPr>
        <w:fldChar w:fldCharType="separate"/>
      </w:r>
      <w:r>
        <w:rPr>
          <w:rFonts w:hint="eastAsia"/>
          <w:sz w:val="24"/>
          <w:szCs w:val="24"/>
          <w:lang w:val="en-US" w:eastAsia="zh-CN"/>
        </w:rPr>
        <w:t>4</w:t>
      </w:r>
      <w:r>
        <w:rPr>
          <w:sz w:val="24"/>
          <w:szCs w:val="24"/>
        </w:rPr>
        <w:t>.1</w:t>
      </w:r>
      <w:r>
        <w:rPr>
          <w:rFonts w:hint="eastAsia"/>
          <w:sz w:val="24"/>
          <w:szCs w:val="24"/>
          <w:lang w:val="en-US" w:eastAsia="zh-CN"/>
        </w:rPr>
        <w:t xml:space="preserve"> </w:t>
      </w:r>
      <w:r>
        <w:rPr>
          <w:rFonts w:eastAsia="宋体"/>
          <w:sz w:val="24"/>
          <w:szCs w:val="24"/>
        </w:rPr>
        <w:t>大气环境影响分析和污染防治措施</w:t>
      </w:r>
      <w:r>
        <w:rPr>
          <w:sz w:val="24"/>
          <w:szCs w:val="24"/>
        </w:rPr>
        <w:tab/>
      </w:r>
      <w:r>
        <w:rPr>
          <w:sz w:val="24"/>
          <w:szCs w:val="24"/>
        </w:rPr>
        <w:fldChar w:fldCharType="begin"/>
      </w:r>
      <w:r>
        <w:rPr>
          <w:sz w:val="24"/>
          <w:szCs w:val="24"/>
        </w:rPr>
        <w:instrText xml:space="preserve"> PAGEREF _Toc25636 \h </w:instrText>
      </w:r>
      <w:r>
        <w:rPr>
          <w:sz w:val="24"/>
          <w:szCs w:val="24"/>
        </w:rPr>
        <w:fldChar w:fldCharType="separate"/>
      </w:r>
      <w:r>
        <w:rPr>
          <w:sz w:val="24"/>
          <w:szCs w:val="24"/>
        </w:rPr>
        <w:t>51</w:t>
      </w:r>
      <w:r>
        <w:rPr>
          <w:sz w:val="24"/>
          <w:szCs w:val="24"/>
        </w:rPr>
        <w:fldChar w:fldCharType="end"/>
      </w:r>
      <w:r>
        <w:rPr>
          <w:sz w:val="24"/>
          <w:szCs w:val="24"/>
        </w:rPr>
        <w:fldChar w:fldCharType="end"/>
      </w:r>
    </w:p>
    <w:p w14:paraId="14ABED58">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_Toc13682 </w:instrText>
      </w:r>
      <w:r>
        <w:rPr>
          <w:sz w:val="24"/>
          <w:szCs w:val="24"/>
        </w:rPr>
        <w:fldChar w:fldCharType="separate"/>
      </w:r>
      <w:r>
        <w:rPr>
          <w:kern w:val="0"/>
          <w:sz w:val="24"/>
          <w:szCs w:val="24"/>
        </w:rPr>
        <w:t>4.1.1 运营期废气源强核算</w:t>
      </w:r>
      <w:r>
        <w:rPr>
          <w:sz w:val="24"/>
          <w:szCs w:val="24"/>
        </w:rPr>
        <w:tab/>
      </w:r>
      <w:r>
        <w:rPr>
          <w:sz w:val="24"/>
          <w:szCs w:val="24"/>
        </w:rPr>
        <w:fldChar w:fldCharType="begin"/>
      </w:r>
      <w:r>
        <w:rPr>
          <w:sz w:val="24"/>
          <w:szCs w:val="24"/>
        </w:rPr>
        <w:instrText xml:space="preserve"> PAGEREF _Toc13682 \h </w:instrText>
      </w:r>
      <w:r>
        <w:rPr>
          <w:sz w:val="24"/>
          <w:szCs w:val="24"/>
        </w:rPr>
        <w:fldChar w:fldCharType="separate"/>
      </w:r>
      <w:r>
        <w:rPr>
          <w:sz w:val="24"/>
          <w:szCs w:val="24"/>
        </w:rPr>
        <w:t>51</w:t>
      </w:r>
      <w:r>
        <w:rPr>
          <w:sz w:val="24"/>
          <w:szCs w:val="24"/>
        </w:rPr>
        <w:fldChar w:fldCharType="end"/>
      </w:r>
      <w:r>
        <w:rPr>
          <w:sz w:val="24"/>
          <w:szCs w:val="24"/>
        </w:rPr>
        <w:fldChar w:fldCharType="end"/>
      </w:r>
    </w:p>
    <w:p w14:paraId="2F8209B6">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_Toc24006 </w:instrText>
      </w:r>
      <w:r>
        <w:rPr>
          <w:sz w:val="24"/>
          <w:szCs w:val="24"/>
        </w:rPr>
        <w:fldChar w:fldCharType="separate"/>
      </w:r>
      <w:r>
        <w:rPr>
          <w:rFonts w:hint="eastAsia"/>
          <w:kern w:val="0"/>
          <w:sz w:val="24"/>
          <w:szCs w:val="24"/>
          <w:lang w:val="en-US" w:eastAsia="zh-CN"/>
        </w:rPr>
        <w:t>4.1.2 废气产排情况一览表</w:t>
      </w:r>
      <w:r>
        <w:rPr>
          <w:sz w:val="24"/>
          <w:szCs w:val="24"/>
        </w:rPr>
        <w:tab/>
      </w:r>
      <w:r>
        <w:rPr>
          <w:sz w:val="24"/>
          <w:szCs w:val="24"/>
        </w:rPr>
        <w:fldChar w:fldCharType="begin"/>
      </w:r>
      <w:r>
        <w:rPr>
          <w:sz w:val="24"/>
          <w:szCs w:val="24"/>
        </w:rPr>
        <w:instrText xml:space="preserve"> PAGEREF _Toc24006 \h </w:instrText>
      </w:r>
      <w:r>
        <w:rPr>
          <w:sz w:val="24"/>
          <w:szCs w:val="24"/>
        </w:rPr>
        <w:fldChar w:fldCharType="separate"/>
      </w:r>
      <w:r>
        <w:rPr>
          <w:sz w:val="24"/>
          <w:szCs w:val="24"/>
        </w:rPr>
        <w:t>54</w:t>
      </w:r>
      <w:r>
        <w:rPr>
          <w:sz w:val="24"/>
          <w:szCs w:val="24"/>
        </w:rPr>
        <w:fldChar w:fldCharType="end"/>
      </w:r>
      <w:r>
        <w:rPr>
          <w:sz w:val="24"/>
          <w:szCs w:val="24"/>
        </w:rPr>
        <w:fldChar w:fldCharType="end"/>
      </w:r>
    </w:p>
    <w:p w14:paraId="065A3ED5">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_Toc10109 </w:instrText>
      </w:r>
      <w:r>
        <w:rPr>
          <w:sz w:val="24"/>
          <w:szCs w:val="24"/>
        </w:rPr>
        <w:fldChar w:fldCharType="separate"/>
      </w:r>
      <w:r>
        <w:rPr>
          <w:rFonts w:hint="eastAsia"/>
          <w:kern w:val="0"/>
          <w:sz w:val="24"/>
          <w:szCs w:val="24"/>
          <w:lang w:val="en-US" w:eastAsia="zh-CN"/>
        </w:rPr>
        <w:t>4.1.3 运营期大气污染防治措施合理性分析</w:t>
      </w:r>
      <w:r>
        <w:rPr>
          <w:sz w:val="24"/>
          <w:szCs w:val="24"/>
        </w:rPr>
        <w:tab/>
      </w:r>
      <w:r>
        <w:rPr>
          <w:sz w:val="24"/>
          <w:szCs w:val="24"/>
        </w:rPr>
        <w:fldChar w:fldCharType="begin"/>
      </w:r>
      <w:r>
        <w:rPr>
          <w:sz w:val="24"/>
          <w:szCs w:val="24"/>
        </w:rPr>
        <w:instrText xml:space="preserve"> PAGEREF _Toc10109 \h </w:instrText>
      </w:r>
      <w:r>
        <w:rPr>
          <w:sz w:val="24"/>
          <w:szCs w:val="24"/>
        </w:rPr>
        <w:fldChar w:fldCharType="separate"/>
      </w:r>
      <w:r>
        <w:rPr>
          <w:sz w:val="24"/>
          <w:szCs w:val="24"/>
        </w:rPr>
        <w:t>55</w:t>
      </w:r>
      <w:r>
        <w:rPr>
          <w:sz w:val="24"/>
          <w:szCs w:val="24"/>
        </w:rPr>
        <w:fldChar w:fldCharType="end"/>
      </w:r>
      <w:r>
        <w:rPr>
          <w:sz w:val="24"/>
          <w:szCs w:val="24"/>
        </w:rPr>
        <w:fldChar w:fldCharType="end"/>
      </w:r>
    </w:p>
    <w:p w14:paraId="7A4ECC62">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_Toc31728 </w:instrText>
      </w:r>
      <w:r>
        <w:rPr>
          <w:sz w:val="24"/>
          <w:szCs w:val="24"/>
        </w:rPr>
        <w:fldChar w:fldCharType="separate"/>
      </w:r>
      <w:r>
        <w:rPr>
          <w:rFonts w:hint="eastAsia"/>
          <w:kern w:val="0"/>
          <w:sz w:val="24"/>
          <w:szCs w:val="24"/>
          <w:lang w:val="en-US" w:eastAsia="zh-CN"/>
        </w:rPr>
        <w:t>4.1.4 非正常工况排放量核算</w:t>
      </w:r>
      <w:r>
        <w:rPr>
          <w:sz w:val="24"/>
          <w:szCs w:val="24"/>
        </w:rPr>
        <w:tab/>
      </w:r>
      <w:r>
        <w:rPr>
          <w:sz w:val="24"/>
          <w:szCs w:val="24"/>
        </w:rPr>
        <w:fldChar w:fldCharType="begin"/>
      </w:r>
      <w:r>
        <w:rPr>
          <w:sz w:val="24"/>
          <w:szCs w:val="24"/>
        </w:rPr>
        <w:instrText xml:space="preserve"> PAGEREF _Toc31728 \h </w:instrText>
      </w:r>
      <w:r>
        <w:rPr>
          <w:sz w:val="24"/>
          <w:szCs w:val="24"/>
        </w:rPr>
        <w:fldChar w:fldCharType="separate"/>
      </w:r>
      <w:r>
        <w:rPr>
          <w:sz w:val="24"/>
          <w:szCs w:val="24"/>
        </w:rPr>
        <w:t>58</w:t>
      </w:r>
      <w:r>
        <w:rPr>
          <w:sz w:val="24"/>
          <w:szCs w:val="24"/>
        </w:rPr>
        <w:fldChar w:fldCharType="end"/>
      </w:r>
      <w:r>
        <w:rPr>
          <w:sz w:val="24"/>
          <w:szCs w:val="24"/>
        </w:rPr>
        <w:fldChar w:fldCharType="end"/>
      </w:r>
    </w:p>
    <w:p w14:paraId="72D18846">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_Toc15552 </w:instrText>
      </w:r>
      <w:r>
        <w:rPr>
          <w:sz w:val="24"/>
          <w:szCs w:val="24"/>
        </w:rPr>
        <w:fldChar w:fldCharType="separate"/>
      </w:r>
      <w:r>
        <w:rPr>
          <w:rFonts w:hint="eastAsia" w:ascii="Times New Roman" w:hAnsi="Times New Roman" w:eastAsia="宋体" w:cs="Times New Roman"/>
          <w:sz w:val="24"/>
          <w:szCs w:val="24"/>
          <w:lang w:val="en-US" w:eastAsia="zh-CN"/>
        </w:rPr>
        <w:t>4.2</w:t>
      </w:r>
      <w:r>
        <w:rPr>
          <w:rFonts w:hint="eastAsia" w:cs="Times New Roman"/>
          <w:sz w:val="24"/>
          <w:szCs w:val="24"/>
          <w:lang w:val="en-US" w:eastAsia="zh-CN"/>
        </w:rPr>
        <w:t xml:space="preserve"> </w:t>
      </w:r>
      <w:r>
        <w:rPr>
          <w:rFonts w:hint="eastAsia" w:ascii="Times New Roman" w:hAnsi="Times New Roman" w:eastAsia="宋体" w:cs="Times New Roman"/>
          <w:sz w:val="24"/>
          <w:szCs w:val="24"/>
          <w:lang w:val="en-US" w:eastAsia="zh-CN"/>
        </w:rPr>
        <w:t>水环境影响分析和污染防治措施</w:t>
      </w:r>
      <w:r>
        <w:rPr>
          <w:sz w:val="24"/>
          <w:szCs w:val="24"/>
        </w:rPr>
        <w:tab/>
      </w:r>
      <w:r>
        <w:rPr>
          <w:sz w:val="24"/>
          <w:szCs w:val="24"/>
        </w:rPr>
        <w:fldChar w:fldCharType="begin"/>
      </w:r>
      <w:r>
        <w:rPr>
          <w:sz w:val="24"/>
          <w:szCs w:val="24"/>
        </w:rPr>
        <w:instrText xml:space="preserve"> PAGEREF _Toc15552 \h </w:instrText>
      </w:r>
      <w:r>
        <w:rPr>
          <w:sz w:val="24"/>
          <w:szCs w:val="24"/>
        </w:rPr>
        <w:fldChar w:fldCharType="separate"/>
      </w:r>
      <w:r>
        <w:rPr>
          <w:sz w:val="24"/>
          <w:szCs w:val="24"/>
        </w:rPr>
        <w:t>59</w:t>
      </w:r>
      <w:r>
        <w:rPr>
          <w:sz w:val="24"/>
          <w:szCs w:val="24"/>
        </w:rPr>
        <w:fldChar w:fldCharType="end"/>
      </w:r>
      <w:r>
        <w:rPr>
          <w:sz w:val="24"/>
          <w:szCs w:val="24"/>
        </w:rPr>
        <w:fldChar w:fldCharType="end"/>
      </w:r>
    </w:p>
    <w:p w14:paraId="4C5CD0CC">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_Toc1798 </w:instrText>
      </w:r>
      <w:r>
        <w:rPr>
          <w:sz w:val="24"/>
          <w:szCs w:val="24"/>
        </w:rPr>
        <w:fldChar w:fldCharType="separate"/>
      </w:r>
      <w:r>
        <w:rPr>
          <w:rFonts w:hint="eastAsia"/>
          <w:kern w:val="0"/>
          <w:sz w:val="24"/>
          <w:szCs w:val="24"/>
          <w:lang w:val="en-US" w:eastAsia="zh-CN"/>
        </w:rPr>
        <w:t>4.2.1 运营期废水源强分析</w:t>
      </w:r>
      <w:r>
        <w:rPr>
          <w:sz w:val="24"/>
          <w:szCs w:val="24"/>
        </w:rPr>
        <w:tab/>
      </w:r>
      <w:r>
        <w:rPr>
          <w:sz w:val="24"/>
          <w:szCs w:val="24"/>
        </w:rPr>
        <w:fldChar w:fldCharType="begin"/>
      </w:r>
      <w:r>
        <w:rPr>
          <w:sz w:val="24"/>
          <w:szCs w:val="24"/>
        </w:rPr>
        <w:instrText xml:space="preserve"> PAGEREF _Toc1798 \h </w:instrText>
      </w:r>
      <w:r>
        <w:rPr>
          <w:sz w:val="24"/>
          <w:szCs w:val="24"/>
        </w:rPr>
        <w:fldChar w:fldCharType="separate"/>
      </w:r>
      <w:r>
        <w:rPr>
          <w:sz w:val="24"/>
          <w:szCs w:val="24"/>
        </w:rPr>
        <w:t>59</w:t>
      </w:r>
      <w:r>
        <w:rPr>
          <w:sz w:val="24"/>
          <w:szCs w:val="24"/>
        </w:rPr>
        <w:fldChar w:fldCharType="end"/>
      </w:r>
      <w:r>
        <w:rPr>
          <w:sz w:val="24"/>
          <w:szCs w:val="24"/>
        </w:rPr>
        <w:fldChar w:fldCharType="end"/>
      </w:r>
    </w:p>
    <w:p w14:paraId="37286CE4">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_Toc27773 </w:instrText>
      </w:r>
      <w:r>
        <w:rPr>
          <w:sz w:val="24"/>
          <w:szCs w:val="24"/>
        </w:rPr>
        <w:fldChar w:fldCharType="separate"/>
      </w:r>
      <w:r>
        <w:rPr>
          <w:rFonts w:hint="eastAsia"/>
          <w:kern w:val="0"/>
          <w:sz w:val="24"/>
          <w:szCs w:val="24"/>
          <w:lang w:val="en-US" w:eastAsia="zh-CN"/>
        </w:rPr>
        <w:t xml:space="preserve">4.2.2 </w:t>
      </w:r>
      <w:r>
        <w:rPr>
          <w:rFonts w:hint="default"/>
          <w:kern w:val="0"/>
          <w:sz w:val="24"/>
          <w:szCs w:val="24"/>
          <w:lang w:val="en-US" w:eastAsia="zh-CN"/>
        </w:rPr>
        <w:t>运营期水环境影响及污染防治措施可行性分析</w:t>
      </w:r>
      <w:r>
        <w:rPr>
          <w:sz w:val="24"/>
          <w:szCs w:val="24"/>
        </w:rPr>
        <w:tab/>
      </w:r>
      <w:r>
        <w:rPr>
          <w:sz w:val="24"/>
          <w:szCs w:val="24"/>
        </w:rPr>
        <w:fldChar w:fldCharType="begin"/>
      </w:r>
      <w:r>
        <w:rPr>
          <w:sz w:val="24"/>
          <w:szCs w:val="24"/>
        </w:rPr>
        <w:instrText xml:space="preserve"> PAGEREF _Toc27773 \h </w:instrText>
      </w:r>
      <w:r>
        <w:rPr>
          <w:sz w:val="24"/>
          <w:szCs w:val="24"/>
        </w:rPr>
        <w:fldChar w:fldCharType="separate"/>
      </w:r>
      <w:r>
        <w:rPr>
          <w:sz w:val="24"/>
          <w:szCs w:val="24"/>
        </w:rPr>
        <w:t>61</w:t>
      </w:r>
      <w:r>
        <w:rPr>
          <w:sz w:val="24"/>
          <w:szCs w:val="24"/>
        </w:rPr>
        <w:fldChar w:fldCharType="end"/>
      </w:r>
      <w:r>
        <w:rPr>
          <w:sz w:val="24"/>
          <w:szCs w:val="24"/>
        </w:rPr>
        <w:fldChar w:fldCharType="end"/>
      </w:r>
    </w:p>
    <w:p w14:paraId="4A09861A">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_Toc28655 </w:instrText>
      </w:r>
      <w:r>
        <w:rPr>
          <w:sz w:val="24"/>
          <w:szCs w:val="24"/>
        </w:rPr>
        <w:fldChar w:fldCharType="separate"/>
      </w:r>
      <w:r>
        <w:rPr>
          <w:rFonts w:hint="eastAsia" w:ascii="Times New Roman" w:hAnsi="Times New Roman" w:eastAsia="宋体" w:cs="Times New Roman"/>
          <w:sz w:val="24"/>
          <w:szCs w:val="24"/>
          <w:lang w:val="en-US" w:eastAsia="zh-CN"/>
        </w:rPr>
        <w:t>4.3</w:t>
      </w:r>
      <w:r>
        <w:rPr>
          <w:rFonts w:hint="eastAsia" w:cs="Times New Roman"/>
          <w:sz w:val="24"/>
          <w:szCs w:val="24"/>
          <w:lang w:val="en-US" w:eastAsia="zh-CN"/>
        </w:rPr>
        <w:t xml:space="preserve"> </w:t>
      </w:r>
      <w:r>
        <w:rPr>
          <w:rFonts w:hint="eastAsia" w:ascii="Times New Roman" w:hAnsi="Times New Roman" w:eastAsia="宋体" w:cs="Times New Roman"/>
          <w:sz w:val="24"/>
          <w:szCs w:val="24"/>
          <w:lang w:val="en-US" w:eastAsia="zh-CN"/>
        </w:rPr>
        <w:t>噪声环境影响分析和污染防治措施</w:t>
      </w:r>
      <w:r>
        <w:rPr>
          <w:sz w:val="24"/>
          <w:szCs w:val="24"/>
        </w:rPr>
        <w:tab/>
      </w:r>
      <w:r>
        <w:rPr>
          <w:sz w:val="24"/>
          <w:szCs w:val="24"/>
        </w:rPr>
        <w:fldChar w:fldCharType="begin"/>
      </w:r>
      <w:r>
        <w:rPr>
          <w:sz w:val="24"/>
          <w:szCs w:val="24"/>
        </w:rPr>
        <w:instrText xml:space="preserve"> PAGEREF _Toc28655 \h </w:instrText>
      </w:r>
      <w:r>
        <w:rPr>
          <w:sz w:val="24"/>
          <w:szCs w:val="24"/>
        </w:rPr>
        <w:fldChar w:fldCharType="separate"/>
      </w:r>
      <w:r>
        <w:rPr>
          <w:sz w:val="24"/>
          <w:szCs w:val="24"/>
        </w:rPr>
        <w:t>65</w:t>
      </w:r>
      <w:r>
        <w:rPr>
          <w:sz w:val="24"/>
          <w:szCs w:val="24"/>
        </w:rPr>
        <w:fldChar w:fldCharType="end"/>
      </w:r>
      <w:r>
        <w:rPr>
          <w:sz w:val="24"/>
          <w:szCs w:val="24"/>
        </w:rPr>
        <w:fldChar w:fldCharType="end"/>
      </w:r>
    </w:p>
    <w:p w14:paraId="00C9B724">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_Toc2055 </w:instrText>
      </w:r>
      <w:r>
        <w:rPr>
          <w:sz w:val="24"/>
          <w:szCs w:val="24"/>
        </w:rPr>
        <w:fldChar w:fldCharType="separate"/>
      </w:r>
      <w:r>
        <w:rPr>
          <w:rFonts w:hint="default"/>
          <w:kern w:val="0"/>
          <w:sz w:val="24"/>
          <w:szCs w:val="24"/>
          <w:lang w:val="en-US" w:eastAsia="zh-CN"/>
        </w:rPr>
        <w:t>4.3.1</w:t>
      </w:r>
      <w:r>
        <w:rPr>
          <w:rFonts w:hint="eastAsia"/>
          <w:kern w:val="0"/>
          <w:sz w:val="24"/>
          <w:szCs w:val="24"/>
          <w:lang w:val="en-US" w:eastAsia="zh-CN"/>
        </w:rPr>
        <w:t xml:space="preserve"> </w:t>
      </w:r>
      <w:r>
        <w:rPr>
          <w:rFonts w:hint="default"/>
          <w:kern w:val="0"/>
          <w:sz w:val="24"/>
          <w:szCs w:val="24"/>
          <w:lang w:val="en-US" w:eastAsia="zh-CN"/>
        </w:rPr>
        <w:t>噪声源强分析</w:t>
      </w:r>
      <w:r>
        <w:rPr>
          <w:sz w:val="24"/>
          <w:szCs w:val="24"/>
        </w:rPr>
        <w:tab/>
      </w:r>
      <w:r>
        <w:rPr>
          <w:sz w:val="24"/>
          <w:szCs w:val="24"/>
        </w:rPr>
        <w:fldChar w:fldCharType="begin"/>
      </w:r>
      <w:r>
        <w:rPr>
          <w:sz w:val="24"/>
          <w:szCs w:val="24"/>
        </w:rPr>
        <w:instrText xml:space="preserve"> PAGEREF _Toc2055 \h </w:instrText>
      </w:r>
      <w:r>
        <w:rPr>
          <w:sz w:val="24"/>
          <w:szCs w:val="24"/>
        </w:rPr>
        <w:fldChar w:fldCharType="separate"/>
      </w:r>
      <w:r>
        <w:rPr>
          <w:sz w:val="24"/>
          <w:szCs w:val="24"/>
        </w:rPr>
        <w:t>65</w:t>
      </w:r>
      <w:r>
        <w:rPr>
          <w:sz w:val="24"/>
          <w:szCs w:val="24"/>
        </w:rPr>
        <w:fldChar w:fldCharType="end"/>
      </w:r>
      <w:r>
        <w:rPr>
          <w:sz w:val="24"/>
          <w:szCs w:val="24"/>
        </w:rPr>
        <w:fldChar w:fldCharType="end"/>
      </w:r>
    </w:p>
    <w:p w14:paraId="69D99DE6">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_Toc24235 </w:instrText>
      </w:r>
      <w:r>
        <w:rPr>
          <w:sz w:val="24"/>
          <w:szCs w:val="24"/>
        </w:rPr>
        <w:fldChar w:fldCharType="separate"/>
      </w:r>
      <w:r>
        <w:rPr>
          <w:rFonts w:hint="default"/>
          <w:kern w:val="0"/>
          <w:sz w:val="24"/>
          <w:szCs w:val="24"/>
          <w:lang w:val="en-US" w:eastAsia="zh-CN"/>
        </w:rPr>
        <w:t>4.3.2</w:t>
      </w:r>
      <w:r>
        <w:rPr>
          <w:rFonts w:hint="eastAsia"/>
          <w:kern w:val="0"/>
          <w:sz w:val="24"/>
          <w:szCs w:val="24"/>
          <w:lang w:val="en-US" w:eastAsia="zh-CN"/>
        </w:rPr>
        <w:t xml:space="preserve"> </w:t>
      </w:r>
      <w:r>
        <w:rPr>
          <w:rFonts w:hint="default"/>
          <w:kern w:val="0"/>
          <w:sz w:val="24"/>
          <w:szCs w:val="24"/>
          <w:lang w:val="en-US" w:eastAsia="zh-CN"/>
        </w:rPr>
        <w:t>声环境影响分析</w:t>
      </w:r>
      <w:r>
        <w:rPr>
          <w:sz w:val="24"/>
          <w:szCs w:val="24"/>
        </w:rPr>
        <w:tab/>
      </w:r>
      <w:r>
        <w:rPr>
          <w:sz w:val="24"/>
          <w:szCs w:val="24"/>
        </w:rPr>
        <w:fldChar w:fldCharType="begin"/>
      </w:r>
      <w:r>
        <w:rPr>
          <w:sz w:val="24"/>
          <w:szCs w:val="24"/>
        </w:rPr>
        <w:instrText xml:space="preserve"> PAGEREF _Toc24235 \h </w:instrText>
      </w:r>
      <w:r>
        <w:rPr>
          <w:sz w:val="24"/>
          <w:szCs w:val="24"/>
        </w:rPr>
        <w:fldChar w:fldCharType="separate"/>
      </w:r>
      <w:r>
        <w:rPr>
          <w:sz w:val="24"/>
          <w:szCs w:val="24"/>
        </w:rPr>
        <w:t>66</w:t>
      </w:r>
      <w:r>
        <w:rPr>
          <w:sz w:val="24"/>
          <w:szCs w:val="24"/>
        </w:rPr>
        <w:fldChar w:fldCharType="end"/>
      </w:r>
      <w:r>
        <w:rPr>
          <w:sz w:val="24"/>
          <w:szCs w:val="24"/>
        </w:rPr>
        <w:fldChar w:fldCharType="end"/>
      </w:r>
    </w:p>
    <w:p w14:paraId="584840FC">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_Toc11113 </w:instrText>
      </w:r>
      <w:r>
        <w:rPr>
          <w:sz w:val="24"/>
          <w:szCs w:val="24"/>
        </w:rPr>
        <w:fldChar w:fldCharType="separate"/>
      </w:r>
      <w:r>
        <w:rPr>
          <w:rFonts w:hint="default"/>
          <w:kern w:val="0"/>
          <w:sz w:val="24"/>
          <w:szCs w:val="24"/>
          <w:lang w:val="en-US" w:eastAsia="zh-CN"/>
        </w:rPr>
        <w:t>4.3.3</w:t>
      </w:r>
      <w:r>
        <w:rPr>
          <w:rFonts w:hint="eastAsia"/>
          <w:kern w:val="0"/>
          <w:sz w:val="24"/>
          <w:szCs w:val="24"/>
          <w:lang w:val="en-US" w:eastAsia="zh-CN"/>
        </w:rPr>
        <w:t xml:space="preserve"> </w:t>
      </w:r>
      <w:r>
        <w:rPr>
          <w:rFonts w:hint="default"/>
          <w:kern w:val="0"/>
          <w:sz w:val="24"/>
          <w:szCs w:val="24"/>
          <w:lang w:val="zh-CN" w:eastAsia="zh-CN"/>
        </w:rPr>
        <w:t>噪声污染控制措施</w:t>
      </w:r>
      <w:r>
        <w:rPr>
          <w:sz w:val="24"/>
          <w:szCs w:val="24"/>
        </w:rPr>
        <w:tab/>
      </w:r>
      <w:r>
        <w:rPr>
          <w:sz w:val="24"/>
          <w:szCs w:val="24"/>
        </w:rPr>
        <w:fldChar w:fldCharType="begin"/>
      </w:r>
      <w:r>
        <w:rPr>
          <w:sz w:val="24"/>
          <w:szCs w:val="24"/>
        </w:rPr>
        <w:instrText xml:space="preserve"> PAGEREF _Toc11113 \h </w:instrText>
      </w:r>
      <w:r>
        <w:rPr>
          <w:sz w:val="24"/>
          <w:szCs w:val="24"/>
        </w:rPr>
        <w:fldChar w:fldCharType="separate"/>
      </w:r>
      <w:r>
        <w:rPr>
          <w:sz w:val="24"/>
          <w:szCs w:val="24"/>
        </w:rPr>
        <w:t>69</w:t>
      </w:r>
      <w:r>
        <w:rPr>
          <w:sz w:val="24"/>
          <w:szCs w:val="24"/>
        </w:rPr>
        <w:fldChar w:fldCharType="end"/>
      </w:r>
      <w:r>
        <w:rPr>
          <w:sz w:val="24"/>
          <w:szCs w:val="24"/>
        </w:rPr>
        <w:fldChar w:fldCharType="end"/>
      </w:r>
    </w:p>
    <w:p w14:paraId="6B853FE8">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_Toc2783 </w:instrText>
      </w:r>
      <w:r>
        <w:rPr>
          <w:sz w:val="24"/>
          <w:szCs w:val="24"/>
        </w:rPr>
        <w:fldChar w:fldCharType="separate"/>
      </w:r>
      <w:r>
        <w:rPr>
          <w:rFonts w:hint="eastAsia" w:ascii="Times New Roman" w:hAnsi="Times New Roman" w:eastAsia="宋体" w:cs="Times New Roman"/>
          <w:sz w:val="24"/>
          <w:szCs w:val="24"/>
          <w:lang w:val="en-US" w:eastAsia="zh-CN"/>
        </w:rPr>
        <w:t>4.4</w:t>
      </w:r>
      <w:r>
        <w:rPr>
          <w:rFonts w:hint="eastAsia" w:cs="Times New Roman"/>
          <w:sz w:val="24"/>
          <w:szCs w:val="24"/>
          <w:lang w:val="en-US" w:eastAsia="zh-CN"/>
        </w:rPr>
        <w:t xml:space="preserve"> </w:t>
      </w:r>
      <w:r>
        <w:rPr>
          <w:rFonts w:hint="eastAsia" w:ascii="Times New Roman" w:hAnsi="Times New Roman" w:eastAsia="宋体" w:cs="Times New Roman"/>
          <w:sz w:val="24"/>
          <w:szCs w:val="24"/>
          <w:lang w:val="en-US" w:eastAsia="zh-CN"/>
        </w:rPr>
        <w:t>固体废物环境影响分析和污染防治措施</w:t>
      </w:r>
      <w:r>
        <w:rPr>
          <w:sz w:val="24"/>
          <w:szCs w:val="24"/>
        </w:rPr>
        <w:tab/>
      </w:r>
      <w:r>
        <w:rPr>
          <w:sz w:val="24"/>
          <w:szCs w:val="24"/>
        </w:rPr>
        <w:fldChar w:fldCharType="begin"/>
      </w:r>
      <w:r>
        <w:rPr>
          <w:sz w:val="24"/>
          <w:szCs w:val="24"/>
        </w:rPr>
        <w:instrText xml:space="preserve"> PAGEREF _Toc2783 \h </w:instrText>
      </w:r>
      <w:r>
        <w:rPr>
          <w:sz w:val="24"/>
          <w:szCs w:val="24"/>
        </w:rPr>
        <w:fldChar w:fldCharType="separate"/>
      </w:r>
      <w:r>
        <w:rPr>
          <w:sz w:val="24"/>
          <w:szCs w:val="24"/>
        </w:rPr>
        <w:t>70</w:t>
      </w:r>
      <w:r>
        <w:rPr>
          <w:sz w:val="24"/>
          <w:szCs w:val="24"/>
        </w:rPr>
        <w:fldChar w:fldCharType="end"/>
      </w:r>
      <w:r>
        <w:rPr>
          <w:sz w:val="24"/>
          <w:szCs w:val="24"/>
        </w:rPr>
        <w:fldChar w:fldCharType="end"/>
      </w:r>
    </w:p>
    <w:p w14:paraId="72DDA0F5">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_Toc13400 </w:instrText>
      </w:r>
      <w:r>
        <w:rPr>
          <w:sz w:val="24"/>
          <w:szCs w:val="24"/>
        </w:rPr>
        <w:fldChar w:fldCharType="separate"/>
      </w:r>
      <w:r>
        <w:rPr>
          <w:rFonts w:hint="default"/>
          <w:kern w:val="0"/>
          <w:sz w:val="24"/>
          <w:szCs w:val="24"/>
          <w:lang w:val="zh-CN" w:eastAsia="zh-CN"/>
        </w:rPr>
        <w:t>4.4.1 固体废物</w:t>
      </w:r>
      <w:r>
        <w:rPr>
          <w:rFonts w:hint="eastAsia"/>
          <w:kern w:val="0"/>
          <w:sz w:val="24"/>
          <w:szCs w:val="24"/>
          <w:lang w:val="en-US" w:eastAsia="zh-CN"/>
        </w:rPr>
        <w:t>污染源</w:t>
      </w:r>
      <w:r>
        <w:rPr>
          <w:rFonts w:hint="default"/>
          <w:kern w:val="0"/>
          <w:sz w:val="24"/>
          <w:szCs w:val="24"/>
          <w:lang w:val="zh-CN" w:eastAsia="zh-CN"/>
        </w:rPr>
        <w:t>分析</w:t>
      </w:r>
      <w:r>
        <w:rPr>
          <w:sz w:val="24"/>
          <w:szCs w:val="24"/>
        </w:rPr>
        <w:tab/>
      </w:r>
      <w:r>
        <w:rPr>
          <w:sz w:val="24"/>
          <w:szCs w:val="24"/>
        </w:rPr>
        <w:fldChar w:fldCharType="begin"/>
      </w:r>
      <w:r>
        <w:rPr>
          <w:sz w:val="24"/>
          <w:szCs w:val="24"/>
        </w:rPr>
        <w:instrText xml:space="preserve"> PAGEREF _Toc13400 \h </w:instrText>
      </w:r>
      <w:r>
        <w:rPr>
          <w:sz w:val="24"/>
          <w:szCs w:val="24"/>
        </w:rPr>
        <w:fldChar w:fldCharType="separate"/>
      </w:r>
      <w:r>
        <w:rPr>
          <w:sz w:val="24"/>
          <w:szCs w:val="24"/>
        </w:rPr>
        <w:t>70</w:t>
      </w:r>
      <w:r>
        <w:rPr>
          <w:sz w:val="24"/>
          <w:szCs w:val="24"/>
        </w:rPr>
        <w:fldChar w:fldCharType="end"/>
      </w:r>
      <w:r>
        <w:rPr>
          <w:sz w:val="24"/>
          <w:szCs w:val="24"/>
        </w:rPr>
        <w:fldChar w:fldCharType="end"/>
      </w:r>
    </w:p>
    <w:p w14:paraId="57F70739">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_Toc21899 </w:instrText>
      </w:r>
      <w:r>
        <w:rPr>
          <w:sz w:val="24"/>
          <w:szCs w:val="24"/>
        </w:rPr>
        <w:fldChar w:fldCharType="separate"/>
      </w:r>
      <w:r>
        <w:rPr>
          <w:rFonts w:hint="eastAsia"/>
          <w:kern w:val="0"/>
          <w:sz w:val="24"/>
          <w:szCs w:val="24"/>
          <w:lang w:val="zh-CN" w:eastAsia="zh-CN"/>
        </w:rPr>
        <w:t>4.4.2</w:t>
      </w:r>
      <w:r>
        <w:rPr>
          <w:rFonts w:hint="eastAsia"/>
          <w:kern w:val="0"/>
          <w:sz w:val="24"/>
          <w:szCs w:val="24"/>
          <w:lang w:val="en-US" w:eastAsia="zh-CN"/>
        </w:rPr>
        <w:t xml:space="preserve"> </w:t>
      </w:r>
      <w:r>
        <w:rPr>
          <w:rFonts w:hint="eastAsia"/>
          <w:kern w:val="0"/>
          <w:sz w:val="24"/>
          <w:szCs w:val="24"/>
          <w:lang w:val="zh-CN" w:eastAsia="zh-CN"/>
        </w:rPr>
        <w:t>固废管理要求</w:t>
      </w:r>
      <w:r>
        <w:rPr>
          <w:sz w:val="24"/>
          <w:szCs w:val="24"/>
        </w:rPr>
        <w:tab/>
      </w:r>
      <w:r>
        <w:rPr>
          <w:sz w:val="24"/>
          <w:szCs w:val="24"/>
        </w:rPr>
        <w:fldChar w:fldCharType="begin"/>
      </w:r>
      <w:r>
        <w:rPr>
          <w:sz w:val="24"/>
          <w:szCs w:val="24"/>
        </w:rPr>
        <w:instrText xml:space="preserve"> PAGEREF _Toc21899 \h </w:instrText>
      </w:r>
      <w:r>
        <w:rPr>
          <w:sz w:val="24"/>
          <w:szCs w:val="24"/>
        </w:rPr>
        <w:fldChar w:fldCharType="separate"/>
      </w:r>
      <w:r>
        <w:rPr>
          <w:sz w:val="24"/>
          <w:szCs w:val="24"/>
        </w:rPr>
        <w:t>75</w:t>
      </w:r>
      <w:r>
        <w:rPr>
          <w:sz w:val="24"/>
          <w:szCs w:val="24"/>
        </w:rPr>
        <w:fldChar w:fldCharType="end"/>
      </w:r>
      <w:r>
        <w:rPr>
          <w:sz w:val="24"/>
          <w:szCs w:val="24"/>
        </w:rPr>
        <w:fldChar w:fldCharType="end"/>
      </w:r>
    </w:p>
    <w:p w14:paraId="3B659F48">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_Toc31113 </w:instrText>
      </w:r>
      <w:r>
        <w:rPr>
          <w:sz w:val="24"/>
          <w:szCs w:val="24"/>
        </w:rPr>
        <w:fldChar w:fldCharType="separate"/>
      </w:r>
      <w:r>
        <w:rPr>
          <w:rFonts w:hint="eastAsia"/>
          <w:kern w:val="0"/>
          <w:sz w:val="24"/>
          <w:szCs w:val="24"/>
          <w:lang w:val="zh-CN" w:eastAsia="zh-CN"/>
        </w:rPr>
        <w:t>4.4.3</w:t>
      </w:r>
      <w:r>
        <w:rPr>
          <w:rFonts w:hint="eastAsia"/>
          <w:kern w:val="0"/>
          <w:sz w:val="24"/>
          <w:szCs w:val="24"/>
          <w:lang w:val="en-US" w:eastAsia="zh-CN"/>
        </w:rPr>
        <w:t xml:space="preserve"> </w:t>
      </w:r>
      <w:r>
        <w:rPr>
          <w:rFonts w:hint="eastAsia"/>
          <w:kern w:val="0"/>
          <w:sz w:val="24"/>
          <w:szCs w:val="24"/>
          <w:lang w:val="zh-CN" w:eastAsia="zh-CN"/>
        </w:rPr>
        <w:t>危险废物管理要求</w:t>
      </w:r>
      <w:r>
        <w:rPr>
          <w:sz w:val="24"/>
          <w:szCs w:val="24"/>
        </w:rPr>
        <w:tab/>
      </w:r>
      <w:r>
        <w:rPr>
          <w:sz w:val="24"/>
          <w:szCs w:val="24"/>
        </w:rPr>
        <w:fldChar w:fldCharType="begin"/>
      </w:r>
      <w:r>
        <w:rPr>
          <w:sz w:val="24"/>
          <w:szCs w:val="24"/>
        </w:rPr>
        <w:instrText xml:space="preserve"> PAGEREF _Toc31113 \h </w:instrText>
      </w:r>
      <w:r>
        <w:rPr>
          <w:sz w:val="24"/>
          <w:szCs w:val="24"/>
        </w:rPr>
        <w:fldChar w:fldCharType="separate"/>
      </w:r>
      <w:r>
        <w:rPr>
          <w:sz w:val="24"/>
          <w:szCs w:val="24"/>
        </w:rPr>
        <w:t>75</w:t>
      </w:r>
      <w:r>
        <w:rPr>
          <w:sz w:val="24"/>
          <w:szCs w:val="24"/>
        </w:rPr>
        <w:fldChar w:fldCharType="end"/>
      </w:r>
      <w:r>
        <w:rPr>
          <w:sz w:val="24"/>
          <w:szCs w:val="24"/>
        </w:rPr>
        <w:fldChar w:fldCharType="end"/>
      </w:r>
    </w:p>
    <w:p w14:paraId="2DF9183A">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_Toc5496 </w:instrText>
      </w:r>
      <w:r>
        <w:rPr>
          <w:sz w:val="24"/>
          <w:szCs w:val="24"/>
        </w:rPr>
        <w:fldChar w:fldCharType="separate"/>
      </w:r>
      <w:r>
        <w:rPr>
          <w:rFonts w:hint="eastAsia" w:ascii="Times New Roman" w:hAnsi="Times New Roman" w:eastAsia="宋体" w:cs="Times New Roman"/>
          <w:sz w:val="24"/>
          <w:szCs w:val="24"/>
          <w:lang w:val="en-US" w:eastAsia="zh-CN"/>
        </w:rPr>
        <w:t>4.5</w:t>
      </w:r>
      <w:r>
        <w:rPr>
          <w:rFonts w:hint="eastAsia" w:cs="Times New Roman"/>
          <w:sz w:val="24"/>
          <w:szCs w:val="24"/>
          <w:lang w:val="en-US" w:eastAsia="zh-CN"/>
        </w:rPr>
        <w:t xml:space="preserve"> </w:t>
      </w:r>
      <w:r>
        <w:rPr>
          <w:rFonts w:hint="eastAsia" w:ascii="Times New Roman" w:hAnsi="Times New Roman" w:eastAsia="宋体" w:cs="Times New Roman"/>
          <w:sz w:val="24"/>
          <w:szCs w:val="24"/>
          <w:lang w:val="en-US" w:eastAsia="zh-CN"/>
        </w:rPr>
        <w:t>地下水、土壤环境影响和保护措施</w:t>
      </w:r>
      <w:r>
        <w:rPr>
          <w:sz w:val="24"/>
          <w:szCs w:val="24"/>
        </w:rPr>
        <w:tab/>
      </w:r>
      <w:r>
        <w:rPr>
          <w:sz w:val="24"/>
          <w:szCs w:val="24"/>
        </w:rPr>
        <w:fldChar w:fldCharType="begin"/>
      </w:r>
      <w:r>
        <w:rPr>
          <w:sz w:val="24"/>
          <w:szCs w:val="24"/>
        </w:rPr>
        <w:instrText xml:space="preserve"> PAGEREF _Toc5496 \h </w:instrText>
      </w:r>
      <w:r>
        <w:rPr>
          <w:sz w:val="24"/>
          <w:szCs w:val="24"/>
        </w:rPr>
        <w:fldChar w:fldCharType="separate"/>
      </w:r>
      <w:r>
        <w:rPr>
          <w:sz w:val="24"/>
          <w:szCs w:val="24"/>
        </w:rPr>
        <w:t>77</w:t>
      </w:r>
      <w:r>
        <w:rPr>
          <w:sz w:val="24"/>
          <w:szCs w:val="24"/>
        </w:rPr>
        <w:fldChar w:fldCharType="end"/>
      </w:r>
      <w:r>
        <w:rPr>
          <w:sz w:val="24"/>
          <w:szCs w:val="24"/>
        </w:rPr>
        <w:fldChar w:fldCharType="end"/>
      </w:r>
    </w:p>
    <w:p w14:paraId="6CD8C2E0">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_Toc3556 </w:instrText>
      </w:r>
      <w:r>
        <w:rPr>
          <w:sz w:val="24"/>
          <w:szCs w:val="24"/>
        </w:rPr>
        <w:fldChar w:fldCharType="separate"/>
      </w:r>
      <w:r>
        <w:rPr>
          <w:rFonts w:hint="eastAsia"/>
          <w:kern w:val="0"/>
          <w:sz w:val="24"/>
          <w:szCs w:val="24"/>
          <w:lang w:val="zh-CN" w:eastAsia="zh-CN"/>
        </w:rPr>
        <w:t>4.5.1 地下水、土壤环境影响分析</w:t>
      </w:r>
      <w:r>
        <w:rPr>
          <w:sz w:val="24"/>
          <w:szCs w:val="24"/>
        </w:rPr>
        <w:tab/>
      </w:r>
      <w:r>
        <w:rPr>
          <w:sz w:val="24"/>
          <w:szCs w:val="24"/>
        </w:rPr>
        <w:fldChar w:fldCharType="begin"/>
      </w:r>
      <w:r>
        <w:rPr>
          <w:sz w:val="24"/>
          <w:szCs w:val="24"/>
        </w:rPr>
        <w:instrText xml:space="preserve"> PAGEREF _Toc3556 \h </w:instrText>
      </w:r>
      <w:r>
        <w:rPr>
          <w:sz w:val="24"/>
          <w:szCs w:val="24"/>
        </w:rPr>
        <w:fldChar w:fldCharType="separate"/>
      </w:r>
      <w:r>
        <w:rPr>
          <w:sz w:val="24"/>
          <w:szCs w:val="24"/>
        </w:rPr>
        <w:t>77</w:t>
      </w:r>
      <w:r>
        <w:rPr>
          <w:sz w:val="24"/>
          <w:szCs w:val="24"/>
        </w:rPr>
        <w:fldChar w:fldCharType="end"/>
      </w:r>
      <w:r>
        <w:rPr>
          <w:sz w:val="24"/>
          <w:szCs w:val="24"/>
        </w:rPr>
        <w:fldChar w:fldCharType="end"/>
      </w:r>
    </w:p>
    <w:p w14:paraId="04440E9A">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_Toc21544 </w:instrText>
      </w:r>
      <w:r>
        <w:rPr>
          <w:sz w:val="24"/>
          <w:szCs w:val="24"/>
        </w:rPr>
        <w:fldChar w:fldCharType="separate"/>
      </w:r>
      <w:r>
        <w:rPr>
          <w:rFonts w:hint="eastAsia"/>
          <w:kern w:val="0"/>
          <w:sz w:val="24"/>
          <w:szCs w:val="24"/>
          <w:lang w:val="zh-CN" w:eastAsia="zh-CN"/>
        </w:rPr>
        <w:t>4.5.2 地下水、土壤环境防控措施</w:t>
      </w:r>
      <w:r>
        <w:rPr>
          <w:sz w:val="24"/>
          <w:szCs w:val="24"/>
        </w:rPr>
        <w:tab/>
      </w:r>
      <w:r>
        <w:rPr>
          <w:sz w:val="24"/>
          <w:szCs w:val="24"/>
        </w:rPr>
        <w:fldChar w:fldCharType="begin"/>
      </w:r>
      <w:r>
        <w:rPr>
          <w:sz w:val="24"/>
          <w:szCs w:val="24"/>
        </w:rPr>
        <w:instrText xml:space="preserve"> PAGEREF _Toc21544 \h </w:instrText>
      </w:r>
      <w:r>
        <w:rPr>
          <w:sz w:val="24"/>
          <w:szCs w:val="24"/>
        </w:rPr>
        <w:fldChar w:fldCharType="separate"/>
      </w:r>
      <w:r>
        <w:rPr>
          <w:sz w:val="24"/>
          <w:szCs w:val="24"/>
        </w:rPr>
        <w:t>77</w:t>
      </w:r>
      <w:r>
        <w:rPr>
          <w:sz w:val="24"/>
          <w:szCs w:val="24"/>
        </w:rPr>
        <w:fldChar w:fldCharType="end"/>
      </w:r>
      <w:r>
        <w:rPr>
          <w:sz w:val="24"/>
          <w:szCs w:val="24"/>
        </w:rPr>
        <w:fldChar w:fldCharType="end"/>
      </w:r>
    </w:p>
    <w:p w14:paraId="4419FF10">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_Toc30254 </w:instrText>
      </w:r>
      <w:r>
        <w:rPr>
          <w:sz w:val="24"/>
          <w:szCs w:val="24"/>
        </w:rPr>
        <w:fldChar w:fldCharType="separate"/>
      </w:r>
      <w:r>
        <w:rPr>
          <w:rFonts w:ascii="Times New Roman" w:hAnsi="Times New Roman"/>
          <w:bCs/>
          <w:kern w:val="0"/>
          <w:sz w:val="24"/>
          <w:szCs w:val="24"/>
        </w:rPr>
        <w:t>4.</w:t>
      </w:r>
      <w:r>
        <w:rPr>
          <w:rFonts w:hint="eastAsia" w:ascii="Times New Roman" w:hAnsi="Times New Roman"/>
          <w:bCs/>
          <w:kern w:val="0"/>
          <w:sz w:val="24"/>
          <w:szCs w:val="24"/>
        </w:rPr>
        <w:t>6</w:t>
      </w:r>
      <w:r>
        <w:rPr>
          <w:rFonts w:hint="eastAsia"/>
          <w:bCs/>
          <w:kern w:val="0"/>
          <w:sz w:val="24"/>
          <w:szCs w:val="24"/>
          <w:lang w:val="en-US" w:eastAsia="zh-CN"/>
        </w:rPr>
        <w:t xml:space="preserve"> </w:t>
      </w:r>
      <w:r>
        <w:rPr>
          <w:rFonts w:ascii="Times New Roman" w:hAnsi="Times New Roman"/>
          <w:bCs/>
          <w:kern w:val="0"/>
          <w:sz w:val="24"/>
          <w:szCs w:val="24"/>
        </w:rPr>
        <w:t>环境风险分析</w:t>
      </w:r>
      <w:r>
        <w:rPr>
          <w:sz w:val="24"/>
          <w:szCs w:val="24"/>
        </w:rPr>
        <w:tab/>
      </w:r>
      <w:r>
        <w:rPr>
          <w:sz w:val="24"/>
          <w:szCs w:val="24"/>
        </w:rPr>
        <w:fldChar w:fldCharType="begin"/>
      </w:r>
      <w:r>
        <w:rPr>
          <w:sz w:val="24"/>
          <w:szCs w:val="24"/>
        </w:rPr>
        <w:instrText xml:space="preserve"> PAGEREF _Toc30254 \h </w:instrText>
      </w:r>
      <w:r>
        <w:rPr>
          <w:sz w:val="24"/>
          <w:szCs w:val="24"/>
        </w:rPr>
        <w:fldChar w:fldCharType="separate"/>
      </w:r>
      <w:r>
        <w:rPr>
          <w:sz w:val="24"/>
          <w:szCs w:val="24"/>
        </w:rPr>
        <w:t>78</w:t>
      </w:r>
      <w:r>
        <w:rPr>
          <w:sz w:val="24"/>
          <w:szCs w:val="24"/>
        </w:rPr>
        <w:fldChar w:fldCharType="end"/>
      </w:r>
      <w:r>
        <w:rPr>
          <w:sz w:val="24"/>
          <w:szCs w:val="24"/>
        </w:rPr>
        <w:fldChar w:fldCharType="end"/>
      </w:r>
    </w:p>
    <w:p w14:paraId="4BDA94D9">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_Toc26455 </w:instrText>
      </w:r>
      <w:r>
        <w:rPr>
          <w:sz w:val="24"/>
          <w:szCs w:val="24"/>
        </w:rPr>
        <w:fldChar w:fldCharType="separate"/>
      </w:r>
      <w:r>
        <w:rPr>
          <w:rFonts w:hint="eastAsia"/>
          <w:kern w:val="0"/>
          <w:sz w:val="24"/>
          <w:szCs w:val="24"/>
          <w:lang w:val="en-US" w:eastAsia="zh-CN"/>
        </w:rPr>
        <w:t xml:space="preserve">4.6.1 </w:t>
      </w:r>
      <w:r>
        <w:rPr>
          <w:rFonts w:hint="default"/>
          <w:kern w:val="0"/>
          <w:sz w:val="24"/>
          <w:szCs w:val="24"/>
          <w:lang w:val="en-US" w:eastAsia="zh-CN"/>
        </w:rPr>
        <w:t>项目危险物质调查</w:t>
      </w:r>
      <w:r>
        <w:rPr>
          <w:sz w:val="24"/>
          <w:szCs w:val="24"/>
        </w:rPr>
        <w:tab/>
      </w:r>
      <w:r>
        <w:rPr>
          <w:sz w:val="24"/>
          <w:szCs w:val="24"/>
        </w:rPr>
        <w:fldChar w:fldCharType="begin"/>
      </w:r>
      <w:r>
        <w:rPr>
          <w:sz w:val="24"/>
          <w:szCs w:val="24"/>
        </w:rPr>
        <w:instrText xml:space="preserve"> PAGEREF _Toc26455 \h </w:instrText>
      </w:r>
      <w:r>
        <w:rPr>
          <w:sz w:val="24"/>
          <w:szCs w:val="24"/>
        </w:rPr>
        <w:fldChar w:fldCharType="separate"/>
      </w:r>
      <w:r>
        <w:rPr>
          <w:sz w:val="24"/>
          <w:szCs w:val="24"/>
        </w:rPr>
        <w:t>78</w:t>
      </w:r>
      <w:r>
        <w:rPr>
          <w:sz w:val="24"/>
          <w:szCs w:val="24"/>
        </w:rPr>
        <w:fldChar w:fldCharType="end"/>
      </w:r>
      <w:r>
        <w:rPr>
          <w:sz w:val="24"/>
          <w:szCs w:val="24"/>
        </w:rPr>
        <w:fldChar w:fldCharType="end"/>
      </w:r>
    </w:p>
    <w:p w14:paraId="573ED863">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_Toc11549 </w:instrText>
      </w:r>
      <w:r>
        <w:rPr>
          <w:sz w:val="24"/>
          <w:szCs w:val="24"/>
        </w:rPr>
        <w:fldChar w:fldCharType="separate"/>
      </w:r>
      <w:r>
        <w:rPr>
          <w:rFonts w:hint="eastAsia" w:cs="Times New Roman"/>
          <w:bCs/>
          <w:sz w:val="24"/>
          <w:szCs w:val="24"/>
          <w:highlight w:val="none"/>
          <w:lang w:val="en-US" w:eastAsia="zh-CN"/>
        </w:rPr>
        <w:t>4.6.2</w:t>
      </w:r>
      <w:r>
        <w:rPr>
          <w:rFonts w:hint="default" w:ascii="Times New Roman" w:hAnsi="Times New Roman" w:cs="Times New Roman"/>
          <w:bCs/>
          <w:sz w:val="24"/>
          <w:szCs w:val="24"/>
          <w:highlight w:val="none"/>
          <w:lang w:val="en-US" w:eastAsia="zh-CN"/>
        </w:rPr>
        <w:t xml:space="preserve"> 环境风险识别</w:t>
      </w:r>
      <w:r>
        <w:rPr>
          <w:sz w:val="24"/>
          <w:szCs w:val="24"/>
        </w:rPr>
        <w:tab/>
      </w:r>
      <w:r>
        <w:rPr>
          <w:sz w:val="24"/>
          <w:szCs w:val="24"/>
        </w:rPr>
        <w:fldChar w:fldCharType="begin"/>
      </w:r>
      <w:r>
        <w:rPr>
          <w:sz w:val="24"/>
          <w:szCs w:val="24"/>
        </w:rPr>
        <w:instrText xml:space="preserve"> PAGEREF _Toc11549 \h </w:instrText>
      </w:r>
      <w:r>
        <w:rPr>
          <w:sz w:val="24"/>
          <w:szCs w:val="24"/>
        </w:rPr>
        <w:fldChar w:fldCharType="separate"/>
      </w:r>
      <w:r>
        <w:rPr>
          <w:sz w:val="24"/>
          <w:szCs w:val="24"/>
        </w:rPr>
        <w:t>79</w:t>
      </w:r>
      <w:r>
        <w:rPr>
          <w:sz w:val="24"/>
          <w:szCs w:val="24"/>
        </w:rPr>
        <w:fldChar w:fldCharType="end"/>
      </w:r>
      <w:r>
        <w:rPr>
          <w:sz w:val="24"/>
          <w:szCs w:val="24"/>
        </w:rPr>
        <w:fldChar w:fldCharType="end"/>
      </w:r>
    </w:p>
    <w:p w14:paraId="142986EC">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_Toc29501 </w:instrText>
      </w:r>
      <w:r>
        <w:rPr>
          <w:sz w:val="24"/>
          <w:szCs w:val="24"/>
        </w:rPr>
        <w:fldChar w:fldCharType="separate"/>
      </w:r>
      <w:r>
        <w:rPr>
          <w:rFonts w:hint="eastAsia" w:cs="Times New Roman"/>
          <w:bCs/>
          <w:sz w:val="24"/>
          <w:szCs w:val="24"/>
          <w:highlight w:val="none"/>
          <w:lang w:val="en-US" w:eastAsia="zh-CN"/>
        </w:rPr>
        <w:t xml:space="preserve">4.6.3 </w:t>
      </w:r>
      <w:r>
        <w:rPr>
          <w:rFonts w:hint="default" w:ascii="Times New Roman" w:hAnsi="Times New Roman" w:eastAsia="宋体" w:cs="Times New Roman"/>
          <w:bCs/>
          <w:sz w:val="24"/>
          <w:szCs w:val="24"/>
          <w:highlight w:val="none"/>
          <w:lang w:val="en-US" w:eastAsia="zh-CN"/>
        </w:rPr>
        <w:t>环境风险防范措施</w:t>
      </w:r>
      <w:r>
        <w:rPr>
          <w:sz w:val="24"/>
          <w:szCs w:val="24"/>
        </w:rPr>
        <w:tab/>
      </w:r>
      <w:r>
        <w:rPr>
          <w:sz w:val="24"/>
          <w:szCs w:val="24"/>
        </w:rPr>
        <w:fldChar w:fldCharType="begin"/>
      </w:r>
      <w:r>
        <w:rPr>
          <w:sz w:val="24"/>
          <w:szCs w:val="24"/>
        </w:rPr>
        <w:instrText xml:space="preserve"> PAGEREF _Toc29501 \h </w:instrText>
      </w:r>
      <w:r>
        <w:rPr>
          <w:sz w:val="24"/>
          <w:szCs w:val="24"/>
        </w:rPr>
        <w:fldChar w:fldCharType="separate"/>
      </w:r>
      <w:r>
        <w:rPr>
          <w:sz w:val="24"/>
          <w:szCs w:val="24"/>
        </w:rPr>
        <w:t>79</w:t>
      </w:r>
      <w:r>
        <w:rPr>
          <w:sz w:val="24"/>
          <w:szCs w:val="24"/>
        </w:rPr>
        <w:fldChar w:fldCharType="end"/>
      </w:r>
      <w:r>
        <w:rPr>
          <w:sz w:val="24"/>
          <w:szCs w:val="24"/>
        </w:rPr>
        <w:fldChar w:fldCharType="end"/>
      </w:r>
    </w:p>
    <w:p w14:paraId="55643F13">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_Toc28916 </w:instrText>
      </w:r>
      <w:r>
        <w:rPr>
          <w:sz w:val="24"/>
          <w:szCs w:val="24"/>
        </w:rPr>
        <w:fldChar w:fldCharType="separate"/>
      </w:r>
      <w:r>
        <w:rPr>
          <w:rFonts w:hint="eastAsia" w:ascii="Times New Roman" w:hAnsi="Times New Roman" w:eastAsia="宋体" w:cs="Times New Roman"/>
          <w:sz w:val="24"/>
          <w:szCs w:val="24"/>
          <w:lang w:val="en-US" w:eastAsia="zh-CN"/>
        </w:rPr>
        <w:t>4.7</w:t>
      </w:r>
      <w:r>
        <w:rPr>
          <w:rFonts w:hint="eastAsia" w:cs="Times New Roman"/>
          <w:sz w:val="24"/>
          <w:szCs w:val="24"/>
          <w:lang w:val="en-US" w:eastAsia="zh-CN"/>
        </w:rPr>
        <w:t xml:space="preserve"> </w:t>
      </w:r>
      <w:r>
        <w:rPr>
          <w:rFonts w:hint="eastAsia" w:ascii="Times New Roman" w:hAnsi="Times New Roman" w:eastAsia="宋体" w:cs="Times New Roman"/>
          <w:sz w:val="24"/>
          <w:szCs w:val="24"/>
          <w:lang w:val="en-US" w:eastAsia="zh-CN"/>
        </w:rPr>
        <w:t>自行监测计划</w:t>
      </w:r>
      <w:r>
        <w:rPr>
          <w:sz w:val="24"/>
          <w:szCs w:val="24"/>
        </w:rPr>
        <w:tab/>
      </w:r>
      <w:r>
        <w:rPr>
          <w:sz w:val="24"/>
          <w:szCs w:val="24"/>
        </w:rPr>
        <w:fldChar w:fldCharType="begin"/>
      </w:r>
      <w:r>
        <w:rPr>
          <w:sz w:val="24"/>
          <w:szCs w:val="24"/>
        </w:rPr>
        <w:instrText xml:space="preserve"> PAGEREF _Toc28916 \h </w:instrText>
      </w:r>
      <w:r>
        <w:rPr>
          <w:sz w:val="24"/>
          <w:szCs w:val="24"/>
        </w:rPr>
        <w:fldChar w:fldCharType="separate"/>
      </w:r>
      <w:r>
        <w:rPr>
          <w:sz w:val="24"/>
          <w:szCs w:val="24"/>
        </w:rPr>
        <w:t>80</w:t>
      </w:r>
      <w:r>
        <w:rPr>
          <w:sz w:val="24"/>
          <w:szCs w:val="24"/>
        </w:rPr>
        <w:fldChar w:fldCharType="end"/>
      </w:r>
      <w:r>
        <w:rPr>
          <w:sz w:val="24"/>
          <w:szCs w:val="24"/>
        </w:rPr>
        <w:fldChar w:fldCharType="end"/>
      </w:r>
    </w:p>
    <w:p w14:paraId="4764B3E3">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_Toc1083 </w:instrText>
      </w:r>
      <w:r>
        <w:rPr>
          <w:sz w:val="24"/>
          <w:szCs w:val="24"/>
        </w:rPr>
        <w:fldChar w:fldCharType="separate"/>
      </w:r>
      <w:r>
        <w:rPr>
          <w:rFonts w:hint="eastAsia" w:ascii="Times New Roman" w:hAnsi="Times New Roman" w:eastAsia="宋体" w:cs="Times New Roman"/>
          <w:sz w:val="24"/>
          <w:szCs w:val="24"/>
          <w:lang w:val="en-US" w:eastAsia="zh-CN"/>
        </w:rPr>
        <w:t>4.8</w:t>
      </w:r>
      <w:r>
        <w:rPr>
          <w:rFonts w:hint="eastAsia" w:cs="Times New Roman"/>
          <w:sz w:val="24"/>
          <w:szCs w:val="24"/>
          <w:lang w:val="en-US" w:eastAsia="zh-CN"/>
        </w:rPr>
        <w:t xml:space="preserve"> </w:t>
      </w:r>
      <w:r>
        <w:rPr>
          <w:rFonts w:hint="eastAsia" w:ascii="Times New Roman" w:hAnsi="Times New Roman" w:eastAsia="宋体" w:cs="Times New Roman"/>
          <w:sz w:val="24"/>
          <w:szCs w:val="24"/>
          <w:lang w:val="en-US" w:eastAsia="zh-CN"/>
        </w:rPr>
        <w:t>环保投资估算</w:t>
      </w:r>
      <w:r>
        <w:rPr>
          <w:sz w:val="24"/>
          <w:szCs w:val="24"/>
        </w:rPr>
        <w:tab/>
      </w:r>
      <w:r>
        <w:rPr>
          <w:sz w:val="24"/>
          <w:szCs w:val="24"/>
        </w:rPr>
        <w:fldChar w:fldCharType="begin"/>
      </w:r>
      <w:r>
        <w:rPr>
          <w:sz w:val="24"/>
          <w:szCs w:val="24"/>
        </w:rPr>
        <w:instrText xml:space="preserve"> PAGEREF _Toc1083 \h </w:instrText>
      </w:r>
      <w:r>
        <w:rPr>
          <w:sz w:val="24"/>
          <w:szCs w:val="24"/>
        </w:rPr>
        <w:fldChar w:fldCharType="separate"/>
      </w:r>
      <w:r>
        <w:rPr>
          <w:sz w:val="24"/>
          <w:szCs w:val="24"/>
        </w:rPr>
        <w:t>81</w:t>
      </w:r>
      <w:r>
        <w:rPr>
          <w:sz w:val="24"/>
          <w:szCs w:val="24"/>
        </w:rPr>
        <w:fldChar w:fldCharType="end"/>
      </w:r>
      <w:r>
        <w:rPr>
          <w:sz w:val="24"/>
          <w:szCs w:val="24"/>
        </w:rPr>
        <w:fldChar w:fldCharType="end"/>
      </w:r>
    </w:p>
    <w:p w14:paraId="5FEDE571">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_Toc28440 </w:instrText>
      </w:r>
      <w:r>
        <w:rPr>
          <w:sz w:val="24"/>
          <w:szCs w:val="24"/>
        </w:rPr>
        <w:fldChar w:fldCharType="separate"/>
      </w:r>
      <w:r>
        <w:rPr>
          <w:sz w:val="24"/>
          <w:szCs w:val="24"/>
          <w:highlight w:val="none"/>
        </w:rPr>
        <w:t>五、环境保护措施监督检查清单</w:t>
      </w:r>
      <w:r>
        <w:rPr>
          <w:sz w:val="24"/>
          <w:szCs w:val="24"/>
        </w:rPr>
        <w:tab/>
      </w:r>
      <w:r>
        <w:rPr>
          <w:sz w:val="24"/>
          <w:szCs w:val="24"/>
        </w:rPr>
        <w:fldChar w:fldCharType="begin"/>
      </w:r>
      <w:r>
        <w:rPr>
          <w:sz w:val="24"/>
          <w:szCs w:val="24"/>
        </w:rPr>
        <w:instrText xml:space="preserve"> PAGEREF _Toc28440 \h </w:instrText>
      </w:r>
      <w:r>
        <w:rPr>
          <w:sz w:val="24"/>
          <w:szCs w:val="24"/>
        </w:rPr>
        <w:fldChar w:fldCharType="separate"/>
      </w:r>
      <w:r>
        <w:rPr>
          <w:sz w:val="24"/>
          <w:szCs w:val="24"/>
        </w:rPr>
        <w:t>82</w:t>
      </w:r>
      <w:r>
        <w:rPr>
          <w:sz w:val="24"/>
          <w:szCs w:val="24"/>
        </w:rPr>
        <w:fldChar w:fldCharType="end"/>
      </w:r>
      <w:r>
        <w:rPr>
          <w:sz w:val="24"/>
          <w:szCs w:val="24"/>
        </w:rPr>
        <w:fldChar w:fldCharType="end"/>
      </w:r>
    </w:p>
    <w:p w14:paraId="437700A5">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_Toc8855 </w:instrText>
      </w:r>
      <w:r>
        <w:rPr>
          <w:sz w:val="24"/>
          <w:szCs w:val="24"/>
        </w:rPr>
        <w:fldChar w:fldCharType="separate"/>
      </w:r>
      <w:r>
        <w:rPr>
          <w:rFonts w:ascii="Times New Roman" w:hAnsi="Times New Roman" w:eastAsia="黑体"/>
          <w:snapToGrid w:val="0"/>
          <w:sz w:val="24"/>
          <w:szCs w:val="24"/>
        </w:rPr>
        <w:t>六、结论</w:t>
      </w:r>
      <w:r>
        <w:rPr>
          <w:sz w:val="24"/>
          <w:szCs w:val="24"/>
        </w:rPr>
        <w:tab/>
      </w:r>
      <w:r>
        <w:rPr>
          <w:sz w:val="24"/>
          <w:szCs w:val="24"/>
        </w:rPr>
        <w:fldChar w:fldCharType="begin"/>
      </w:r>
      <w:r>
        <w:rPr>
          <w:sz w:val="24"/>
          <w:szCs w:val="24"/>
        </w:rPr>
        <w:instrText xml:space="preserve"> PAGEREF _Toc8855 \h </w:instrText>
      </w:r>
      <w:r>
        <w:rPr>
          <w:sz w:val="24"/>
          <w:szCs w:val="24"/>
        </w:rPr>
        <w:fldChar w:fldCharType="separate"/>
      </w:r>
      <w:r>
        <w:rPr>
          <w:sz w:val="24"/>
          <w:szCs w:val="24"/>
        </w:rPr>
        <w:t>86</w:t>
      </w:r>
      <w:r>
        <w:rPr>
          <w:sz w:val="24"/>
          <w:szCs w:val="24"/>
        </w:rPr>
        <w:fldChar w:fldCharType="end"/>
      </w:r>
      <w:r>
        <w:rPr>
          <w:sz w:val="24"/>
          <w:szCs w:val="24"/>
        </w:rPr>
        <w:fldChar w:fldCharType="end"/>
      </w:r>
    </w:p>
    <w:p w14:paraId="436A5848">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_Toc17731 </w:instrText>
      </w:r>
      <w:r>
        <w:rPr>
          <w:sz w:val="24"/>
          <w:szCs w:val="24"/>
        </w:rPr>
        <w:fldChar w:fldCharType="separate"/>
      </w:r>
      <w:r>
        <w:rPr>
          <w:rFonts w:ascii="Times New Roman" w:hAnsi="Times New Roman" w:eastAsia="方正小标宋_GBK"/>
          <w:bCs/>
          <w:snapToGrid w:val="0"/>
          <w:sz w:val="24"/>
          <w:szCs w:val="24"/>
        </w:rPr>
        <w:t>附</w:t>
      </w:r>
      <w:r>
        <w:rPr>
          <w:rFonts w:ascii="Times New Roman" w:hAnsi="Times New Roman" w:eastAsia="方正小标宋_GBK" w:cs="Times New Roman"/>
          <w:bCs/>
          <w:snapToGrid w:val="0"/>
          <w:sz w:val="24"/>
          <w:szCs w:val="24"/>
        </w:rPr>
        <w:t>表</w:t>
      </w:r>
      <w:r>
        <w:rPr>
          <w:sz w:val="24"/>
          <w:szCs w:val="24"/>
        </w:rPr>
        <w:fldChar w:fldCharType="end"/>
      </w:r>
      <w:r>
        <w:rPr>
          <w:rFonts w:hint="eastAsia"/>
          <w:sz w:val="24"/>
          <w:szCs w:val="24"/>
          <w:lang w:val="en-US" w:eastAsia="zh-CN"/>
        </w:rPr>
        <w:t xml:space="preserve"> </w:t>
      </w:r>
      <w:r>
        <w:rPr>
          <w:sz w:val="24"/>
          <w:szCs w:val="24"/>
        </w:rPr>
        <w:fldChar w:fldCharType="begin"/>
      </w:r>
      <w:r>
        <w:rPr>
          <w:sz w:val="24"/>
          <w:szCs w:val="24"/>
        </w:rPr>
        <w:instrText xml:space="preserve"> HYPERLINK \l _Toc6515 </w:instrText>
      </w:r>
      <w:r>
        <w:rPr>
          <w:sz w:val="24"/>
          <w:szCs w:val="24"/>
        </w:rPr>
        <w:fldChar w:fldCharType="separate"/>
      </w:r>
      <w:r>
        <w:rPr>
          <w:rFonts w:ascii="Times New Roman" w:hAnsi="Times New Roman" w:eastAsia="方正小标宋_GBK"/>
          <w:snapToGrid w:val="0"/>
          <w:sz w:val="24"/>
          <w:szCs w:val="24"/>
        </w:rPr>
        <w:t>建设项目污染物排放量汇总表</w:t>
      </w:r>
      <w:r>
        <w:rPr>
          <w:sz w:val="24"/>
          <w:szCs w:val="24"/>
        </w:rPr>
        <w:tab/>
      </w:r>
      <w:r>
        <w:rPr>
          <w:sz w:val="24"/>
          <w:szCs w:val="24"/>
        </w:rPr>
        <w:fldChar w:fldCharType="begin"/>
      </w:r>
      <w:r>
        <w:rPr>
          <w:sz w:val="24"/>
          <w:szCs w:val="24"/>
        </w:rPr>
        <w:instrText xml:space="preserve"> PAGEREF _Toc6515 \h </w:instrText>
      </w:r>
      <w:r>
        <w:rPr>
          <w:sz w:val="24"/>
          <w:szCs w:val="24"/>
        </w:rPr>
        <w:fldChar w:fldCharType="separate"/>
      </w:r>
      <w:r>
        <w:rPr>
          <w:sz w:val="24"/>
          <w:szCs w:val="24"/>
        </w:rPr>
        <w:t>87</w:t>
      </w:r>
      <w:r>
        <w:rPr>
          <w:sz w:val="24"/>
          <w:szCs w:val="24"/>
        </w:rPr>
        <w:fldChar w:fldCharType="end"/>
      </w:r>
      <w:r>
        <w:rPr>
          <w:sz w:val="24"/>
          <w:szCs w:val="24"/>
        </w:rPr>
        <w:fldChar w:fldCharType="end"/>
      </w:r>
    </w:p>
    <w:p w14:paraId="1271C8AD">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_Toc13119 </w:instrText>
      </w:r>
      <w:r>
        <w:rPr>
          <w:sz w:val="24"/>
          <w:szCs w:val="24"/>
        </w:rPr>
        <w:fldChar w:fldCharType="separate"/>
      </w:r>
      <w:r>
        <w:rPr>
          <w:rFonts w:hint="eastAsia" w:ascii="黑体" w:hAnsi="黑体" w:eastAsia="黑体" w:cs="黑体"/>
          <w:bCs/>
          <w:sz w:val="24"/>
          <w:szCs w:val="24"/>
          <w:lang w:val="en-US" w:eastAsia="zh-CN"/>
        </w:rPr>
        <w:t>附件十一：关于环评文件公开文本删除的涉及国家秘密、商业秘密等内容的删除依据和理由说明</w:t>
      </w:r>
      <w:r>
        <w:rPr>
          <w:sz w:val="24"/>
          <w:szCs w:val="24"/>
        </w:rPr>
        <w:tab/>
      </w:r>
      <w:r>
        <w:rPr>
          <w:sz w:val="24"/>
          <w:szCs w:val="24"/>
        </w:rPr>
        <w:fldChar w:fldCharType="begin"/>
      </w:r>
      <w:r>
        <w:rPr>
          <w:sz w:val="24"/>
          <w:szCs w:val="24"/>
        </w:rPr>
        <w:instrText xml:space="preserve"> PAGEREF _Toc13119 \h </w:instrText>
      </w:r>
      <w:r>
        <w:rPr>
          <w:sz w:val="24"/>
          <w:szCs w:val="24"/>
        </w:rPr>
        <w:fldChar w:fldCharType="separate"/>
      </w:r>
      <w:r>
        <w:rPr>
          <w:sz w:val="24"/>
          <w:szCs w:val="24"/>
        </w:rPr>
        <w:t>88</w:t>
      </w:r>
      <w:r>
        <w:rPr>
          <w:sz w:val="24"/>
          <w:szCs w:val="24"/>
        </w:rPr>
        <w:fldChar w:fldCharType="end"/>
      </w:r>
      <w:r>
        <w:rPr>
          <w:sz w:val="24"/>
          <w:szCs w:val="24"/>
        </w:rPr>
        <w:fldChar w:fldCharType="end"/>
      </w:r>
    </w:p>
    <w:p w14:paraId="79078ADD">
      <w:r>
        <w:fldChar w:fldCharType="end"/>
      </w:r>
    </w:p>
    <w:p w14:paraId="4115A900"/>
    <w:p w14:paraId="7E122D3D">
      <w:pPr>
        <w:pStyle w:val="2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sectPr>
          <w:footerReference r:id="rId4" w:type="default"/>
          <w:pgSz w:w="11906" w:h="16838"/>
          <w:pgMar w:top="1587" w:right="1417" w:bottom="1587" w:left="1417" w:header="851" w:footer="992" w:gutter="0"/>
          <w:pgBorders>
            <w:top w:val="none" w:sz="0" w:space="0"/>
            <w:left w:val="none" w:sz="0" w:space="0"/>
            <w:bottom w:val="none" w:sz="0" w:space="0"/>
            <w:right w:val="none" w:sz="0" w:space="0"/>
          </w:pgBorders>
          <w:pgNumType w:fmt="upperRoman" w:start="1"/>
          <w:cols w:space="0" w:num="1"/>
          <w:rtlGutter w:val="0"/>
          <w:docGrid w:type="lines" w:linePitch="318" w:charSpace="0"/>
        </w:sectPr>
      </w:pPr>
    </w:p>
    <w:p w14:paraId="1D124986">
      <w:pPr>
        <w:pStyle w:val="2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pPr>
      <w:bookmarkStart w:id="9" w:name="_Toc29490"/>
      <w:r>
        <w:rPr>
          <w:rFonts w:hint="default" w:ascii="Times New Roman" w:hAnsi="Times New Roman" w:eastAsia="黑体" w:cs="Times New Roman"/>
          <w:snapToGrid w:val="0"/>
          <w:color w:val="auto"/>
          <w:sz w:val="30"/>
          <w:szCs w:val="30"/>
          <w:u w:val="none"/>
          <w:lang w:val="en-US" w:eastAsia="zh-CN"/>
        </w:rPr>
        <w:t>一、建设项目基本情况</w:t>
      </w:r>
      <w:bookmarkEnd w:id="9"/>
    </w:p>
    <w:tbl>
      <w:tblPr>
        <w:tblStyle w:val="23"/>
        <w:tblW w:w="497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71"/>
        <w:gridCol w:w="1126"/>
        <w:gridCol w:w="2237"/>
        <w:gridCol w:w="1556"/>
        <w:gridCol w:w="319"/>
        <w:gridCol w:w="3044"/>
      </w:tblGrid>
      <w:tr w14:paraId="1F148E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2" w:hRule="atLeast"/>
          <w:jc w:val="center"/>
        </w:trPr>
        <w:tc>
          <w:tcPr>
            <w:tcW w:w="1048" w:type="pct"/>
            <w:gridSpan w:val="2"/>
            <w:noWrap w:val="0"/>
            <w:tcMar>
              <w:top w:w="16" w:type="dxa"/>
              <w:left w:w="16" w:type="dxa"/>
              <w:right w:w="16" w:type="dxa"/>
            </w:tcMar>
            <w:vAlign w:val="center"/>
          </w:tcPr>
          <w:p w14:paraId="3C9BCD1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建设项目名称</w:t>
            </w:r>
          </w:p>
        </w:tc>
        <w:tc>
          <w:tcPr>
            <w:tcW w:w="3951" w:type="pct"/>
            <w:gridSpan w:val="4"/>
            <w:noWrap w:val="0"/>
            <w:vAlign w:val="center"/>
          </w:tcPr>
          <w:p w14:paraId="61FBCC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eastAsia" w:cs="Times New Roman"/>
                <w:color w:val="auto"/>
                <w:sz w:val="24"/>
                <w:szCs w:val="24"/>
                <w:u w:val="none"/>
                <w:lang w:eastAsia="zh-CN"/>
              </w:rPr>
              <w:t>福建瑞昌新能源科技开发有限公司年加工五金配件300万个项目</w:t>
            </w:r>
          </w:p>
        </w:tc>
      </w:tr>
      <w:tr w14:paraId="0870D8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1048" w:type="pct"/>
            <w:gridSpan w:val="2"/>
            <w:noWrap w:val="0"/>
            <w:tcMar>
              <w:top w:w="16" w:type="dxa"/>
              <w:left w:w="16" w:type="dxa"/>
              <w:right w:w="16" w:type="dxa"/>
            </w:tcMar>
            <w:vAlign w:val="center"/>
          </w:tcPr>
          <w:p w14:paraId="3D21222D">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项目代码</w:t>
            </w:r>
          </w:p>
        </w:tc>
        <w:tc>
          <w:tcPr>
            <w:tcW w:w="3951" w:type="pct"/>
            <w:gridSpan w:val="4"/>
            <w:noWrap w:val="0"/>
            <w:vAlign w:val="center"/>
          </w:tcPr>
          <w:p w14:paraId="33ED6F2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2510-350181-04-01-990995</w:t>
            </w:r>
          </w:p>
        </w:tc>
      </w:tr>
      <w:tr w14:paraId="1A6BD7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0" w:hRule="atLeast"/>
          <w:jc w:val="center"/>
        </w:trPr>
        <w:tc>
          <w:tcPr>
            <w:tcW w:w="1048" w:type="pct"/>
            <w:gridSpan w:val="2"/>
            <w:noWrap w:val="0"/>
            <w:tcMar>
              <w:top w:w="16" w:type="dxa"/>
              <w:left w:w="16" w:type="dxa"/>
              <w:right w:w="16" w:type="dxa"/>
            </w:tcMar>
            <w:vAlign w:val="center"/>
          </w:tcPr>
          <w:p w14:paraId="6F1F388B">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建设单位联系人</w:t>
            </w:r>
          </w:p>
        </w:tc>
        <w:tc>
          <w:tcPr>
            <w:tcW w:w="1235" w:type="pct"/>
            <w:noWrap w:val="0"/>
            <w:vAlign w:val="center"/>
          </w:tcPr>
          <w:p w14:paraId="1265F98B">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w:t>
            </w:r>
          </w:p>
        </w:tc>
        <w:tc>
          <w:tcPr>
            <w:tcW w:w="1035" w:type="pct"/>
            <w:gridSpan w:val="2"/>
            <w:noWrap w:val="0"/>
            <w:vAlign w:val="center"/>
          </w:tcPr>
          <w:p w14:paraId="261D581F">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联系方式</w:t>
            </w:r>
          </w:p>
        </w:tc>
        <w:tc>
          <w:tcPr>
            <w:tcW w:w="1681" w:type="pct"/>
            <w:noWrap w:val="0"/>
            <w:vAlign w:val="center"/>
          </w:tcPr>
          <w:p w14:paraId="1CFE886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13*******642</w:t>
            </w:r>
          </w:p>
        </w:tc>
      </w:tr>
      <w:tr w14:paraId="36CCBF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7" w:hRule="atLeast"/>
          <w:jc w:val="center"/>
        </w:trPr>
        <w:tc>
          <w:tcPr>
            <w:tcW w:w="1048" w:type="pct"/>
            <w:gridSpan w:val="2"/>
            <w:noWrap w:val="0"/>
            <w:tcMar>
              <w:top w:w="16" w:type="dxa"/>
              <w:left w:w="16" w:type="dxa"/>
              <w:right w:w="16" w:type="dxa"/>
            </w:tcMar>
            <w:vAlign w:val="center"/>
          </w:tcPr>
          <w:p w14:paraId="7CF2E4F7">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建设地点</w:t>
            </w:r>
          </w:p>
        </w:tc>
        <w:tc>
          <w:tcPr>
            <w:tcW w:w="3951" w:type="pct"/>
            <w:gridSpan w:val="4"/>
            <w:noWrap w:val="0"/>
            <w:vAlign w:val="center"/>
          </w:tcPr>
          <w:p w14:paraId="51479F0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cs="Times New Roman"/>
                <w:color w:val="auto"/>
                <w:sz w:val="24"/>
                <w:szCs w:val="24"/>
                <w:highlight w:val="none"/>
                <w:lang w:eastAsia="zh-CN"/>
              </w:rPr>
              <w:t>福清融侨经济技术开发区（均和云谷·福清科技港33#厂房）</w:t>
            </w:r>
          </w:p>
        </w:tc>
      </w:tr>
      <w:tr w14:paraId="6E8086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78" w:hRule="atLeast"/>
          <w:jc w:val="center"/>
        </w:trPr>
        <w:tc>
          <w:tcPr>
            <w:tcW w:w="1048" w:type="pct"/>
            <w:gridSpan w:val="2"/>
            <w:noWrap w:val="0"/>
            <w:tcMar>
              <w:top w:w="16" w:type="dxa"/>
              <w:left w:w="16" w:type="dxa"/>
              <w:right w:w="16" w:type="dxa"/>
            </w:tcMar>
            <w:vAlign w:val="center"/>
          </w:tcPr>
          <w:p w14:paraId="5E7A2C6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地理坐标</w:t>
            </w:r>
          </w:p>
        </w:tc>
        <w:tc>
          <w:tcPr>
            <w:tcW w:w="3951" w:type="pct"/>
            <w:gridSpan w:val="4"/>
            <w:noWrap w:val="0"/>
            <w:vAlign w:val="center"/>
          </w:tcPr>
          <w:p w14:paraId="1E8622DB">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pPr>
            <w:r>
              <w:rPr>
                <w:color w:val="000000" w:themeColor="text1"/>
                <w:sz w:val="24"/>
                <w:highlight w:val="none"/>
                <w14:textFill>
                  <w14:solidFill>
                    <w14:schemeClr w14:val="tx1"/>
                  </w14:solidFill>
                </w14:textFill>
              </w:rPr>
              <w:t>（</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lang w:val="en-US" w:eastAsia="zh-CN"/>
                <w14:textFill>
                  <w14:solidFill>
                    <w14:schemeClr w14:val="tx1"/>
                  </w14:solidFill>
                </w14:textFill>
              </w:rPr>
              <w:t>199</w:t>
            </w:r>
            <w:r>
              <w:rPr>
                <w:color w:val="000000" w:themeColor="text1"/>
                <w:sz w:val="24"/>
                <w:highlight w:val="none"/>
                <w:u w:val="single"/>
                <w14:textFill>
                  <w14:solidFill>
                    <w14:schemeClr w14:val="tx1"/>
                  </w14:solidFill>
                </w14:textFill>
              </w:rPr>
              <w:t xml:space="preserve">  </w:t>
            </w:r>
            <w:r>
              <w:rPr>
                <w:color w:val="000000" w:themeColor="text1"/>
                <w:sz w:val="24"/>
                <w:highlight w:val="none"/>
                <w14:textFill>
                  <w14:solidFill>
                    <w14:schemeClr w14:val="tx1"/>
                  </w14:solidFill>
                </w14:textFill>
              </w:rPr>
              <w:t>度</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lang w:val="en-US" w:eastAsia="zh-CN"/>
                <w14:textFill>
                  <w14:solidFill>
                    <w14:schemeClr w14:val="tx1"/>
                  </w14:solidFill>
                </w14:textFill>
              </w:rPr>
              <w:t>26</w:t>
            </w:r>
            <w:r>
              <w:rPr>
                <w:color w:val="000000" w:themeColor="text1"/>
                <w:sz w:val="24"/>
                <w:highlight w:val="none"/>
                <w:u w:val="single"/>
                <w14:textFill>
                  <w14:solidFill>
                    <w14:schemeClr w14:val="tx1"/>
                  </w14:solidFill>
                </w14:textFill>
              </w:rPr>
              <w:t xml:space="preserve"> </w:t>
            </w:r>
            <w:r>
              <w:rPr>
                <w:color w:val="000000" w:themeColor="text1"/>
                <w:sz w:val="24"/>
                <w:highlight w:val="none"/>
                <w14:textFill>
                  <w14:solidFill>
                    <w14:schemeClr w14:val="tx1"/>
                  </w14:solidFill>
                </w14:textFill>
              </w:rPr>
              <w:t>分</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lang w:val="en-US" w:eastAsia="zh-CN"/>
                <w14:textFill>
                  <w14:solidFill>
                    <w14:schemeClr w14:val="tx1"/>
                  </w14:solidFill>
                </w14:textFill>
              </w:rPr>
              <w:t>3.276</w:t>
            </w:r>
            <w:r>
              <w:rPr>
                <w:color w:val="000000" w:themeColor="text1"/>
                <w:sz w:val="24"/>
                <w:highlight w:val="none"/>
                <w:u w:val="single"/>
                <w14:textFill>
                  <w14:solidFill>
                    <w14:schemeClr w14:val="tx1"/>
                  </w14:solidFill>
                </w14:textFill>
              </w:rPr>
              <w:t xml:space="preserve"> </w:t>
            </w:r>
            <w:r>
              <w:rPr>
                <w:color w:val="000000" w:themeColor="text1"/>
                <w:sz w:val="24"/>
                <w:highlight w:val="none"/>
                <w14:textFill>
                  <w14:solidFill>
                    <w14:schemeClr w14:val="tx1"/>
                  </w14:solidFill>
                </w14:textFill>
              </w:rPr>
              <w:t>秒，</w:t>
            </w:r>
            <w:r>
              <w:rPr>
                <w:color w:val="000000" w:themeColor="text1"/>
                <w:sz w:val="24"/>
                <w:highlight w:val="none"/>
                <w:u w:val="single"/>
                <w14:textFill>
                  <w14:solidFill>
                    <w14:schemeClr w14:val="tx1"/>
                  </w14:solidFill>
                </w14:textFill>
              </w:rPr>
              <w:t xml:space="preserve"> 2</w:t>
            </w:r>
            <w:r>
              <w:rPr>
                <w:rFonts w:hint="eastAsia"/>
                <w:color w:val="000000" w:themeColor="text1"/>
                <w:sz w:val="24"/>
                <w:highlight w:val="none"/>
                <w:u w:val="single"/>
                <w14:textFill>
                  <w14:solidFill>
                    <w14:schemeClr w14:val="tx1"/>
                  </w14:solidFill>
                </w14:textFill>
              </w:rPr>
              <w:t>5</w:t>
            </w:r>
            <w:r>
              <w:rPr>
                <w:color w:val="000000" w:themeColor="text1"/>
                <w:sz w:val="24"/>
                <w:highlight w:val="none"/>
                <w:u w:val="single"/>
                <w14:textFill>
                  <w14:solidFill>
                    <w14:schemeClr w14:val="tx1"/>
                  </w14:solidFill>
                </w14:textFill>
              </w:rPr>
              <w:t xml:space="preserve"> </w:t>
            </w:r>
            <w:r>
              <w:rPr>
                <w:color w:val="000000" w:themeColor="text1"/>
                <w:sz w:val="24"/>
                <w:highlight w:val="none"/>
                <w14:textFill>
                  <w14:solidFill>
                    <w14:schemeClr w14:val="tx1"/>
                  </w14:solidFill>
                </w14:textFill>
              </w:rPr>
              <w:t>度</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lang w:val="en-US" w:eastAsia="zh-CN"/>
                <w14:textFill>
                  <w14:solidFill>
                    <w14:schemeClr w14:val="tx1"/>
                  </w14:solidFill>
                </w14:textFill>
              </w:rPr>
              <w:t>45</w:t>
            </w:r>
            <w:r>
              <w:rPr>
                <w:color w:val="000000" w:themeColor="text1"/>
                <w:sz w:val="24"/>
                <w:highlight w:val="none"/>
                <w:u w:val="single"/>
                <w14:textFill>
                  <w14:solidFill>
                    <w14:schemeClr w14:val="tx1"/>
                  </w14:solidFill>
                </w14:textFill>
              </w:rPr>
              <w:t xml:space="preserve"> </w:t>
            </w:r>
            <w:r>
              <w:rPr>
                <w:color w:val="000000" w:themeColor="text1"/>
                <w:sz w:val="24"/>
                <w:highlight w:val="none"/>
                <w14:textFill>
                  <w14:solidFill>
                    <w14:schemeClr w14:val="tx1"/>
                  </w14:solidFill>
                </w14:textFill>
              </w:rPr>
              <w:t>分</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lang w:val="en-US" w:eastAsia="zh-CN"/>
                <w14:textFill>
                  <w14:solidFill>
                    <w14:schemeClr w14:val="tx1"/>
                  </w14:solidFill>
                </w14:textFill>
              </w:rPr>
              <w:t>53.108</w:t>
            </w:r>
            <w:r>
              <w:rPr>
                <w:color w:val="000000" w:themeColor="text1"/>
                <w:sz w:val="24"/>
                <w:highlight w:val="none"/>
                <w:u w:val="single"/>
                <w14:textFill>
                  <w14:solidFill>
                    <w14:schemeClr w14:val="tx1"/>
                  </w14:solidFill>
                </w14:textFill>
              </w:rPr>
              <w:t xml:space="preserve"> </w:t>
            </w:r>
            <w:r>
              <w:rPr>
                <w:color w:val="000000" w:themeColor="text1"/>
                <w:sz w:val="24"/>
                <w:highlight w:val="none"/>
                <w14:textFill>
                  <w14:solidFill>
                    <w14:schemeClr w14:val="tx1"/>
                  </w14:solidFill>
                </w14:textFill>
              </w:rPr>
              <w:t>秒）</w:t>
            </w:r>
          </w:p>
          <w:p w14:paraId="10CE87D1">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地理位置图详见</w:t>
            </w:r>
            <w:r>
              <w:rPr>
                <w:rFonts w:hint="default" w:ascii="Times New Roman" w:hAnsi="Times New Roman" w:eastAsia="宋体" w:cs="Times New Roman"/>
                <w:b/>
                <w:bCs/>
                <w:color w:val="auto"/>
                <w:sz w:val="24"/>
                <w:szCs w:val="24"/>
                <w:highlight w:val="none"/>
                <w:u w:val="none"/>
                <w:lang w:eastAsia="zh-CN"/>
              </w:rPr>
              <w:t>附图</w:t>
            </w:r>
            <w:r>
              <w:rPr>
                <w:rFonts w:hint="eastAsia" w:cs="Times New Roman"/>
                <w:b/>
                <w:bCs/>
                <w:color w:val="auto"/>
                <w:sz w:val="24"/>
                <w:szCs w:val="24"/>
                <w:highlight w:val="none"/>
                <w:u w:val="none"/>
                <w:lang w:val="en-US" w:eastAsia="zh-CN"/>
              </w:rPr>
              <w:t>一</w:t>
            </w:r>
          </w:p>
        </w:tc>
      </w:tr>
      <w:tr w14:paraId="1F9B15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49" w:hRule="atLeast"/>
          <w:jc w:val="center"/>
        </w:trPr>
        <w:tc>
          <w:tcPr>
            <w:tcW w:w="1048" w:type="pct"/>
            <w:gridSpan w:val="2"/>
            <w:noWrap w:val="0"/>
            <w:tcMar>
              <w:top w:w="16" w:type="dxa"/>
              <w:left w:w="16" w:type="dxa"/>
              <w:right w:w="16" w:type="dxa"/>
            </w:tcMar>
            <w:vAlign w:val="center"/>
          </w:tcPr>
          <w:p w14:paraId="7442398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国民经济</w:t>
            </w:r>
          </w:p>
          <w:p w14:paraId="501073D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行业类别</w:t>
            </w:r>
          </w:p>
        </w:tc>
        <w:tc>
          <w:tcPr>
            <w:tcW w:w="1235" w:type="pct"/>
            <w:noWrap w:val="0"/>
            <w:vAlign w:val="center"/>
          </w:tcPr>
          <w:p w14:paraId="5BFD1D9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lang w:val="en-US"/>
                <w14:textFill>
                  <w14:solidFill>
                    <w14:schemeClr w14:val="tx1"/>
                  </w14:solidFill>
                </w14:textFill>
              </w:rPr>
            </w:pPr>
            <w:r>
              <w:rPr>
                <w:rFonts w:hint="eastAsia" w:ascii="Times New Roman" w:hAnsi="Times New Roman" w:eastAsia="宋体" w:cs="Times New Roman"/>
                <w:color w:val="auto"/>
                <w:sz w:val="24"/>
                <w:szCs w:val="24"/>
                <w:u w:val="none"/>
                <w:lang w:eastAsia="zh-CN"/>
              </w:rPr>
              <w:t>C</w:t>
            </w:r>
            <w:r>
              <w:rPr>
                <w:rFonts w:hint="eastAsia" w:ascii="Times New Roman" w:hAnsi="Times New Roman" w:eastAsia="宋体" w:cs="Times New Roman"/>
                <w:color w:val="auto"/>
                <w:sz w:val="24"/>
                <w:szCs w:val="24"/>
                <w:u w:val="none"/>
                <w:lang w:val="en-US" w:eastAsia="zh-CN"/>
              </w:rPr>
              <w:t xml:space="preserve">3392 </w:t>
            </w:r>
            <w:r>
              <w:rPr>
                <w:rFonts w:hint="eastAsia" w:ascii="Times New Roman" w:hAnsi="Times New Roman" w:eastAsia="宋体" w:cs="Times New Roman"/>
                <w:color w:val="auto"/>
                <w:sz w:val="24"/>
                <w:szCs w:val="24"/>
                <w:u w:val="none"/>
                <w:lang w:eastAsia="zh-CN"/>
              </w:rPr>
              <w:t>有色金属铸造；</w:t>
            </w:r>
            <w:r>
              <w:rPr>
                <w:rFonts w:hint="default" w:ascii="Times New Roman" w:hAnsi="Times New Roman" w:eastAsia="宋体" w:cs="Times New Roman"/>
                <w:color w:val="auto"/>
                <w:sz w:val="24"/>
                <w:szCs w:val="24"/>
                <w:u w:val="none"/>
                <w:lang w:val="en-US" w:eastAsia="zh-CN"/>
              </w:rPr>
              <w:t>C3670</w:t>
            </w:r>
            <w:r>
              <w:rPr>
                <w:rFonts w:hint="eastAsia" w:ascii="Times New Roman" w:hAnsi="Times New Roman" w:eastAsia="宋体" w:cs="Times New Roman"/>
                <w:color w:val="auto"/>
                <w:sz w:val="24"/>
                <w:szCs w:val="24"/>
                <w:u w:val="none"/>
                <w:lang w:val="en-US" w:eastAsia="zh-CN"/>
              </w:rPr>
              <w:t xml:space="preserve"> </w:t>
            </w:r>
            <w:r>
              <w:rPr>
                <w:rFonts w:hint="default" w:ascii="Times New Roman" w:hAnsi="Times New Roman" w:eastAsia="宋体" w:cs="Times New Roman"/>
                <w:color w:val="auto"/>
                <w:sz w:val="24"/>
                <w:szCs w:val="24"/>
                <w:u w:val="none"/>
                <w:lang w:val="en-US" w:eastAsia="zh-CN"/>
              </w:rPr>
              <w:t>汽车零部件及配件制造</w:t>
            </w:r>
            <w:r>
              <w:rPr>
                <w:rFonts w:hint="eastAsia" w:ascii="Times New Roman" w:hAnsi="Times New Roman" w:eastAsia="宋体" w:cs="Times New Roman"/>
                <w:color w:val="auto"/>
                <w:sz w:val="24"/>
                <w:szCs w:val="24"/>
                <w:u w:val="none"/>
                <w:lang w:val="en-US" w:eastAsia="zh-CN"/>
              </w:rPr>
              <w:t>；</w:t>
            </w:r>
          </w:p>
        </w:tc>
        <w:tc>
          <w:tcPr>
            <w:tcW w:w="859" w:type="pct"/>
            <w:noWrap w:val="0"/>
            <w:vAlign w:val="center"/>
          </w:tcPr>
          <w:p w14:paraId="5AC88FA7">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建设项目</w:t>
            </w:r>
          </w:p>
          <w:p w14:paraId="02030D2F">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行业类别</w:t>
            </w:r>
          </w:p>
        </w:tc>
        <w:tc>
          <w:tcPr>
            <w:tcW w:w="1857" w:type="pct"/>
            <w:gridSpan w:val="2"/>
            <w:noWrap w:val="0"/>
            <w:vAlign w:val="center"/>
          </w:tcPr>
          <w:p w14:paraId="23C5EFA0">
            <w:pPr>
              <w:keepNext w:val="0"/>
              <w:keepLines w:val="0"/>
              <w:widowControl/>
              <w:suppressLineNumbers w:val="0"/>
              <w:jc w:val="left"/>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auto"/>
                <w:sz w:val="24"/>
                <w:szCs w:val="24"/>
                <w:u w:val="none"/>
                <w:lang w:eastAsia="zh-CN"/>
              </w:rPr>
              <w:t>三十、金属</w:t>
            </w:r>
            <w:r>
              <w:rPr>
                <w:rFonts w:hint="eastAsia" w:cs="Times New Roman"/>
                <w:color w:val="auto"/>
                <w:sz w:val="24"/>
                <w:szCs w:val="24"/>
                <w:u w:val="none"/>
                <w:lang w:val="en-US" w:eastAsia="zh-CN"/>
              </w:rPr>
              <w:t>制品</w:t>
            </w:r>
            <w:r>
              <w:rPr>
                <w:rFonts w:hint="eastAsia" w:ascii="Times New Roman" w:hAnsi="Times New Roman" w:eastAsia="宋体" w:cs="Times New Roman"/>
                <w:color w:val="auto"/>
                <w:sz w:val="24"/>
                <w:szCs w:val="24"/>
                <w:u w:val="none"/>
                <w:lang w:eastAsia="zh-CN"/>
              </w:rPr>
              <w:t>业</w:t>
            </w:r>
            <w:r>
              <w:rPr>
                <w:rFonts w:hint="eastAsia" w:ascii="Times New Roman" w:hAnsi="Times New Roman" w:eastAsia="宋体" w:cs="Times New Roman"/>
                <w:color w:val="auto"/>
                <w:sz w:val="24"/>
                <w:szCs w:val="24"/>
                <w:u w:val="none"/>
                <w:lang w:val="en-US" w:eastAsia="zh-CN"/>
              </w:rPr>
              <w:t>33—68铸造及其他金属制品制造339—其他（仅分割、焊接、组装的除外）；</w:t>
            </w:r>
            <w:r>
              <w:rPr>
                <w:rFonts w:hint="default" w:ascii="Times New Roman" w:hAnsi="Times New Roman" w:eastAsia="宋体" w:cs="Times New Roman"/>
                <w:color w:val="auto"/>
                <w:sz w:val="24"/>
                <w:szCs w:val="24"/>
                <w:u w:val="none"/>
                <w:lang w:val="en-US" w:eastAsia="zh-CN"/>
              </w:rPr>
              <w:t>三十三、汽车制造业 36-71 汽车零部件及配件制造 367</w:t>
            </w:r>
            <w:r>
              <w:rPr>
                <w:rFonts w:hint="eastAsia" w:cs="Times New Roman"/>
                <w:color w:val="auto"/>
                <w:sz w:val="24"/>
                <w:szCs w:val="24"/>
                <w:u w:val="none"/>
                <w:lang w:val="en-US" w:eastAsia="zh-CN"/>
              </w:rPr>
              <w:t>-其他；</w:t>
            </w:r>
          </w:p>
        </w:tc>
      </w:tr>
      <w:tr w14:paraId="7316F1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10" w:hRule="atLeast"/>
          <w:jc w:val="center"/>
        </w:trPr>
        <w:tc>
          <w:tcPr>
            <w:tcW w:w="1048" w:type="pct"/>
            <w:gridSpan w:val="2"/>
            <w:noWrap w:val="0"/>
            <w:tcMar>
              <w:top w:w="16" w:type="dxa"/>
              <w:left w:w="16" w:type="dxa"/>
              <w:right w:w="16" w:type="dxa"/>
            </w:tcMar>
            <w:vAlign w:val="center"/>
          </w:tcPr>
          <w:p w14:paraId="41C878EF">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建设性质</w:t>
            </w:r>
          </w:p>
        </w:tc>
        <w:tc>
          <w:tcPr>
            <w:tcW w:w="1235" w:type="pct"/>
            <w:noWrap w:val="0"/>
            <w:vAlign w:val="center"/>
          </w:tcPr>
          <w:p w14:paraId="4278FA5E">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新建（迁建）</w:t>
            </w:r>
          </w:p>
          <w:p w14:paraId="338D697E">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改建</w:t>
            </w:r>
          </w:p>
          <w:p w14:paraId="141C4600">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扩建</w:t>
            </w:r>
          </w:p>
          <w:p w14:paraId="6C3EA831">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技术改造</w:t>
            </w:r>
          </w:p>
        </w:tc>
        <w:tc>
          <w:tcPr>
            <w:tcW w:w="859" w:type="pct"/>
            <w:noWrap w:val="0"/>
            <w:vAlign w:val="center"/>
          </w:tcPr>
          <w:p w14:paraId="07AE88F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建设项目</w:t>
            </w:r>
          </w:p>
          <w:p w14:paraId="293636A9">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申报情形</w:t>
            </w:r>
          </w:p>
        </w:tc>
        <w:tc>
          <w:tcPr>
            <w:tcW w:w="1857" w:type="pct"/>
            <w:gridSpan w:val="2"/>
            <w:noWrap w:val="0"/>
            <w:vAlign w:val="center"/>
          </w:tcPr>
          <w:p w14:paraId="60A67602">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首次申报项目</w:t>
            </w:r>
          </w:p>
          <w:p w14:paraId="370D3266">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不予批准后再次申报项目</w:t>
            </w:r>
          </w:p>
          <w:p w14:paraId="5572487B">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超五年重新审核项目</w:t>
            </w:r>
          </w:p>
          <w:p w14:paraId="420A8C54">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重大变动重新报批项目</w:t>
            </w:r>
          </w:p>
        </w:tc>
      </w:tr>
      <w:tr w14:paraId="5E0C05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21" w:hRule="atLeast"/>
          <w:jc w:val="center"/>
        </w:trPr>
        <w:tc>
          <w:tcPr>
            <w:tcW w:w="1048" w:type="pct"/>
            <w:gridSpan w:val="2"/>
            <w:noWrap w:val="0"/>
            <w:tcMar>
              <w:top w:w="16" w:type="dxa"/>
              <w:left w:w="16" w:type="dxa"/>
              <w:right w:w="16" w:type="dxa"/>
            </w:tcMar>
            <w:vAlign w:val="center"/>
          </w:tcPr>
          <w:p w14:paraId="0931B066">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项目审批（核准/</w:t>
            </w:r>
          </w:p>
          <w:p w14:paraId="64E82B5D">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备案）部门（选填）</w:t>
            </w:r>
          </w:p>
        </w:tc>
        <w:tc>
          <w:tcPr>
            <w:tcW w:w="1235" w:type="pct"/>
            <w:noWrap w:val="0"/>
            <w:vAlign w:val="center"/>
          </w:tcPr>
          <w:p w14:paraId="489BB6B4">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pPr>
            <w:r>
              <w:rPr>
                <w:rFonts w:hint="eastAsia" w:cs="Times New Roman"/>
                <w:color w:val="000000" w:themeColor="text1"/>
                <w:sz w:val="24"/>
                <w:szCs w:val="24"/>
                <w:highlight w:val="none"/>
                <w:u w:val="none"/>
                <w:lang w:val="en-US" w:eastAsia="zh-CN"/>
                <w14:textFill>
                  <w14:solidFill>
                    <w14:schemeClr w14:val="tx1"/>
                  </w14:solidFill>
                </w14:textFill>
              </w:rPr>
              <w:t>福清</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市发展和改革局</w:t>
            </w:r>
          </w:p>
        </w:tc>
        <w:tc>
          <w:tcPr>
            <w:tcW w:w="1035" w:type="pct"/>
            <w:gridSpan w:val="2"/>
            <w:noWrap w:val="0"/>
            <w:vAlign w:val="center"/>
          </w:tcPr>
          <w:p w14:paraId="244C5D4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项目审批（核准/</w:t>
            </w:r>
          </w:p>
          <w:p w14:paraId="1FDC1F69">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备案）文号（选填）</w:t>
            </w:r>
          </w:p>
        </w:tc>
        <w:tc>
          <w:tcPr>
            <w:tcW w:w="1681" w:type="pct"/>
            <w:noWrap w:val="0"/>
            <w:vAlign w:val="center"/>
          </w:tcPr>
          <w:p w14:paraId="4EF277B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闽发改备</w:t>
            </w:r>
            <w:r>
              <w:rPr>
                <w:rFonts w:hint="eastAsia" w:cs="Times New Roman"/>
                <w:color w:val="000000" w:themeColor="text1"/>
                <w:sz w:val="24"/>
                <w:szCs w:val="24"/>
                <w:highlight w:val="none"/>
                <w:u w:val="none"/>
                <w:lang w:eastAsia="zh-CN"/>
                <w14:textFill>
                  <w14:solidFill>
                    <w14:schemeClr w14:val="tx1"/>
                  </w14:solidFill>
                </w14:textFill>
              </w:rPr>
              <w:t>〔2025〕</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A060</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3</w:t>
            </w:r>
            <w:r>
              <w:rPr>
                <w:rFonts w:hint="eastAsia" w:cs="Times New Roman"/>
                <w:color w:val="000000" w:themeColor="text1"/>
                <w:sz w:val="24"/>
                <w:szCs w:val="24"/>
                <w:highlight w:val="none"/>
                <w:u w:val="none"/>
                <w:lang w:val="en-US" w:eastAsia="zh-CN"/>
                <w14:textFill>
                  <w14:solidFill>
                    <w14:schemeClr w14:val="tx1"/>
                  </w14:solidFill>
                </w14:textFill>
              </w:rPr>
              <w:t>80</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号</w:t>
            </w:r>
          </w:p>
        </w:tc>
      </w:tr>
      <w:tr w14:paraId="4D7361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4" w:hRule="atLeast"/>
          <w:jc w:val="center"/>
        </w:trPr>
        <w:tc>
          <w:tcPr>
            <w:tcW w:w="1048" w:type="pct"/>
            <w:gridSpan w:val="2"/>
            <w:noWrap w:val="0"/>
            <w:tcMar>
              <w:top w:w="16" w:type="dxa"/>
              <w:left w:w="16" w:type="dxa"/>
              <w:right w:w="16" w:type="dxa"/>
            </w:tcMar>
            <w:vAlign w:val="center"/>
          </w:tcPr>
          <w:p w14:paraId="6AF3ECB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总投资（万元）</w:t>
            </w:r>
          </w:p>
        </w:tc>
        <w:tc>
          <w:tcPr>
            <w:tcW w:w="1235" w:type="pct"/>
            <w:noWrap w:val="0"/>
            <w:vAlign w:val="center"/>
          </w:tcPr>
          <w:p w14:paraId="0B05A392">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pPr>
            <w:r>
              <w:rPr>
                <w:rFonts w:hint="eastAsia" w:cs="Times New Roman"/>
                <w:color w:val="000000" w:themeColor="text1"/>
                <w:sz w:val="24"/>
                <w:szCs w:val="24"/>
                <w:u w:val="none"/>
                <w:lang w:val="en-US" w:eastAsia="zh-CN"/>
                <w14:textFill>
                  <w14:solidFill>
                    <w14:schemeClr w14:val="tx1"/>
                  </w14:solidFill>
                </w14:textFill>
              </w:rPr>
              <w:t>2800</w:t>
            </w:r>
          </w:p>
        </w:tc>
        <w:tc>
          <w:tcPr>
            <w:tcW w:w="1035" w:type="pct"/>
            <w:gridSpan w:val="2"/>
            <w:noWrap w:val="0"/>
            <w:tcMar>
              <w:top w:w="16" w:type="dxa"/>
              <w:left w:w="16" w:type="dxa"/>
              <w:right w:w="16" w:type="dxa"/>
            </w:tcMar>
            <w:vAlign w:val="center"/>
          </w:tcPr>
          <w:p w14:paraId="6323C6F8">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环保投资（万元）</w:t>
            </w:r>
          </w:p>
        </w:tc>
        <w:tc>
          <w:tcPr>
            <w:tcW w:w="1681" w:type="pct"/>
            <w:noWrap w:val="0"/>
            <w:vAlign w:val="center"/>
          </w:tcPr>
          <w:p w14:paraId="147D9DB1">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pPr>
            <w:r>
              <w:rPr>
                <w:rFonts w:hint="eastAsia" w:cs="Times New Roman"/>
                <w:color w:val="000000" w:themeColor="text1"/>
                <w:sz w:val="24"/>
                <w:szCs w:val="24"/>
                <w:u w:val="none"/>
                <w:lang w:val="en-US" w:eastAsia="zh-CN"/>
                <w14:textFill>
                  <w14:solidFill>
                    <w14:schemeClr w14:val="tx1"/>
                  </w14:solidFill>
                </w14:textFill>
              </w:rPr>
              <w:t>40</w:t>
            </w:r>
          </w:p>
        </w:tc>
      </w:tr>
      <w:tr w14:paraId="4B64DD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1048" w:type="pct"/>
            <w:gridSpan w:val="2"/>
            <w:noWrap w:val="0"/>
            <w:tcMar>
              <w:top w:w="16" w:type="dxa"/>
              <w:left w:w="16" w:type="dxa"/>
              <w:right w:w="16" w:type="dxa"/>
            </w:tcMar>
            <w:vAlign w:val="center"/>
          </w:tcPr>
          <w:p w14:paraId="66BB277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环保投资占比（%）</w:t>
            </w:r>
          </w:p>
        </w:tc>
        <w:tc>
          <w:tcPr>
            <w:tcW w:w="1235" w:type="pct"/>
            <w:noWrap w:val="0"/>
            <w:vAlign w:val="center"/>
          </w:tcPr>
          <w:p w14:paraId="199D8CF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cs="Times New Roman"/>
                <w:color w:val="000000" w:themeColor="text1"/>
                <w:sz w:val="24"/>
                <w:szCs w:val="24"/>
                <w:highlight w:val="none"/>
                <w:u w:val="none"/>
                <w:lang w:val="en-US" w:eastAsia="zh-CN"/>
                <w14:textFill>
                  <w14:solidFill>
                    <w14:schemeClr w14:val="tx1"/>
                  </w14:solidFill>
                </w14:textFill>
              </w:rPr>
              <w:t>1.4</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p>
        </w:tc>
        <w:tc>
          <w:tcPr>
            <w:tcW w:w="1035" w:type="pct"/>
            <w:gridSpan w:val="2"/>
            <w:noWrap w:val="0"/>
            <w:tcMar>
              <w:top w:w="16" w:type="dxa"/>
              <w:left w:w="16" w:type="dxa"/>
              <w:right w:w="16" w:type="dxa"/>
            </w:tcMar>
            <w:vAlign w:val="center"/>
          </w:tcPr>
          <w:p w14:paraId="7DBCE58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施工工期</w:t>
            </w:r>
          </w:p>
        </w:tc>
        <w:tc>
          <w:tcPr>
            <w:tcW w:w="1681" w:type="pct"/>
            <w:noWrap w:val="0"/>
            <w:vAlign w:val="center"/>
          </w:tcPr>
          <w:p w14:paraId="1EF963AC">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202</w:t>
            </w:r>
            <w:r>
              <w:rPr>
                <w:rFonts w:hint="eastAsia" w:cs="Times New Roman"/>
                <w:color w:val="000000" w:themeColor="text1"/>
                <w:sz w:val="24"/>
                <w:szCs w:val="24"/>
                <w:highlight w:val="none"/>
                <w:u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年</w:t>
            </w:r>
            <w:r>
              <w:rPr>
                <w:rFonts w:hint="eastAsia" w:cs="Times New Roman"/>
                <w:color w:val="000000" w:themeColor="text1"/>
                <w:sz w:val="24"/>
                <w:szCs w:val="24"/>
                <w:highlight w:val="none"/>
                <w:u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月</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202</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年</w:t>
            </w:r>
            <w:r>
              <w:rPr>
                <w:rFonts w:hint="eastAsia" w:cs="Times New Roman"/>
                <w:color w:val="000000" w:themeColor="text1"/>
                <w:sz w:val="24"/>
                <w:szCs w:val="24"/>
                <w:highlight w:val="none"/>
                <w:u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月</w:t>
            </w:r>
          </w:p>
        </w:tc>
      </w:tr>
      <w:tr w14:paraId="064817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78" w:hRule="atLeast"/>
          <w:jc w:val="center"/>
        </w:trPr>
        <w:tc>
          <w:tcPr>
            <w:tcW w:w="1048" w:type="pct"/>
            <w:gridSpan w:val="2"/>
            <w:noWrap w:val="0"/>
            <w:tcMar>
              <w:top w:w="16" w:type="dxa"/>
              <w:left w:w="16" w:type="dxa"/>
              <w:right w:w="16" w:type="dxa"/>
            </w:tcMar>
            <w:vAlign w:val="center"/>
          </w:tcPr>
          <w:p w14:paraId="33E1D857">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是否开工建设</w:t>
            </w:r>
          </w:p>
        </w:tc>
        <w:tc>
          <w:tcPr>
            <w:tcW w:w="1235" w:type="pct"/>
            <w:noWrap w:val="0"/>
            <w:vAlign w:val="center"/>
          </w:tcPr>
          <w:p w14:paraId="7E248348">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否</w:t>
            </w:r>
          </w:p>
          <w:p w14:paraId="231C131E">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是：</w:t>
            </w:r>
          </w:p>
        </w:tc>
        <w:tc>
          <w:tcPr>
            <w:tcW w:w="1035" w:type="pct"/>
            <w:gridSpan w:val="2"/>
            <w:noWrap w:val="0"/>
            <w:tcMar>
              <w:top w:w="16" w:type="dxa"/>
              <w:left w:w="16" w:type="dxa"/>
              <w:right w:w="16" w:type="dxa"/>
            </w:tcMar>
            <w:vAlign w:val="center"/>
          </w:tcPr>
          <w:p w14:paraId="1B3B2D3D">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6"/>
                <w:sz w:val="24"/>
                <w:szCs w:val="24"/>
                <w:u w:val="none"/>
              </w:rPr>
            </w:pPr>
            <w:r>
              <w:rPr>
                <w:rFonts w:hint="default" w:ascii="Times New Roman" w:hAnsi="Times New Roman" w:eastAsia="宋体" w:cs="Times New Roman"/>
                <w:color w:val="auto"/>
                <w:spacing w:val="-6"/>
                <w:sz w:val="24"/>
                <w:szCs w:val="24"/>
                <w:u w:val="none"/>
              </w:rPr>
              <w:t>用地（用海）</w:t>
            </w:r>
          </w:p>
          <w:p w14:paraId="45DDF8E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pacing w:val="-6"/>
                <w:sz w:val="24"/>
                <w:szCs w:val="24"/>
                <w:u w:val="none"/>
              </w:rPr>
              <w:t>面积（m</w:t>
            </w:r>
            <w:r>
              <w:rPr>
                <w:rFonts w:hint="default" w:ascii="Times New Roman" w:hAnsi="Times New Roman" w:eastAsia="宋体" w:cs="Times New Roman"/>
                <w:color w:val="auto"/>
                <w:spacing w:val="-6"/>
                <w:sz w:val="24"/>
                <w:szCs w:val="24"/>
                <w:u w:val="none"/>
                <w:vertAlign w:val="superscript"/>
              </w:rPr>
              <w:t>2</w:t>
            </w:r>
            <w:r>
              <w:rPr>
                <w:rFonts w:hint="default" w:ascii="Times New Roman" w:hAnsi="Times New Roman" w:eastAsia="宋体" w:cs="Times New Roman"/>
                <w:color w:val="auto"/>
                <w:spacing w:val="-6"/>
                <w:sz w:val="24"/>
                <w:szCs w:val="24"/>
                <w:u w:val="none"/>
              </w:rPr>
              <w:t>）</w:t>
            </w:r>
          </w:p>
        </w:tc>
        <w:tc>
          <w:tcPr>
            <w:tcW w:w="1681" w:type="pct"/>
            <w:noWrap w:val="0"/>
            <w:vAlign w:val="center"/>
          </w:tcPr>
          <w:p w14:paraId="35DC9386">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highlight w:val="none"/>
                <w:u w:val="none"/>
                <w:lang w:eastAsia="zh-CN"/>
              </w:rPr>
              <w:t>面积</w:t>
            </w:r>
            <w:r>
              <w:rPr>
                <w:rFonts w:hint="eastAsia" w:cs="Times New Roman"/>
                <w:color w:val="auto"/>
                <w:sz w:val="24"/>
                <w:szCs w:val="24"/>
                <w:highlight w:val="none"/>
                <w:u w:val="none"/>
                <w:lang w:val="en-US" w:eastAsia="zh-CN"/>
              </w:rPr>
              <w:t>4188.94</w:t>
            </w:r>
            <w:r>
              <w:rPr>
                <w:rFonts w:hint="default" w:ascii="Times New Roman" w:hAnsi="Times New Roman" w:eastAsia="宋体" w:cs="Times New Roman"/>
                <w:color w:val="auto"/>
                <w:sz w:val="24"/>
                <w:szCs w:val="24"/>
                <w:highlight w:val="none"/>
                <w:u w:val="none"/>
                <w:lang w:val="en-US" w:eastAsia="zh-CN"/>
              </w:rPr>
              <w:t>m</w:t>
            </w:r>
            <w:r>
              <w:rPr>
                <w:rFonts w:hint="default" w:ascii="Times New Roman" w:hAnsi="Times New Roman" w:eastAsia="宋体" w:cs="Times New Roman"/>
                <w:color w:val="auto"/>
                <w:sz w:val="24"/>
                <w:szCs w:val="24"/>
                <w:highlight w:val="none"/>
                <w:u w:val="none"/>
                <w:vertAlign w:val="superscript"/>
                <w:lang w:val="en-US" w:eastAsia="zh-CN"/>
              </w:rPr>
              <w:t>2</w:t>
            </w:r>
          </w:p>
        </w:tc>
      </w:tr>
      <w:tr w14:paraId="7C1560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26" w:type="pct"/>
            <w:noWrap w:val="0"/>
            <w:vAlign w:val="center"/>
          </w:tcPr>
          <w:p w14:paraId="48C83AA9">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专项评价设置情况</w:t>
            </w:r>
          </w:p>
        </w:tc>
        <w:tc>
          <w:tcPr>
            <w:tcW w:w="4573" w:type="pct"/>
            <w:gridSpan w:val="5"/>
            <w:noWrap w:val="0"/>
            <w:vAlign w:val="center"/>
          </w:tcPr>
          <w:p w14:paraId="4C0E67C6">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0" w:firstLineChars="0"/>
              <w:jc w:val="left"/>
              <w:textAlignment w:val="auto"/>
              <w:rPr>
                <w:rFonts w:hint="default" w:ascii="Times New Roman" w:hAnsi="Times New Roman" w:eastAsia="宋体" w:cs="Times New Roman"/>
                <w:color w:val="auto"/>
                <w:kern w:val="0"/>
                <w:sz w:val="24"/>
                <w:szCs w:val="24"/>
                <w:u w:val="none"/>
                <w:lang w:bidi="ar"/>
              </w:rPr>
            </w:pPr>
            <w:r>
              <w:rPr>
                <w:rFonts w:hint="default" w:ascii="Times New Roman" w:hAnsi="Times New Roman" w:eastAsia="宋体" w:cs="Times New Roman"/>
                <w:color w:val="auto"/>
                <w:kern w:val="0"/>
                <w:sz w:val="24"/>
                <w:szCs w:val="24"/>
                <w:u w:val="none"/>
                <w:lang w:eastAsia="zh-CN" w:bidi="ar"/>
              </w:rPr>
              <w:t>根据《</w:t>
            </w:r>
            <w:r>
              <w:rPr>
                <w:rFonts w:hint="default" w:ascii="Times New Roman" w:hAnsi="Times New Roman" w:eastAsia="宋体" w:cs="Times New Roman"/>
                <w:color w:val="auto"/>
                <w:kern w:val="0"/>
                <w:sz w:val="24"/>
                <w:szCs w:val="24"/>
                <w:u w:val="none"/>
                <w:lang w:val="en-US" w:eastAsia="zh-CN" w:bidi="ar"/>
              </w:rPr>
              <w:t>建设项目环境影响报告表编制技术指南（污染影响类）（试行）</w:t>
            </w:r>
            <w:r>
              <w:rPr>
                <w:rFonts w:hint="default" w:ascii="Times New Roman" w:hAnsi="Times New Roman" w:eastAsia="宋体" w:cs="Times New Roman"/>
                <w:color w:val="auto"/>
                <w:kern w:val="0"/>
                <w:sz w:val="24"/>
                <w:szCs w:val="24"/>
                <w:u w:val="none"/>
                <w:lang w:eastAsia="zh-CN" w:bidi="ar"/>
              </w:rPr>
              <w:t>》</w:t>
            </w:r>
            <w:r>
              <w:rPr>
                <w:rFonts w:hint="default" w:ascii="Times New Roman" w:hAnsi="Times New Roman" w:eastAsia="宋体" w:cs="Times New Roman"/>
                <w:color w:val="auto"/>
                <w:kern w:val="0"/>
                <w:sz w:val="24"/>
                <w:szCs w:val="24"/>
                <w:u w:val="none"/>
                <w:lang w:val="en-US" w:eastAsia="zh-CN" w:bidi="ar"/>
              </w:rPr>
              <w:t>项目工程专项设置情况参照表1专项评价设置原则表，具体详见下表：</w:t>
            </w:r>
          </w:p>
          <w:p w14:paraId="5BE81C94">
            <w:pPr>
              <w:keepNext w:val="0"/>
              <w:keepLines w:val="0"/>
              <w:pageBreakBefore w:val="0"/>
              <w:widowControl w:val="0"/>
              <w:kinsoku/>
              <w:wordWrap/>
              <w:overflowPunct/>
              <w:topLinePunct w:val="0"/>
              <w:autoSpaceDE w:val="0"/>
              <w:autoSpaceDN w:val="0"/>
              <w:bidi w:val="0"/>
              <w:adjustRightInd w:val="0"/>
              <w:snapToGrid w:val="0"/>
              <w:spacing w:before="160" w:beforeLines="50" w:line="240" w:lineRule="auto"/>
              <w:ind w:left="0" w:right="0" w:firstLine="0" w:firstLineChars="0"/>
              <w:jc w:val="center"/>
              <w:textAlignment w:val="auto"/>
              <w:rPr>
                <w:rFonts w:hint="default" w:ascii="Times New Roman" w:hAnsi="Times New Roman" w:eastAsia="宋体" w:cs="Times New Roman"/>
                <w:b/>
                <w:bCs/>
                <w:color w:val="auto"/>
                <w:kern w:val="0"/>
                <w:sz w:val="24"/>
                <w:szCs w:val="24"/>
                <w:u w:val="none"/>
                <w:lang w:eastAsia="zh-CN" w:bidi="ar"/>
              </w:rPr>
            </w:pPr>
            <w:r>
              <w:rPr>
                <w:rFonts w:hint="default" w:ascii="Times New Roman" w:hAnsi="Times New Roman" w:eastAsia="宋体" w:cs="Times New Roman"/>
                <w:b/>
                <w:bCs/>
                <w:color w:val="auto"/>
                <w:kern w:val="0"/>
                <w:sz w:val="24"/>
                <w:szCs w:val="24"/>
                <w:u w:val="none"/>
                <w:lang w:eastAsia="zh-CN" w:bidi="ar"/>
              </w:rPr>
              <w:t>表1.1  项目专项评价设置表</w:t>
            </w:r>
          </w:p>
          <w:tbl>
            <w:tblPr>
              <w:tblStyle w:val="24"/>
              <w:tblW w:w="481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3"/>
              <w:gridCol w:w="3045"/>
              <w:gridCol w:w="2530"/>
              <w:gridCol w:w="1033"/>
            </w:tblGrid>
            <w:tr w14:paraId="5998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3" w:hRule="atLeast"/>
              </w:trPr>
              <w:tc>
                <w:tcPr>
                  <w:tcW w:w="743" w:type="pct"/>
                  <w:tcBorders>
                    <w:top w:val="single" w:color="auto" w:sz="12" w:space="0"/>
                    <w:left w:val="nil"/>
                  </w:tcBorders>
                  <w:noWrap w:val="0"/>
                  <w:vAlign w:val="center"/>
                </w:tcPr>
                <w:p w14:paraId="24C28D83">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lang w:val="en-US" w:eastAsia="zh-CN" w:bidi="ar"/>
                    </w:rPr>
                    <w:t>专项评价的类别</w:t>
                  </w:r>
                </w:p>
              </w:tc>
              <w:tc>
                <w:tcPr>
                  <w:tcW w:w="1961" w:type="pct"/>
                  <w:tcBorders>
                    <w:top w:val="single" w:color="auto" w:sz="12" w:space="0"/>
                  </w:tcBorders>
                  <w:noWrap w:val="0"/>
                  <w:vAlign w:val="center"/>
                </w:tcPr>
                <w:p w14:paraId="7F021FDE">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lang w:val="en-US" w:eastAsia="zh-CN" w:bidi="ar"/>
                    </w:rPr>
                    <w:t>设置原则</w:t>
                  </w:r>
                </w:p>
              </w:tc>
              <w:tc>
                <w:tcPr>
                  <w:tcW w:w="1629" w:type="pct"/>
                  <w:tcBorders>
                    <w:top w:val="single" w:color="auto" w:sz="12" w:space="0"/>
                  </w:tcBorders>
                  <w:noWrap w:val="0"/>
                  <w:vAlign w:val="center"/>
                </w:tcPr>
                <w:p w14:paraId="1A320106">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vertAlign w:val="baseline"/>
                      <w:lang w:val="en-US" w:eastAsia="zh-CN" w:bidi="ar-SA"/>
                    </w:rPr>
                  </w:pPr>
                  <w:r>
                    <w:rPr>
                      <w:rFonts w:hint="default" w:ascii="Times New Roman" w:hAnsi="Times New Roman" w:eastAsia="宋体" w:cs="Times New Roman"/>
                      <w:color w:val="auto"/>
                      <w:sz w:val="21"/>
                      <w:szCs w:val="21"/>
                      <w:u w:val="none"/>
                      <w:vertAlign w:val="baseline"/>
                      <w:lang w:eastAsia="zh-CN"/>
                    </w:rPr>
                    <w:t>本项目情况</w:t>
                  </w:r>
                </w:p>
              </w:tc>
              <w:tc>
                <w:tcPr>
                  <w:tcW w:w="665" w:type="pct"/>
                  <w:tcBorders>
                    <w:top w:val="single" w:color="auto" w:sz="12" w:space="0"/>
                    <w:right w:val="nil"/>
                  </w:tcBorders>
                  <w:noWrap w:val="0"/>
                  <w:vAlign w:val="center"/>
                </w:tcPr>
                <w:p w14:paraId="618A1CF6">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vertAlign w:val="baseline"/>
                      <w:lang w:val="en-US" w:eastAsia="zh-CN" w:bidi="ar-SA"/>
                    </w:rPr>
                  </w:pPr>
                  <w:r>
                    <w:rPr>
                      <w:rFonts w:hint="default" w:ascii="Times New Roman" w:hAnsi="Times New Roman" w:eastAsia="宋体" w:cs="Times New Roman"/>
                      <w:color w:val="auto"/>
                      <w:sz w:val="21"/>
                      <w:szCs w:val="21"/>
                      <w:u w:val="none"/>
                      <w:vertAlign w:val="baseline"/>
                      <w:lang w:eastAsia="zh-CN"/>
                    </w:rPr>
                    <w:t>是否设置专项</w:t>
                  </w:r>
                </w:p>
              </w:tc>
            </w:tr>
            <w:tr w14:paraId="2DCA8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743" w:type="pct"/>
                  <w:tcBorders>
                    <w:left w:val="nil"/>
                  </w:tcBorders>
                  <w:noWrap w:val="0"/>
                  <w:vAlign w:val="center"/>
                </w:tcPr>
                <w:p w14:paraId="4EFCD1A8">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大气</w:t>
                  </w:r>
                </w:p>
              </w:tc>
              <w:tc>
                <w:tcPr>
                  <w:tcW w:w="1961" w:type="pct"/>
                  <w:noWrap w:val="0"/>
                  <w:vAlign w:val="center"/>
                </w:tcPr>
                <w:p w14:paraId="2774AC26">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lang w:val="en-US" w:eastAsia="zh-CN"/>
                    </w:rPr>
                    <w:t>排放废气含有毒有害污染物、二噁英、苯并[a]芘、氰化物、氯气且厂界外500米范围内有环境空气保护目标的建设项目。</w:t>
                  </w:r>
                </w:p>
              </w:tc>
              <w:tc>
                <w:tcPr>
                  <w:tcW w:w="1629" w:type="pct"/>
                  <w:noWrap w:val="0"/>
                  <w:vAlign w:val="center"/>
                </w:tcPr>
                <w:p w14:paraId="30C22DBA">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lang w:val="en-US" w:eastAsia="zh-CN"/>
                    </w:rPr>
                    <w:t>本项目排放的废气污染物不涉及左列大气污染物。</w:t>
                  </w:r>
                </w:p>
              </w:tc>
              <w:tc>
                <w:tcPr>
                  <w:tcW w:w="665" w:type="pct"/>
                  <w:tcBorders>
                    <w:right w:val="nil"/>
                  </w:tcBorders>
                  <w:noWrap w:val="0"/>
                  <w:vAlign w:val="center"/>
                </w:tcPr>
                <w:p w14:paraId="3EF05855">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eastAsia" w:ascii="Times New Roman" w:hAnsi="Times New Roman" w:eastAsia="宋体" w:cs="Times New Roman"/>
                      <w:color w:val="auto"/>
                      <w:sz w:val="21"/>
                      <w:szCs w:val="21"/>
                      <w:u w:val="none"/>
                      <w:vertAlign w:val="baseline"/>
                      <w:lang w:eastAsia="zh-CN"/>
                    </w:rPr>
                    <w:t>否</w:t>
                  </w:r>
                </w:p>
              </w:tc>
            </w:tr>
            <w:tr w14:paraId="1BCC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7" w:hRule="atLeast"/>
              </w:trPr>
              <w:tc>
                <w:tcPr>
                  <w:tcW w:w="743" w:type="pct"/>
                  <w:tcBorders>
                    <w:left w:val="nil"/>
                  </w:tcBorders>
                  <w:noWrap w:val="0"/>
                  <w:vAlign w:val="center"/>
                </w:tcPr>
                <w:p w14:paraId="15E76BDF">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地表水</w:t>
                  </w:r>
                </w:p>
              </w:tc>
              <w:tc>
                <w:tcPr>
                  <w:tcW w:w="1961" w:type="pct"/>
                  <w:noWrap w:val="0"/>
                  <w:vAlign w:val="center"/>
                </w:tcPr>
                <w:p w14:paraId="763C5D85">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新增工业废水直排建设项目（槽罐车外送污水处理厂的除外）；新增废水直排的污水集中处理厂</w:t>
                  </w:r>
                </w:p>
              </w:tc>
              <w:tc>
                <w:tcPr>
                  <w:tcW w:w="1629" w:type="pct"/>
                  <w:noWrap w:val="0"/>
                  <w:vAlign w:val="center"/>
                </w:tcPr>
                <w:p w14:paraId="5FA19B8F">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eastAsia="zh-CN"/>
                    </w:rPr>
                    <w:t>运营期</w:t>
                  </w:r>
                  <w:r>
                    <w:rPr>
                      <w:rFonts w:hint="eastAsia" w:cs="Times New Roman"/>
                      <w:color w:val="auto"/>
                      <w:sz w:val="21"/>
                      <w:szCs w:val="21"/>
                      <w:u w:val="none"/>
                      <w:vertAlign w:val="baseline"/>
                      <w:lang w:val="en-US" w:eastAsia="zh-CN"/>
                    </w:rPr>
                    <w:t>生产废水为压铸机间接冷却水经冷却塔冷却后循环使用，产品水洗产生废水、研磨冷却水经循环水处理设备处理后循环使用。因此，本项目无生产废水排放。</w:t>
                  </w:r>
                  <w:r>
                    <w:rPr>
                      <w:rFonts w:hint="default" w:ascii="Times New Roman" w:hAnsi="Times New Roman" w:eastAsia="宋体" w:cs="Times New Roman"/>
                      <w:color w:val="auto"/>
                      <w:sz w:val="21"/>
                      <w:szCs w:val="21"/>
                      <w:u w:val="none"/>
                      <w:vertAlign w:val="baseline"/>
                      <w:lang w:eastAsia="zh-CN"/>
                    </w:rPr>
                    <w:t>生活污水经化粪池预处理后，排入</w:t>
                  </w:r>
                  <w:r>
                    <w:rPr>
                      <w:rFonts w:hint="default" w:ascii="Times New Roman" w:hAnsi="Times New Roman" w:eastAsia="宋体" w:cs="Times New Roman"/>
                      <w:color w:val="auto"/>
                      <w:sz w:val="21"/>
                      <w:szCs w:val="21"/>
                      <w:highlight w:val="none"/>
                      <w:u w:val="none"/>
                      <w:vertAlign w:val="baseline"/>
                      <w:lang w:eastAsia="zh-CN"/>
                    </w:rPr>
                    <w:t>市政污水管网纳入福清市</w:t>
                  </w:r>
                  <w:r>
                    <w:rPr>
                      <w:rFonts w:hint="eastAsia" w:cs="Times New Roman"/>
                      <w:color w:val="auto"/>
                      <w:sz w:val="21"/>
                      <w:szCs w:val="21"/>
                      <w:highlight w:val="none"/>
                      <w:u w:val="none"/>
                      <w:vertAlign w:val="baseline"/>
                      <w:lang w:val="en-US" w:eastAsia="zh-CN"/>
                    </w:rPr>
                    <w:t>融元</w:t>
                  </w:r>
                  <w:r>
                    <w:rPr>
                      <w:rFonts w:hint="default" w:ascii="Times New Roman" w:hAnsi="Times New Roman" w:eastAsia="宋体" w:cs="Times New Roman"/>
                      <w:color w:val="auto"/>
                      <w:sz w:val="21"/>
                      <w:szCs w:val="21"/>
                      <w:highlight w:val="none"/>
                      <w:u w:val="none"/>
                      <w:vertAlign w:val="baseline"/>
                      <w:lang w:eastAsia="zh-CN"/>
                    </w:rPr>
                    <w:t>污水处理厂</w:t>
                  </w:r>
                </w:p>
              </w:tc>
              <w:tc>
                <w:tcPr>
                  <w:tcW w:w="665" w:type="pct"/>
                  <w:tcBorders>
                    <w:right w:val="nil"/>
                  </w:tcBorders>
                  <w:noWrap w:val="0"/>
                  <w:vAlign w:val="center"/>
                </w:tcPr>
                <w:p w14:paraId="3A491ECE">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lang w:eastAsia="zh-CN"/>
                    </w:rPr>
                    <w:t>否</w:t>
                  </w:r>
                </w:p>
              </w:tc>
            </w:tr>
            <w:tr w14:paraId="6D75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743" w:type="pct"/>
                  <w:tcBorders>
                    <w:left w:val="nil"/>
                  </w:tcBorders>
                  <w:noWrap w:val="0"/>
                  <w:vAlign w:val="center"/>
                </w:tcPr>
                <w:p w14:paraId="6E7BD2BC">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环境风险</w:t>
                  </w:r>
                </w:p>
              </w:tc>
              <w:tc>
                <w:tcPr>
                  <w:tcW w:w="1961" w:type="pct"/>
                  <w:noWrap w:val="0"/>
                  <w:vAlign w:val="center"/>
                </w:tcPr>
                <w:p w14:paraId="79E2036C">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有毒有害和易燃易爆危险物质存储量超过临界量的建设项目</w:t>
                  </w:r>
                </w:p>
              </w:tc>
              <w:tc>
                <w:tcPr>
                  <w:tcW w:w="1629" w:type="pct"/>
                  <w:noWrap w:val="0"/>
                  <w:vAlign w:val="center"/>
                </w:tcPr>
                <w:p w14:paraId="378C31C3">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本项目</w:t>
                  </w:r>
                  <w:r>
                    <w:rPr>
                      <w:rFonts w:hint="eastAsia" w:cs="Times New Roman"/>
                      <w:color w:val="auto"/>
                      <w:sz w:val="21"/>
                      <w:szCs w:val="21"/>
                      <w:u w:val="none"/>
                      <w:vertAlign w:val="baseline"/>
                      <w:lang w:eastAsia="zh-CN"/>
                    </w:rPr>
                    <w:t>涉及</w:t>
                  </w:r>
                  <w:r>
                    <w:rPr>
                      <w:rFonts w:hint="default" w:ascii="Times New Roman" w:hAnsi="Times New Roman" w:eastAsia="宋体" w:cs="Times New Roman"/>
                      <w:color w:val="auto"/>
                      <w:sz w:val="21"/>
                      <w:szCs w:val="21"/>
                      <w:u w:val="none"/>
                      <w:vertAlign w:val="baseline"/>
                      <w:lang w:eastAsia="zh-CN"/>
                    </w:rPr>
                    <w:t>危险物质为</w:t>
                  </w:r>
                  <w:r>
                    <w:rPr>
                      <w:rFonts w:hint="eastAsia" w:cs="Times New Roman"/>
                      <w:color w:val="auto"/>
                      <w:sz w:val="21"/>
                      <w:szCs w:val="21"/>
                      <w:u w:val="none"/>
                      <w:vertAlign w:val="baseline"/>
                      <w:lang w:val="en-US" w:eastAsia="zh-CN"/>
                    </w:rPr>
                    <w:t>液压油、机油</w:t>
                  </w:r>
                  <w:r>
                    <w:rPr>
                      <w:rFonts w:hint="default" w:ascii="Times New Roman" w:hAnsi="Times New Roman" w:eastAsia="宋体" w:cs="Times New Roman"/>
                      <w:color w:val="auto"/>
                      <w:sz w:val="21"/>
                      <w:szCs w:val="21"/>
                      <w:u w:val="none"/>
                      <w:vertAlign w:val="baseline"/>
                      <w:lang w:eastAsia="zh-CN"/>
                    </w:rPr>
                    <w:t>，</w:t>
                  </w:r>
                  <w:r>
                    <w:rPr>
                      <w:rFonts w:hint="eastAsia" w:cs="Times New Roman"/>
                      <w:color w:val="auto"/>
                      <w:sz w:val="21"/>
                      <w:szCs w:val="21"/>
                      <w:u w:val="none"/>
                      <w:vertAlign w:val="baseline"/>
                      <w:lang w:val="en-US" w:eastAsia="zh-CN"/>
                    </w:rPr>
                    <w:t>但</w:t>
                  </w:r>
                  <w:r>
                    <w:rPr>
                      <w:rFonts w:hint="default" w:ascii="Times New Roman" w:hAnsi="Times New Roman" w:eastAsia="宋体" w:cs="Times New Roman"/>
                      <w:color w:val="auto"/>
                      <w:sz w:val="21"/>
                      <w:szCs w:val="21"/>
                      <w:u w:val="none"/>
                      <w:vertAlign w:val="baseline"/>
                      <w:lang w:eastAsia="zh-CN"/>
                    </w:rPr>
                    <w:t>储量未超过临界量</w:t>
                  </w:r>
                  <w:r>
                    <w:rPr>
                      <w:rFonts w:hint="default" w:ascii="Times New Roman" w:hAnsi="Times New Roman" w:eastAsia="宋体" w:cs="Times New Roman"/>
                      <w:color w:val="auto"/>
                      <w:sz w:val="21"/>
                      <w:szCs w:val="21"/>
                      <w:u w:val="none"/>
                      <w:lang w:eastAsia="zh-CN"/>
                    </w:rPr>
                    <w:t>，</w:t>
                  </w:r>
                  <w:r>
                    <w:rPr>
                      <w:rFonts w:hint="default" w:ascii="Times New Roman" w:hAnsi="Times New Roman" w:eastAsia="宋体" w:cs="Times New Roman"/>
                      <w:color w:val="auto"/>
                      <w:sz w:val="21"/>
                      <w:szCs w:val="21"/>
                      <w:u w:val="none"/>
                      <w:lang w:val="en-US" w:eastAsia="zh-CN"/>
                    </w:rPr>
                    <w:t>Q＜1。</w:t>
                  </w:r>
                </w:p>
              </w:tc>
              <w:tc>
                <w:tcPr>
                  <w:tcW w:w="665" w:type="pct"/>
                  <w:tcBorders>
                    <w:right w:val="nil"/>
                  </w:tcBorders>
                  <w:noWrap w:val="0"/>
                  <w:vAlign w:val="center"/>
                </w:tcPr>
                <w:p w14:paraId="4563453E">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lang w:eastAsia="zh-CN"/>
                    </w:rPr>
                    <w:t>否</w:t>
                  </w:r>
                </w:p>
              </w:tc>
            </w:tr>
            <w:tr w14:paraId="20AD2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743" w:type="pct"/>
                  <w:tcBorders>
                    <w:left w:val="nil"/>
                  </w:tcBorders>
                  <w:noWrap w:val="0"/>
                  <w:vAlign w:val="center"/>
                </w:tcPr>
                <w:p w14:paraId="22632086">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生态</w:t>
                  </w:r>
                </w:p>
              </w:tc>
              <w:tc>
                <w:tcPr>
                  <w:tcW w:w="1961" w:type="pct"/>
                  <w:noWrap w:val="0"/>
                  <w:vAlign w:val="center"/>
                </w:tcPr>
                <w:p w14:paraId="41FA77A0">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取水口下游500米范围内有重要水生生物的自然产卵场、索饵场、越冬场和洄游通道的新增河道取水的污染类建设项目</w:t>
                  </w:r>
                </w:p>
              </w:tc>
              <w:tc>
                <w:tcPr>
                  <w:tcW w:w="1629" w:type="pct"/>
                  <w:noWrap w:val="0"/>
                  <w:vAlign w:val="center"/>
                </w:tcPr>
                <w:p w14:paraId="146EEB24">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本项目不涉及</w:t>
                  </w:r>
                </w:p>
              </w:tc>
              <w:tc>
                <w:tcPr>
                  <w:tcW w:w="665" w:type="pct"/>
                  <w:tcBorders>
                    <w:right w:val="nil"/>
                  </w:tcBorders>
                  <w:noWrap w:val="0"/>
                  <w:vAlign w:val="center"/>
                </w:tcPr>
                <w:p w14:paraId="16A6114A">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lang w:eastAsia="zh-CN"/>
                    </w:rPr>
                    <w:t>否</w:t>
                  </w:r>
                </w:p>
              </w:tc>
            </w:tr>
            <w:tr w14:paraId="5E6C7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743" w:type="pct"/>
                  <w:tcBorders>
                    <w:left w:val="nil"/>
                    <w:bottom w:val="single" w:color="auto" w:sz="12" w:space="0"/>
                  </w:tcBorders>
                  <w:noWrap w:val="0"/>
                  <w:vAlign w:val="center"/>
                </w:tcPr>
                <w:p w14:paraId="7DE1E706">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海洋</w:t>
                  </w:r>
                </w:p>
              </w:tc>
              <w:tc>
                <w:tcPr>
                  <w:tcW w:w="1961" w:type="pct"/>
                  <w:tcBorders>
                    <w:bottom w:val="single" w:color="auto" w:sz="12" w:space="0"/>
                  </w:tcBorders>
                  <w:noWrap w:val="0"/>
                  <w:vAlign w:val="center"/>
                </w:tcPr>
                <w:p w14:paraId="409958A2">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直接向海排放污染物的海洋工程建设项目</w:t>
                  </w:r>
                </w:p>
              </w:tc>
              <w:tc>
                <w:tcPr>
                  <w:tcW w:w="1629" w:type="pct"/>
                  <w:tcBorders>
                    <w:bottom w:val="single" w:color="auto" w:sz="12" w:space="0"/>
                  </w:tcBorders>
                  <w:noWrap w:val="0"/>
                  <w:vAlign w:val="center"/>
                </w:tcPr>
                <w:p w14:paraId="66AEBB73">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本项目不涉及</w:t>
                  </w:r>
                </w:p>
              </w:tc>
              <w:tc>
                <w:tcPr>
                  <w:tcW w:w="665" w:type="pct"/>
                  <w:tcBorders>
                    <w:bottom w:val="single" w:color="auto" w:sz="12" w:space="0"/>
                    <w:right w:val="nil"/>
                  </w:tcBorders>
                  <w:noWrap w:val="0"/>
                  <w:vAlign w:val="center"/>
                </w:tcPr>
                <w:p w14:paraId="0C31697B">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lang w:eastAsia="zh-CN"/>
                    </w:rPr>
                    <w:t>否</w:t>
                  </w:r>
                </w:p>
              </w:tc>
            </w:tr>
          </w:tbl>
          <w:p w14:paraId="70628EC3">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lang w:eastAsia="zh-CN"/>
              </w:rPr>
            </w:pPr>
            <w:r>
              <w:rPr>
                <w:rFonts w:hint="default" w:ascii="Times New Roman" w:hAnsi="Times New Roman" w:eastAsia="宋体" w:cs="Times New Roman"/>
                <w:color w:val="auto"/>
                <w:sz w:val="24"/>
                <w:szCs w:val="24"/>
              </w:rPr>
              <w:t>经判定，本项目</w:t>
            </w:r>
            <w:r>
              <w:rPr>
                <w:rFonts w:hint="eastAsia" w:cs="Times New Roman"/>
                <w:color w:val="auto"/>
                <w:sz w:val="24"/>
                <w:szCs w:val="24"/>
                <w:lang w:eastAsia="zh-CN"/>
              </w:rPr>
              <w:t>无须设置</w:t>
            </w:r>
            <w:r>
              <w:rPr>
                <w:rFonts w:hint="default" w:ascii="Times New Roman" w:hAnsi="Times New Roman" w:eastAsia="宋体" w:cs="Times New Roman"/>
                <w:color w:val="auto"/>
                <w:sz w:val="24"/>
                <w:szCs w:val="24"/>
              </w:rPr>
              <w:t>专项评价。</w:t>
            </w:r>
          </w:p>
        </w:tc>
      </w:tr>
    </w:tbl>
    <w:p w14:paraId="349EFA10">
      <w:pPr>
        <w:keepLines w:val="0"/>
        <w:pageBreakBefore w:val="0"/>
        <w:wordWrap/>
        <w:topLinePunct w:val="0"/>
        <w:autoSpaceDE w:val="0"/>
        <w:autoSpaceDN w:val="0"/>
        <w:bidi w:val="0"/>
        <w:adjustRightInd w:val="0"/>
        <w:snapToGrid w:val="0"/>
        <w:spacing w:line="360" w:lineRule="auto"/>
        <w:ind w:left="0" w:right="0" w:firstLine="0" w:firstLineChars="0"/>
        <w:jc w:val="left"/>
        <w:rPr>
          <w:rFonts w:hint="default" w:ascii="Times New Roman" w:hAnsi="Times New Roman" w:eastAsia="宋体" w:cs="Times New Roman"/>
          <w:color w:val="auto"/>
          <w:sz w:val="24"/>
          <w:szCs w:val="24"/>
          <w:u w:val="none"/>
        </w:rPr>
        <w:sectPr>
          <w:footerReference r:id="rId5" w:type="default"/>
          <w:pgSz w:w="11906" w:h="16838"/>
          <w:pgMar w:top="1587" w:right="1417" w:bottom="1587" w:left="1417" w:header="851" w:footer="992" w:gutter="0"/>
          <w:pgBorders>
            <w:top w:val="none" w:sz="0" w:space="0"/>
            <w:left w:val="none" w:sz="0" w:space="0"/>
            <w:bottom w:val="none" w:sz="0" w:space="0"/>
            <w:right w:val="none" w:sz="0" w:space="0"/>
          </w:pgBorders>
          <w:pgNumType w:fmt="decimal" w:start="1"/>
          <w:cols w:space="0" w:num="1"/>
          <w:rtlGutter w:val="0"/>
          <w:docGrid w:type="lines" w:linePitch="318" w:charSpace="0"/>
        </w:sectPr>
      </w:pPr>
    </w:p>
    <w:tbl>
      <w:tblPr>
        <w:tblStyle w:val="23"/>
        <w:tblW w:w="487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8288"/>
      </w:tblGrid>
      <w:tr w14:paraId="373410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26" w:type="pct"/>
            <w:noWrap w:val="0"/>
            <w:vAlign w:val="center"/>
          </w:tcPr>
          <w:p w14:paraId="5D08C3D3">
            <w:pPr>
              <w:keepLines w:val="0"/>
              <w:pageBreakBefore w:val="0"/>
              <w:wordWrap/>
              <w:topLinePunct w:val="0"/>
              <w:autoSpaceDE w:val="0"/>
              <w:autoSpaceDN w:val="0"/>
              <w:bidi w:val="0"/>
              <w:adjustRightInd w:val="0"/>
              <w:snapToGrid w:val="0"/>
              <w:spacing w:line="360" w:lineRule="auto"/>
              <w:ind w:left="0" w:right="0" w:firstLine="0" w:firstLineChars="0"/>
              <w:jc w:val="left"/>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sz w:val="24"/>
                <w:szCs w:val="24"/>
                <w:u w:val="none"/>
              </w:rPr>
              <w:t>规划情况</w:t>
            </w:r>
          </w:p>
        </w:tc>
        <w:tc>
          <w:tcPr>
            <w:tcW w:w="4573" w:type="pct"/>
            <w:noWrap w:val="0"/>
            <w:vAlign w:val="center"/>
          </w:tcPr>
          <w:p w14:paraId="6E7D7B42">
            <w:pPr>
              <w:keepLines w:val="0"/>
              <w:pageBreakBefore w:val="0"/>
              <w:widowControl/>
              <w:wordWrap/>
              <w:topLinePunct w:val="0"/>
              <w:autoSpaceDE/>
              <w:autoSpaceDN/>
              <w:bidi w:val="0"/>
              <w:adjustRightInd/>
              <w:snapToGrid/>
              <w:spacing w:line="360" w:lineRule="auto"/>
              <w:ind w:left="0" w:right="0" w:firstLine="0" w:firstLineChars="0"/>
              <w:jc w:val="left"/>
              <w:rPr>
                <w:rFonts w:hint="eastAsia" w:ascii="Times New Roman" w:hAnsi="Times New Roman" w:eastAsia="宋体" w:cs="Times New Roman"/>
                <w:b/>
                <w:bCs/>
                <w:color w:val="auto"/>
                <w:kern w:val="0"/>
                <w:sz w:val="24"/>
                <w:szCs w:val="24"/>
                <w:u w:val="none"/>
                <w:lang w:eastAsia="zh-CN"/>
              </w:rPr>
            </w:pPr>
            <w:r>
              <w:rPr>
                <w:rFonts w:hint="eastAsia" w:cs="Times New Roman"/>
                <w:b/>
                <w:bCs/>
                <w:color w:val="auto"/>
                <w:kern w:val="0"/>
                <w:sz w:val="24"/>
                <w:szCs w:val="24"/>
                <w:u w:val="none"/>
                <w:lang w:eastAsia="zh-CN"/>
              </w:rPr>
              <w:t>一、</w:t>
            </w:r>
            <w:r>
              <w:rPr>
                <w:rFonts w:hint="default" w:ascii="Times New Roman" w:hAnsi="Times New Roman" w:eastAsia="宋体" w:cs="Times New Roman"/>
                <w:b/>
                <w:bCs/>
                <w:color w:val="auto"/>
                <w:kern w:val="0"/>
                <w:sz w:val="24"/>
                <w:szCs w:val="24"/>
                <w:u w:val="none"/>
                <w:lang w:val="en-US" w:eastAsia="zh-CN" w:bidi="ar"/>
              </w:rPr>
              <w:t>《福清融侨经济技术开发区总体规划</w:t>
            </w:r>
            <w:r>
              <w:rPr>
                <w:rFonts w:hint="eastAsia" w:cs="Times New Roman"/>
                <w:b/>
                <w:bCs/>
                <w:color w:val="auto"/>
                <w:kern w:val="0"/>
                <w:sz w:val="24"/>
                <w:szCs w:val="24"/>
                <w:u w:val="none"/>
                <w:lang w:val="en-US" w:eastAsia="zh-CN" w:bidi="ar"/>
              </w:rPr>
              <w:t>（</w:t>
            </w:r>
            <w:r>
              <w:rPr>
                <w:rFonts w:hint="default" w:ascii="Times New Roman" w:hAnsi="Times New Roman" w:eastAsia="宋体" w:cs="Times New Roman"/>
                <w:b/>
                <w:bCs/>
                <w:color w:val="auto"/>
                <w:kern w:val="0"/>
                <w:sz w:val="24"/>
                <w:szCs w:val="24"/>
                <w:u w:val="none"/>
                <w:lang w:val="en-US" w:eastAsia="zh-CN" w:bidi="ar"/>
              </w:rPr>
              <w:t>2018-2035年</w:t>
            </w:r>
            <w:r>
              <w:rPr>
                <w:rFonts w:hint="eastAsia" w:cs="Times New Roman"/>
                <w:b/>
                <w:bCs/>
                <w:color w:val="auto"/>
                <w:kern w:val="0"/>
                <w:sz w:val="24"/>
                <w:szCs w:val="24"/>
                <w:u w:val="none"/>
                <w:lang w:val="en-US" w:eastAsia="zh-CN" w:bidi="ar"/>
              </w:rPr>
              <w:t>）</w:t>
            </w:r>
            <w:r>
              <w:rPr>
                <w:rFonts w:hint="default" w:ascii="Times New Roman" w:hAnsi="Times New Roman" w:eastAsia="宋体" w:cs="Times New Roman"/>
                <w:b/>
                <w:bCs/>
                <w:color w:val="auto"/>
                <w:kern w:val="0"/>
                <w:sz w:val="24"/>
                <w:szCs w:val="24"/>
                <w:u w:val="none"/>
                <w:lang w:val="en-US" w:eastAsia="zh-CN" w:bidi="ar"/>
              </w:rPr>
              <w:t>》</w:t>
            </w:r>
          </w:p>
          <w:p w14:paraId="70DBC43D">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bCs w:val="0"/>
                <w:color w:val="auto"/>
                <w:kern w:val="0"/>
                <w:sz w:val="24"/>
                <w:szCs w:val="24"/>
                <w:u w:val="none"/>
              </w:rPr>
              <w:t>①</w:t>
            </w:r>
            <w:r>
              <w:rPr>
                <w:rFonts w:hint="default" w:ascii="Times New Roman" w:hAnsi="Times New Roman" w:eastAsia="宋体" w:cs="Times New Roman"/>
                <w:b w:val="0"/>
                <w:color w:val="auto"/>
                <w:kern w:val="0"/>
                <w:sz w:val="24"/>
                <w:szCs w:val="24"/>
                <w:u w:val="none"/>
                <w:lang w:val="en-US" w:eastAsia="zh-CN" w:bidi="ar"/>
              </w:rPr>
              <w:t>规划名称：《福清融侨经济技术开发区总体规划</w:t>
            </w:r>
            <w:r>
              <w:rPr>
                <w:rFonts w:hint="eastAsia"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2018-2035年</w:t>
            </w:r>
            <w:r>
              <w:rPr>
                <w:rFonts w:hint="eastAsia"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w:t>
            </w:r>
          </w:p>
          <w:p w14:paraId="0322A3FA">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②审批机关：福清市人民政府</w:t>
            </w:r>
          </w:p>
          <w:p w14:paraId="75459391">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③审批文件名称及文号：《福清市人民政府关于同意融侨经济技术开发区总体规划</w:t>
            </w:r>
            <w:r>
              <w:rPr>
                <w:rFonts w:hint="eastAsia"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2018-2035年</w:t>
            </w:r>
            <w:r>
              <w:rPr>
                <w:rFonts w:hint="eastAsia"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编制范围的批复》</w:t>
            </w:r>
            <w:r>
              <w:rPr>
                <w:rFonts w:hint="eastAsia"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融政综〔2019〕189号</w:t>
            </w:r>
            <w:r>
              <w:rPr>
                <w:rFonts w:hint="eastAsia" w:cs="Times New Roman"/>
                <w:b w:val="0"/>
                <w:color w:val="auto"/>
                <w:kern w:val="0"/>
                <w:sz w:val="24"/>
                <w:szCs w:val="24"/>
                <w:u w:val="none"/>
                <w:lang w:val="en-US" w:eastAsia="zh-CN" w:bidi="ar"/>
              </w:rPr>
              <w:t>）</w:t>
            </w:r>
          </w:p>
          <w:p w14:paraId="1DF796F5">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bCs/>
                <w:color w:val="auto"/>
                <w:kern w:val="0"/>
                <w:sz w:val="24"/>
                <w:szCs w:val="24"/>
                <w:u w:val="none"/>
                <w:lang w:val="en-US" w:eastAsia="zh-CN" w:bidi="ar"/>
              </w:rPr>
            </w:pPr>
            <w:r>
              <w:rPr>
                <w:rFonts w:hint="eastAsia" w:ascii="Times New Roman" w:hAnsi="Times New Roman" w:eastAsia="宋体" w:cs="Times New Roman"/>
                <w:b/>
                <w:bCs/>
                <w:color w:val="auto"/>
                <w:kern w:val="0"/>
                <w:sz w:val="24"/>
                <w:szCs w:val="24"/>
                <w:u w:val="none"/>
                <w:lang w:val="en-US" w:eastAsia="zh-CN" w:bidi="ar"/>
              </w:rPr>
              <w:t>二、</w:t>
            </w:r>
            <w:r>
              <w:rPr>
                <w:rFonts w:hint="default" w:ascii="Times New Roman" w:hAnsi="Times New Roman" w:eastAsia="宋体" w:cs="Times New Roman"/>
                <w:b/>
                <w:bCs/>
                <w:color w:val="auto"/>
                <w:kern w:val="0"/>
                <w:sz w:val="24"/>
                <w:szCs w:val="24"/>
                <w:u w:val="none"/>
                <w:lang w:val="en-US" w:eastAsia="zh-CN" w:bidi="ar"/>
              </w:rPr>
              <w:t>《福清市国土空间总体规划（2021—2035年）》</w:t>
            </w:r>
          </w:p>
          <w:p w14:paraId="5F65746C">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eastAsia" w:ascii="Times New Roman" w:hAnsi="Times New Roman" w:eastAsia="宋体" w:cs="Times New Roman"/>
                <w:b w:val="0"/>
                <w:color w:val="auto"/>
                <w:kern w:val="0"/>
                <w:sz w:val="24"/>
                <w:szCs w:val="24"/>
                <w:u w:val="none"/>
                <w:lang w:val="en-US" w:eastAsia="zh-CN" w:bidi="ar"/>
              </w:rPr>
              <w:t>①规划名称：</w:t>
            </w:r>
            <w:r>
              <w:rPr>
                <w:rFonts w:hint="default" w:ascii="Times New Roman" w:hAnsi="Times New Roman" w:eastAsia="宋体" w:cs="Times New Roman"/>
                <w:b w:val="0"/>
                <w:color w:val="auto"/>
                <w:kern w:val="0"/>
                <w:sz w:val="24"/>
                <w:szCs w:val="24"/>
                <w:u w:val="none"/>
                <w:lang w:val="en-US" w:eastAsia="zh-CN" w:bidi="ar"/>
              </w:rPr>
              <w:t>《福清市国土空间总体规划（2021—2035年）》</w:t>
            </w:r>
            <w:r>
              <w:rPr>
                <w:rFonts w:hint="eastAsia" w:ascii="Times New Roman" w:hAnsi="Times New Roman" w:eastAsia="宋体" w:cs="Times New Roman"/>
                <w:b w:val="0"/>
                <w:color w:val="auto"/>
                <w:kern w:val="0"/>
                <w:sz w:val="24"/>
                <w:szCs w:val="24"/>
                <w:u w:val="none"/>
                <w:lang w:val="en-US" w:eastAsia="zh-CN" w:bidi="ar"/>
              </w:rPr>
              <w:t>；</w:t>
            </w:r>
          </w:p>
          <w:p w14:paraId="6FDE4DC7">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eastAsia" w:ascii="Times New Roman" w:hAnsi="Times New Roman" w:eastAsia="宋体" w:cs="Times New Roman"/>
                <w:b w:val="0"/>
                <w:color w:val="auto"/>
                <w:kern w:val="0"/>
                <w:sz w:val="24"/>
                <w:szCs w:val="24"/>
                <w:u w:val="none"/>
                <w:lang w:val="en-US" w:eastAsia="zh-CN" w:bidi="ar"/>
              </w:rPr>
              <w:t>②</w:t>
            </w:r>
            <w:r>
              <w:rPr>
                <w:rFonts w:hint="default" w:ascii="Times New Roman" w:hAnsi="Times New Roman" w:eastAsia="宋体" w:cs="Times New Roman"/>
                <w:b w:val="0"/>
                <w:color w:val="auto"/>
                <w:kern w:val="0"/>
                <w:sz w:val="24"/>
                <w:szCs w:val="24"/>
                <w:u w:val="none"/>
                <w:lang w:val="en-US" w:eastAsia="zh-CN" w:bidi="ar"/>
              </w:rPr>
              <w:t>审批机关：福建省人民政府</w:t>
            </w:r>
            <w:r>
              <w:rPr>
                <w:rFonts w:hint="eastAsia" w:ascii="Times New Roman" w:hAnsi="Times New Roman" w:eastAsia="宋体" w:cs="Times New Roman"/>
                <w:b w:val="0"/>
                <w:color w:val="auto"/>
                <w:kern w:val="0"/>
                <w:sz w:val="24"/>
                <w:szCs w:val="24"/>
                <w:u w:val="none"/>
                <w:lang w:val="en-US" w:eastAsia="zh-CN" w:bidi="ar"/>
              </w:rPr>
              <w:t>；</w:t>
            </w:r>
          </w:p>
          <w:p w14:paraId="01431FF7">
            <w:pPr>
              <w:keepLines w:val="0"/>
              <w:pageBreakBefore w:val="0"/>
              <w:widowControl/>
              <w:wordWrap/>
              <w:topLinePunct w:val="0"/>
              <w:autoSpaceDE/>
              <w:autoSpaceDN/>
              <w:bidi w:val="0"/>
              <w:adjustRightInd/>
              <w:snapToGrid/>
              <w:spacing w:line="360" w:lineRule="auto"/>
              <w:ind w:left="0" w:right="0" w:firstLine="0" w:firstLineChars="0"/>
              <w:jc w:val="left"/>
              <w:rPr>
                <w:rFonts w:hint="default"/>
              </w:rPr>
            </w:pPr>
            <w:r>
              <w:rPr>
                <w:rFonts w:hint="eastAsia" w:ascii="Times New Roman" w:hAnsi="Times New Roman" w:eastAsia="宋体" w:cs="Times New Roman"/>
                <w:b w:val="0"/>
                <w:color w:val="auto"/>
                <w:kern w:val="0"/>
                <w:sz w:val="24"/>
                <w:szCs w:val="24"/>
                <w:u w:val="none"/>
                <w:lang w:val="en-US" w:eastAsia="zh-CN" w:bidi="ar"/>
              </w:rPr>
              <w:t>③</w:t>
            </w:r>
            <w:r>
              <w:rPr>
                <w:rFonts w:hint="default" w:ascii="Times New Roman" w:hAnsi="Times New Roman" w:eastAsia="宋体" w:cs="Times New Roman"/>
                <w:b w:val="0"/>
                <w:color w:val="auto"/>
                <w:kern w:val="0"/>
                <w:sz w:val="24"/>
                <w:szCs w:val="24"/>
                <w:u w:val="none"/>
                <w:lang w:val="en-US" w:eastAsia="zh-CN" w:bidi="ar"/>
              </w:rPr>
              <w:t>审批文件名称及文号：福建省人民政府关于福州市所辖6个县（市）国土空间总体规划（2021—2035年）的批复</w:t>
            </w:r>
            <w:r>
              <w:rPr>
                <w:rFonts w:hint="eastAsia" w:ascii="Times New Roman" w:hAnsi="Times New Roman" w:eastAsia="宋体"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闽政文〔2024〕420号</w:t>
            </w:r>
            <w:r>
              <w:rPr>
                <w:rFonts w:hint="eastAsia" w:ascii="Times New Roman" w:hAnsi="Times New Roman" w:eastAsia="宋体" w:cs="Times New Roman"/>
                <w:b w:val="0"/>
                <w:color w:val="auto"/>
                <w:kern w:val="0"/>
                <w:sz w:val="24"/>
                <w:szCs w:val="24"/>
                <w:u w:val="none"/>
                <w:lang w:val="en-US" w:eastAsia="zh-CN" w:bidi="ar"/>
              </w:rPr>
              <w:t>）</w:t>
            </w:r>
          </w:p>
        </w:tc>
      </w:tr>
      <w:tr w14:paraId="29E314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noWrap w:val="0"/>
            <w:vAlign w:val="center"/>
          </w:tcPr>
          <w:p w14:paraId="262C458F">
            <w:pPr>
              <w:keepLines w:val="0"/>
              <w:pageBreakBefore w:val="0"/>
              <w:wordWrap/>
              <w:topLinePunct w:val="0"/>
              <w:bidi w:val="0"/>
              <w:adjustRightInd w:val="0"/>
              <w:snapToGrid w:val="0"/>
              <w:spacing w:line="360" w:lineRule="auto"/>
              <w:ind w:left="0" w:right="0" w:firstLine="0" w:firstLineChars="0"/>
              <w:jc w:val="left"/>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规划环境影响</w:t>
            </w:r>
          </w:p>
          <w:p w14:paraId="3A1D439D">
            <w:pPr>
              <w:keepLines w:val="0"/>
              <w:pageBreakBefore w:val="0"/>
              <w:wordWrap/>
              <w:topLinePunct w:val="0"/>
              <w:bidi w:val="0"/>
              <w:adjustRightInd w:val="0"/>
              <w:snapToGrid w:val="0"/>
              <w:spacing w:line="360" w:lineRule="auto"/>
              <w:ind w:left="0" w:right="0" w:firstLine="0" w:firstLineChars="0"/>
              <w:jc w:val="left"/>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sz w:val="24"/>
                <w:szCs w:val="24"/>
                <w:u w:val="none"/>
              </w:rPr>
              <w:t>评价情况</w:t>
            </w:r>
          </w:p>
        </w:tc>
        <w:tc>
          <w:tcPr>
            <w:tcW w:w="4573" w:type="pct"/>
            <w:noWrap w:val="0"/>
            <w:vAlign w:val="center"/>
          </w:tcPr>
          <w:p w14:paraId="2CE72AC8">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bCs w:val="0"/>
                <w:color w:val="auto"/>
                <w:kern w:val="0"/>
                <w:sz w:val="24"/>
                <w:szCs w:val="24"/>
                <w:u w:val="none"/>
              </w:rPr>
              <w:t>①</w:t>
            </w:r>
            <w:r>
              <w:rPr>
                <w:rFonts w:hint="default" w:ascii="Times New Roman" w:hAnsi="Times New Roman" w:eastAsia="宋体" w:cs="Times New Roman"/>
                <w:b w:val="0"/>
                <w:color w:val="auto"/>
                <w:kern w:val="0"/>
                <w:sz w:val="24"/>
                <w:szCs w:val="24"/>
                <w:u w:val="none"/>
                <w:lang w:val="en-US" w:eastAsia="zh-CN" w:bidi="ar"/>
              </w:rPr>
              <w:t>文件名称：福清融侨经济技术开发区总体规划（2018-2035年）环境影响报告书</w:t>
            </w:r>
          </w:p>
          <w:p w14:paraId="642994F9">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②审查机关：</w:t>
            </w:r>
            <w:r>
              <w:rPr>
                <w:rFonts w:hint="eastAsia" w:cs="Times New Roman"/>
                <w:b w:val="0"/>
                <w:color w:val="auto"/>
                <w:kern w:val="0"/>
                <w:sz w:val="24"/>
                <w:szCs w:val="24"/>
                <w:u w:val="none"/>
                <w:lang w:val="en-US" w:eastAsia="zh-CN" w:bidi="ar"/>
              </w:rPr>
              <w:t>中华人民共和国</w:t>
            </w:r>
            <w:r>
              <w:rPr>
                <w:rFonts w:hint="default" w:ascii="Times New Roman" w:hAnsi="Times New Roman" w:eastAsia="宋体" w:cs="Times New Roman"/>
                <w:b w:val="0"/>
                <w:color w:val="auto"/>
                <w:kern w:val="0"/>
                <w:sz w:val="24"/>
                <w:szCs w:val="24"/>
                <w:u w:val="none"/>
                <w:lang w:val="en-US" w:eastAsia="zh-CN" w:bidi="ar"/>
              </w:rPr>
              <w:t>生态环境部</w:t>
            </w:r>
          </w:p>
          <w:p w14:paraId="00BB9773">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color w:val="auto"/>
                <w:kern w:val="0"/>
                <w:sz w:val="24"/>
                <w:szCs w:val="24"/>
                <w:u w:val="none"/>
                <w:lang w:eastAsia="zh-CN"/>
              </w:rPr>
            </w:pPr>
            <w:r>
              <w:rPr>
                <w:rFonts w:hint="default" w:ascii="Times New Roman" w:hAnsi="Times New Roman" w:eastAsia="宋体" w:cs="Times New Roman"/>
                <w:b w:val="0"/>
                <w:color w:val="auto"/>
                <w:kern w:val="0"/>
                <w:sz w:val="24"/>
                <w:szCs w:val="24"/>
                <w:u w:val="none"/>
                <w:lang w:val="en-US" w:eastAsia="zh-CN" w:bidi="ar"/>
              </w:rPr>
              <w:t>③</w:t>
            </w:r>
            <w:r>
              <w:rPr>
                <w:rFonts w:hint="default" w:ascii="Times New Roman" w:hAnsi="Times New Roman" w:eastAsia="宋体" w:cs="Times New Roman"/>
                <w:color w:val="auto"/>
                <w:kern w:val="0"/>
                <w:sz w:val="24"/>
                <w:szCs w:val="24"/>
                <w:u w:val="none"/>
                <w:lang w:val="en-US" w:eastAsia="zh-CN" w:bidi="ar"/>
              </w:rPr>
              <w:t>审批文件名称及文号：关于《</w:t>
            </w:r>
            <w:r>
              <w:rPr>
                <w:rFonts w:hint="default" w:ascii="Times New Roman" w:hAnsi="Times New Roman" w:eastAsia="宋体" w:cs="Times New Roman"/>
                <w:b w:val="0"/>
                <w:color w:val="auto"/>
                <w:kern w:val="0"/>
                <w:sz w:val="24"/>
                <w:szCs w:val="24"/>
                <w:u w:val="none"/>
                <w:lang w:val="en-US" w:eastAsia="zh-CN" w:bidi="ar"/>
              </w:rPr>
              <w:t>福清融侨经济技术开发区总体规划（2018-2035 年）环境影响报告书</w:t>
            </w:r>
            <w:r>
              <w:rPr>
                <w:rFonts w:hint="default" w:ascii="Times New Roman" w:hAnsi="Times New Roman" w:eastAsia="宋体" w:cs="Times New Roman"/>
                <w:color w:val="auto"/>
                <w:kern w:val="0"/>
                <w:sz w:val="24"/>
                <w:szCs w:val="24"/>
                <w:u w:val="none"/>
                <w:lang w:val="en-US" w:eastAsia="zh-CN" w:bidi="ar"/>
              </w:rPr>
              <w:t>》的审查意见</w:t>
            </w:r>
            <w:r>
              <w:rPr>
                <w:rFonts w:hint="eastAsia" w:cs="Times New Roman"/>
                <w:color w:val="auto"/>
                <w:kern w:val="0"/>
                <w:sz w:val="24"/>
                <w:szCs w:val="24"/>
                <w:u w:val="none"/>
                <w:lang w:val="en-US" w:eastAsia="zh-CN" w:bidi="ar"/>
              </w:rPr>
              <w:t>（</w:t>
            </w:r>
            <w:r>
              <w:rPr>
                <w:rFonts w:hint="default" w:ascii="Times New Roman" w:hAnsi="Times New Roman" w:eastAsia="宋体" w:cs="Times New Roman"/>
                <w:color w:val="auto"/>
                <w:kern w:val="0"/>
                <w:sz w:val="24"/>
                <w:szCs w:val="24"/>
                <w:u w:val="none"/>
                <w:lang w:val="en-US" w:eastAsia="zh-CN" w:bidi="ar"/>
              </w:rPr>
              <w:t>环审</w:t>
            </w:r>
            <w:r>
              <w:rPr>
                <w:rFonts w:hint="eastAsia" w:cs="Times New Roman"/>
                <w:color w:val="auto"/>
                <w:kern w:val="0"/>
                <w:sz w:val="24"/>
                <w:szCs w:val="24"/>
                <w:u w:val="none"/>
                <w:lang w:val="en-US" w:eastAsia="zh-CN" w:bidi="ar"/>
              </w:rPr>
              <w:t>〔2020〕80号）</w:t>
            </w:r>
          </w:p>
        </w:tc>
      </w:tr>
      <w:tr w14:paraId="679182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noWrap w:val="0"/>
            <w:vAlign w:val="center"/>
          </w:tcPr>
          <w:p w14:paraId="537EFE01">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规划及规划环境影响评价符合性分析</w:t>
            </w:r>
          </w:p>
        </w:tc>
        <w:tc>
          <w:tcPr>
            <w:tcW w:w="4573" w:type="pct"/>
            <w:noWrap w:val="0"/>
            <w:vAlign w:val="center"/>
          </w:tcPr>
          <w:p w14:paraId="24D5A31D">
            <w:pPr>
              <w:pStyle w:val="30"/>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一</w:t>
            </w:r>
            <w:r>
              <w:rPr>
                <w:rFonts w:hint="default" w:ascii="Times New Roman" w:hAnsi="Times New Roman" w:eastAsia="宋体" w:cs="Times New Roman"/>
                <w:b/>
                <w:bCs/>
                <w:color w:val="auto"/>
                <w:sz w:val="24"/>
                <w:szCs w:val="24"/>
                <w:u w:val="none"/>
                <w:lang w:val="en-US" w:eastAsia="zh-CN"/>
              </w:rPr>
              <w:t>、</w:t>
            </w:r>
            <w:r>
              <w:rPr>
                <w:rFonts w:hint="eastAsia" w:ascii="Times New Roman" w:hAnsi="Times New Roman" w:eastAsia="宋体" w:cs="Times New Roman"/>
                <w:b/>
                <w:bCs/>
                <w:color w:val="auto"/>
                <w:sz w:val="24"/>
                <w:szCs w:val="24"/>
                <w:u w:val="none"/>
                <w:lang w:val="en-US" w:eastAsia="zh-CN"/>
              </w:rPr>
              <w:t>与规划符合性分析</w:t>
            </w:r>
          </w:p>
          <w:p w14:paraId="65622624">
            <w:pPr>
              <w:pStyle w:val="30"/>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bCs/>
                <w:color w:val="auto"/>
                <w:sz w:val="24"/>
                <w:szCs w:val="24"/>
                <w:u w:val="none"/>
                <w:lang w:val="en-US" w:eastAsia="zh-CN"/>
              </w:rPr>
            </w:pPr>
            <w:r>
              <w:rPr>
                <w:rFonts w:hint="eastAsia" w:cs="Times New Roman"/>
                <w:b/>
                <w:bCs/>
                <w:color w:val="auto"/>
                <w:sz w:val="24"/>
                <w:szCs w:val="24"/>
                <w:u w:val="none"/>
                <w:lang w:val="en-US" w:eastAsia="zh-CN"/>
              </w:rPr>
              <w:t>1、</w:t>
            </w:r>
            <w:r>
              <w:rPr>
                <w:rFonts w:hint="default" w:ascii="Times New Roman" w:hAnsi="Times New Roman" w:eastAsia="宋体" w:cs="Times New Roman"/>
                <w:b/>
                <w:bCs/>
                <w:color w:val="auto"/>
                <w:sz w:val="24"/>
                <w:szCs w:val="24"/>
                <w:u w:val="none"/>
                <w:lang w:val="en-US" w:eastAsia="zh-CN"/>
              </w:rPr>
              <w:t>与《福清融侨经济技术开发区总体规划</w:t>
            </w:r>
            <w:r>
              <w:rPr>
                <w:rFonts w:hint="eastAsia"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2018-2035年</w:t>
            </w:r>
            <w:r>
              <w:rPr>
                <w:rFonts w:hint="eastAsia"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》符合性分析</w:t>
            </w:r>
          </w:p>
          <w:p w14:paraId="7A5EBA12">
            <w:pPr>
              <w:pStyle w:val="30"/>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b w:val="0"/>
                <w:bCs w:val="0"/>
                <w:i w:val="0"/>
                <w:iCs w:val="0"/>
                <w:color w:val="auto"/>
                <w:sz w:val="24"/>
                <w:szCs w:val="24"/>
                <w:u w:val="none"/>
                <w:lang w:val="en-US" w:eastAsia="zh-CN"/>
              </w:rPr>
            </w:pPr>
            <w:r>
              <w:rPr>
                <w:rFonts w:hint="default" w:ascii="Times New Roman" w:hAnsi="Times New Roman" w:eastAsia="宋体" w:cs="Times New Roman"/>
                <w:color w:val="auto"/>
                <w:sz w:val="24"/>
                <w:szCs w:val="24"/>
                <w:highlight w:val="none"/>
                <w:u w:val="none"/>
                <w:lang w:val="en-US" w:eastAsia="zh-CN"/>
              </w:rPr>
              <w:t>根据总体规划内容可知，开发区</w:t>
            </w:r>
            <w:r>
              <w:rPr>
                <w:rFonts w:hint="default" w:ascii="Times New Roman" w:hAnsi="Times New Roman" w:eastAsia="宋体" w:cs="Times New Roman"/>
                <w:color w:val="auto"/>
                <w:sz w:val="24"/>
                <w:szCs w:val="24"/>
                <w:u w:val="none"/>
                <w:lang w:val="en-US" w:eastAsia="zh-CN"/>
              </w:rPr>
              <w:t>为理顺与中心城区的发展关系，建立健全</w:t>
            </w:r>
            <w:r>
              <w:rPr>
                <w:rFonts w:hint="eastAsia"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多规合一</w:t>
            </w:r>
            <w:r>
              <w:rPr>
                <w:rFonts w:hint="eastAsia"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体制机制，突出开发区核心产业优势，强调龙头企业引领，通过</w:t>
            </w:r>
            <w:r>
              <w:rPr>
                <w:rFonts w:hint="eastAsia"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组团式</w:t>
            </w:r>
            <w:r>
              <w:rPr>
                <w:rFonts w:hint="default"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布局，着力营造融侨经济技术开发区</w:t>
            </w:r>
            <w:r>
              <w:rPr>
                <w:rFonts w:hint="default"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现代生态开发区</w:t>
            </w:r>
            <w:r>
              <w:rPr>
                <w:rFonts w:hint="default" w:ascii="宋体" w:hAnsi="宋体" w:eastAsia="宋体" w:cs="宋体"/>
                <w:color w:val="auto"/>
                <w:sz w:val="24"/>
                <w:szCs w:val="24"/>
                <w:u w:val="none"/>
                <w:lang w:val="en-US" w:eastAsia="zh-CN"/>
              </w:rPr>
              <w:t>”的</w:t>
            </w:r>
            <w:r>
              <w:rPr>
                <w:rFonts w:hint="default" w:ascii="Times New Roman" w:hAnsi="Times New Roman" w:eastAsia="宋体" w:cs="Times New Roman"/>
                <w:color w:val="auto"/>
                <w:sz w:val="24"/>
                <w:szCs w:val="24"/>
                <w:u w:val="none"/>
                <w:lang w:val="en-US" w:eastAsia="zh-CN"/>
              </w:rPr>
              <w:t>空间特色，规划整体形成</w:t>
            </w:r>
            <w:r>
              <w:rPr>
                <w:rFonts w:hint="default"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一区三园多组团</w:t>
            </w:r>
            <w:r>
              <w:rPr>
                <w:rFonts w:hint="default"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的空间结构。</w:t>
            </w:r>
            <w:r>
              <w:rPr>
                <w:rFonts w:hint="default"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一区</w:t>
            </w:r>
            <w:r>
              <w:rPr>
                <w:rFonts w:hint="default" w:ascii="宋体" w:hAnsi="宋体" w:eastAsia="宋体" w:cs="宋体"/>
                <w:color w:val="auto"/>
                <w:sz w:val="24"/>
                <w:szCs w:val="24"/>
                <w:u w:val="none"/>
                <w:lang w:val="en-US" w:eastAsia="zh-CN"/>
              </w:rPr>
              <w:t>”</w:t>
            </w:r>
            <w:r>
              <w:rPr>
                <w:rFonts w:hint="eastAsia" w:cs="Times New Roman"/>
                <w:color w:val="auto"/>
                <w:sz w:val="24"/>
                <w:szCs w:val="24"/>
                <w:u w:val="none"/>
                <w:lang w:val="en-US" w:eastAsia="zh-CN"/>
              </w:rPr>
              <w:t>即</w:t>
            </w:r>
            <w:r>
              <w:rPr>
                <w:rFonts w:hint="default" w:ascii="Times New Roman" w:hAnsi="Times New Roman" w:eastAsia="宋体" w:cs="Times New Roman"/>
                <w:color w:val="auto"/>
                <w:sz w:val="24"/>
                <w:szCs w:val="24"/>
                <w:u w:val="none"/>
                <w:lang w:val="en-US" w:eastAsia="zh-CN"/>
              </w:rPr>
              <w:t>融侨经济技术开发区。利用国家级开发区品牌，充分释放</w:t>
            </w:r>
            <w:r>
              <w:rPr>
                <w:rFonts w:hint="default" w:ascii="宋体" w:hAnsi="宋体" w:eastAsia="宋体" w:cs="宋体"/>
                <w:color w:val="auto"/>
                <w:sz w:val="24"/>
                <w:szCs w:val="24"/>
                <w:u w:val="none"/>
                <w:lang w:val="en-US" w:eastAsia="zh-CN"/>
              </w:rPr>
              <w:t>“五区叠加、一区毗邻”政</w:t>
            </w:r>
            <w:r>
              <w:rPr>
                <w:rFonts w:hint="default" w:ascii="Times New Roman" w:hAnsi="Times New Roman" w:eastAsia="宋体" w:cs="Times New Roman"/>
                <w:color w:val="auto"/>
                <w:sz w:val="24"/>
                <w:szCs w:val="24"/>
                <w:u w:val="none"/>
                <w:lang w:val="en-US" w:eastAsia="zh-CN"/>
              </w:rPr>
              <w:t>策优势，以空间转型引领开发区的新一轮跨越发展。</w:t>
            </w:r>
            <w:r>
              <w:rPr>
                <w:rFonts w:hint="default" w:ascii="宋体" w:hAnsi="宋体" w:eastAsia="宋体" w:cs="宋体"/>
                <w:color w:val="auto"/>
                <w:sz w:val="24"/>
                <w:szCs w:val="24"/>
                <w:u w:val="none"/>
                <w:lang w:val="en-US" w:eastAsia="zh-CN"/>
              </w:rPr>
              <w:t>“三园”</w:t>
            </w:r>
            <w:r>
              <w:rPr>
                <w:rFonts w:hint="eastAsia" w:ascii="宋体" w:hAnsi="宋体" w:cs="宋体"/>
                <w:color w:val="auto"/>
                <w:sz w:val="24"/>
                <w:szCs w:val="24"/>
                <w:u w:val="none"/>
                <w:lang w:val="en-US" w:eastAsia="zh-CN"/>
              </w:rPr>
              <w:t>即</w:t>
            </w:r>
            <w:r>
              <w:rPr>
                <w:rFonts w:hint="default" w:ascii="Times New Roman" w:hAnsi="Times New Roman" w:eastAsia="宋体" w:cs="Times New Roman"/>
                <w:color w:val="auto"/>
                <w:sz w:val="24"/>
                <w:szCs w:val="24"/>
                <w:u w:val="none"/>
                <w:lang w:val="en-US" w:eastAsia="zh-CN"/>
              </w:rPr>
              <w:t>中心产业园、城北产业园和南部产业园。其中中心产业园：重点发展电子信息、精密汽车部件等产业，配套创新研发、文化会展、商务金融、经贸交流等具有高附加值的现代服务业功能，打造成为开发区内电子信息、先进制造业核心产业基地，</w:t>
            </w:r>
            <w:r>
              <w:rPr>
                <w:rFonts w:hint="default" w:ascii="宋体" w:hAnsi="宋体" w:eastAsia="宋体" w:cs="宋体"/>
                <w:color w:val="auto"/>
                <w:sz w:val="24"/>
                <w:szCs w:val="24"/>
                <w:u w:val="none"/>
                <w:lang w:val="en-US" w:eastAsia="zh-CN"/>
              </w:rPr>
              <w:t>“双创”平</w:t>
            </w:r>
            <w:r>
              <w:rPr>
                <w:rFonts w:hint="default" w:ascii="Times New Roman" w:hAnsi="Times New Roman" w:eastAsia="宋体" w:cs="Times New Roman"/>
                <w:color w:val="auto"/>
                <w:sz w:val="24"/>
                <w:szCs w:val="24"/>
                <w:u w:val="none"/>
                <w:lang w:val="en-US" w:eastAsia="zh-CN"/>
              </w:rPr>
              <w:t>台、现代服务业建设核心区，形成福清市极具影响力、辐射力和竞争力的大福</w:t>
            </w:r>
            <w:r>
              <w:rPr>
                <w:rFonts w:hint="default" w:ascii="宋体" w:hAnsi="宋体" w:eastAsia="宋体" w:cs="宋体"/>
                <w:color w:val="auto"/>
                <w:sz w:val="24"/>
                <w:szCs w:val="24"/>
                <w:u w:val="none"/>
                <w:lang w:val="en-US" w:eastAsia="zh-CN"/>
              </w:rPr>
              <w:t>清“副中心”。</w:t>
            </w:r>
            <w:r>
              <w:rPr>
                <w:rFonts w:hint="default" w:ascii="Times New Roman" w:hAnsi="Times New Roman" w:eastAsia="宋体" w:cs="Times New Roman"/>
                <w:b w:val="0"/>
                <w:bCs w:val="0"/>
                <w:i w:val="0"/>
                <w:iCs w:val="0"/>
                <w:color w:val="auto"/>
                <w:sz w:val="24"/>
                <w:szCs w:val="24"/>
                <w:u w:val="none"/>
                <w:lang w:val="en-US" w:eastAsia="zh-CN"/>
              </w:rPr>
              <w:t>城北产业园：依托京东方等电子信息龙头企业优势，以电子信息、光学、机械电气为主导</w:t>
            </w:r>
            <w:r>
              <w:rPr>
                <w:rFonts w:hint="eastAsia" w:cs="Times New Roman"/>
                <w:b w:val="0"/>
                <w:bCs w:val="0"/>
                <w:i w:val="0"/>
                <w:iCs w:val="0"/>
                <w:color w:val="auto"/>
                <w:sz w:val="24"/>
                <w:szCs w:val="24"/>
                <w:u w:val="none"/>
                <w:lang w:val="en-US" w:eastAsia="zh-CN"/>
              </w:rPr>
              <w:t>，以</w:t>
            </w:r>
            <w:r>
              <w:rPr>
                <w:rFonts w:hint="default" w:ascii="Times New Roman" w:hAnsi="Times New Roman" w:eastAsia="宋体" w:cs="Times New Roman"/>
                <w:b w:val="0"/>
                <w:bCs w:val="0"/>
                <w:i w:val="0"/>
                <w:iCs w:val="0"/>
                <w:color w:val="auto"/>
                <w:sz w:val="24"/>
                <w:szCs w:val="24"/>
                <w:u w:val="none"/>
                <w:lang w:val="en-US" w:eastAsia="zh-CN"/>
              </w:rPr>
              <w:t>科技研发为支撑，突出转型升级、创新驱动、品牌带动和对台合作，建成高聚集效应、高技术水平、高带动力的高端科技创新产业园。南部产业园：依托龙头企业的强劲动力，以及沈海高速、324国道的交通区位，重点发展与电子信息、精密汽车部件、光学相关配套上下游产业，通过校企联合、企业自主创新等方式推动园区内产业转型升级。</w:t>
            </w:r>
          </w:p>
          <w:p w14:paraId="7B4B7DF7">
            <w:pPr>
              <w:pStyle w:val="30"/>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本规划分为核心区和协调区2个层次。其中：</w:t>
            </w:r>
          </w:p>
          <w:p w14:paraId="15B76371">
            <w:pPr>
              <w:pStyle w:val="30"/>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（1）</w:t>
            </w:r>
            <w:r>
              <w:rPr>
                <w:rFonts w:hint="default" w:ascii="Times New Roman" w:hAnsi="Times New Roman" w:eastAsia="宋体" w:cs="Times New Roman"/>
                <w:color w:val="auto"/>
                <w:sz w:val="24"/>
                <w:szCs w:val="24"/>
                <w:highlight w:val="none"/>
                <w:u w:val="none"/>
                <w:lang w:val="en-US" w:eastAsia="zh-CN"/>
              </w:rPr>
              <w:t>核心区</w:t>
            </w:r>
            <w:r>
              <w:rPr>
                <w:rFonts w:hint="eastAsia" w:cs="Times New Roman"/>
                <w:color w:val="auto"/>
                <w:sz w:val="24"/>
                <w:szCs w:val="24"/>
                <w:highlight w:val="none"/>
                <w:u w:val="none"/>
                <w:lang w:val="en-US" w:eastAsia="zh-CN"/>
              </w:rPr>
              <w:t>即</w:t>
            </w:r>
            <w:r>
              <w:rPr>
                <w:rFonts w:hint="default" w:ascii="Times New Roman" w:hAnsi="Times New Roman" w:eastAsia="宋体" w:cs="Times New Roman"/>
                <w:color w:val="auto"/>
                <w:sz w:val="24"/>
                <w:szCs w:val="24"/>
                <w:highlight w:val="none"/>
                <w:u w:val="none"/>
                <w:lang w:val="en-US" w:eastAsia="zh-CN"/>
              </w:rPr>
              <w:t>国家批复的融侨经济技术开发区范围。土地面积9.19平方公里，其中宏路中心区6.4平方公里，洪宽工业村2.79平方公里。</w:t>
            </w:r>
          </w:p>
          <w:p w14:paraId="6D23D746">
            <w:pPr>
              <w:pStyle w:val="30"/>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（2）</w:t>
            </w:r>
            <w:r>
              <w:rPr>
                <w:rFonts w:hint="default" w:ascii="Times New Roman" w:hAnsi="Times New Roman" w:eastAsia="宋体" w:cs="Times New Roman"/>
                <w:color w:val="auto"/>
                <w:sz w:val="24"/>
                <w:szCs w:val="24"/>
                <w:highlight w:val="none"/>
                <w:u w:val="none"/>
                <w:lang w:val="en-US" w:eastAsia="zh-CN"/>
              </w:rPr>
              <w:t>协调区：考虑到开发区与福清城区一体化发展，结合开发区委托代管范围</w:t>
            </w:r>
            <w:r>
              <w:rPr>
                <w:rFonts w:hint="eastAsia" w:cs="Times New Roman"/>
                <w:color w:val="auto"/>
                <w:sz w:val="24"/>
                <w:szCs w:val="24"/>
                <w:highlight w:val="none"/>
                <w:u w:val="none"/>
                <w:lang w:val="en-US" w:eastAsia="zh-CN"/>
              </w:rPr>
              <w:t>，以</w:t>
            </w:r>
            <w:r>
              <w:rPr>
                <w:rFonts w:hint="default" w:ascii="Times New Roman" w:hAnsi="Times New Roman" w:eastAsia="宋体" w:cs="Times New Roman"/>
                <w:color w:val="auto"/>
                <w:sz w:val="24"/>
                <w:szCs w:val="24"/>
                <w:highlight w:val="none"/>
                <w:u w:val="none"/>
                <w:lang w:val="en-US" w:eastAsia="zh-CN"/>
              </w:rPr>
              <w:t>规划《福清市城市总体规划（2017-2035）》为依据，进一步将规划范围向外围扩展。协调区西至福厦高速，东依福长高速，北邻作坊村，南靠纵一路环线，土地面积53.2平方公里。本规划深度按协调区进行控制。</w:t>
            </w:r>
          </w:p>
          <w:p w14:paraId="1AB30ABB">
            <w:pPr>
              <w:pStyle w:val="30"/>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根据《福清融侨经济技术开发区总体规划</w:t>
            </w:r>
            <w:r>
              <w:rPr>
                <w:rFonts w:hint="eastAsia"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2018-2035年</w:t>
            </w:r>
            <w:r>
              <w:rPr>
                <w:rFonts w:hint="eastAsia"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》的</w:t>
            </w:r>
            <w:r>
              <w:rPr>
                <w:rFonts w:hint="eastAsia" w:ascii="宋体" w:hAnsi="宋体" w:eastAsia="宋体" w:cs="宋体"/>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产业发展-第二十二条构建</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3+1</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的产业体系：</w:t>
            </w:r>
          </w:p>
          <w:p w14:paraId="2F619DF4">
            <w:pPr>
              <w:pStyle w:val="30"/>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1.</w:t>
            </w:r>
            <w:r>
              <w:rPr>
                <w:rFonts w:hint="default" w:ascii="Times New Roman" w:hAnsi="Times New Roman" w:eastAsia="宋体" w:cs="Times New Roman"/>
                <w:color w:val="auto"/>
                <w:sz w:val="24"/>
                <w:szCs w:val="24"/>
                <w:highlight w:val="none"/>
                <w:u w:val="none"/>
                <w:lang w:val="en-US" w:eastAsia="zh-CN"/>
              </w:rPr>
              <w:t>三大支柱产业</w:t>
            </w:r>
          </w:p>
          <w:p w14:paraId="65912A7A">
            <w:pPr>
              <w:pStyle w:val="30"/>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电子信息产业：显示科技、云计算、电子元器件、光电科技、计算机与智能终端设备等。</w:t>
            </w:r>
          </w:p>
          <w:p w14:paraId="4717DADF">
            <w:pPr>
              <w:pStyle w:val="30"/>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精密汽车部件产业：汽车电气电子装置、动力传动装置、汽车轴承、新能源动力电池等。</w:t>
            </w:r>
          </w:p>
          <w:p w14:paraId="51564D5E">
            <w:pPr>
              <w:pStyle w:val="30"/>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光学产业：光学部件、光通讯技术、电子光学、虚拟现实装置等。</w:t>
            </w:r>
          </w:p>
          <w:p w14:paraId="5F349741">
            <w:pPr>
              <w:pStyle w:val="30"/>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在三大支柱产业基础之上，完善与其相关的配套产业。</w:t>
            </w:r>
          </w:p>
          <w:p w14:paraId="16C01BF3">
            <w:pPr>
              <w:pStyle w:val="30"/>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2.</w:t>
            </w:r>
            <w:r>
              <w:rPr>
                <w:rFonts w:hint="default" w:ascii="Times New Roman" w:hAnsi="Times New Roman" w:eastAsia="宋体" w:cs="Times New Roman"/>
                <w:color w:val="auto"/>
                <w:sz w:val="24"/>
                <w:szCs w:val="24"/>
                <w:highlight w:val="none"/>
                <w:u w:val="none"/>
                <w:lang w:val="en-US" w:eastAsia="zh-CN"/>
              </w:rPr>
              <w:t>一项新兴产业</w:t>
            </w:r>
          </w:p>
          <w:p w14:paraId="5EDCA27A">
            <w:pPr>
              <w:pStyle w:val="30"/>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auto"/>
                <w:sz w:val="24"/>
                <w:szCs w:val="24"/>
                <w:highlight w:val="none"/>
                <w:u w:val="none"/>
                <w:lang w:val="en-US" w:eastAsia="zh-CN"/>
              </w:rPr>
              <w:t>现代服务业：金融商务、总部经济、科技研发、文化创意、物流展销都市型产业</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与服务型制造业。</w:t>
            </w:r>
          </w:p>
          <w:p w14:paraId="4755A77F">
            <w:pPr>
              <w:pStyle w:val="30"/>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eastAsia="宋体"/>
                <w:color w:val="auto"/>
                <w:sz w:val="24"/>
                <w:highlight w:val="none"/>
                <w:lang w:val="en-US" w:eastAsia="zh-CN"/>
              </w:rPr>
            </w:pPr>
            <w:r>
              <w:rPr>
                <w:rFonts w:hint="default" w:ascii="Times New Roman" w:hAnsi="Times New Roman" w:eastAsia="宋体" w:cs="Times New Roman"/>
                <w:color w:val="auto"/>
                <w:sz w:val="24"/>
                <w:szCs w:val="24"/>
                <w:highlight w:val="none"/>
                <w:u w:val="none"/>
                <w:lang w:val="en-US" w:eastAsia="zh-CN"/>
              </w:rPr>
              <w:t>本项目位于福清融侨经济技术开发区（</w:t>
            </w:r>
            <w:r>
              <w:rPr>
                <w:rFonts w:hint="eastAsia" w:ascii="Times New Roman" w:hAnsi="Times New Roman" w:eastAsia="宋体" w:cs="Times New Roman"/>
                <w:color w:val="auto"/>
                <w:sz w:val="24"/>
                <w:szCs w:val="24"/>
                <w:highlight w:val="none"/>
                <w:u w:val="none"/>
                <w:lang w:val="en-US" w:eastAsia="zh-CN"/>
              </w:rPr>
              <w:t>购置均和云谷·福清科技港33#厂房）（详见</w:t>
            </w:r>
            <w:r>
              <w:rPr>
                <w:rFonts w:hint="eastAsia" w:ascii="Times New Roman" w:hAnsi="Times New Roman" w:eastAsia="宋体" w:cs="Times New Roman"/>
                <w:b/>
                <w:bCs/>
                <w:color w:val="auto"/>
                <w:sz w:val="24"/>
                <w:szCs w:val="24"/>
                <w:highlight w:val="none"/>
                <w:u w:val="none"/>
                <w:lang w:val="en-US" w:eastAsia="zh-CN"/>
              </w:rPr>
              <w:t>附图一</w:t>
            </w:r>
            <w:r>
              <w:rPr>
                <w:rFonts w:hint="eastAsia" w:ascii="Times New Roman" w:hAnsi="Times New Roman" w:eastAsia="宋体" w:cs="Times New Roman"/>
                <w:color w:val="auto"/>
                <w:sz w:val="24"/>
                <w:szCs w:val="24"/>
                <w:highlight w:val="none"/>
                <w:u w:val="none"/>
                <w:lang w:val="en-US" w:eastAsia="zh-CN"/>
              </w:rPr>
              <w:t>），属于福清融侨经济技术开发区的城北产业园。根据福清融侨经济技术开发区对主导产业发展方向的定位，对照《国民经济行业分类》（GB/T4754-2017），主导行业涉及国民经济类别主要包括C29、C304、C33、C34、C35、C36、C38、C39、C40，禁止新建，含电镀工艺、冶炼工艺、电解铝的项目，现有生产能力一定期限内搬迁；包装印刷业禁止使用不符合环保要求的油墨、胶黏剂。城北产业园发展策略为上游延伸下游拓展，依托京东方强化电子信息产业集群。积极推进电子信息产业向上下游延伸，最大程度延长产业链，构建开发区一体化的产业体系。校企联合，引导企业自主创新研发。鼓励科研院校与京东方项目进行结合，推广校企联合方式进行自主创新平台建设。核心产业对接，拓展上下游产业。在光学、机械电气等方面加强与台湾、海丝沿线国</w:t>
            </w:r>
            <w:r>
              <w:rPr>
                <w:rFonts w:hint="eastAsia" w:ascii="宋体" w:hAnsi="宋体" w:eastAsia="宋体" w:cs="宋体"/>
                <w:color w:val="auto"/>
                <w:kern w:val="0"/>
                <w:sz w:val="24"/>
                <w:szCs w:val="24"/>
                <w:lang w:val="en-US" w:eastAsia="zh-CN" w:bidi="ar"/>
              </w:rPr>
              <w:t>家的产业合作，打造两岸产业对接、合作的前沿阵地。</w:t>
            </w:r>
          </w:p>
          <w:p w14:paraId="2E921780">
            <w:pPr>
              <w:pStyle w:val="30"/>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auto"/>
                <w:kern w:val="2"/>
                <w:sz w:val="24"/>
                <w:szCs w:val="24"/>
                <w:highlight w:val="none"/>
                <w:lang w:val="en-US" w:eastAsia="zh-CN" w:bidi="ar-SA"/>
              </w:rPr>
              <w:t>本项目</w:t>
            </w:r>
            <w:r>
              <w:rPr>
                <w:rFonts w:hint="eastAsia" w:cs="Times New Roman"/>
                <w:color w:val="auto"/>
                <w:kern w:val="2"/>
                <w:sz w:val="24"/>
                <w:szCs w:val="24"/>
                <w:highlight w:val="none"/>
                <w:lang w:val="en-US" w:eastAsia="zh-CN" w:bidi="ar-SA"/>
              </w:rPr>
              <w:t>从事电脑零配件、汽车及电动车零配件、POS机零配件、其他五金制品等铝铸件的生产，主</w:t>
            </w:r>
            <w:r>
              <w:rPr>
                <w:rFonts w:hint="eastAsia" w:cs="Times New Roman"/>
                <w:color w:val="000000" w:themeColor="text1"/>
                <w:kern w:val="2"/>
                <w:sz w:val="24"/>
                <w:szCs w:val="24"/>
                <w:highlight w:val="none"/>
                <w:lang w:val="en-US" w:eastAsia="zh-CN" w:bidi="ar-SA"/>
                <w14:textFill>
                  <w14:solidFill>
                    <w14:schemeClr w14:val="tx1"/>
                  </w14:solidFill>
                </w14:textFill>
              </w:rPr>
              <w:t>要涉及</w:t>
            </w:r>
            <w:r>
              <w:rPr>
                <w:rFonts w:hint="eastAsia" w:cs="Times New Roman"/>
                <w:b/>
                <w:bCs/>
                <w:color w:val="000000" w:themeColor="text1"/>
                <w:kern w:val="2"/>
                <w:sz w:val="24"/>
                <w:szCs w:val="24"/>
                <w:highlight w:val="none"/>
                <w:lang w:val="en-US" w:eastAsia="zh-CN" w:bidi="ar-SA"/>
                <w14:textFill>
                  <w14:solidFill>
                    <w14:schemeClr w14:val="tx1"/>
                  </w14:solidFill>
                </w14:textFill>
              </w:rPr>
              <w:t>熔化</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eastAsia" w:cs="Times New Roman"/>
                <w:b/>
                <w:bCs/>
                <w:color w:val="000000" w:themeColor="text1"/>
                <w:kern w:val="2"/>
                <w:sz w:val="24"/>
                <w:szCs w:val="24"/>
                <w:highlight w:val="none"/>
                <w:lang w:val="en-US" w:eastAsia="zh-CN" w:bidi="ar-SA"/>
                <w14:textFill>
                  <w14:solidFill>
                    <w14:schemeClr w14:val="tx1"/>
                  </w14:solidFill>
                </w14:textFill>
              </w:rPr>
              <w:t>压铸</w:t>
            </w:r>
            <w:r>
              <w:rPr>
                <w:rFonts w:hint="eastAsia" w:cs="Times New Roman"/>
                <w:color w:val="000000" w:themeColor="text1"/>
                <w:kern w:val="2"/>
                <w:sz w:val="24"/>
                <w:szCs w:val="24"/>
                <w:highlight w:val="none"/>
                <w:lang w:val="en-US" w:eastAsia="zh-CN" w:bidi="ar-SA"/>
                <w14:textFill>
                  <w14:solidFill>
                    <w14:schemeClr w14:val="tx1"/>
                  </w14:solidFill>
                </w14:textFill>
              </w:rPr>
              <w:t>、打磨、抛光等工艺，</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行业类别为“</w:t>
            </w:r>
            <w:r>
              <w:rPr>
                <w:rFonts w:hint="eastAsia" w:ascii="Times New Roman" w:hAnsi="Times New Roman" w:eastAsia="宋体" w:cs="Times New Roman"/>
                <w:color w:val="auto"/>
                <w:sz w:val="24"/>
                <w:szCs w:val="24"/>
                <w:u w:val="none"/>
                <w:lang w:eastAsia="zh-CN"/>
              </w:rPr>
              <w:t>C</w:t>
            </w:r>
            <w:r>
              <w:rPr>
                <w:rFonts w:hint="eastAsia" w:ascii="Times New Roman" w:hAnsi="Times New Roman" w:eastAsia="宋体" w:cs="Times New Roman"/>
                <w:color w:val="auto"/>
                <w:sz w:val="24"/>
                <w:szCs w:val="24"/>
                <w:u w:val="none"/>
                <w:lang w:val="en-US" w:eastAsia="zh-CN"/>
              </w:rPr>
              <w:t xml:space="preserve">3392 </w:t>
            </w:r>
            <w:r>
              <w:rPr>
                <w:rFonts w:hint="eastAsia" w:ascii="Times New Roman" w:hAnsi="Times New Roman" w:eastAsia="宋体" w:cs="Times New Roman"/>
                <w:color w:val="auto"/>
                <w:sz w:val="24"/>
                <w:szCs w:val="24"/>
                <w:u w:val="none"/>
                <w:lang w:eastAsia="zh-CN"/>
              </w:rPr>
              <w:t>有色金属铸造</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auto"/>
                <w:sz w:val="24"/>
                <w:szCs w:val="24"/>
                <w:u w:val="none"/>
                <w:lang w:val="en-US" w:eastAsia="zh-CN"/>
              </w:rPr>
              <w:t>C3670</w:t>
            </w:r>
            <w:r>
              <w:rPr>
                <w:rFonts w:hint="eastAsia" w:ascii="Times New Roman" w:hAnsi="Times New Roman" w:eastAsia="宋体" w:cs="Times New Roman"/>
                <w:color w:val="auto"/>
                <w:sz w:val="24"/>
                <w:szCs w:val="24"/>
                <w:u w:val="none"/>
                <w:lang w:val="en-US" w:eastAsia="zh-CN"/>
              </w:rPr>
              <w:t xml:space="preserve"> </w:t>
            </w:r>
            <w:r>
              <w:rPr>
                <w:rFonts w:hint="default" w:ascii="Times New Roman" w:hAnsi="Times New Roman" w:eastAsia="宋体" w:cs="Times New Roman"/>
                <w:color w:val="auto"/>
                <w:sz w:val="24"/>
                <w:szCs w:val="24"/>
                <w:u w:val="none"/>
                <w:lang w:val="en-US" w:eastAsia="zh-CN"/>
              </w:rPr>
              <w:t>汽车零部件及配件制造</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，属于规划区内主导产业。</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因此</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项目的建设符合《福清融侨经济技术开发区总体规划</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2018-2035年</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》有关要求。</w:t>
            </w:r>
          </w:p>
          <w:p w14:paraId="024A98AE">
            <w:pPr>
              <w:pStyle w:val="30"/>
              <w:keepNext w:val="0"/>
              <w:keepLines w:val="0"/>
              <w:pageBreakBefore w:val="0"/>
              <w:numPr>
                <w:ilvl w:val="0"/>
                <w:numId w:val="2"/>
              </w:numPr>
              <w:kinsoku/>
              <w:wordWrap/>
              <w:overflowPunct/>
              <w:topLinePunct w:val="0"/>
              <w:autoSpaceDE/>
              <w:autoSpaceDN/>
              <w:bidi w:val="0"/>
              <w:spacing w:line="360" w:lineRule="auto"/>
              <w:ind w:leftChars="0" w:right="0" w:rightChars="0" w:firstLine="482" w:firstLineChars="200"/>
              <w:jc w:val="left"/>
              <w:textAlignment w:val="auto"/>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b/>
                <w:bCs/>
                <w:color w:val="auto"/>
                <w:sz w:val="24"/>
                <w:szCs w:val="24"/>
                <w:highlight w:val="none"/>
                <w:u w:val="none"/>
                <w:lang w:val="en-US" w:eastAsia="zh-CN"/>
              </w:rPr>
              <w:t>与</w:t>
            </w:r>
            <w:r>
              <w:rPr>
                <w:rFonts w:hint="default" w:ascii="Times New Roman" w:hAnsi="Times New Roman" w:eastAsia="宋体" w:cs="Times New Roman"/>
                <w:b/>
                <w:bCs/>
                <w:color w:val="auto"/>
                <w:sz w:val="24"/>
                <w:szCs w:val="24"/>
                <w:highlight w:val="none"/>
                <w:u w:val="none"/>
                <w:lang w:val="en-US" w:eastAsia="zh-CN"/>
              </w:rPr>
              <w:t>《福清市国土空间总体规划（2021—2035年）》</w:t>
            </w:r>
            <w:r>
              <w:rPr>
                <w:rFonts w:hint="eastAsia" w:ascii="Times New Roman" w:hAnsi="Times New Roman" w:eastAsia="宋体" w:cs="Times New Roman"/>
                <w:b/>
                <w:bCs/>
                <w:color w:val="auto"/>
                <w:sz w:val="24"/>
                <w:szCs w:val="24"/>
                <w:highlight w:val="none"/>
                <w:u w:val="none"/>
                <w:lang w:val="en-US" w:eastAsia="zh-CN"/>
              </w:rPr>
              <w:t>符合性分析</w:t>
            </w:r>
          </w:p>
          <w:p w14:paraId="76A290CA">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eastAsia"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根据总体规划内容可知，</w:t>
            </w:r>
            <w:r>
              <w:rPr>
                <w:rFonts w:hint="eastAsia" w:cs="Times New Roman"/>
                <w:color w:val="auto"/>
                <w:sz w:val="24"/>
                <w:szCs w:val="24"/>
                <w:highlight w:val="none"/>
                <w:u w:val="none"/>
                <w:lang w:val="en-US" w:eastAsia="zh-CN"/>
              </w:rPr>
              <w:t>规划“一轴两湾五组团”的国土空间格局，一轴“龙江城市综合发展轴”、两湾“福清湾生态宜居湾、江阴湾临港产业湾”、五组团“中心城区组团、元洪港组团、江阴港城组团、龙高半岛城镇组团、西北部特色生态组团”。坚持底线思维，以国土空间规划为依据，将“三区三线”作为调整经济结构、规划产业发展、推进城镇化不可逾越的红线。严格保护永久基本农田“按照一定时期人口和经济社会发展对农产品的需求，依据国土空间规划确定的不得擅自占用或改变用途的耕地”。科学划定生态保护红线“生态空间范围内具有特殊重要生态功能，必须强制性严格保护的陆域、水域、海域等区域”。合理划定城镇开发边界“一定时期内因城镇发展需要，可以集中进行城镇开发建设完善城镇功能、提升空间品质的区域边界”。五组团“城西组团、城北组团、城中组团、城关组团、东部新城组团”的中心城区空间结构，延续“沿江向海、环湾发展”的城市方向，以龙江为带动，推动沿江、向海、环湾有序建设、集约发展，打造具有滨江滨海特色的现代化城区。构建现代产业体系，壮大四大优势产业“电子信息、食品、化工新材料、精密汽车部件”、培养四大新兴产业“氢能源和新能源、高端装备制造、海洋生物医药、互联网与大数据产业”、提升两大传统产业“塑胶产业、纺织产业”、发展两大特色产业“现代服务业、现代农业”、培育千百亿产业集群“三大千亿产业集群+N个百亿项目集群”。</w:t>
            </w:r>
          </w:p>
          <w:p w14:paraId="1DB7921D">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根据对《福清市国土空气总体规划（2021-2035年）》的分析，项目用地在城镇开发边界内，项目不涉及占用生态保护红线，永久基本农田，无违法用地，不属于地质灾害易发区。</w:t>
            </w:r>
          </w:p>
          <w:p w14:paraId="67F3F841">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default" w:cs="Times New Roman"/>
                <w:color w:val="000000" w:themeColor="text1"/>
                <w:sz w:val="24"/>
                <w:szCs w:val="24"/>
                <w:highlight w:val="none"/>
                <w:u w:val="none"/>
                <w:lang w:val="en-US" w:eastAsia="zh-CN"/>
                <w14:textFill>
                  <w14:solidFill>
                    <w14:schemeClr w14:val="tx1"/>
                  </w14:solidFill>
                </w14:textFill>
              </w:rPr>
            </w:pPr>
            <w:r>
              <w:rPr>
                <w:rFonts w:hint="eastAsia" w:cs="Times New Roman"/>
                <w:color w:val="000000" w:themeColor="text1"/>
                <w:sz w:val="24"/>
                <w:szCs w:val="24"/>
                <w:highlight w:val="none"/>
                <w:u w:val="none"/>
                <w:lang w:val="en-US" w:eastAsia="zh-CN"/>
                <w14:textFill>
                  <w14:solidFill>
                    <w14:schemeClr w14:val="tx1"/>
                  </w14:solidFill>
                </w14:textFill>
              </w:rPr>
              <w:t>本项目位于</w:t>
            </w:r>
            <w:r>
              <w:rPr>
                <w:rFonts w:hint="default" w:ascii="Times New Roman" w:hAnsi="Times New Roman" w:eastAsia="宋体" w:cs="Times New Roman"/>
                <w:color w:val="000000" w:themeColor="text1"/>
                <w:sz w:val="24"/>
                <w:szCs w:val="24"/>
                <w:highlight w:val="none"/>
                <w14:textFill>
                  <w14:solidFill>
                    <w14:schemeClr w14:val="tx1"/>
                  </w14:solidFill>
                </w14:textFill>
              </w:rPr>
              <w:t>福清融侨经济技术开发区</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购置</w:t>
            </w:r>
            <w:r>
              <w:rPr>
                <w:rFonts w:hint="default" w:ascii="Times New Roman" w:hAnsi="Times New Roman" w:eastAsia="宋体" w:cs="Times New Roman"/>
                <w:color w:val="auto"/>
                <w:sz w:val="24"/>
                <w:szCs w:val="24"/>
                <w:highlight w:val="none"/>
              </w:rPr>
              <w:t>均和云谷</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福清科技港</w:t>
            </w:r>
            <w:r>
              <w:rPr>
                <w:rFonts w:hint="default"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#厂房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r>
              <w:rPr>
                <w:rFonts w:hint="eastAsia" w:cs="Times New Roman"/>
                <w:color w:val="000000" w:themeColor="text1"/>
                <w:sz w:val="24"/>
                <w:szCs w:val="24"/>
                <w:highlight w:val="none"/>
                <w:u w:val="none"/>
                <w:lang w:val="en-US" w:eastAsia="zh-CN"/>
                <w14:textFill>
                  <w14:solidFill>
                    <w14:schemeClr w14:val="tx1"/>
                  </w14:solidFill>
                </w14:textFill>
              </w:rPr>
              <w:t>位于城北产业园。所属用地为工业用低，主要生产电脑零配件、汽车及电动车零配件、POS机零配件及其他五金配件等铝铸件产品，属于金属制品制造业、汽车零部件制造产业，符合规划中壮大四大优势产业规划。因此本项目符合</w:t>
            </w:r>
            <w:r>
              <w:rPr>
                <w:rFonts w:hint="default" w:cs="Times New Roman"/>
                <w:color w:val="000000" w:themeColor="text1"/>
                <w:sz w:val="24"/>
                <w:szCs w:val="24"/>
                <w:highlight w:val="none"/>
                <w:u w:val="none"/>
                <w:lang w:val="en-US" w:eastAsia="zh-CN"/>
                <w14:textFill>
                  <w14:solidFill>
                    <w14:schemeClr w14:val="tx1"/>
                  </w14:solidFill>
                </w14:textFill>
              </w:rPr>
              <w:t>《福清市国土空间总体规划（2021—2035年）》</w:t>
            </w:r>
            <w:r>
              <w:rPr>
                <w:rFonts w:hint="eastAsia" w:cs="Times New Roman"/>
                <w:color w:val="000000" w:themeColor="text1"/>
                <w:sz w:val="24"/>
                <w:szCs w:val="24"/>
                <w:highlight w:val="none"/>
                <w:u w:val="none"/>
                <w:lang w:val="en-US" w:eastAsia="zh-CN"/>
                <w14:textFill>
                  <w14:solidFill>
                    <w14:schemeClr w14:val="tx1"/>
                  </w14:solidFill>
                </w14:textFill>
              </w:rPr>
              <w:t>有关要求。</w:t>
            </w:r>
          </w:p>
          <w:p w14:paraId="4F063636">
            <w:pPr>
              <w:pStyle w:val="30"/>
              <w:keepNext w:val="0"/>
              <w:keepLines w:val="0"/>
              <w:pageBreakBefore w:val="0"/>
              <w:numPr>
                <w:ilvl w:val="0"/>
                <w:numId w:val="3"/>
              </w:numPr>
              <w:kinsoku/>
              <w:wordWrap/>
              <w:overflowPunct/>
              <w:topLinePunct w:val="0"/>
              <w:autoSpaceDE/>
              <w:autoSpaceDN/>
              <w:bidi w:val="0"/>
              <w:spacing w:line="360" w:lineRule="auto"/>
              <w:ind w:left="0" w:leftChars="0" w:right="0" w:firstLine="0" w:firstLineChars="0"/>
              <w:jc w:val="left"/>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与《福清融侨经济技术开发区总体规划环境影响报告书（2018</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2035年）》符合性分析</w:t>
            </w:r>
          </w:p>
          <w:p w14:paraId="7C6412D3">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000000" w:themeColor="text1"/>
                <w:sz w:val="24"/>
                <w:szCs w:val="24"/>
                <w:highlight w:val="none"/>
                <w:u w:val="none"/>
                <w:lang w:val="en-US" w:eastAsia="zh-CN"/>
                <w14:textFill>
                  <w14:solidFill>
                    <w14:schemeClr w14:val="tx1"/>
                  </w14:solidFill>
                </w14:textFill>
              </w:rPr>
              <w:t>根据《福清融侨经济技术开发区总体规划环境影响报告书（</w:t>
            </w:r>
            <w:r>
              <w:rPr>
                <w:rFonts w:hint="default" w:cs="Times New Roman"/>
                <w:color w:val="000000" w:themeColor="text1"/>
                <w:sz w:val="24"/>
                <w:szCs w:val="24"/>
                <w:highlight w:val="none"/>
                <w:u w:val="none"/>
                <w:lang w:val="en-US" w:eastAsia="zh-CN"/>
                <w14:textFill>
                  <w14:solidFill>
                    <w14:schemeClr w14:val="tx1"/>
                  </w14:solidFill>
                </w14:textFill>
              </w:rPr>
              <w:t>2018-2035</w:t>
            </w:r>
            <w:r>
              <w:rPr>
                <w:rFonts w:hint="eastAsia" w:cs="Times New Roman"/>
                <w:color w:val="000000" w:themeColor="text1"/>
                <w:sz w:val="24"/>
                <w:szCs w:val="24"/>
                <w:highlight w:val="none"/>
                <w:u w:val="none"/>
                <w:lang w:val="en-US" w:eastAsia="zh-CN"/>
                <w14:textFill>
                  <w14:solidFill>
                    <w14:schemeClr w14:val="tx1"/>
                  </w14:solidFill>
                </w14:textFill>
              </w:rPr>
              <w:t>年）》及其审查意见（环审</w:t>
            </w:r>
            <w:r>
              <w:rPr>
                <w:rFonts w:hint="default" w:cs="Times New Roman"/>
                <w:color w:val="000000" w:themeColor="text1"/>
                <w:sz w:val="24"/>
                <w:szCs w:val="24"/>
                <w:highlight w:val="none"/>
                <w:u w:val="none"/>
                <w:lang w:val="en-US" w:eastAsia="zh-CN"/>
                <w14:textFill>
                  <w14:solidFill>
                    <w14:schemeClr w14:val="tx1"/>
                  </w14:solidFill>
                </w14:textFill>
              </w:rPr>
              <w:t xml:space="preserve">[2020]80 </w:t>
            </w:r>
            <w:r>
              <w:rPr>
                <w:rFonts w:hint="eastAsia" w:cs="Times New Roman"/>
                <w:color w:val="000000" w:themeColor="text1"/>
                <w:sz w:val="24"/>
                <w:szCs w:val="24"/>
                <w:highlight w:val="none"/>
                <w:u w:val="none"/>
                <w:lang w:val="en-US" w:eastAsia="zh-CN"/>
                <w14:textFill>
                  <w14:solidFill>
                    <w14:schemeClr w14:val="tx1"/>
                  </w14:solidFill>
                </w14:textFill>
              </w:rPr>
              <w:t>号），融侨经济技术开发区主要产业电子信息：显示科技、光电科技、电子元器件、通讯设备、计算机与智能终端设备等；机械电气：数控机床、精密模具、光机电一体化等；汽车零配件：汽配玻璃、汽车零部件、变速器、汽车轴承等。根据开发区对主导产业发展方向的定位，对照《国民经济行业分类》</w:t>
            </w:r>
            <w:r>
              <w:rPr>
                <w:rFonts w:hint="default" w:cs="Times New Roman"/>
                <w:color w:val="000000" w:themeColor="text1"/>
                <w:sz w:val="24"/>
                <w:szCs w:val="24"/>
                <w:highlight w:val="none"/>
                <w:u w:val="none"/>
                <w:lang w:val="en-US" w:eastAsia="zh-CN"/>
                <w14:textFill>
                  <w14:solidFill>
                    <w14:schemeClr w14:val="tx1"/>
                  </w14:solidFill>
                </w14:textFill>
              </w:rPr>
              <w:t>(GB/T4754-2017)</w:t>
            </w:r>
            <w:r>
              <w:rPr>
                <w:rFonts w:hint="eastAsia" w:cs="Times New Roman"/>
                <w:color w:val="000000" w:themeColor="text1"/>
                <w:sz w:val="24"/>
                <w:szCs w:val="24"/>
                <w:highlight w:val="none"/>
                <w:u w:val="none"/>
                <w:lang w:val="en-US" w:eastAsia="zh-CN"/>
                <w14:textFill>
                  <w14:solidFill>
                    <w14:schemeClr w14:val="tx1"/>
                  </w14:solidFill>
                </w14:textFill>
              </w:rPr>
              <w:t>，主导行业涉及国民经济类别主要包括</w:t>
            </w:r>
            <w:r>
              <w:rPr>
                <w:rFonts w:hint="default" w:cs="Times New Roman"/>
                <w:color w:val="000000" w:themeColor="text1"/>
                <w:sz w:val="24"/>
                <w:szCs w:val="24"/>
                <w:highlight w:val="none"/>
                <w:u w:val="none"/>
                <w:lang w:val="en-US" w:eastAsia="zh-CN"/>
                <w14:textFill>
                  <w14:solidFill>
                    <w14:schemeClr w14:val="tx1"/>
                  </w14:solidFill>
                </w14:textFill>
              </w:rPr>
              <w:t>C29</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cs="Times New Roman"/>
                <w:color w:val="000000" w:themeColor="text1"/>
                <w:sz w:val="24"/>
                <w:szCs w:val="24"/>
                <w:highlight w:val="none"/>
                <w:u w:val="none"/>
                <w:lang w:val="en-US" w:eastAsia="zh-CN"/>
                <w14:textFill>
                  <w14:solidFill>
                    <w14:schemeClr w14:val="tx1"/>
                  </w14:solidFill>
                </w14:textFill>
              </w:rPr>
              <w:t>C304</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cs="Times New Roman"/>
                <w:color w:val="000000" w:themeColor="text1"/>
                <w:sz w:val="24"/>
                <w:szCs w:val="24"/>
                <w:highlight w:val="none"/>
                <w:u w:val="none"/>
                <w:lang w:val="en-US" w:eastAsia="zh-CN"/>
                <w14:textFill>
                  <w14:solidFill>
                    <w14:schemeClr w14:val="tx1"/>
                  </w14:solidFill>
                </w14:textFill>
              </w:rPr>
              <w:t>C33</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cs="Times New Roman"/>
                <w:color w:val="000000" w:themeColor="text1"/>
                <w:sz w:val="24"/>
                <w:szCs w:val="24"/>
                <w:highlight w:val="none"/>
                <w:u w:val="none"/>
                <w:lang w:val="en-US" w:eastAsia="zh-CN"/>
                <w14:textFill>
                  <w14:solidFill>
                    <w14:schemeClr w14:val="tx1"/>
                  </w14:solidFill>
                </w14:textFill>
              </w:rPr>
              <w:t>C34</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cs="Times New Roman"/>
                <w:color w:val="000000" w:themeColor="text1"/>
                <w:sz w:val="24"/>
                <w:szCs w:val="24"/>
                <w:highlight w:val="none"/>
                <w:u w:val="none"/>
                <w:lang w:val="en-US" w:eastAsia="zh-CN"/>
                <w14:textFill>
                  <w14:solidFill>
                    <w14:schemeClr w14:val="tx1"/>
                  </w14:solidFill>
                </w14:textFill>
              </w:rPr>
              <w:t>C35</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cs="Times New Roman"/>
                <w:color w:val="000000" w:themeColor="text1"/>
                <w:sz w:val="24"/>
                <w:szCs w:val="24"/>
                <w:highlight w:val="none"/>
                <w:u w:val="none"/>
                <w:lang w:val="en-US" w:eastAsia="zh-CN"/>
                <w14:textFill>
                  <w14:solidFill>
                    <w14:schemeClr w14:val="tx1"/>
                  </w14:solidFill>
                </w14:textFill>
              </w:rPr>
              <w:t>C36</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cs="Times New Roman"/>
                <w:color w:val="000000" w:themeColor="text1"/>
                <w:sz w:val="24"/>
                <w:szCs w:val="24"/>
                <w:highlight w:val="none"/>
                <w:u w:val="none"/>
                <w:lang w:val="en-US" w:eastAsia="zh-CN"/>
                <w14:textFill>
                  <w14:solidFill>
                    <w14:schemeClr w14:val="tx1"/>
                  </w14:solidFill>
                </w14:textFill>
              </w:rPr>
              <w:t>C38</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cs="Times New Roman"/>
                <w:color w:val="000000" w:themeColor="text1"/>
                <w:sz w:val="24"/>
                <w:szCs w:val="24"/>
                <w:highlight w:val="none"/>
                <w:u w:val="none"/>
                <w:lang w:val="en-US" w:eastAsia="zh-CN"/>
                <w14:textFill>
                  <w14:solidFill>
                    <w14:schemeClr w14:val="tx1"/>
                  </w14:solidFill>
                </w14:textFill>
              </w:rPr>
              <w:t>C39</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cs="Times New Roman"/>
                <w:color w:val="000000" w:themeColor="text1"/>
                <w:sz w:val="24"/>
                <w:szCs w:val="24"/>
                <w:highlight w:val="none"/>
                <w:u w:val="none"/>
                <w:lang w:val="en-US" w:eastAsia="zh-CN"/>
                <w14:textFill>
                  <w14:solidFill>
                    <w14:schemeClr w14:val="tx1"/>
                  </w14:solidFill>
                </w14:textFill>
              </w:rPr>
              <w:t>C40</w:t>
            </w:r>
            <w:r>
              <w:rPr>
                <w:rFonts w:hint="eastAsia" w:cs="Times New Roman"/>
                <w:color w:val="000000" w:themeColor="text1"/>
                <w:sz w:val="24"/>
                <w:szCs w:val="24"/>
                <w:highlight w:val="none"/>
                <w:u w:val="none"/>
                <w:lang w:val="en-US" w:eastAsia="zh-CN"/>
                <w14:textFill>
                  <w14:solidFill>
                    <w14:schemeClr w14:val="tx1"/>
                  </w14:solidFill>
                </w14:textFill>
              </w:rPr>
              <w:t>。本</w:t>
            </w:r>
            <w:r>
              <w:rPr>
                <w:rFonts w:hint="default" w:cs="Times New Roman"/>
                <w:color w:val="000000" w:themeColor="text1"/>
                <w:sz w:val="24"/>
                <w:szCs w:val="24"/>
                <w:highlight w:val="none"/>
                <w:u w:val="none"/>
                <w:lang w:val="en-US" w:eastAsia="zh-CN"/>
                <w14:textFill>
                  <w14:solidFill>
                    <w14:schemeClr w14:val="tx1"/>
                  </w14:solidFill>
                </w14:textFill>
              </w:rPr>
              <w:t>项目从事</w:t>
            </w:r>
            <w:r>
              <w:rPr>
                <w:rFonts w:hint="eastAsia" w:cs="Times New Roman"/>
                <w:color w:val="000000" w:themeColor="text1"/>
                <w:sz w:val="24"/>
                <w:szCs w:val="24"/>
                <w:highlight w:val="none"/>
                <w:u w:val="none"/>
                <w:lang w:val="en-US" w:eastAsia="zh-CN"/>
                <w14:textFill>
                  <w14:solidFill>
                    <w14:schemeClr w14:val="tx1"/>
                  </w14:solidFill>
                </w14:textFill>
              </w:rPr>
              <w:t>电脑零配件、汽车及电动车零配件、POS机零配件及其他五金配件铝制品</w:t>
            </w:r>
            <w:r>
              <w:rPr>
                <w:rFonts w:hint="default" w:cs="Times New Roman"/>
                <w:color w:val="000000" w:themeColor="text1"/>
                <w:sz w:val="24"/>
                <w:szCs w:val="24"/>
                <w:highlight w:val="none"/>
                <w:u w:val="none"/>
                <w:lang w:val="en-US" w:eastAsia="zh-CN"/>
                <w14:textFill>
                  <w14:solidFill>
                    <w14:schemeClr w14:val="tx1"/>
                  </w14:solidFill>
                </w14:textFill>
              </w:rPr>
              <w:t>加工制造</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cs="Times New Roman"/>
                <w:color w:val="000000" w:themeColor="text1"/>
                <w:sz w:val="24"/>
                <w:szCs w:val="24"/>
                <w:highlight w:val="none"/>
                <w:u w:val="none"/>
                <w:lang w:val="en-US" w:eastAsia="zh-CN"/>
                <w14:textFill>
                  <w14:solidFill>
                    <w14:schemeClr w14:val="tx1"/>
                  </w14:solidFill>
                </w14:textFill>
              </w:rPr>
              <w:t>C3392</w:t>
            </w:r>
            <w:r>
              <w:rPr>
                <w:rFonts w:hint="eastAsia" w:cs="Times New Roman"/>
                <w:color w:val="000000" w:themeColor="text1"/>
                <w:sz w:val="24"/>
                <w:szCs w:val="24"/>
                <w:highlight w:val="none"/>
                <w:u w:val="none"/>
                <w:lang w:val="en-US" w:eastAsia="zh-CN"/>
                <w14:textFill>
                  <w14:solidFill>
                    <w14:schemeClr w14:val="tx1"/>
                  </w14:solidFill>
                </w14:textFill>
              </w:rPr>
              <w:t>有色金属铸造，属于</w:t>
            </w:r>
            <w:r>
              <w:rPr>
                <w:rFonts w:hint="default" w:cs="Times New Roman"/>
                <w:color w:val="000000" w:themeColor="text1"/>
                <w:sz w:val="24"/>
                <w:szCs w:val="24"/>
                <w:highlight w:val="none"/>
                <w:u w:val="none"/>
                <w:lang w:val="en-US" w:eastAsia="zh-CN"/>
                <w14:textFill>
                  <w14:solidFill>
                    <w14:schemeClr w14:val="tx1"/>
                  </w14:solidFill>
                </w14:textFill>
              </w:rPr>
              <w:t>C33</w:t>
            </w:r>
            <w:r>
              <w:rPr>
                <w:rFonts w:hint="eastAsia" w:cs="Times New Roman"/>
                <w:color w:val="000000" w:themeColor="text1"/>
                <w:sz w:val="24"/>
                <w:szCs w:val="24"/>
                <w:highlight w:val="none"/>
                <w:u w:val="none"/>
                <w:lang w:val="en-US" w:eastAsia="zh-CN"/>
                <w14:textFill>
                  <w14:solidFill>
                    <w14:schemeClr w14:val="tx1"/>
                  </w14:solidFill>
                </w14:textFill>
              </w:rPr>
              <w:t>金属制造业，为开发区主导行业，符合该园区规划环评的产业政策。</w:t>
            </w:r>
            <w:r>
              <w:rPr>
                <w:rFonts w:hint="default" w:cs="Times New Roman"/>
                <w:color w:val="000000" w:themeColor="text1"/>
                <w:sz w:val="24"/>
                <w:szCs w:val="24"/>
                <w:highlight w:val="none"/>
                <w:u w:val="none"/>
                <w:lang w:val="en-US" w:eastAsia="zh-CN"/>
                <w14:textFill>
                  <w14:solidFill>
                    <w14:schemeClr w14:val="tx1"/>
                  </w14:solidFill>
                </w14:textFill>
              </w:rPr>
              <w:t>因此，应遵循福清融侨经济开发区的产业准入要求，根</w:t>
            </w:r>
            <w:r>
              <w:rPr>
                <w:rFonts w:hint="default" w:ascii="Times New Roman" w:hAnsi="Times New Roman" w:eastAsia="宋体" w:cs="Times New Roman"/>
                <w:color w:val="auto"/>
                <w:sz w:val="24"/>
                <w:szCs w:val="24"/>
                <w:highlight w:val="none"/>
                <w:u w:val="none"/>
                <w:lang w:val="en-US" w:eastAsia="zh-CN"/>
              </w:rPr>
              <w:t>据前文分析，本项目符合福清融侨经济开发区准入产业。</w:t>
            </w:r>
          </w:p>
          <w:p w14:paraId="7F21585C">
            <w:pPr>
              <w:pStyle w:val="30"/>
              <w:keepNext w:val="0"/>
              <w:keepLines w:val="0"/>
              <w:pageBreakBefore w:val="0"/>
              <w:numPr>
                <w:ilvl w:val="0"/>
                <w:numId w:val="0"/>
              </w:numPr>
              <w:kinsoku/>
              <w:wordWrap/>
              <w:overflowPunct/>
              <w:topLinePunct w:val="0"/>
              <w:autoSpaceDE/>
              <w:autoSpaceDN/>
              <w:bidi w:val="0"/>
              <w:spacing w:line="360" w:lineRule="auto"/>
              <w:ind w:leftChars="200" w:right="0" w:rightChars="0"/>
              <w:jc w:val="left"/>
              <w:textAlignment w:val="auto"/>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cs="Times New Roman"/>
                <w:b/>
                <w:bCs/>
                <w:color w:val="000000" w:themeColor="text1"/>
                <w:sz w:val="24"/>
                <w:szCs w:val="24"/>
                <w:highlight w:val="none"/>
                <w:u w:val="none"/>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与规划环评及审查意见符合性分析</w:t>
            </w:r>
          </w:p>
          <w:p w14:paraId="7C7A3791">
            <w:pPr>
              <w:pStyle w:val="30"/>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对照</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《福清融侨经济技术开发区总体规划</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2018-2035年</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环境影响报告书》</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，本项目与规划区主导产业环境准入清单符合性分析详见表1.1-2。</w:t>
            </w:r>
          </w:p>
          <w:p w14:paraId="18B30613">
            <w:pPr>
              <w:adjustRightInd w:val="0"/>
              <w:snapToGrid w:val="0"/>
              <w:spacing w:line="240" w:lineRule="auto"/>
              <w:jc w:val="cente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p>
          <w:p w14:paraId="1249C9C4">
            <w:pPr>
              <w:adjustRightInd w:val="0"/>
              <w:snapToGrid w:val="0"/>
              <w:spacing w:line="240" w:lineRule="auto"/>
              <w:jc w:val="cente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表1.1-2 本项目与规划区主导产业环境准入清单符合性分析表</w:t>
            </w:r>
          </w:p>
          <w:tbl>
            <w:tblPr>
              <w:tblStyle w:val="23"/>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3069"/>
              <w:gridCol w:w="3422"/>
              <w:gridCol w:w="924"/>
            </w:tblGrid>
            <w:tr w14:paraId="11983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2" w:type="pct"/>
                  <w:noWrap w:val="0"/>
                  <w:vAlign w:val="center"/>
                </w:tcPr>
                <w:p w14:paraId="4C40C8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类别</w:t>
                  </w:r>
                </w:p>
                <w:p w14:paraId="523289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名称</w:t>
                  </w:r>
                </w:p>
              </w:tc>
              <w:tc>
                <w:tcPr>
                  <w:tcW w:w="1902" w:type="pct"/>
                  <w:noWrap w:val="0"/>
                  <w:vAlign w:val="center"/>
                </w:tcPr>
                <w:p w14:paraId="7D6CE5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空间布局</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约束</w:t>
                  </w:r>
                </w:p>
              </w:tc>
              <w:tc>
                <w:tcPr>
                  <w:tcW w:w="2121" w:type="pct"/>
                  <w:noWrap w:val="0"/>
                  <w:vAlign w:val="center"/>
                </w:tcPr>
                <w:p w14:paraId="1FA2F5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本项目</w:t>
                  </w:r>
                </w:p>
              </w:tc>
              <w:tc>
                <w:tcPr>
                  <w:tcW w:w="573" w:type="pct"/>
                  <w:noWrap w:val="0"/>
                  <w:vAlign w:val="center"/>
                </w:tcPr>
                <w:p w14:paraId="0E60CC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符合性</w:t>
                  </w:r>
                </w:p>
              </w:tc>
            </w:tr>
            <w:tr w14:paraId="05D31C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402" w:type="pct"/>
                  <w:vMerge w:val="restart"/>
                  <w:noWrap w:val="0"/>
                  <w:vAlign w:val="center"/>
                </w:tcPr>
                <w:p w14:paraId="01C6BC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33金属制品业</w:t>
                  </w:r>
                </w:p>
              </w:tc>
              <w:tc>
                <w:tcPr>
                  <w:tcW w:w="1902" w:type="pct"/>
                  <w:noWrap w:val="0"/>
                  <w:vAlign w:val="center"/>
                </w:tcPr>
                <w:p w14:paraId="04706CA3">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禁止新建：</w:t>
                  </w:r>
                </w:p>
                <w:p w14:paraId="7E705669">
                  <w:pPr>
                    <w:keepNext w:val="0"/>
                    <w:keepLines w:val="0"/>
                    <w:widowControl/>
                    <w:suppressLineNumbers w:val="0"/>
                    <w:jc w:val="left"/>
                    <w:rPr>
                      <w:sz w:val="21"/>
                      <w:szCs w:val="21"/>
                    </w:rPr>
                  </w:pPr>
                  <w:r>
                    <w:rPr>
                      <w:rFonts w:hint="default" w:ascii="Times New Roman" w:hAnsi="Times New Roman" w:eastAsia="宋体" w:cs="Times New Roman"/>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、使用有机涂层的（喷塑、电泳及高端项目配套除外）</w:t>
                  </w:r>
                </w:p>
                <w:p w14:paraId="58891898">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、涉及熔炼、电镀工艺</w:t>
                  </w:r>
                </w:p>
                <w:p w14:paraId="101707DA">
                  <w:pPr>
                    <w:keepNext w:val="0"/>
                    <w:keepLines w:val="0"/>
                    <w:widowControl/>
                    <w:suppressLineNumbers w:val="0"/>
                    <w:jc w:val="left"/>
                    <w:rPr>
                      <w:sz w:val="21"/>
                      <w:szCs w:val="21"/>
                    </w:rPr>
                  </w:pPr>
                  <w:r>
                    <w:rPr>
                      <w:rFonts w:hint="default" w:ascii="Times New Roman" w:hAnsi="Times New Roman" w:eastAsia="宋体" w:cs="Times New Roman"/>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、涉及钝化工艺的热镀锌</w:t>
                  </w:r>
                </w:p>
                <w:p w14:paraId="20A0592B">
                  <w:pPr>
                    <w:keepNext w:val="0"/>
                    <w:keepLines w:val="0"/>
                    <w:widowControl/>
                    <w:suppressLineNumbers w:val="0"/>
                    <w:jc w:val="left"/>
                    <w:rPr>
                      <w:sz w:val="21"/>
                      <w:szCs w:val="21"/>
                    </w:rPr>
                  </w:pPr>
                  <w:r>
                    <w:rPr>
                      <w:rFonts w:hint="default" w:ascii="Times New Roman" w:hAnsi="Times New Roman" w:eastAsia="宋体" w:cs="Times New Roman"/>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、油性漆使用量超过</w:t>
                  </w:r>
                  <w:r>
                    <w:rPr>
                      <w:rFonts w:hint="default" w:ascii="Times New Roman" w:hAnsi="Times New Roman" w:eastAsia="宋体" w:cs="Times New Roman"/>
                      <w:color w:val="000000"/>
                      <w:kern w:val="0"/>
                      <w:sz w:val="21"/>
                      <w:szCs w:val="21"/>
                      <w:lang w:val="en-US" w:eastAsia="zh-CN" w:bidi="ar"/>
                    </w:rPr>
                    <w:t>10t/a</w:t>
                  </w:r>
                  <w:r>
                    <w:rPr>
                      <w:rFonts w:hint="eastAsia" w:ascii="宋体" w:hAnsi="宋体" w:eastAsia="宋体" w:cs="宋体"/>
                      <w:color w:val="000000"/>
                      <w:kern w:val="0"/>
                      <w:sz w:val="21"/>
                      <w:szCs w:val="21"/>
                      <w:lang w:val="en-US" w:eastAsia="zh-CN" w:bidi="ar"/>
                    </w:rPr>
                    <w:t>喷漆工艺</w:t>
                  </w:r>
                </w:p>
                <w:p w14:paraId="12F93145">
                  <w:pPr>
                    <w:keepNext w:val="0"/>
                    <w:keepLines w:val="0"/>
                    <w:widowControl/>
                    <w:suppressLineNumbers w:val="0"/>
                    <w:jc w:val="left"/>
                    <w:rPr>
                      <w:sz w:val="21"/>
                      <w:szCs w:val="21"/>
                    </w:rPr>
                  </w:pPr>
                  <w:r>
                    <w:rPr>
                      <w:rFonts w:hint="default" w:ascii="Times New Roman" w:hAnsi="Times New Roman" w:eastAsia="宋体" w:cs="Times New Roman"/>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、使用火焰法除旧漆，使用干喷砂除锈</w:t>
                  </w:r>
                </w:p>
                <w:p w14:paraId="6242F6C5">
                  <w:pPr>
                    <w:keepNext w:val="0"/>
                    <w:keepLines w:val="0"/>
                    <w:widowControl/>
                    <w:suppressLineNumbers w:val="0"/>
                    <w:jc w:val="left"/>
                    <w:rPr>
                      <w:sz w:val="21"/>
                      <w:szCs w:val="21"/>
                    </w:rPr>
                  </w:pPr>
                  <w:r>
                    <w:rPr>
                      <w:rFonts w:hint="default" w:ascii="Times New Roman" w:hAnsi="Times New Roman" w:eastAsia="宋体" w:cs="Times New Roman"/>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、采用煤、油、生物质等非清洁能源</w:t>
                  </w:r>
                </w:p>
                <w:p w14:paraId="1068C607">
                  <w:pPr>
                    <w:keepNext w:val="0"/>
                    <w:keepLines w:val="0"/>
                    <w:widowControl/>
                    <w:suppressLineNumbers w:val="0"/>
                    <w:jc w:val="left"/>
                    <w:rPr>
                      <w:sz w:val="21"/>
                      <w:szCs w:val="21"/>
                    </w:rPr>
                  </w:pPr>
                  <w:r>
                    <w:rPr>
                      <w:rFonts w:hint="default" w:ascii="Times New Roman" w:hAnsi="Times New Roman" w:eastAsia="宋体" w:cs="Times New Roman"/>
                      <w:color w:val="000000"/>
                      <w:kern w:val="0"/>
                      <w:sz w:val="21"/>
                      <w:szCs w:val="21"/>
                      <w:lang w:val="en-US" w:eastAsia="zh-CN" w:bidi="ar"/>
                    </w:rPr>
                    <w:t>7</w:t>
                  </w:r>
                  <w:r>
                    <w:rPr>
                      <w:rFonts w:hint="eastAsia" w:ascii="宋体" w:hAnsi="宋体" w:eastAsia="宋体" w:cs="宋体"/>
                      <w:color w:val="000000"/>
                      <w:kern w:val="0"/>
                      <w:sz w:val="21"/>
                      <w:szCs w:val="21"/>
                      <w:lang w:val="en-US" w:eastAsia="zh-CN" w:bidi="ar"/>
                    </w:rPr>
                    <w:t>、铅酸蓄电池制造</w:t>
                  </w:r>
                </w:p>
                <w:p w14:paraId="25320BF0">
                  <w:pPr>
                    <w:keepNext w:val="0"/>
                    <w:keepLines w:val="0"/>
                    <w:widowControl/>
                    <w:suppressLineNumbers w:val="0"/>
                    <w:jc w:val="left"/>
                    <w:rPr>
                      <w:sz w:val="21"/>
                      <w:szCs w:val="21"/>
                    </w:rPr>
                  </w:pPr>
                  <w:r>
                    <w:rPr>
                      <w:rFonts w:hint="default" w:ascii="Times New Roman" w:hAnsi="Times New Roman" w:eastAsia="宋体" w:cs="Times New Roman"/>
                      <w:color w:val="000000"/>
                      <w:kern w:val="0"/>
                      <w:sz w:val="21"/>
                      <w:szCs w:val="21"/>
                      <w:lang w:val="en-US" w:eastAsia="zh-CN" w:bidi="ar"/>
                    </w:rPr>
                    <w:t>8</w:t>
                  </w:r>
                  <w:r>
                    <w:rPr>
                      <w:rFonts w:hint="eastAsia" w:ascii="宋体" w:hAnsi="宋体" w:eastAsia="宋体" w:cs="宋体"/>
                      <w:color w:val="000000"/>
                      <w:kern w:val="0"/>
                      <w:sz w:val="21"/>
                      <w:szCs w:val="21"/>
                      <w:lang w:val="en-US" w:eastAsia="zh-CN" w:bidi="ar"/>
                    </w:rPr>
                    <w:t>、印刷电路板（高密度印刷电路板和柔性电路板除外）</w:t>
                  </w:r>
                </w:p>
                <w:p w14:paraId="09972BD9">
                  <w:pPr>
                    <w:keepNext w:val="0"/>
                    <w:keepLines w:val="0"/>
                    <w:widowControl/>
                    <w:suppressLineNumbers w:val="0"/>
                    <w:jc w:val="left"/>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kern w:val="0"/>
                      <w:sz w:val="21"/>
                      <w:szCs w:val="21"/>
                      <w:lang w:val="en-US" w:eastAsia="zh-CN" w:bidi="ar"/>
                    </w:rPr>
                    <w:t>现有生产能力允许企业在一定期限内采取措施改造升级</w:t>
                  </w:r>
                </w:p>
              </w:tc>
              <w:tc>
                <w:tcPr>
                  <w:tcW w:w="2121" w:type="pct"/>
                  <w:noWrap w:val="0"/>
                  <w:vAlign w:val="center"/>
                </w:tcPr>
                <w:p w14:paraId="7C3FD4F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cs="Times New Roman"/>
                      <w:color w:val="auto"/>
                      <w:sz w:val="21"/>
                      <w:szCs w:val="21"/>
                      <w:highlight w:val="none"/>
                      <w:lang w:val="en-US" w:eastAsia="zh-CN"/>
                    </w:rPr>
                  </w:pPr>
                  <w:r>
                    <w:rPr>
                      <w:rFonts w:hint="eastAsia" w:cs="Times New Roman"/>
                      <w:color w:val="000000" w:themeColor="text1"/>
                      <w:sz w:val="21"/>
                      <w:szCs w:val="21"/>
                      <w:highlight w:val="none"/>
                      <w:lang w:val="en-US" w:eastAsia="zh-CN"/>
                      <w14:textFill>
                        <w14:solidFill>
                          <w14:schemeClr w14:val="tx1"/>
                        </w14:solidFill>
                      </w14:textFill>
                    </w:rPr>
                    <w:t>1、</w:t>
                  </w:r>
                  <w:r>
                    <w:rPr>
                      <w:rFonts w:hint="eastAsia" w:cs="Times New Roman"/>
                      <w:color w:val="auto"/>
                      <w:sz w:val="21"/>
                      <w:szCs w:val="21"/>
                      <w:highlight w:val="none"/>
                      <w:lang w:val="en-US" w:eastAsia="zh-CN"/>
                    </w:rPr>
                    <w:t>本项目涉及喷塑工艺委外加工，不在本项目范围内加工；</w:t>
                  </w:r>
                </w:p>
                <w:p w14:paraId="4CB540C7">
                  <w:pPr>
                    <w:pStyle w:val="2"/>
                    <w:numPr>
                      <w:ilvl w:val="0"/>
                      <w:numId w:val="0"/>
                    </w:numPr>
                    <w:rPr>
                      <w:rFonts w:hint="eastAsia"/>
                      <w:color w:val="auto"/>
                      <w:lang w:val="en-US" w:eastAsia="zh-CN"/>
                    </w:rPr>
                  </w:pPr>
                  <w:r>
                    <w:rPr>
                      <w:rFonts w:hint="eastAsia"/>
                      <w:color w:val="auto"/>
                      <w:lang w:val="en-US" w:eastAsia="zh-CN"/>
                    </w:rPr>
                    <w:t>2、不涉及熔炼、电镀工艺；</w:t>
                  </w:r>
                </w:p>
                <w:p w14:paraId="7CE71A9B">
                  <w:pPr>
                    <w:rPr>
                      <w:rFonts w:hint="eastAsia"/>
                      <w:lang w:val="en-US" w:eastAsia="zh-CN"/>
                    </w:rPr>
                  </w:pPr>
                  <w:r>
                    <w:rPr>
                      <w:rFonts w:hint="eastAsia"/>
                      <w:lang w:val="en-US" w:eastAsia="zh-CN"/>
                    </w:rPr>
                    <w:t>3-5、不涉及钝化工艺、不使用油性漆；</w:t>
                  </w:r>
                </w:p>
                <w:p w14:paraId="6CCCCBA2">
                  <w:pPr>
                    <w:pStyle w:val="2"/>
                    <w:ind w:left="0" w:leftChars="0" w:firstLine="0" w:firstLineChars="0"/>
                    <w:rPr>
                      <w:rFonts w:hint="eastAsia"/>
                      <w:lang w:val="en-US" w:eastAsia="zh-CN"/>
                    </w:rPr>
                  </w:pPr>
                  <w:r>
                    <w:rPr>
                      <w:rFonts w:hint="eastAsia"/>
                      <w:lang w:val="en-US" w:eastAsia="zh-CN"/>
                    </w:rPr>
                    <w:t>6、生产设备均采用电能等清洁能源；</w:t>
                  </w:r>
                </w:p>
                <w:p w14:paraId="4331F745">
                  <w:pPr>
                    <w:rPr>
                      <w:rFonts w:hint="default"/>
                      <w:lang w:val="en-US" w:eastAsia="zh-CN"/>
                    </w:rPr>
                  </w:pPr>
                  <w:r>
                    <w:rPr>
                      <w:rFonts w:hint="eastAsia"/>
                      <w:lang w:val="en-US" w:eastAsia="zh-CN"/>
                    </w:rPr>
                    <w:t>7-8、不涉及铅酸蓄电池及印刷电路板生产</w:t>
                  </w:r>
                </w:p>
              </w:tc>
              <w:tc>
                <w:tcPr>
                  <w:tcW w:w="573" w:type="pct"/>
                  <w:noWrap w:val="0"/>
                  <w:vAlign w:val="center"/>
                </w:tcPr>
                <w:p w14:paraId="0E888C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60DB3D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2" w:type="pct"/>
                  <w:vMerge w:val="continue"/>
                  <w:noWrap w:val="0"/>
                  <w:vAlign w:val="center"/>
                </w:tcPr>
                <w:p w14:paraId="000F8A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02" w:type="pct"/>
                  <w:noWrap w:val="0"/>
                  <w:vAlign w:val="center"/>
                </w:tcPr>
                <w:p w14:paraId="2DB3B2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环境风险</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防控</w:t>
                  </w:r>
                </w:p>
              </w:tc>
              <w:tc>
                <w:tcPr>
                  <w:tcW w:w="2121" w:type="pct"/>
                  <w:noWrap w:val="0"/>
                  <w:vAlign w:val="center"/>
                </w:tcPr>
                <w:p w14:paraId="75993F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本项目</w:t>
                  </w:r>
                </w:p>
              </w:tc>
              <w:tc>
                <w:tcPr>
                  <w:tcW w:w="573" w:type="pct"/>
                  <w:noWrap w:val="0"/>
                  <w:vAlign w:val="center"/>
                </w:tcPr>
                <w:p w14:paraId="6A21A9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符合性</w:t>
                  </w:r>
                </w:p>
              </w:tc>
            </w:tr>
            <w:tr w14:paraId="39554E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3" w:hRule="atLeast"/>
              </w:trPr>
              <w:tc>
                <w:tcPr>
                  <w:tcW w:w="402" w:type="pct"/>
                  <w:vMerge w:val="continue"/>
                  <w:noWrap w:val="0"/>
                  <w:vAlign w:val="center"/>
                </w:tcPr>
                <w:p w14:paraId="111E03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02" w:type="pct"/>
                  <w:noWrap w:val="0"/>
                  <w:vAlign w:val="center"/>
                </w:tcPr>
                <w:p w14:paraId="5DC97542">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default" w:ascii="宋体" w:hAnsi="宋体" w:eastAsia="宋体" w:cs="宋体"/>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、必须规范配套应急池，建设企业、园区和周边水系三级环境风险防控工程，确保有效拦截、降污和倒流；受园区排污影响的周边水系应建设应急闸门，防止泄漏物和消防水等排入外环境。</w:t>
                  </w:r>
                </w:p>
                <w:p w14:paraId="73B2002C">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default" w:ascii="宋体" w:hAnsi="宋体" w:eastAsia="宋体" w:cs="宋体"/>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、开发区内污水处理设施应采取必要的防渗处理，不得污染地下水环境。</w:t>
                  </w:r>
                </w:p>
                <w:p w14:paraId="53824D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121" w:type="pct"/>
                  <w:noWrap w:val="0"/>
                  <w:vAlign w:val="center"/>
                </w:tcPr>
                <w:p w14:paraId="014D03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1、园区将严格按照要求，统一建设事故应急池，</w:t>
                  </w:r>
                  <w:r>
                    <w:rPr>
                      <w:rFonts w:hint="default" w:ascii="Times New Roman" w:hAnsi="Times New Roman" w:eastAsia="宋体" w:cs="Times New Roman"/>
                      <w:color w:val="000000" w:themeColor="text1"/>
                      <w:sz w:val="21"/>
                      <w:szCs w:val="21"/>
                      <w:highlight w:val="none"/>
                      <w14:textFill>
                        <w14:solidFill>
                          <w14:schemeClr w14:val="tx1"/>
                        </w14:solidFill>
                      </w14:textFill>
                    </w:rPr>
                    <w:t>建设企业、园区和周边水系三级环境风险防控工程，确保有效拦截、降污和</w:t>
                  </w:r>
                  <w:r>
                    <w:rPr>
                      <w:rFonts w:hint="eastAsia" w:cs="Times New Roman"/>
                      <w:color w:val="000000" w:themeColor="text1"/>
                      <w:sz w:val="21"/>
                      <w:szCs w:val="21"/>
                      <w:highlight w:val="none"/>
                      <w:lang w:eastAsia="zh-CN"/>
                      <w14:textFill>
                        <w14:solidFill>
                          <w14:schemeClr w14:val="tx1"/>
                        </w14:solidFill>
                      </w14:textFill>
                    </w:rPr>
                    <w:t>导流</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574AEC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2、项目</w:t>
                  </w:r>
                  <w:r>
                    <w:rPr>
                      <w:rFonts w:hint="default" w:ascii="Times New Roman" w:hAnsi="Times New Roman" w:eastAsia="宋体" w:cs="Times New Roman"/>
                      <w:color w:val="auto"/>
                      <w:sz w:val="21"/>
                      <w:szCs w:val="21"/>
                      <w:u w:val="none"/>
                      <w:vertAlign w:val="baseline"/>
                      <w:lang w:eastAsia="zh-CN"/>
                    </w:rPr>
                    <w:t>运营期</w:t>
                  </w:r>
                  <w:r>
                    <w:rPr>
                      <w:rFonts w:hint="eastAsia" w:cs="Times New Roman"/>
                      <w:color w:val="auto"/>
                      <w:sz w:val="21"/>
                      <w:szCs w:val="21"/>
                      <w:u w:val="none"/>
                      <w:vertAlign w:val="baseline"/>
                      <w:lang w:val="en-US" w:eastAsia="zh-CN"/>
                    </w:rPr>
                    <w:t>生产废水为压铸机间接冷却水经冷却塔冷却后循环使用，产品水洗产生废水、研磨冷却水经循环水处理设备处理后循环使用。因此，本项目无生产废水排放。</w:t>
                  </w:r>
                  <w:r>
                    <w:rPr>
                      <w:rFonts w:hint="default" w:ascii="Times New Roman" w:hAnsi="Times New Roman" w:eastAsia="宋体" w:cs="Times New Roman"/>
                      <w:snapToGrid w:val="0"/>
                      <w:color w:val="000000" w:themeColor="text1"/>
                      <w:kern w:val="18"/>
                      <w:sz w:val="21"/>
                      <w:szCs w:val="21"/>
                      <w:highlight w:val="none"/>
                      <w14:textFill>
                        <w14:solidFill>
                          <w14:schemeClr w14:val="tx1"/>
                        </w14:solidFill>
                      </w14:textFill>
                    </w:rPr>
                    <w:t>生活污水</w:t>
                  </w:r>
                  <w:r>
                    <w:rPr>
                      <w:rFonts w:hint="default"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t>依托厂内已建的</w:t>
                  </w:r>
                  <w:r>
                    <w:rPr>
                      <w:rFonts w:hint="default" w:ascii="Times New Roman" w:hAnsi="Times New Roman" w:eastAsia="宋体" w:cs="Times New Roman"/>
                      <w:snapToGrid w:val="0"/>
                      <w:color w:val="000000" w:themeColor="text1"/>
                      <w:kern w:val="18"/>
                      <w:sz w:val="21"/>
                      <w:szCs w:val="21"/>
                      <w:highlight w:val="none"/>
                      <w14:textFill>
                        <w14:solidFill>
                          <w14:schemeClr w14:val="tx1"/>
                        </w14:solidFill>
                      </w14:textFill>
                    </w:rPr>
                    <w:t>化粪池处理达标后排入市政污水管网，送往福清市融元污水处理厂集中处理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73" w:type="pct"/>
                  <w:noWrap w:val="0"/>
                  <w:vAlign w:val="center"/>
                </w:tcPr>
                <w:p w14:paraId="3B597B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0637E0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402" w:type="pct"/>
                  <w:vMerge w:val="continue"/>
                  <w:noWrap w:val="0"/>
                  <w:vAlign w:val="center"/>
                </w:tcPr>
                <w:p w14:paraId="604D6E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02" w:type="pct"/>
                  <w:noWrap w:val="0"/>
                  <w:vAlign w:val="center"/>
                </w:tcPr>
                <w:p w14:paraId="6F895E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污染物排放管</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控</w:t>
                  </w:r>
                </w:p>
              </w:tc>
              <w:tc>
                <w:tcPr>
                  <w:tcW w:w="2121" w:type="pct"/>
                  <w:noWrap w:val="0"/>
                  <w:vAlign w:val="center"/>
                </w:tcPr>
                <w:p w14:paraId="609835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本项目</w:t>
                  </w:r>
                </w:p>
              </w:tc>
              <w:tc>
                <w:tcPr>
                  <w:tcW w:w="573" w:type="pct"/>
                  <w:noWrap w:val="0"/>
                  <w:vAlign w:val="center"/>
                </w:tcPr>
                <w:p w14:paraId="60E17A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符合性</w:t>
                  </w:r>
                </w:p>
              </w:tc>
            </w:tr>
            <w:tr w14:paraId="6E250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8" w:hRule="atLeast"/>
              </w:trPr>
              <w:tc>
                <w:tcPr>
                  <w:tcW w:w="402" w:type="pct"/>
                  <w:vMerge w:val="continue"/>
                  <w:noWrap w:val="0"/>
                  <w:vAlign w:val="center"/>
                </w:tcPr>
                <w:p w14:paraId="4280A5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02" w:type="pct"/>
                  <w:noWrap w:val="0"/>
                  <w:vAlign w:val="center"/>
                </w:tcPr>
                <w:p w14:paraId="69361F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1、新、改、扩建项目新增大气污染物</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现阶段指SO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、NOx</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排放量实行1.5 倍削减替代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不含使用天然气、液化石油气等作为燃料的非火电锅炉和工业炉窑</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05F55C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2、新、改、扩建项目新增VOCs排放量实行倍量削减替代。</w:t>
                  </w:r>
                </w:p>
                <w:p w14:paraId="3CF0EC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3、工业企业废水全部纳管进入</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污水处理厂</w:t>
                  </w:r>
                  <w:r>
                    <w:rPr>
                      <w:rFonts w:hint="default" w:ascii="Times New Roman" w:hAnsi="Times New Roman" w:eastAsia="宋体" w:cs="Times New Roman"/>
                      <w:color w:val="000000" w:themeColor="text1"/>
                      <w:sz w:val="21"/>
                      <w:szCs w:val="21"/>
                      <w:highlight w:val="none"/>
                      <w14:textFill>
                        <w14:solidFill>
                          <w14:schemeClr w14:val="tx1"/>
                        </w14:solidFill>
                      </w14:textFill>
                    </w:rPr>
                    <w:t>集中处理后达标排放。</w:t>
                  </w:r>
                </w:p>
              </w:tc>
              <w:tc>
                <w:tcPr>
                  <w:tcW w:w="2121" w:type="pct"/>
                  <w:noWrap w:val="0"/>
                  <w:vAlign w:val="center"/>
                </w:tcPr>
                <w:p w14:paraId="2B3450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1、项目不涉及</w:t>
                  </w: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、NOx</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等污染物排放。</w:t>
                  </w:r>
                </w:p>
                <w:p w14:paraId="60700A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项目排放的VOC</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S</w:t>
                  </w:r>
                  <w:r>
                    <w:rPr>
                      <w:rFonts w:hint="default" w:ascii="Times New Roman" w:hAnsi="Times New Roman" w:eastAsia="宋体" w:cs="Times New Roman"/>
                      <w:color w:val="000000" w:themeColor="text1"/>
                      <w:sz w:val="21"/>
                      <w:szCs w:val="21"/>
                      <w:highlight w:val="none"/>
                      <w14:textFill>
                        <w14:solidFill>
                          <w14:schemeClr w14:val="tx1"/>
                        </w14:solidFill>
                      </w14:textFill>
                    </w:rPr>
                    <w:t>拟实行区域内倍量替代</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7F467A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3、项目</w:t>
                  </w:r>
                  <w:r>
                    <w:rPr>
                      <w:rFonts w:hint="default" w:ascii="Times New Roman" w:hAnsi="Times New Roman" w:eastAsia="宋体" w:cs="Times New Roman"/>
                      <w:color w:val="auto"/>
                      <w:sz w:val="21"/>
                      <w:szCs w:val="21"/>
                      <w:u w:val="none"/>
                      <w:vertAlign w:val="baseline"/>
                      <w:lang w:eastAsia="zh-CN"/>
                    </w:rPr>
                    <w:t>运营期</w:t>
                  </w:r>
                  <w:r>
                    <w:rPr>
                      <w:rFonts w:hint="eastAsia" w:cs="Times New Roman"/>
                      <w:color w:val="auto"/>
                      <w:sz w:val="21"/>
                      <w:szCs w:val="21"/>
                      <w:u w:val="none"/>
                      <w:vertAlign w:val="baseline"/>
                      <w:lang w:val="en-US" w:eastAsia="zh-CN"/>
                    </w:rPr>
                    <w:t>生产废水为压铸机间接冷却水经冷却塔冷却后循环使用，产品水洗产生废水、研磨冷却水经循环水处理设备处理后循环使用。因此，本项目无生产废水排放。</w:t>
                  </w:r>
                  <w:r>
                    <w:rPr>
                      <w:rFonts w:hint="default" w:ascii="Times New Roman" w:hAnsi="Times New Roman" w:eastAsia="宋体" w:cs="Times New Roman"/>
                      <w:snapToGrid w:val="0"/>
                      <w:color w:val="000000" w:themeColor="text1"/>
                      <w:kern w:val="18"/>
                      <w:sz w:val="21"/>
                      <w:szCs w:val="21"/>
                      <w:highlight w:val="none"/>
                      <w14:textFill>
                        <w14:solidFill>
                          <w14:schemeClr w14:val="tx1"/>
                        </w14:solidFill>
                      </w14:textFill>
                    </w:rPr>
                    <w:t>生活污水</w:t>
                  </w:r>
                  <w:r>
                    <w:rPr>
                      <w:rFonts w:hint="default"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t>依托厂内已建的</w:t>
                  </w:r>
                  <w:r>
                    <w:rPr>
                      <w:rFonts w:hint="default" w:ascii="Times New Roman" w:hAnsi="Times New Roman" w:eastAsia="宋体" w:cs="Times New Roman"/>
                      <w:snapToGrid w:val="0"/>
                      <w:color w:val="000000" w:themeColor="text1"/>
                      <w:kern w:val="18"/>
                      <w:sz w:val="21"/>
                      <w:szCs w:val="21"/>
                      <w:highlight w:val="none"/>
                      <w14:textFill>
                        <w14:solidFill>
                          <w14:schemeClr w14:val="tx1"/>
                        </w14:solidFill>
                      </w14:textFill>
                    </w:rPr>
                    <w:t>化粪池处理达标后排入市政污水管网，送往福清市融元污水处理厂集中处理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73" w:type="pct"/>
                  <w:noWrap w:val="0"/>
                  <w:vAlign w:val="center"/>
                </w:tcPr>
                <w:p w14:paraId="64D18F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377351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2" w:type="pct"/>
                  <w:vMerge w:val="continue"/>
                  <w:noWrap w:val="0"/>
                  <w:vAlign w:val="center"/>
                </w:tcPr>
                <w:p w14:paraId="0E0490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02" w:type="pct"/>
                  <w:noWrap w:val="0"/>
                  <w:vAlign w:val="center"/>
                </w:tcPr>
                <w:p w14:paraId="289FF2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资源环境效率管控</w:t>
                  </w:r>
                </w:p>
              </w:tc>
              <w:tc>
                <w:tcPr>
                  <w:tcW w:w="2121" w:type="pct"/>
                  <w:noWrap w:val="0"/>
                  <w:vAlign w:val="center"/>
                </w:tcPr>
                <w:p w14:paraId="2B2739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本项目</w:t>
                  </w:r>
                </w:p>
              </w:tc>
              <w:tc>
                <w:tcPr>
                  <w:tcW w:w="573" w:type="pct"/>
                  <w:noWrap w:val="0"/>
                  <w:vAlign w:val="center"/>
                </w:tcPr>
                <w:p w14:paraId="4515E6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符合性</w:t>
                  </w:r>
                </w:p>
              </w:tc>
            </w:tr>
            <w:tr w14:paraId="1E3083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2" w:type="pct"/>
                  <w:vMerge w:val="continue"/>
                  <w:noWrap w:val="0"/>
                  <w:vAlign w:val="center"/>
                </w:tcPr>
                <w:p w14:paraId="2F4D75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02" w:type="pct"/>
                  <w:noWrap w:val="0"/>
                  <w:vAlign w:val="center"/>
                </w:tcPr>
                <w:p w14:paraId="7E70B4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1、能耗不超过0.</w:t>
                  </w:r>
                  <w:r>
                    <w:rPr>
                      <w:rFonts w:hint="eastAsia" w:cs="Times New Roman"/>
                      <w:color w:val="000000" w:themeColor="text1"/>
                      <w:sz w:val="21"/>
                      <w:szCs w:val="21"/>
                      <w:highlight w:val="none"/>
                      <w:lang w:val="en-US" w:eastAsia="zh-CN"/>
                      <w14:textFill>
                        <w14:solidFill>
                          <w14:schemeClr w14:val="tx1"/>
                        </w14:solidFill>
                      </w14:textFill>
                    </w:rPr>
                    <w:t>04</w:t>
                  </w:r>
                  <w:r>
                    <w:rPr>
                      <w:rFonts w:hint="default" w:ascii="Times New Roman" w:hAnsi="Times New Roman" w:eastAsia="宋体" w:cs="Times New Roman"/>
                      <w:color w:val="000000" w:themeColor="text1"/>
                      <w:sz w:val="21"/>
                      <w:szCs w:val="21"/>
                      <w:highlight w:val="none"/>
                      <w14:textFill>
                        <w14:solidFill>
                          <w14:schemeClr w14:val="tx1"/>
                        </w14:solidFill>
                      </w14:textFill>
                    </w:rPr>
                    <w:t>吨标煤/万元工业增加值</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5C6154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2、水耗不超过1.19t/万元工业增加值</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24BF3F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3、污水排放量不超过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70</w:t>
                  </w:r>
                  <w:r>
                    <w:rPr>
                      <w:rFonts w:hint="default" w:ascii="Times New Roman" w:hAnsi="Times New Roman" w:eastAsia="宋体" w:cs="Times New Roman"/>
                      <w:color w:val="000000" w:themeColor="text1"/>
                      <w:sz w:val="21"/>
                      <w:szCs w:val="21"/>
                      <w:highlight w:val="none"/>
                      <w14:textFill>
                        <w14:solidFill>
                          <w14:schemeClr w14:val="tx1"/>
                        </w14:solidFill>
                      </w14:textFill>
                    </w:rPr>
                    <w:t>t/万元工业增加值</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6176B5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4、VOCs排放量不超过0.4</w:t>
                  </w:r>
                  <w:r>
                    <w:rPr>
                      <w:rFonts w:hint="eastAsia"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kg/万元工业增加值</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121" w:type="pct"/>
                  <w:noWrap w:val="0"/>
                  <w:vAlign w:val="center"/>
                </w:tcPr>
                <w:p w14:paraId="3385E4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本项目工业增加值约为</w:t>
                  </w:r>
                  <w:r>
                    <w:rPr>
                      <w:rFonts w:hint="eastAsia" w:cs="Times New Roman"/>
                      <w:color w:val="000000" w:themeColor="text1"/>
                      <w:sz w:val="21"/>
                      <w:szCs w:val="21"/>
                      <w:highlight w:val="none"/>
                      <w:lang w:val="en-US" w:eastAsia="zh-CN"/>
                      <w14:textFill>
                        <w14:solidFill>
                          <w14:schemeClr w14:val="tx1"/>
                        </w14:solidFill>
                      </w14:textFill>
                    </w:rPr>
                    <w:t>2800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万元；</w:t>
                  </w:r>
                </w:p>
                <w:p w14:paraId="6CCA7C2D">
                  <w:pPr>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1"/>
                      <w:szCs w:val="21"/>
                      <w:highlight w:val="none"/>
                      <w14:textFill>
                        <w14:solidFill>
                          <w14:schemeClr w14:val="tx1"/>
                        </w14:solidFill>
                      </w14:textFill>
                    </w:rPr>
                    <w:t>能耗</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为电能</w:t>
                  </w:r>
                  <w:r>
                    <w:rPr>
                      <w:rFonts w:hint="eastAsia" w:cs="Times New Roman"/>
                      <w:b w:val="0"/>
                      <w:bCs w:val="0"/>
                      <w:color w:val="000000" w:themeColor="text1"/>
                      <w:sz w:val="21"/>
                      <w:szCs w:val="21"/>
                      <w:highlight w:val="none"/>
                      <w:lang w:val="en-US" w:eastAsia="zh-CN"/>
                      <w14:textFill>
                        <w14:solidFill>
                          <w14:schemeClr w14:val="tx1"/>
                        </w14:solidFill>
                      </w14:textFill>
                    </w:rPr>
                    <w:t>96</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万</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kW</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h/a</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折标为</w:t>
                  </w:r>
                  <w:r>
                    <w:rPr>
                      <w:rFonts w:hint="eastAsia" w:cs="Times New Roman"/>
                      <w:b w:val="0"/>
                      <w:bCs w:val="0"/>
                      <w:color w:val="000000" w:themeColor="text1"/>
                      <w:sz w:val="21"/>
                      <w:szCs w:val="21"/>
                      <w:highlight w:val="none"/>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highlight w:val="none"/>
                      <w14:textFill>
                        <w14:solidFill>
                          <w14:schemeClr w14:val="tx1"/>
                        </w14:solidFill>
                      </w14:textFill>
                    </w:rPr>
                    <w:t>吨标煤</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则项目能耗约</w:t>
                  </w:r>
                  <w:r>
                    <w:rPr>
                      <w:rFonts w:hint="default" w:ascii="Times New Roman" w:hAnsi="Times New Roman" w:eastAsia="宋体" w:cs="Times New Roman"/>
                      <w:color w:val="000000" w:themeColor="text1"/>
                      <w:sz w:val="21"/>
                      <w:szCs w:val="21"/>
                      <w:highlight w:val="none"/>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03</w:t>
                  </w:r>
                  <w:r>
                    <w:rPr>
                      <w:rFonts w:hint="default" w:ascii="Times New Roman" w:hAnsi="Times New Roman" w:eastAsia="宋体" w:cs="Times New Roman"/>
                      <w:color w:val="000000" w:themeColor="text1"/>
                      <w:sz w:val="21"/>
                      <w:szCs w:val="21"/>
                      <w:highlight w:val="none"/>
                      <w14:textFill>
                        <w14:solidFill>
                          <w14:schemeClr w14:val="tx1"/>
                        </w14:solidFill>
                      </w14:textFill>
                    </w:rPr>
                    <w:t>吨标煤/万元工业增加值</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35983336">
                  <w:pPr>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项目年耗</w:t>
                  </w:r>
                  <w:r>
                    <w:rPr>
                      <w:rFonts w:hint="default" w:ascii="Times New Roman" w:hAnsi="Times New Roman" w:eastAsia="宋体" w:cs="Times New Roman"/>
                      <w:color w:val="000000" w:themeColor="text1"/>
                      <w:sz w:val="21"/>
                      <w:szCs w:val="21"/>
                      <w:highlight w:val="none"/>
                      <w14:textFill>
                        <w14:solidFill>
                          <w14:schemeClr w14:val="tx1"/>
                        </w14:solidFill>
                      </w14:textFill>
                    </w:rPr>
                    <w:t>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量为</w:t>
                  </w:r>
                  <w:r>
                    <w:rPr>
                      <w:rFonts w:hint="eastAsia" w:cs="Times New Roman"/>
                      <w:color w:val="000000" w:themeColor="text1"/>
                      <w:sz w:val="21"/>
                      <w:szCs w:val="21"/>
                      <w:highlight w:val="none"/>
                      <w:lang w:val="en-US" w:eastAsia="zh-CN"/>
                      <w14:textFill>
                        <w14:solidFill>
                          <w14:schemeClr w14:val="tx1"/>
                        </w14:solidFill>
                      </w14:textFill>
                    </w:rPr>
                    <w:t>5300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t，则水</w:t>
                  </w:r>
                  <w:r>
                    <w:rPr>
                      <w:rFonts w:hint="default" w:ascii="Times New Roman" w:hAnsi="Times New Roman" w:eastAsia="宋体" w:cs="Times New Roman"/>
                      <w:color w:val="000000" w:themeColor="text1"/>
                      <w:sz w:val="21"/>
                      <w:szCs w:val="21"/>
                      <w:highlight w:val="none"/>
                      <w14:textFill>
                        <w14:solidFill>
                          <w14:schemeClr w14:val="tx1"/>
                        </w14:solidFill>
                      </w14:textFill>
                    </w:rPr>
                    <w:t>耗</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为</w:t>
                  </w: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625</w:t>
                  </w:r>
                  <w:r>
                    <w:rPr>
                      <w:rFonts w:hint="default" w:ascii="Times New Roman" w:hAnsi="Times New Roman" w:eastAsia="宋体" w:cs="Times New Roman"/>
                      <w:color w:val="auto"/>
                      <w:sz w:val="21"/>
                      <w:szCs w:val="21"/>
                      <w:highlight w:val="none"/>
                    </w:rPr>
                    <w:t>t/万</w:t>
                  </w:r>
                  <w:r>
                    <w:rPr>
                      <w:rFonts w:hint="default" w:ascii="Times New Roman" w:hAnsi="Times New Roman" w:eastAsia="宋体" w:cs="Times New Roman"/>
                      <w:color w:val="000000" w:themeColor="text1"/>
                      <w:sz w:val="21"/>
                      <w:szCs w:val="21"/>
                      <w:highlight w:val="none"/>
                      <w14:textFill>
                        <w14:solidFill>
                          <w14:schemeClr w14:val="tx1"/>
                        </w14:solidFill>
                      </w14:textFill>
                    </w:rPr>
                    <w:t>元工业增加值</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69172E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1"/>
                      <w:szCs w:val="21"/>
                      <w:highlight w:val="none"/>
                      <w14:textFill>
                        <w14:solidFill>
                          <w14:schemeClr w14:val="tx1"/>
                        </w14:solidFill>
                      </w14:textFill>
                    </w:rPr>
                    <w:t>污水排放量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为</w:t>
                  </w:r>
                  <w:r>
                    <w:rPr>
                      <w:rFonts w:hint="eastAsia" w:cs="Times New Roman"/>
                      <w:color w:val="000000" w:themeColor="text1"/>
                      <w:sz w:val="21"/>
                      <w:szCs w:val="21"/>
                      <w:highlight w:val="none"/>
                      <w:lang w:val="en-US" w:eastAsia="zh-CN"/>
                      <w14:textFill>
                        <w14:solidFill>
                          <w14:schemeClr w14:val="tx1"/>
                        </w14:solidFill>
                      </w14:textFill>
                    </w:rPr>
                    <w:t>360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t/a，则污水排放量为</w:t>
                  </w:r>
                  <w:r>
                    <w:rPr>
                      <w:rFonts w:hint="eastAsia" w:cs="Times New Roman"/>
                      <w:color w:val="000000" w:themeColor="text1"/>
                      <w:sz w:val="21"/>
                      <w:szCs w:val="21"/>
                      <w:highlight w:val="none"/>
                      <w:lang w:val="en-US" w:eastAsia="zh-CN"/>
                      <w14:textFill>
                        <w14:solidFill>
                          <w14:schemeClr w14:val="tx1"/>
                        </w14:solidFill>
                      </w14:textFill>
                    </w:rPr>
                    <w:t>0.1286</w:t>
                  </w:r>
                  <w:r>
                    <w:rPr>
                      <w:rFonts w:hint="default" w:ascii="Times New Roman" w:hAnsi="Times New Roman" w:eastAsia="宋体" w:cs="Times New Roman"/>
                      <w:color w:val="000000" w:themeColor="text1"/>
                      <w:sz w:val="21"/>
                      <w:szCs w:val="21"/>
                      <w:highlight w:val="none"/>
                      <w14:textFill>
                        <w14:solidFill>
                          <w14:schemeClr w14:val="tx1"/>
                        </w14:solidFill>
                      </w14:textFill>
                    </w:rPr>
                    <w:t>t/万元工业增加值</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22CE6E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1"/>
                      <w:szCs w:val="21"/>
                      <w:highlight w:val="none"/>
                      <w14:textFill>
                        <w14:solidFill>
                          <w14:schemeClr w14:val="tx1"/>
                        </w14:solidFill>
                      </w14:textFill>
                    </w:rPr>
                    <w:t>VOCs排放量</w:t>
                  </w:r>
                  <w:r>
                    <w:rPr>
                      <w:rFonts w:hint="default" w:ascii="Times New Roman" w:hAnsi="Times New Roman" w:eastAsia="宋体" w:cs="Times New Roman"/>
                      <w:color w:val="auto"/>
                      <w:sz w:val="21"/>
                      <w:szCs w:val="21"/>
                      <w:highlight w:val="none"/>
                      <w:lang w:val="en-US" w:eastAsia="zh-CN"/>
                    </w:rPr>
                    <w:t>为0.</w:t>
                  </w:r>
                  <w:r>
                    <w:rPr>
                      <w:rFonts w:hint="eastAsia" w:cs="Times New Roman"/>
                      <w:color w:val="auto"/>
                      <w:sz w:val="21"/>
                      <w:szCs w:val="21"/>
                      <w:highlight w:val="none"/>
                      <w:lang w:val="en-US" w:eastAsia="zh-CN"/>
                    </w:rPr>
                    <w:t>0293</w:t>
                  </w:r>
                  <w:r>
                    <w:rPr>
                      <w:rFonts w:hint="default" w:ascii="Times New Roman" w:hAnsi="Times New Roman" w:eastAsia="宋体" w:cs="Times New Roman"/>
                      <w:color w:val="auto"/>
                      <w:sz w:val="21"/>
                      <w:szCs w:val="21"/>
                      <w:highlight w:val="none"/>
                      <w:lang w:val="en-US" w:eastAsia="zh-CN"/>
                    </w:rPr>
                    <w:t>t/a</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，则</w:t>
                  </w:r>
                  <w:r>
                    <w:rPr>
                      <w:rFonts w:hint="default" w:ascii="Times New Roman" w:hAnsi="Times New Roman" w:eastAsia="宋体" w:cs="Times New Roman"/>
                      <w:color w:val="000000" w:themeColor="text1"/>
                      <w:sz w:val="21"/>
                      <w:szCs w:val="21"/>
                      <w:highlight w:val="none"/>
                      <w14:textFill>
                        <w14:solidFill>
                          <w14:schemeClr w14:val="tx1"/>
                        </w14:solidFill>
                      </w14:textFill>
                    </w:rPr>
                    <w:t>VOCs排放量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为</w:t>
                  </w:r>
                  <w:r>
                    <w:rPr>
                      <w:rFonts w:hint="eastAsia" w:cs="Times New Roman"/>
                      <w:color w:val="000000" w:themeColor="text1"/>
                      <w:sz w:val="21"/>
                      <w:szCs w:val="21"/>
                      <w:highlight w:val="none"/>
                      <w:lang w:val="en-US" w:eastAsia="zh-CN"/>
                      <w14:textFill>
                        <w14:solidFill>
                          <w14:schemeClr w14:val="tx1"/>
                        </w14:solidFill>
                      </w14:textFill>
                    </w:rPr>
                    <w:t>0.00104</w:t>
                  </w:r>
                  <w:r>
                    <w:rPr>
                      <w:rFonts w:hint="default" w:ascii="Times New Roman" w:hAnsi="Times New Roman" w:eastAsia="宋体" w:cs="Times New Roman"/>
                      <w:color w:val="000000" w:themeColor="text1"/>
                      <w:sz w:val="21"/>
                      <w:szCs w:val="21"/>
                      <w:highlight w:val="none"/>
                      <w14:textFill>
                        <w14:solidFill>
                          <w14:schemeClr w14:val="tx1"/>
                        </w14:solidFill>
                      </w14:textFill>
                    </w:rPr>
                    <w:t>kg/万元工业增加值</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573" w:type="pct"/>
                  <w:noWrap w:val="0"/>
                  <w:vAlign w:val="center"/>
                </w:tcPr>
                <w:p w14:paraId="60CCD6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bl>
          <w:p w14:paraId="65B35B3E">
            <w:pPr>
              <w:adjustRightInd w:val="0"/>
              <w:snapToGrid w:val="0"/>
              <w:spacing w:line="240" w:lineRule="auto"/>
              <w:jc w:val="cente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p>
          <w:p w14:paraId="0A086C99">
            <w:pPr>
              <w:adjustRightInd w:val="0"/>
              <w:snapToGrid w:val="0"/>
              <w:spacing w:line="240" w:lineRule="auto"/>
              <w:jc w:val="cente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表1.1-3 本项目与规划环评审查意见的符合性分析</w:t>
            </w:r>
          </w:p>
          <w:tbl>
            <w:tblPr>
              <w:tblStyle w:val="23"/>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3685"/>
              <w:gridCol w:w="3161"/>
              <w:gridCol w:w="683"/>
            </w:tblGrid>
            <w:tr w14:paraId="53AD01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0" w:type="pct"/>
                  <w:noWrap w:val="0"/>
                  <w:vAlign w:val="center"/>
                </w:tcPr>
                <w:p w14:paraId="434DE1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序号</w:t>
                  </w:r>
                </w:p>
              </w:tc>
              <w:tc>
                <w:tcPr>
                  <w:tcW w:w="2285" w:type="pct"/>
                  <w:noWrap w:val="0"/>
                  <w:vAlign w:val="center"/>
                </w:tcPr>
                <w:p w14:paraId="52AC7D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规划环评审查意见要求</w:t>
                  </w:r>
                </w:p>
              </w:tc>
              <w:tc>
                <w:tcPr>
                  <w:tcW w:w="1960" w:type="pct"/>
                  <w:noWrap w:val="0"/>
                  <w:vAlign w:val="center"/>
                </w:tcPr>
                <w:p w14:paraId="21859B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本项目内容</w:t>
                  </w:r>
                </w:p>
              </w:tc>
              <w:tc>
                <w:tcPr>
                  <w:tcW w:w="423" w:type="pct"/>
                  <w:noWrap w:val="0"/>
                  <w:vAlign w:val="center"/>
                </w:tcPr>
                <w:p w14:paraId="2720AC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符合性</w:t>
                  </w:r>
                </w:p>
              </w:tc>
            </w:tr>
            <w:tr w14:paraId="0C4342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0" w:type="pct"/>
                  <w:noWrap w:val="0"/>
                  <w:vAlign w:val="center"/>
                </w:tcPr>
                <w:p w14:paraId="0AE704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2285" w:type="pct"/>
                  <w:noWrap w:val="0"/>
                  <w:vAlign w:val="center"/>
                </w:tcPr>
                <w:p w14:paraId="03238E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坚持绿色发展和协调发展理念，加强《规划》引导。落实国家、区域发展战略，坚持生态优先、高效集约发展，以环境质量改善为核心，进一步优化《规划》范围、布局、发展规模和产业结构等，做好与省市国土空间规划和“三线一单”（生态保护红线、环境质量底线、资源利用上线和生态环境准入清单</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的协调衔接。</w:t>
                  </w:r>
                </w:p>
              </w:tc>
              <w:tc>
                <w:tcPr>
                  <w:tcW w:w="1960" w:type="pct"/>
                  <w:noWrap w:val="0"/>
                  <w:vAlign w:val="center"/>
                </w:tcPr>
                <w:p w14:paraId="4809E2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本项目主要从事</w:t>
                  </w:r>
                  <w:r>
                    <w:rPr>
                      <w:rFonts w:hint="eastAsia" w:cs="Times New Roman"/>
                      <w:color w:val="000000" w:themeColor="text1"/>
                      <w:sz w:val="21"/>
                      <w:szCs w:val="21"/>
                      <w:highlight w:val="none"/>
                      <w:u w:val="none"/>
                      <w:lang w:val="en-US" w:eastAsia="zh-CN"/>
                      <w14:textFill>
                        <w14:solidFill>
                          <w14:schemeClr w14:val="tx1"/>
                        </w14:solidFill>
                      </w14:textFill>
                    </w:rPr>
                    <w:t>电脑零配件、汽车及电动车零配件、POS机零配件及其他五金配件</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等，属于开发区主导行业，项目</w:t>
                  </w:r>
                  <w:r>
                    <w:rPr>
                      <w:rFonts w:hint="default" w:ascii="Times New Roman" w:hAnsi="Times New Roman" w:eastAsia="宋体" w:cs="Times New Roman"/>
                      <w:color w:val="000000" w:themeColor="text1"/>
                      <w:sz w:val="21"/>
                      <w:szCs w:val="21"/>
                      <w:highlight w:val="none"/>
                      <w14:textFill>
                        <w14:solidFill>
                          <w14:schemeClr w14:val="tx1"/>
                        </w14:solidFill>
                      </w14:textFill>
                    </w:rPr>
                    <w:t>符合园区产业发展定位</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符合国土空间规划和</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三线一单</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要求</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23" w:type="pct"/>
                  <w:noWrap w:val="0"/>
                  <w:vAlign w:val="center"/>
                </w:tcPr>
                <w:p w14:paraId="761860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1B4E6E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0" w:type="pct"/>
                  <w:noWrap w:val="0"/>
                  <w:vAlign w:val="center"/>
                </w:tcPr>
                <w:p w14:paraId="0A0ACA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2285" w:type="pct"/>
                  <w:noWrap w:val="0"/>
                  <w:vAlign w:val="center"/>
                </w:tcPr>
                <w:p w14:paraId="134C2A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着力推动开发区结构调整和转型升级。落实《报告书》提出的现有重污染企业和用地布局不合理企业的搬迁、淘汰进度，强化拟退出污染企业存续期间环境管控和风险防控，合理安排重污染企业腾退及周边土地开发时序，做好腾退企业遗留场地的土壤环境调查和风险评估，确保土地安全利用。促进开发区产业转型升级与生态环境保护、人居环境安全相协调。</w:t>
                  </w:r>
                </w:p>
              </w:tc>
              <w:tc>
                <w:tcPr>
                  <w:tcW w:w="1960" w:type="pct"/>
                  <w:noWrap w:val="0"/>
                  <w:vAlign w:val="center"/>
                </w:tcPr>
                <w:p w14:paraId="53FC36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项目不属于重污染企业，利用均和云谷·福清科技港已建厂房作为生产经营场所，属于工业厂房，符合用地规划。</w:t>
                  </w:r>
                </w:p>
              </w:tc>
              <w:tc>
                <w:tcPr>
                  <w:tcW w:w="423" w:type="pct"/>
                  <w:noWrap w:val="0"/>
                  <w:vAlign w:val="center"/>
                </w:tcPr>
                <w:p w14:paraId="78BF55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06F61D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0" w:type="pct"/>
                  <w:noWrap w:val="0"/>
                  <w:vAlign w:val="center"/>
                </w:tcPr>
                <w:p w14:paraId="6A9F9E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2285" w:type="pct"/>
                  <w:noWrap w:val="0"/>
                  <w:vAlign w:val="center"/>
                </w:tcPr>
                <w:p w14:paraId="70938B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严格空间管控，优化区内空间布局。做好《规划》控制和生态隔离带建设，加强对开发区内及周边</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闽江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调水工程新局调节库水源地、石竹山风景名胜区等敏感区的保护，严禁不符合管控要求的各类开发建设活动，严禁占用现有自然水体等生态空间。结合福清市国土空间规划最新结果，进一步优化园区范围和空间布局，避让永久基本农田。</w:t>
                  </w:r>
                </w:p>
              </w:tc>
              <w:tc>
                <w:tcPr>
                  <w:tcW w:w="1960" w:type="pct"/>
                  <w:noWrap w:val="0"/>
                  <w:vAlign w:val="center"/>
                </w:tcPr>
                <w:p w14:paraId="1C7CB5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项目周边最近的环境</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保护目标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西南侧约</w:t>
                  </w:r>
                  <w:r>
                    <w:rPr>
                      <w:rFonts w:hint="eastAsia" w:cs="Times New Roman"/>
                      <w:color w:val="000000" w:themeColor="text1"/>
                      <w:sz w:val="21"/>
                      <w:szCs w:val="21"/>
                      <w:highlight w:val="none"/>
                      <w:lang w:val="en-US" w:eastAsia="zh-CN"/>
                      <w14:textFill>
                        <w14:solidFill>
                          <w14:schemeClr w14:val="tx1"/>
                        </w14:solidFill>
                      </w14:textFill>
                    </w:rPr>
                    <w:t>287</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处的下田村</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有一定隔离带；项目用地不涉及闽江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调水工程新局调节库水源地、石竹山风景名胜区等敏感区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，不占用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自然水体等生态空间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及</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永久基本农田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23" w:type="pct"/>
                  <w:noWrap w:val="0"/>
                  <w:vAlign w:val="center"/>
                </w:tcPr>
                <w:p w14:paraId="305614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1DEFF6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330" w:type="pct"/>
                  <w:noWrap w:val="0"/>
                  <w:vAlign w:val="center"/>
                </w:tcPr>
                <w:p w14:paraId="75043A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2285" w:type="pct"/>
                  <w:noWrap w:val="0"/>
                  <w:vAlign w:val="center"/>
                </w:tcPr>
                <w:p w14:paraId="34851F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严守环境质量底线，强化污染物排放总量管控。根据国家和福建省关于大气、水、土壤污染防治相关要求和区域“三线一单”成果，衔接龙江流域水环境综合整治结果，制定开发区污染减排方案及污染物总量管控要求，严格重金属总量管控。采取有效措施减少主要污染物和特征污染物的排放量，确保区域环境质量持续改善，促进产业发展与城市发展、生态环境保护相协调。</w:t>
                  </w:r>
                </w:p>
              </w:tc>
              <w:tc>
                <w:tcPr>
                  <w:tcW w:w="1960" w:type="pct"/>
                  <w:noWrap w:val="0"/>
                  <w:vAlign w:val="center"/>
                </w:tcPr>
                <w:p w14:paraId="5FA4CF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auto"/>
                      <w:sz w:val="21"/>
                      <w:szCs w:val="21"/>
                      <w:highlight w:val="none"/>
                      <w:lang w:val="en-US" w:eastAsia="zh-CN"/>
                    </w:rPr>
                    <w:t>本项目</w:t>
                  </w:r>
                  <w:r>
                    <w:rPr>
                      <w:rFonts w:hint="eastAsia" w:cs="Times New Roman"/>
                      <w:color w:val="auto"/>
                      <w:sz w:val="21"/>
                      <w:szCs w:val="21"/>
                      <w:highlight w:val="none"/>
                      <w:lang w:val="en-US" w:eastAsia="zh-CN"/>
                    </w:rPr>
                    <w:t>生产时</w:t>
                  </w:r>
                  <w:r>
                    <w:rPr>
                      <w:rFonts w:hint="default" w:ascii="Times New Roman" w:hAnsi="Times New Roman" w:eastAsia="宋体" w:cs="Times New Roman"/>
                      <w:color w:val="auto"/>
                      <w:sz w:val="21"/>
                      <w:szCs w:val="21"/>
                      <w:highlight w:val="none"/>
                      <w:lang w:val="en-US" w:eastAsia="zh-CN"/>
                    </w:rPr>
                    <w:t>产生的</w:t>
                  </w:r>
                  <w:r>
                    <w:rPr>
                      <w:rFonts w:hint="eastAsia" w:cs="Times New Roman"/>
                      <w:color w:val="auto"/>
                      <w:sz w:val="21"/>
                      <w:szCs w:val="21"/>
                      <w:highlight w:val="none"/>
                      <w:lang w:val="en-US" w:eastAsia="zh-CN"/>
                    </w:rPr>
                    <w:t>粉尘颗粒物拟采用布袋除尘器处理后排放；压铸脱模时产生的VOCs有机废气拟采用活性炭吸附装置进行处理。</w:t>
                  </w:r>
                  <w:r>
                    <w:rPr>
                      <w:rFonts w:hint="default" w:ascii="Times New Roman" w:hAnsi="Times New Roman" w:eastAsia="宋体" w:cs="Times New Roman"/>
                      <w:color w:val="auto"/>
                      <w:sz w:val="21"/>
                      <w:szCs w:val="21"/>
                      <w:highlight w:val="none"/>
                      <w:lang w:val="en-US" w:eastAsia="zh-CN"/>
                    </w:rPr>
                    <w:t>废气排放源强较低，对周边环境影响较小</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项目厂区已实现</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雨污分流</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u w:val="none"/>
                      <w:vertAlign w:val="baseline"/>
                      <w:lang w:eastAsia="zh-CN"/>
                    </w:rPr>
                    <w:t>运营期</w:t>
                  </w:r>
                  <w:r>
                    <w:rPr>
                      <w:rFonts w:hint="eastAsia" w:cs="Times New Roman"/>
                      <w:color w:val="auto"/>
                      <w:sz w:val="21"/>
                      <w:szCs w:val="21"/>
                      <w:u w:val="none"/>
                      <w:vertAlign w:val="baseline"/>
                      <w:lang w:val="en-US" w:eastAsia="zh-CN"/>
                    </w:rPr>
                    <w:t>生产废水为压铸间接冷却水经冷却塔冷却后循环使用，产品水洗用水经循环水处理设备处理后循环使用。因此，本项目无生产废水排放。</w:t>
                  </w:r>
                  <w:r>
                    <w:rPr>
                      <w:rFonts w:hint="default" w:ascii="Times New Roman" w:hAnsi="Times New Roman" w:eastAsia="宋体" w:cs="Times New Roman"/>
                      <w:color w:val="auto"/>
                      <w:sz w:val="21"/>
                      <w:szCs w:val="21"/>
                      <w:highlight w:val="none"/>
                      <w:lang w:val="en-US" w:eastAsia="zh-CN"/>
                    </w:rPr>
                    <w:t>生活污水依托厂区内现有的排水管网排</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入市政污水管网送往</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福清市融元污水处理厂</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集中处理；</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项目不涉及重金属等污染物，</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项目将依法依规做好一般工业固体废物和危险废物的分类收集、利用、处理处置工作</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23" w:type="pct"/>
                  <w:noWrap w:val="0"/>
                  <w:vAlign w:val="center"/>
                </w:tcPr>
                <w:p w14:paraId="0181D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520B2E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5" w:hRule="atLeast"/>
              </w:trPr>
              <w:tc>
                <w:tcPr>
                  <w:tcW w:w="330" w:type="pct"/>
                  <w:noWrap w:val="0"/>
                  <w:vAlign w:val="center"/>
                </w:tcPr>
                <w:p w14:paraId="16C10B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2285" w:type="pct"/>
                  <w:noWrap w:val="0"/>
                  <w:vAlign w:val="center"/>
                </w:tcPr>
                <w:p w14:paraId="42FBE7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严格入区项目生态环境准入，推动高质量发展。落实《报告书》生态环境准入要求，强化现有及入区企业挥发性有机物排放控制，禁止新增排放涉重金属污染物项目入区，禁止与主导产业不相关且污染物排放量大的项目入区。落实《福州市环境总体规划</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2013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2030</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》关于禁止大气污染型建设项目入区的要求。执行最严格的行业废水、废气排放控制指标，引进项目的生产工艺、设备，以及单位产品能耗、污染物排放和资源利用效率等均需达到同行业国际先进水平。</w:t>
                  </w:r>
                </w:p>
              </w:tc>
              <w:tc>
                <w:tcPr>
                  <w:tcW w:w="1960" w:type="pct"/>
                  <w:noWrap w:val="0"/>
                  <w:vAlign w:val="center"/>
                </w:tcPr>
                <w:p w14:paraId="03107F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项目排放的VOC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S</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拟实行区域内倍量替代；</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项目符合园区产业规划，不属于</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《福州市环境总体规划</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2013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2030</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》关于禁止大气污染型</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项目；项目严格执行</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行业废水、废气排放控制指标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项目生产工艺、技术装备、污染治理水平以及单位产品能耗、物耗等</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可以</w:t>
                  </w:r>
                  <w:r>
                    <w:rPr>
                      <w:rFonts w:hint="eastAsia" w:cs="Times New Roman"/>
                      <w:color w:val="000000" w:themeColor="text1"/>
                      <w:sz w:val="21"/>
                      <w:szCs w:val="21"/>
                      <w:highlight w:val="none"/>
                      <w:lang w:val="en-US" w:eastAsia="zh-CN"/>
                      <w14:textFill>
                        <w14:solidFill>
                          <w14:schemeClr w14:val="tx1"/>
                        </w14:solidFill>
                      </w14:textFill>
                    </w:rPr>
                    <w:t>达到</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同行业国际先进水平</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23" w:type="pct"/>
                  <w:noWrap w:val="0"/>
                  <w:vAlign w:val="center"/>
                </w:tcPr>
                <w:p w14:paraId="519A92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4E2001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625BA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2285" w:type="pct"/>
                  <w:noWrap w:val="0"/>
                  <w:vAlign w:val="center"/>
                </w:tcPr>
                <w:p w14:paraId="4105BB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加强生态环境保护，统筹考虑区内污染防治、生态恢复与建设、环境风险防范、环境管理等事宜。严格落实《报告书》及重点风险企业突发环境事件应急预案提出的各项要求，从环境风险防控角度，加强京东方一期、二期工程周边用地规划控制。建立健全区域环境风险防范体系，建立应急响应联动机制，提升开发区环境风险防控和应急响应能力，保障区域环境安全。</w:t>
                  </w:r>
                </w:p>
              </w:tc>
              <w:tc>
                <w:tcPr>
                  <w:tcW w:w="1960" w:type="pct"/>
                  <w:noWrap w:val="0"/>
                  <w:vAlign w:val="center"/>
                </w:tcPr>
                <w:p w14:paraId="587870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本项目将严格落实环境风险事故防范措施，并做好与园区的应急联动。</w:t>
                  </w:r>
                </w:p>
              </w:tc>
              <w:tc>
                <w:tcPr>
                  <w:tcW w:w="423" w:type="pct"/>
                  <w:noWrap w:val="0"/>
                  <w:vAlign w:val="center"/>
                </w:tcPr>
                <w:p w14:paraId="6FA29C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0CA489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53A17C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2285" w:type="pct"/>
                  <w:noWrap w:val="0"/>
                  <w:vAlign w:val="center"/>
                </w:tcPr>
                <w:p w14:paraId="6B3F09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完善环境监测体系，明确实施时限、责任主体等。根据开发区的功能分区、产业布局、重点企业分布、特征污染物的排放种类和状况、环境敏感目标分布等情况，建立包括环境空气、地表水、地下水、土壤、底泥等环境要素的监控体系，强化阳下污水处理厂排放口附近底泥重金属的定期监测与管理。</w:t>
                  </w:r>
                </w:p>
              </w:tc>
              <w:tc>
                <w:tcPr>
                  <w:tcW w:w="1960" w:type="pct"/>
                  <w:noWrap w:val="0"/>
                  <w:vAlign w:val="center"/>
                </w:tcPr>
                <w:p w14:paraId="7F82D0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项目根据环境监测计划做好厂区内的跟踪监测与管理，并根据监测结果及时采取相应措施。</w:t>
                  </w:r>
                </w:p>
              </w:tc>
              <w:tc>
                <w:tcPr>
                  <w:tcW w:w="423" w:type="pct"/>
                  <w:noWrap w:val="0"/>
                  <w:vAlign w:val="center"/>
                </w:tcPr>
                <w:p w14:paraId="12F877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bl>
          <w:p w14:paraId="2ECAE8DD">
            <w:pPr>
              <w:keepNext w:val="0"/>
              <w:keepLines w:val="0"/>
              <w:pageBreakBefore w:val="0"/>
              <w:widowControl/>
              <w:numPr>
                <w:ilvl w:val="0"/>
                <w:numId w:val="0"/>
              </w:numPr>
              <w:suppressLineNumbers w:val="0"/>
              <w:kinsoku/>
              <w:wordWrap/>
              <w:overflowPunct/>
              <w:topLinePunct w:val="0"/>
              <w:autoSpaceDE/>
              <w:autoSpaceDN/>
              <w:bidi w:val="0"/>
              <w:spacing w:line="360" w:lineRule="auto"/>
              <w:ind w:right="0"/>
              <w:jc w:val="both"/>
              <w:textAlignment w:val="auto"/>
              <w:rPr>
                <w:rFonts w:hint="default" w:ascii="Times New Roman" w:hAnsi="Times New Roman" w:eastAsia="宋体" w:cs="Times New Roman"/>
                <w:color w:val="auto"/>
                <w:sz w:val="24"/>
                <w:szCs w:val="24"/>
                <w:highlight w:val="none"/>
                <w:u w:val="none"/>
                <w:lang w:val="en-US" w:eastAsia="zh-CN"/>
              </w:rPr>
            </w:pPr>
          </w:p>
        </w:tc>
      </w:tr>
      <w:tr w14:paraId="27BBC6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426" w:type="pct"/>
            <w:noWrap w:val="0"/>
            <w:vAlign w:val="center"/>
          </w:tcPr>
          <w:p w14:paraId="5BB97921">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其他符合性分析</w:t>
            </w:r>
          </w:p>
        </w:tc>
        <w:tc>
          <w:tcPr>
            <w:tcW w:w="4573" w:type="pct"/>
            <w:noWrap w:val="0"/>
            <w:vAlign w:val="center"/>
          </w:tcPr>
          <w:p w14:paraId="07BD2452">
            <w:pPr>
              <w:pStyle w:val="31"/>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b/>
                <w:color w:val="auto"/>
                <w:sz w:val="24"/>
                <w:szCs w:val="24"/>
                <w:highlight w:val="none"/>
                <w:u w:val="none"/>
              </w:rPr>
            </w:pPr>
            <w:bookmarkStart w:id="10" w:name="_Toc27398"/>
            <w:r>
              <w:rPr>
                <w:rFonts w:hint="eastAsia" w:ascii="Times New Roman" w:cs="Times New Roman"/>
                <w:b/>
                <w:color w:val="auto"/>
                <w:sz w:val="24"/>
                <w:szCs w:val="24"/>
                <w:highlight w:val="none"/>
                <w:u w:val="none"/>
                <w:lang w:val="en-US" w:eastAsia="zh-CN"/>
              </w:rPr>
              <w:t>1.</w:t>
            </w:r>
            <w:r>
              <w:rPr>
                <w:rFonts w:hint="default" w:ascii="Times New Roman" w:hAnsi="Times New Roman" w:eastAsia="宋体" w:cs="Times New Roman"/>
                <w:b/>
                <w:color w:val="auto"/>
                <w:sz w:val="24"/>
                <w:szCs w:val="24"/>
                <w:highlight w:val="none"/>
                <w:u w:val="none"/>
              </w:rPr>
              <w:t>产业政策适宜性分析</w:t>
            </w:r>
            <w:bookmarkEnd w:id="10"/>
          </w:p>
          <w:p w14:paraId="2BCFBC3A">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000000" w:themeColor="text1"/>
                <w:spacing w:val="0"/>
                <w:sz w:val="24"/>
                <w:szCs w:val="24"/>
                <w:highlight w:val="none"/>
                <w:u w:val="none"/>
                <w14:textFill>
                  <w14:solidFill>
                    <w14:schemeClr w14:val="tx1"/>
                  </w14:solidFill>
                </w14:textFill>
              </w:rPr>
            </w:pPr>
            <w:r>
              <w:rPr>
                <w:rFonts w:hint="default" w:ascii="Times New Roman" w:hAnsi="Times New Roman" w:eastAsia="宋体" w:cs="Times New Roman"/>
                <w:color w:val="auto"/>
                <w:spacing w:val="0"/>
                <w:sz w:val="24"/>
                <w:szCs w:val="24"/>
                <w:highlight w:val="none"/>
                <w:u w:val="none"/>
              </w:rPr>
              <w:t>项目主要</w:t>
            </w:r>
            <w:r>
              <w:rPr>
                <w:rFonts w:hint="default" w:ascii="Times New Roman" w:hAnsi="Times New Roman" w:eastAsia="宋体" w:cs="Times New Roman"/>
                <w:color w:val="auto"/>
                <w:spacing w:val="0"/>
                <w:sz w:val="24"/>
                <w:szCs w:val="24"/>
                <w:highlight w:val="none"/>
                <w:u w:val="none"/>
                <w:lang w:eastAsia="zh-CN"/>
              </w:rPr>
              <w:t>从事</w:t>
            </w:r>
            <w:r>
              <w:rPr>
                <w:rFonts w:hint="eastAsia" w:cs="Times New Roman"/>
                <w:color w:val="000000" w:themeColor="text1"/>
                <w:sz w:val="24"/>
                <w:szCs w:val="24"/>
                <w:highlight w:val="none"/>
                <w:u w:val="none"/>
                <w:lang w:val="en-US" w:eastAsia="zh-CN"/>
                <w14:textFill>
                  <w14:solidFill>
                    <w14:schemeClr w14:val="tx1"/>
                  </w14:solidFill>
                </w14:textFill>
              </w:rPr>
              <w:t>电脑零配件、汽车及电动车零配件、POS机零配件及其他五金配件</w:t>
            </w:r>
            <w:r>
              <w:rPr>
                <w:rFonts w:hint="default" w:ascii="Times New Roman" w:hAnsi="Times New Roman" w:eastAsia="宋体" w:cs="Times New Roman"/>
                <w:color w:val="auto"/>
                <w:sz w:val="24"/>
                <w:szCs w:val="24"/>
                <w:highlight w:val="none"/>
                <w:u w:val="none"/>
                <w:lang w:val="en-US" w:eastAsia="zh-CN"/>
              </w:rPr>
              <w:t>加工制</w:t>
            </w:r>
            <w:r>
              <w:rPr>
                <w:rFonts w:hint="default" w:ascii="Times New Roman" w:hAnsi="Times New Roman" w:eastAsia="宋体" w:cs="Times New Roman"/>
                <w:b w:val="0"/>
                <w:bCs w:val="0"/>
                <w:color w:val="auto"/>
                <w:sz w:val="24"/>
                <w:szCs w:val="24"/>
                <w:highlight w:val="none"/>
                <w:u w:val="none"/>
                <w:lang w:val="en-US" w:eastAsia="zh-CN"/>
              </w:rPr>
              <w:t>造</w:t>
            </w:r>
            <w:r>
              <w:rPr>
                <w:rFonts w:hint="default" w:ascii="Times New Roman" w:hAnsi="Times New Roman" w:eastAsia="宋体" w:cs="Times New Roman"/>
                <w:color w:val="auto"/>
                <w:spacing w:val="0"/>
                <w:sz w:val="24"/>
                <w:szCs w:val="24"/>
                <w:highlight w:val="none"/>
                <w:u w:val="none"/>
              </w:rPr>
              <w:t>，</w:t>
            </w:r>
            <w:r>
              <w:rPr>
                <w:rFonts w:hint="eastAsia" w:cs="Times New Roman"/>
                <w:color w:val="auto"/>
                <w:spacing w:val="0"/>
                <w:sz w:val="24"/>
                <w:szCs w:val="24"/>
                <w:highlight w:val="none"/>
                <w:u w:val="none"/>
                <w:lang w:val="en-US" w:eastAsia="zh-CN"/>
              </w:rPr>
              <w:t>项目所采用的生产工艺、所使用的生产加工设备均</w:t>
            </w:r>
            <w:r>
              <w:rPr>
                <w:rFonts w:hint="default" w:ascii="Times New Roman" w:hAnsi="Times New Roman" w:eastAsia="宋体" w:cs="Times New Roman"/>
                <w:color w:val="auto"/>
                <w:spacing w:val="0"/>
                <w:sz w:val="24"/>
                <w:szCs w:val="24"/>
                <w:highlight w:val="none"/>
                <w:u w:val="none"/>
              </w:rPr>
              <w:t>不属于</w:t>
            </w:r>
            <w:r>
              <w:rPr>
                <w:rFonts w:hint="eastAsia" w:cs="Times New Roman"/>
                <w:color w:val="auto"/>
                <w:spacing w:val="0"/>
                <w:sz w:val="24"/>
                <w:szCs w:val="24"/>
                <w:highlight w:val="none"/>
                <w:u w:val="none"/>
                <w:lang w:eastAsia="zh-CN"/>
              </w:rPr>
              <w:t>国家发展改革委</w:t>
            </w:r>
            <w:r>
              <w:rPr>
                <w:rFonts w:hint="default" w:ascii="Times New Roman" w:hAnsi="Times New Roman" w:eastAsia="宋体" w:cs="Times New Roman"/>
                <w:color w:val="auto"/>
                <w:spacing w:val="0"/>
                <w:sz w:val="24"/>
                <w:szCs w:val="24"/>
                <w:highlight w:val="none"/>
                <w:u w:val="none"/>
              </w:rPr>
              <w:t>《产业结构调整指导目录（2024年本）》中限制和淘汰类的项目，</w:t>
            </w:r>
            <w:r>
              <w:rPr>
                <w:rFonts w:hint="default" w:ascii="Times New Roman" w:hAnsi="Times New Roman" w:eastAsia="宋体" w:cs="Times New Roman"/>
                <w:color w:val="auto"/>
                <w:spacing w:val="0"/>
                <w:sz w:val="24"/>
                <w:szCs w:val="24"/>
                <w:highlight w:val="none"/>
                <w:u w:val="none"/>
                <w:lang w:eastAsia="zh-CN"/>
              </w:rPr>
              <w:t>属</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于允许类</w:t>
            </w:r>
            <w:r>
              <w:rPr>
                <w:rFonts w:hint="eastAsia" w:cs="Times New Roman"/>
                <w:color w:val="000000" w:themeColor="text1"/>
                <w:spacing w:val="0"/>
                <w:sz w:val="24"/>
                <w:szCs w:val="24"/>
                <w:highlight w:val="none"/>
                <w:u w:val="none"/>
                <w:lang w:eastAsia="zh-CN"/>
                <w14:textFill>
                  <w14:solidFill>
                    <w14:schemeClr w14:val="tx1"/>
                  </w14:solidFill>
                </w14:textFill>
              </w:rPr>
              <w:t>且</w:t>
            </w:r>
            <w:r>
              <w:rPr>
                <w:rFonts w:hint="default" w:ascii="Times New Roman" w:hAnsi="Times New Roman" w:eastAsia="宋体" w:cs="Times New Roman"/>
                <w:color w:val="000000" w:themeColor="text1"/>
                <w:spacing w:val="0"/>
                <w:sz w:val="24"/>
                <w:szCs w:val="24"/>
                <w:highlight w:val="none"/>
                <w:u w:val="none"/>
                <w14:textFill>
                  <w14:solidFill>
                    <w14:schemeClr w14:val="tx1"/>
                  </w14:solidFill>
                </w14:textFill>
              </w:rPr>
              <w:t>该项目于</w:t>
            </w:r>
            <w:r>
              <w:rPr>
                <w:rFonts w:hint="default"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202</w:t>
            </w:r>
            <w:r>
              <w:rPr>
                <w:rFonts w:hint="eastAsia"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5</w:t>
            </w:r>
            <w:r>
              <w:rPr>
                <w:rFonts w:hint="default"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年</w:t>
            </w:r>
            <w:r>
              <w:rPr>
                <w:rFonts w:hint="eastAsia" w:cs="Times New Roman"/>
                <w:color w:val="000000" w:themeColor="text1"/>
                <w:spacing w:val="0"/>
                <w:sz w:val="24"/>
                <w:szCs w:val="24"/>
                <w:highlight w:val="none"/>
                <w:u w:val="none"/>
                <w:lang w:val="en-US" w:eastAsia="zh-CN"/>
                <w14:textFill>
                  <w14:solidFill>
                    <w14:schemeClr w14:val="tx1"/>
                  </w14:solidFill>
                </w14:textFill>
              </w:rPr>
              <w:t>10</w:t>
            </w:r>
            <w:r>
              <w:rPr>
                <w:rFonts w:hint="default"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月</w:t>
            </w:r>
            <w:r>
              <w:rPr>
                <w:rFonts w:hint="eastAsia" w:cs="Times New Roman"/>
                <w:color w:val="000000" w:themeColor="text1"/>
                <w:spacing w:val="0"/>
                <w:sz w:val="24"/>
                <w:szCs w:val="24"/>
                <w:highlight w:val="none"/>
                <w:u w:val="none"/>
                <w:lang w:val="en-US" w:eastAsia="zh-CN"/>
                <w14:textFill>
                  <w14:solidFill>
                    <w14:schemeClr w14:val="tx1"/>
                  </w14:solidFill>
                </w14:textFill>
              </w:rPr>
              <w:t>21</w:t>
            </w:r>
            <w:r>
              <w:rPr>
                <w:rFonts w:hint="default"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日</w:t>
            </w:r>
            <w:r>
              <w:rPr>
                <w:rFonts w:hint="default" w:ascii="Times New Roman" w:hAnsi="Times New Roman" w:eastAsia="宋体" w:cs="Times New Roman"/>
                <w:color w:val="000000" w:themeColor="text1"/>
                <w:spacing w:val="0"/>
                <w:sz w:val="24"/>
                <w:szCs w:val="24"/>
                <w:highlight w:val="none"/>
                <w:u w:val="none"/>
                <w14:textFill>
                  <w14:solidFill>
                    <w14:schemeClr w14:val="tx1"/>
                  </w14:solidFill>
                </w14:textFill>
              </w:rPr>
              <w:t>通过了</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福清市发展和改革局</w:t>
            </w:r>
            <w:r>
              <w:rPr>
                <w:rFonts w:hint="default" w:ascii="Times New Roman" w:hAnsi="Times New Roman" w:eastAsia="宋体" w:cs="Times New Roman"/>
                <w:color w:val="000000" w:themeColor="text1"/>
                <w:spacing w:val="0"/>
                <w:sz w:val="24"/>
                <w:szCs w:val="24"/>
                <w:highlight w:val="none"/>
                <w:u w:val="none"/>
                <w14:textFill>
                  <w14:solidFill>
                    <w14:schemeClr w14:val="tx1"/>
                  </w14:solidFill>
                </w14:textFill>
              </w:rPr>
              <w:t>的备案(</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闽发改备</w:t>
            </w:r>
            <w:r>
              <w:rPr>
                <w:rFonts w:hint="eastAsia" w:cs="Times New Roman"/>
                <w:color w:val="000000" w:themeColor="text1"/>
                <w:sz w:val="24"/>
                <w:szCs w:val="24"/>
                <w:highlight w:val="none"/>
                <w:u w:val="none"/>
                <w:lang w:eastAsia="zh-CN"/>
                <w14:textFill>
                  <w14:solidFill>
                    <w14:schemeClr w14:val="tx1"/>
                  </w14:solidFill>
                </w14:textFill>
              </w:rPr>
              <w:t>〔2025〕</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A060</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3</w:t>
            </w:r>
            <w:r>
              <w:rPr>
                <w:rFonts w:hint="eastAsia" w:cs="Times New Roman"/>
                <w:color w:val="000000" w:themeColor="text1"/>
                <w:sz w:val="24"/>
                <w:szCs w:val="24"/>
                <w:highlight w:val="none"/>
                <w:u w:val="none"/>
                <w:lang w:val="en-US" w:eastAsia="zh-CN"/>
                <w14:textFill>
                  <w14:solidFill>
                    <w14:schemeClr w14:val="tx1"/>
                  </w14:solidFill>
                </w14:textFill>
              </w:rPr>
              <w:t>80</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号，</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u w:val="none"/>
                <w14:textFill>
                  <w14:solidFill>
                    <w14:schemeClr w14:val="tx1"/>
                  </w14:solidFill>
                </w14:textFill>
              </w:rPr>
              <w:t>详见</w:t>
            </w:r>
            <w:r>
              <w:rPr>
                <w:rFonts w:hint="default" w:ascii="Times New Roman" w:hAnsi="Times New Roman" w:eastAsia="宋体" w:cs="Times New Roman"/>
                <w:b/>
                <w:bCs/>
                <w:color w:val="000000" w:themeColor="text1"/>
                <w:spacing w:val="0"/>
                <w:sz w:val="24"/>
                <w:szCs w:val="24"/>
                <w:highlight w:val="none"/>
                <w:u w:val="none"/>
                <w14:textFill>
                  <w14:solidFill>
                    <w14:schemeClr w14:val="tx1"/>
                  </w14:solidFill>
                </w14:textFill>
              </w:rPr>
              <w:t>附件</w:t>
            </w:r>
            <w:r>
              <w:rPr>
                <w:rFonts w:hint="eastAsia" w:cs="Times New Roman"/>
                <w:b/>
                <w:bCs/>
                <w:color w:val="000000" w:themeColor="text1"/>
                <w:spacing w:val="0"/>
                <w:sz w:val="24"/>
                <w:szCs w:val="24"/>
                <w:highlight w:val="none"/>
                <w:u w:val="none"/>
                <w:lang w:val="en-US" w:eastAsia="zh-CN"/>
                <w14:textFill>
                  <w14:solidFill>
                    <w14:schemeClr w14:val="tx1"/>
                  </w14:solidFill>
                </w14:textFill>
              </w:rPr>
              <w:t>四</w:t>
            </w:r>
            <w:r>
              <w:rPr>
                <w:rFonts w:hint="eastAsia" w:cs="Times New Roman"/>
                <w:b w:val="0"/>
                <w:bCs w:val="0"/>
                <w:color w:val="000000" w:themeColor="text1"/>
                <w:spacing w:val="0"/>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u w:val="none"/>
                <w14:textFill>
                  <w14:solidFill>
                    <w14:schemeClr w14:val="tx1"/>
                  </w14:solidFill>
                </w14:textFill>
              </w:rPr>
              <w:t>，因此项目的建设内容符合当前国家</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和地方</w:t>
            </w:r>
            <w:r>
              <w:rPr>
                <w:rFonts w:hint="default" w:ascii="Times New Roman" w:hAnsi="Times New Roman" w:eastAsia="宋体" w:cs="Times New Roman"/>
                <w:color w:val="000000" w:themeColor="text1"/>
                <w:spacing w:val="0"/>
                <w:sz w:val="24"/>
                <w:szCs w:val="24"/>
                <w:highlight w:val="none"/>
                <w:u w:val="none"/>
                <w14:textFill>
                  <w14:solidFill>
                    <w14:schemeClr w14:val="tx1"/>
                  </w14:solidFill>
                </w14:textFill>
              </w:rPr>
              <w:t>的产业政策。</w:t>
            </w:r>
          </w:p>
          <w:p w14:paraId="6F2D044C">
            <w:pPr>
              <w:pStyle w:val="31"/>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pPr>
            <w:bookmarkStart w:id="11" w:name="_Toc26906"/>
            <w:r>
              <w:rPr>
                <w:rFonts w:hint="eastAsia" w:ascii="Times New Roman" w:cs="Times New Roman"/>
                <w:b/>
                <w:color w:val="000000" w:themeColor="text1"/>
                <w:sz w:val="24"/>
                <w:szCs w:val="24"/>
                <w:highlight w:val="none"/>
                <w:u w:val="none"/>
                <w:lang w:val="en-US" w:eastAsia="zh-CN"/>
                <w14:textFill>
                  <w14:solidFill>
                    <w14:schemeClr w14:val="tx1"/>
                  </w14:solidFill>
                </w14:textFill>
              </w:rPr>
              <w:t>2.国土空间规划</w:t>
            </w: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符合性分析</w:t>
            </w:r>
            <w:bookmarkEnd w:id="11"/>
          </w:p>
          <w:p w14:paraId="723638E0">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left"/>
              <w:textAlignment w:val="auto"/>
              <w:rPr>
                <w:rFonts w:hint="default" w:ascii="Times New Roman" w:hAnsi="Times New Roman" w:eastAsia="宋体" w:cs="Times New Roman"/>
                <w:color w:val="000000" w:themeColor="text1"/>
                <w:spacing w:val="0"/>
                <w:sz w:val="24"/>
                <w:szCs w:val="24"/>
                <w:highlight w:val="yellow"/>
                <w:u w:val="none"/>
                <w14:textFill>
                  <w14:solidFill>
                    <w14:schemeClr w14:val="tx1"/>
                  </w14:solidFill>
                </w14:textFill>
              </w:rPr>
            </w:pPr>
            <w:r>
              <w:rPr>
                <w:rFonts w:hint="eastAsia" w:cs="Times New Roman"/>
                <w:color w:val="000000" w:themeColor="text1"/>
                <w:spacing w:val="0"/>
                <w:sz w:val="24"/>
                <w:szCs w:val="24"/>
                <w:highlight w:val="none"/>
                <w:u w:val="none"/>
                <w:lang w:eastAsia="zh-CN"/>
                <w14:textFill>
                  <w14:solidFill>
                    <w14:schemeClr w14:val="tx1"/>
                  </w14:solidFill>
                </w14:textFill>
              </w:rPr>
              <w:t>根据</w:t>
            </w:r>
            <w:r>
              <w:rPr>
                <w:rFonts w:hint="default" w:cs="Times New Roman"/>
                <w:color w:val="000000" w:themeColor="text1"/>
                <w:sz w:val="24"/>
                <w:szCs w:val="24"/>
                <w:highlight w:val="none"/>
                <w:u w:val="none"/>
                <w:lang w:val="en-US" w:eastAsia="zh-CN"/>
                <w14:textFill>
                  <w14:solidFill>
                    <w14:schemeClr w14:val="tx1"/>
                  </w14:solidFill>
                </w14:textFill>
              </w:rPr>
              <w:t>《福清市国土空间总体规划（2021—2035年）》</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本项目</w:t>
            </w:r>
            <w:r>
              <w:rPr>
                <w:rFonts w:hint="default" w:ascii="Times New Roman" w:hAnsi="Times New Roman" w:eastAsia="宋体" w:cs="Times New Roman"/>
                <w:color w:val="auto"/>
                <w:spacing w:val="0"/>
                <w:sz w:val="24"/>
                <w:szCs w:val="24"/>
                <w:highlight w:val="none"/>
                <w:u w:val="none"/>
                <w:lang w:eastAsia="zh-CN"/>
              </w:rPr>
              <w:t>位于</w:t>
            </w:r>
            <w:r>
              <w:rPr>
                <w:rFonts w:hint="eastAsia" w:cs="Times New Roman"/>
                <w:color w:val="auto"/>
                <w:sz w:val="24"/>
                <w:szCs w:val="24"/>
                <w:highlight w:val="none"/>
                <w:lang w:eastAsia="zh-CN"/>
              </w:rPr>
              <w:t>福清融侨经济技术开发区（均和云谷·福清科技港33#厂房）</w:t>
            </w:r>
            <w:r>
              <w:rPr>
                <w:rFonts w:hint="default" w:ascii="Times New Roman" w:hAnsi="Times New Roman" w:eastAsia="宋体" w:cs="Times New Roman"/>
                <w:color w:val="auto"/>
                <w:spacing w:val="0"/>
                <w:sz w:val="24"/>
                <w:szCs w:val="24"/>
                <w:highlight w:val="none"/>
                <w:u w:val="none"/>
                <w:lang w:eastAsia="zh-CN"/>
              </w:rPr>
              <w:t>内，</w:t>
            </w:r>
            <w:r>
              <w:rPr>
                <w:rFonts w:hint="eastAsia" w:cs="Times New Roman"/>
                <w:color w:val="auto"/>
                <w:sz w:val="24"/>
                <w:szCs w:val="24"/>
                <w:highlight w:val="none"/>
                <w:u w:val="none"/>
                <w:lang w:val="en-US" w:eastAsia="zh-CN"/>
              </w:rPr>
              <w:t>位于</w:t>
            </w:r>
            <w:r>
              <w:rPr>
                <w:rFonts w:hint="eastAsia" w:cs="Times New Roman"/>
                <w:color w:val="000000" w:themeColor="text1"/>
                <w:sz w:val="24"/>
                <w:szCs w:val="24"/>
                <w:highlight w:val="none"/>
                <w:u w:val="none"/>
                <w:lang w:val="en-US" w:eastAsia="zh-CN"/>
                <w14:textFill>
                  <w14:solidFill>
                    <w14:schemeClr w14:val="tx1"/>
                  </w14:solidFill>
                </w14:textFill>
              </w:rPr>
              <w:t>城北产业园。主要生产电脑零配件、汽车及电动车零配件、POS机零配件及其他五金配件，符合规划中壮大四大优势产业规划。</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根据</w:t>
            </w:r>
            <w:r>
              <w:rPr>
                <w:rFonts w:hint="eastAsia"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业主</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提供</w:t>
            </w:r>
            <w:r>
              <w:rPr>
                <w:rFonts w:hint="eastAsia" w:cs="Times New Roman"/>
                <w:color w:val="000000" w:themeColor="text1"/>
                <w:spacing w:val="0"/>
                <w:sz w:val="24"/>
                <w:szCs w:val="24"/>
                <w:highlight w:val="none"/>
                <w:u w:val="none"/>
                <w:lang w:val="en-US" w:eastAsia="zh-CN"/>
                <w14:textFill>
                  <w14:solidFill>
                    <w14:schemeClr w14:val="tx1"/>
                  </w14:solidFill>
                </w14:textFill>
              </w:rPr>
              <w:t>资料</w:t>
            </w:r>
            <w:r>
              <w:rPr>
                <w:rFonts w:hint="eastAsia"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均和产业发展（福清）有限公司</w:t>
            </w:r>
            <w:r>
              <w:rPr>
                <w:rFonts w:hint="eastAsia" w:cs="Times New Roman"/>
                <w:color w:val="000000" w:themeColor="text1"/>
                <w:spacing w:val="0"/>
                <w:sz w:val="24"/>
                <w:szCs w:val="24"/>
                <w:highlight w:val="none"/>
                <w:u w:val="none"/>
                <w:lang w:val="en-US" w:eastAsia="zh-CN"/>
                <w14:textFill>
                  <w14:solidFill>
                    <w14:schemeClr w14:val="tx1"/>
                  </w14:solidFill>
                </w14:textFill>
              </w:rPr>
              <w:t>已取得</w:t>
            </w:r>
            <w:r>
              <w:rPr>
                <w:rFonts w:hint="eastAsia"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不动产权证（闽（2022）福清市不动产权第0015820号）</w:t>
            </w:r>
            <w:r>
              <w:rPr>
                <w:rFonts w:hint="eastAsia" w:cs="Times New Roman"/>
                <w:color w:val="000000" w:themeColor="text1"/>
                <w:spacing w:val="0"/>
                <w:sz w:val="24"/>
                <w:szCs w:val="24"/>
                <w:highlight w:val="none"/>
                <w:u w:val="none"/>
                <w:lang w:val="en-US" w:eastAsia="zh-CN"/>
                <w14:textFill>
                  <w14:solidFill>
                    <w14:schemeClr w14:val="tx1"/>
                  </w14:solidFill>
                </w14:textFill>
              </w:rPr>
              <w:t>（厂房购置合同</w:t>
            </w:r>
            <w:r>
              <w:rPr>
                <w:rFonts w:hint="default"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详见</w:t>
            </w:r>
            <w:r>
              <w:rPr>
                <w:rFonts w:hint="default" w:ascii="Times New Roman" w:hAnsi="Times New Roman" w:eastAsia="宋体" w:cs="Times New Roman"/>
                <w:b/>
                <w:bCs/>
                <w:color w:val="000000" w:themeColor="text1"/>
                <w:spacing w:val="0"/>
                <w:sz w:val="24"/>
                <w:szCs w:val="24"/>
                <w:highlight w:val="none"/>
                <w:u w:val="none"/>
                <w:lang w:val="en-US" w:eastAsia="zh-CN"/>
                <w14:textFill>
                  <w14:solidFill>
                    <w14:schemeClr w14:val="tx1"/>
                  </w14:solidFill>
                </w14:textFill>
              </w:rPr>
              <w:t>附件</w:t>
            </w:r>
            <w:r>
              <w:rPr>
                <w:rFonts w:hint="eastAsia" w:cs="Times New Roman"/>
                <w:b/>
                <w:bCs/>
                <w:color w:val="000000" w:themeColor="text1"/>
                <w:spacing w:val="0"/>
                <w:sz w:val="24"/>
                <w:szCs w:val="24"/>
                <w:highlight w:val="none"/>
                <w:u w:val="none"/>
                <w:lang w:val="en-US" w:eastAsia="zh-CN"/>
                <w14:textFill>
                  <w14:solidFill>
                    <w14:schemeClr w14:val="tx1"/>
                  </w14:solidFill>
                </w14:textFill>
              </w:rPr>
              <w:t>五</w:t>
            </w:r>
            <w:r>
              <w:rPr>
                <w:rFonts w:hint="eastAsia" w:cs="Times New Roman"/>
                <w:b w:val="0"/>
                <w:bCs w:val="0"/>
                <w:color w:val="000000" w:themeColor="text1"/>
                <w:spacing w:val="0"/>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，该厂区用地为工业用地，厂房为工业厂房</w:t>
            </w:r>
            <w:r>
              <w:rPr>
                <w:rFonts w:hint="eastAsia" w:cs="Times New Roman"/>
                <w:color w:val="000000" w:themeColor="text1"/>
                <w:spacing w:val="0"/>
                <w:sz w:val="24"/>
                <w:szCs w:val="24"/>
                <w:highlight w:val="none"/>
                <w:u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目前正在办理产权分割。</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因此，项目选址符合</w:t>
            </w:r>
            <w:r>
              <w:rPr>
                <w:rFonts w:hint="eastAsia" w:cs="Times New Roman"/>
                <w:color w:val="000000" w:themeColor="text1"/>
                <w:spacing w:val="0"/>
                <w:sz w:val="24"/>
                <w:szCs w:val="24"/>
                <w:highlight w:val="none"/>
                <w:u w:val="none"/>
                <w:lang w:eastAsia="zh-CN"/>
                <w14:textFill>
                  <w14:solidFill>
                    <w14:schemeClr w14:val="tx1"/>
                  </w14:solidFill>
                </w14:textFill>
              </w:rPr>
              <w:t>国土空间规划</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w:t>
            </w:r>
          </w:p>
          <w:p w14:paraId="77BC4E4B">
            <w:pPr>
              <w:pStyle w:val="31"/>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pPr>
            <w:bookmarkStart w:id="12" w:name="_Toc12021"/>
            <w:r>
              <w:rPr>
                <w:rFonts w:hint="eastAsia" w:ascii="Times New Roman" w:cs="Times New Roman"/>
                <w:b/>
                <w:color w:val="000000" w:themeColor="text1"/>
                <w:sz w:val="24"/>
                <w:szCs w:val="24"/>
                <w:highlight w:val="none"/>
                <w:u w:val="none"/>
                <w:lang w:val="en-US" w:eastAsia="zh-CN"/>
                <w14:textFill>
                  <w14:solidFill>
                    <w14:schemeClr w14:val="tx1"/>
                  </w14:solidFill>
                </w14:textFill>
              </w:rPr>
              <w:t>3.</w:t>
            </w:r>
            <w:r>
              <w:rPr>
                <w:rFonts w:hint="eastAsia"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三线一单</w:t>
            </w:r>
            <w:r>
              <w:rPr>
                <w:rFonts w:hint="eastAsia"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控制要求的符合性分析</w:t>
            </w:r>
            <w:bookmarkEnd w:id="12"/>
          </w:p>
          <w:p w14:paraId="27B57F83">
            <w:pPr>
              <w:pStyle w:val="32"/>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default" w:ascii="Times New Roman" w:hAnsi="Times New Roman" w:eastAsia="宋体" w:cs="Times New Roman"/>
                <w:color w:val="auto"/>
                <w:spacing w:val="0"/>
                <w:w w:val="100"/>
                <w:position w:val="0"/>
                <w:sz w:val="24"/>
                <w:szCs w:val="24"/>
                <w:u w:val="none"/>
              </w:rPr>
              <w:t>根据《关于以改善环境质量为核心加强环境影响评价管理的通知》</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环评〔2016〕150号</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三线一单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即：</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生态保护红线、环境质量底线、资源利用上线和生态环境准入清单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，项目建设应强化</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三线一单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约束作用。</w:t>
            </w:r>
          </w:p>
          <w:p w14:paraId="60324224">
            <w:pPr>
              <w:pStyle w:val="32"/>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eastAsia" w:ascii="Times New Roman" w:hAnsi="Times New Roman" w:cs="Times New Roman"/>
                <w:color w:val="auto"/>
                <w:spacing w:val="0"/>
                <w:w w:val="100"/>
                <w:position w:val="0"/>
                <w:sz w:val="24"/>
                <w:szCs w:val="24"/>
                <w:u w:val="none"/>
                <w:lang w:eastAsia="zh-CN"/>
              </w:rPr>
              <w:t>（</w:t>
            </w:r>
            <w:r>
              <w:rPr>
                <w:rFonts w:hint="eastAsia" w:ascii="Times New Roman" w:hAnsi="Times New Roman" w:cs="Times New Roman"/>
                <w:color w:val="auto"/>
                <w:spacing w:val="0"/>
                <w:w w:val="100"/>
                <w:position w:val="0"/>
                <w:sz w:val="24"/>
                <w:szCs w:val="24"/>
                <w:u w:val="none"/>
                <w:lang w:val="en-US" w:eastAsia="zh-CN"/>
              </w:rPr>
              <w:t>1</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生态保护红线</w:t>
            </w:r>
          </w:p>
          <w:p w14:paraId="3021552D">
            <w:pPr>
              <w:pStyle w:val="32"/>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default" w:ascii="Times New Roman" w:hAnsi="Times New Roman" w:eastAsia="宋体" w:cs="Times New Roman"/>
                <w:color w:val="auto"/>
                <w:spacing w:val="0"/>
                <w:w w:val="100"/>
                <w:position w:val="0"/>
                <w:sz w:val="24"/>
                <w:szCs w:val="24"/>
                <w:u w:val="none"/>
              </w:rPr>
              <w:t>对照《福建省生态</w:t>
            </w:r>
            <w:r>
              <w:rPr>
                <w:rFonts w:hint="default" w:ascii="Times New Roman" w:hAnsi="Times New Roman" w:eastAsia="宋体" w:cs="Times New Roman"/>
                <w:color w:val="000000" w:themeColor="text1"/>
                <w:spacing w:val="0"/>
                <w:w w:val="100"/>
                <w:position w:val="0"/>
                <w:sz w:val="24"/>
                <w:szCs w:val="24"/>
                <w:highlight w:val="none"/>
                <w:u w:val="none"/>
                <w14:textFill>
                  <w14:solidFill>
                    <w14:schemeClr w14:val="tx1"/>
                  </w14:solidFill>
                </w14:textFill>
              </w:rPr>
              <w:t>保护红线划定方案》及其调整方案</w:t>
            </w:r>
            <w:r>
              <w:rPr>
                <w:rFonts w:hint="default" w:ascii="Times New Roman" w:hAnsi="Times New Roman" w:eastAsia="宋体" w:cs="Times New Roman"/>
                <w:color w:val="000000" w:themeColor="text1"/>
                <w:spacing w:val="0"/>
                <w:w w:val="100"/>
                <w:position w:val="0"/>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GB"/>
                <w14:textFill>
                  <w14:solidFill>
                    <w14:schemeClr w14:val="tx1"/>
                  </w14:solidFill>
                </w14:textFill>
              </w:rPr>
              <w:t>《福清市生态功能区划》</w:t>
            </w:r>
            <w:r>
              <w:rPr>
                <w:rFonts w:hint="eastAsia" w:ascii="Times New Roman" w:hAnsi="Times New Roman"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GB"/>
                <w14:textFill>
                  <w14:solidFill>
                    <w14:schemeClr w14:val="tx1"/>
                  </w14:solidFill>
                </w14:textFill>
              </w:rPr>
              <w:t>2003年</w:t>
            </w:r>
            <w:r>
              <w:rPr>
                <w:rFonts w:hint="eastAsia" w:ascii="Times New Roman" w:hAnsi="Times New Roman"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4"/>
                <w:szCs w:val="24"/>
                <w:highlight w:val="none"/>
                <w:u w:val="none"/>
                <w14:textFill>
                  <w14:solidFill>
                    <w14:schemeClr w14:val="tx1"/>
                  </w14:solidFill>
                </w14:textFill>
              </w:rPr>
              <w:t>，本项目</w:t>
            </w:r>
            <w:r>
              <w:rPr>
                <w:rFonts w:hint="default" w:ascii="Times New Roman" w:hAnsi="Times New Roman" w:eastAsia="宋体" w:cs="Times New Roman"/>
                <w:color w:val="auto"/>
                <w:spacing w:val="0"/>
                <w:w w:val="100"/>
                <w:position w:val="0"/>
                <w:sz w:val="24"/>
                <w:szCs w:val="24"/>
                <w:highlight w:val="none"/>
                <w:u w:val="none"/>
              </w:rPr>
              <w:t>位于</w:t>
            </w:r>
            <w:r>
              <w:rPr>
                <w:rFonts w:hint="eastAsia" w:ascii="Times New Roman" w:hAnsi="Times New Roman" w:cs="Times New Roman"/>
                <w:color w:val="auto"/>
                <w:sz w:val="24"/>
                <w:szCs w:val="24"/>
                <w:highlight w:val="none"/>
                <w:lang w:eastAsia="zh-CN"/>
              </w:rPr>
              <w:t>福清融侨经济技术开发区（均和云谷·福清科技港33#厂房）</w:t>
            </w:r>
            <w:r>
              <w:rPr>
                <w:rFonts w:hint="default" w:ascii="Times New Roman" w:hAnsi="Times New Roman" w:eastAsia="宋体" w:cs="Times New Roman"/>
                <w:color w:val="auto"/>
                <w:spacing w:val="0"/>
                <w:sz w:val="24"/>
                <w:szCs w:val="24"/>
                <w:highlight w:val="none"/>
                <w:u w:val="none"/>
                <w:lang w:eastAsia="zh-CN"/>
              </w:rPr>
              <w:t>内</w:t>
            </w:r>
            <w:r>
              <w:rPr>
                <w:rFonts w:hint="default" w:ascii="Times New Roman" w:hAnsi="Times New Roman" w:eastAsia="宋体" w:cs="Times New Roman"/>
                <w:color w:val="auto"/>
                <w:spacing w:val="0"/>
                <w:w w:val="100"/>
                <w:position w:val="0"/>
                <w:sz w:val="24"/>
                <w:szCs w:val="24"/>
                <w:highlight w:val="none"/>
                <w:u w:val="none"/>
              </w:rPr>
              <w:t>。项目周边无国家</w:t>
            </w:r>
            <w:r>
              <w:rPr>
                <w:rFonts w:hint="default" w:ascii="Times New Roman" w:hAnsi="Times New Roman" w:eastAsia="宋体" w:cs="Times New Roman"/>
                <w:color w:val="000000" w:themeColor="text1"/>
                <w:spacing w:val="0"/>
                <w:w w:val="100"/>
                <w:position w:val="0"/>
                <w:sz w:val="24"/>
                <w:szCs w:val="24"/>
                <w:highlight w:val="none"/>
                <w:u w:val="none"/>
                <w14:textFill>
                  <w14:solidFill>
                    <w14:schemeClr w14:val="tx1"/>
                  </w14:solidFill>
                </w14:textFill>
              </w:rPr>
              <w:t>公园</w:t>
            </w:r>
            <w:r>
              <w:rPr>
                <w:rFonts w:hint="default" w:ascii="Times New Roman" w:hAnsi="Times New Roman" w:eastAsia="宋体" w:cs="Times New Roman"/>
                <w:color w:val="auto"/>
                <w:spacing w:val="0"/>
                <w:w w:val="100"/>
                <w:position w:val="0"/>
                <w:sz w:val="24"/>
                <w:szCs w:val="24"/>
                <w:u w:val="none"/>
              </w:rPr>
              <w:t>、自然保护区、森林公园的生态保育区和核心景观区、风景名胜区的核心景区、地质公园的地质遗迹保护区、世界自然遗产的核心区和缓冲区、湿地公园的湿地保育区和恢复重建区、饮用水水源的一级保护区、水产种质资源保护区的核心区和其他需要特别保护或法律法规禁止开发建设的区域。因此，项目建设符合生态红线控制的要求。</w:t>
            </w:r>
          </w:p>
          <w:p w14:paraId="47F5CB0E">
            <w:pPr>
              <w:pStyle w:val="32"/>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eastAsia" w:ascii="Times New Roman" w:hAnsi="Times New Roman" w:cs="Times New Roman"/>
                <w:color w:val="auto"/>
                <w:spacing w:val="0"/>
                <w:w w:val="100"/>
                <w:position w:val="0"/>
                <w:sz w:val="24"/>
                <w:szCs w:val="24"/>
                <w:u w:val="none"/>
                <w:lang w:eastAsia="zh-CN"/>
              </w:rPr>
              <w:t>（</w:t>
            </w:r>
            <w:r>
              <w:rPr>
                <w:rFonts w:hint="eastAsia" w:ascii="Times New Roman" w:hAnsi="Times New Roman" w:cs="Times New Roman"/>
                <w:color w:val="auto"/>
                <w:spacing w:val="0"/>
                <w:w w:val="100"/>
                <w:position w:val="0"/>
                <w:sz w:val="24"/>
                <w:szCs w:val="24"/>
                <w:u w:val="none"/>
                <w:lang w:val="en-US" w:eastAsia="zh-CN"/>
              </w:rPr>
              <w:t>2</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环境质量底线</w:t>
            </w:r>
          </w:p>
          <w:p w14:paraId="2D1D3D58">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pacing w:val="0"/>
                <w:sz w:val="24"/>
                <w:szCs w:val="24"/>
                <w:highlight w:val="none"/>
                <w:u w:val="none"/>
                <w:lang w:eastAsia="zh-CN"/>
              </w:rPr>
            </w:pPr>
            <w:r>
              <w:rPr>
                <w:rFonts w:hint="default" w:ascii="Times New Roman" w:hAnsi="Times New Roman" w:eastAsia="宋体" w:cs="Times New Roman"/>
                <w:color w:val="auto"/>
                <w:spacing w:val="0"/>
                <w:sz w:val="24"/>
                <w:szCs w:val="24"/>
                <w:highlight w:val="none"/>
                <w:u w:val="none"/>
                <w:lang w:eastAsia="zh-CN"/>
              </w:rPr>
              <w:t>项目所在区域环境质量底线：环境空气质量目标为《环境空气质量标准》（GB3095-2012）及修改单中的二级</w:t>
            </w:r>
            <w:r>
              <w:rPr>
                <w:rFonts w:hint="eastAsia" w:ascii="Times New Roman" w:hAnsi="Times New Roman" w:eastAsia="宋体" w:cs="Times New Roman"/>
                <w:color w:val="auto"/>
                <w:spacing w:val="0"/>
                <w:sz w:val="24"/>
                <w:szCs w:val="24"/>
                <w:highlight w:val="none"/>
                <w:u w:val="none"/>
                <w:lang w:eastAsia="zh-CN"/>
              </w:rPr>
              <w:t>标准</w:t>
            </w:r>
            <w:r>
              <w:rPr>
                <w:rFonts w:hint="default" w:ascii="Times New Roman" w:hAnsi="Times New Roman" w:eastAsia="宋体" w:cs="Times New Roman"/>
                <w:color w:val="auto"/>
                <w:spacing w:val="0"/>
                <w:sz w:val="24"/>
                <w:szCs w:val="24"/>
                <w:highlight w:val="none"/>
                <w:u w:val="none"/>
                <w:lang w:eastAsia="zh-CN"/>
              </w:rPr>
              <w:t>；</w:t>
            </w:r>
            <w:r>
              <w:rPr>
                <w:rFonts w:hint="eastAsia" w:ascii="Times New Roman" w:hAnsi="Times New Roman" w:eastAsia="宋体" w:cs="Times New Roman"/>
                <w:color w:val="auto"/>
                <w:spacing w:val="0"/>
                <w:sz w:val="24"/>
                <w:szCs w:val="24"/>
                <w:highlight w:val="none"/>
                <w:u w:val="none"/>
                <w:lang w:eastAsia="zh-CN"/>
              </w:rPr>
              <w:t>周边</w:t>
            </w:r>
            <w:r>
              <w:rPr>
                <w:rFonts w:hint="eastAsia" w:cs="Times New Roman"/>
                <w:color w:val="auto"/>
                <w:spacing w:val="0"/>
                <w:sz w:val="24"/>
                <w:szCs w:val="24"/>
                <w:highlight w:val="none"/>
                <w:u w:val="none"/>
                <w:lang w:eastAsia="zh-CN"/>
              </w:rPr>
              <w:t>溪畔河</w:t>
            </w:r>
            <w:r>
              <w:rPr>
                <w:rFonts w:hint="eastAsia" w:ascii="Times New Roman" w:hAnsi="Times New Roman" w:eastAsia="宋体" w:cs="Times New Roman"/>
                <w:color w:val="auto"/>
                <w:spacing w:val="0"/>
                <w:sz w:val="24"/>
                <w:szCs w:val="24"/>
                <w:highlight w:val="none"/>
                <w:u w:val="none"/>
                <w:lang w:eastAsia="zh-CN"/>
              </w:rPr>
              <w:t>地表水环境质量目标为《地表水环境质量标准》（</w:t>
            </w:r>
            <w:r>
              <w:rPr>
                <w:rFonts w:hint="default" w:ascii="Times New Roman" w:hAnsi="Times New Roman" w:eastAsia="宋体" w:cs="Times New Roman"/>
                <w:color w:val="auto"/>
                <w:spacing w:val="0"/>
                <w:sz w:val="24"/>
                <w:szCs w:val="24"/>
                <w:highlight w:val="none"/>
                <w:u w:val="none"/>
                <w:lang w:eastAsia="zh-CN"/>
              </w:rPr>
              <w:t>GB3838-2002</w:t>
            </w:r>
            <w:r>
              <w:rPr>
                <w:rFonts w:hint="eastAsia" w:ascii="Times New Roman" w:hAnsi="Times New Roman" w:eastAsia="宋体" w:cs="Times New Roman"/>
                <w:color w:val="auto"/>
                <w:spacing w:val="0"/>
                <w:sz w:val="24"/>
                <w:szCs w:val="24"/>
                <w:highlight w:val="none"/>
                <w:u w:val="none"/>
                <w:lang w:eastAsia="zh-CN"/>
              </w:rPr>
              <w:t>）中</w:t>
            </w:r>
            <w:r>
              <w:rPr>
                <w:rFonts w:hint="default" w:ascii="Times New Roman" w:hAnsi="Times New Roman" w:eastAsia="宋体" w:cs="Times New Roman"/>
                <w:color w:val="auto"/>
                <w:spacing w:val="0"/>
                <w:sz w:val="24"/>
                <w:szCs w:val="24"/>
                <w:highlight w:val="none"/>
                <w:u w:val="none"/>
                <w:lang w:eastAsia="zh-CN"/>
              </w:rPr>
              <w:t>Ⅳ</w:t>
            </w:r>
            <w:r>
              <w:rPr>
                <w:rFonts w:hint="eastAsia" w:ascii="Times New Roman" w:hAnsi="Times New Roman" w:eastAsia="宋体" w:cs="Times New Roman"/>
                <w:color w:val="auto"/>
                <w:spacing w:val="0"/>
                <w:sz w:val="24"/>
                <w:szCs w:val="24"/>
                <w:highlight w:val="none"/>
                <w:u w:val="none"/>
                <w:lang w:eastAsia="zh-CN"/>
              </w:rPr>
              <w:t>类水质标准</w:t>
            </w:r>
            <w:r>
              <w:rPr>
                <w:rFonts w:hint="default" w:ascii="Times New Roman" w:hAnsi="Times New Roman" w:eastAsia="宋体" w:cs="Times New Roman"/>
                <w:color w:val="auto"/>
                <w:spacing w:val="0"/>
                <w:sz w:val="24"/>
                <w:szCs w:val="24"/>
                <w:highlight w:val="none"/>
                <w:u w:val="none"/>
                <w:lang w:eastAsia="zh-CN"/>
              </w:rPr>
              <w:t>；声环境质量目标为《声环境质量标准》（GB3096-2008）</w:t>
            </w:r>
            <w:r>
              <w:rPr>
                <w:rFonts w:hint="eastAsia" w:ascii="Times New Roman" w:hAnsi="Times New Roman" w:eastAsia="宋体" w:cs="Times New Roman"/>
                <w:color w:val="auto"/>
                <w:spacing w:val="0"/>
                <w:sz w:val="24"/>
                <w:szCs w:val="24"/>
                <w:highlight w:val="none"/>
                <w:u w:val="none"/>
                <w:lang w:eastAsia="zh-CN"/>
              </w:rPr>
              <w:t>3</w:t>
            </w:r>
            <w:r>
              <w:rPr>
                <w:rFonts w:hint="default" w:ascii="Times New Roman" w:hAnsi="Times New Roman" w:eastAsia="宋体" w:cs="Times New Roman"/>
                <w:color w:val="auto"/>
                <w:spacing w:val="0"/>
                <w:sz w:val="24"/>
                <w:szCs w:val="24"/>
                <w:highlight w:val="none"/>
                <w:u w:val="none"/>
                <w:lang w:eastAsia="zh-CN"/>
              </w:rPr>
              <w:t>类</w:t>
            </w:r>
            <w:r>
              <w:rPr>
                <w:rFonts w:hint="eastAsia" w:ascii="Times New Roman" w:hAnsi="Times New Roman" w:eastAsia="宋体" w:cs="Times New Roman"/>
                <w:color w:val="auto"/>
                <w:spacing w:val="0"/>
                <w:sz w:val="24"/>
                <w:szCs w:val="24"/>
                <w:highlight w:val="none"/>
                <w:u w:val="none"/>
                <w:lang w:eastAsia="zh-CN"/>
              </w:rPr>
              <w:t>。</w:t>
            </w:r>
          </w:p>
          <w:p w14:paraId="067DED1F">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left"/>
              <w:textAlignment w:val="auto"/>
              <w:rPr>
                <w:rFonts w:hint="default" w:ascii="Times New Roman" w:hAnsi="Times New Roman" w:eastAsia="宋体" w:cs="Times New Roman"/>
                <w:color w:val="auto"/>
                <w:spacing w:val="0"/>
                <w:sz w:val="24"/>
                <w:szCs w:val="24"/>
                <w:highlight w:val="none"/>
                <w:u w:val="none"/>
                <w:lang w:eastAsia="zh-CN"/>
              </w:rPr>
            </w:pPr>
            <w:r>
              <w:rPr>
                <w:rFonts w:hint="eastAsia" w:cs="Times New Roman"/>
                <w:color w:val="auto"/>
                <w:spacing w:val="0"/>
                <w:sz w:val="24"/>
                <w:szCs w:val="24"/>
                <w:highlight w:val="none"/>
                <w:u w:val="none"/>
                <w:lang w:val="en-US" w:eastAsia="zh-CN"/>
              </w:rPr>
              <w:t>本项目</w:t>
            </w:r>
            <w:r>
              <w:rPr>
                <w:rFonts w:hint="default" w:ascii="Times New Roman" w:hAnsi="Times New Roman" w:eastAsia="宋体" w:cs="Times New Roman"/>
                <w:color w:val="auto"/>
                <w:sz w:val="24"/>
                <w:szCs w:val="24"/>
                <w:u w:val="none"/>
                <w:vertAlign w:val="baseline"/>
                <w:lang w:eastAsia="zh-CN"/>
              </w:rPr>
              <w:t>运营期</w:t>
            </w:r>
            <w:r>
              <w:rPr>
                <w:rFonts w:hint="eastAsia" w:cs="Times New Roman"/>
                <w:color w:val="auto"/>
                <w:sz w:val="24"/>
                <w:szCs w:val="24"/>
                <w:u w:val="none"/>
                <w:vertAlign w:val="baseline"/>
                <w:lang w:val="en-US" w:eastAsia="zh-CN"/>
              </w:rPr>
              <w:t>生产废水为压铸机间接冷却水经冷却塔冷却后循环使用，产品水洗产生废水、研磨工序冷却水经循环水处理设备处理后循环使用。因此，本项目无生产废水排放。</w:t>
            </w:r>
            <w:r>
              <w:rPr>
                <w:rFonts w:hint="eastAsia" w:cs="Times New Roman"/>
                <w:color w:val="auto"/>
                <w:spacing w:val="0"/>
                <w:sz w:val="24"/>
                <w:szCs w:val="24"/>
                <w:highlight w:val="none"/>
                <w:u w:val="none"/>
                <w:lang w:val="en-US" w:eastAsia="zh-CN"/>
              </w:rPr>
              <w:t>生活污水园区内化粪池</w:t>
            </w:r>
            <w:r>
              <w:rPr>
                <w:rFonts w:hint="eastAsia" w:ascii="Times New Roman" w:hAnsi="Times New Roman" w:eastAsia="宋体" w:cs="Times New Roman"/>
                <w:color w:val="auto"/>
                <w:spacing w:val="0"/>
                <w:sz w:val="24"/>
                <w:szCs w:val="24"/>
                <w:highlight w:val="none"/>
                <w:u w:val="none"/>
                <w:lang w:eastAsia="zh-CN"/>
              </w:rPr>
              <w:t>处理达标</w:t>
            </w:r>
            <w:r>
              <w:rPr>
                <w:rFonts w:hint="default" w:ascii="Times New Roman" w:hAnsi="Times New Roman" w:eastAsia="宋体" w:cs="Times New Roman"/>
                <w:color w:val="auto"/>
                <w:spacing w:val="0"/>
                <w:sz w:val="24"/>
                <w:szCs w:val="24"/>
                <w:highlight w:val="none"/>
                <w:u w:val="none"/>
                <w:lang w:eastAsia="zh-CN"/>
              </w:rPr>
              <w:t>后，</w:t>
            </w:r>
            <w:r>
              <w:rPr>
                <w:rFonts w:hint="eastAsia" w:ascii="Times New Roman" w:hAnsi="Times New Roman" w:eastAsia="宋体" w:cs="Times New Roman"/>
                <w:color w:val="auto"/>
                <w:spacing w:val="0"/>
                <w:sz w:val="24"/>
                <w:szCs w:val="24"/>
                <w:highlight w:val="none"/>
                <w:u w:val="none"/>
                <w:lang w:eastAsia="zh-CN"/>
              </w:rPr>
              <w:t>接入市政污水管网，纳入福清市融元污水处理厂进行集中</w:t>
            </w:r>
            <w:r>
              <w:rPr>
                <w:rFonts w:hint="default" w:ascii="Times New Roman" w:hAnsi="Times New Roman" w:eastAsia="宋体" w:cs="Times New Roman"/>
                <w:color w:val="auto"/>
                <w:spacing w:val="0"/>
                <w:sz w:val="24"/>
                <w:szCs w:val="24"/>
                <w:highlight w:val="none"/>
                <w:u w:val="none"/>
                <w:lang w:eastAsia="zh-CN"/>
              </w:rPr>
              <w:t>处理</w:t>
            </w:r>
            <w:r>
              <w:rPr>
                <w:rFonts w:hint="eastAsia" w:ascii="Times New Roman" w:hAnsi="Times New Roman" w:eastAsia="宋体" w:cs="Times New Roman"/>
                <w:color w:val="auto"/>
                <w:spacing w:val="0"/>
                <w:sz w:val="24"/>
                <w:szCs w:val="24"/>
                <w:highlight w:val="none"/>
                <w:u w:val="none"/>
                <w:lang w:eastAsia="zh-CN"/>
              </w:rPr>
              <w:t>。产生的废水均不直接进入水体，</w:t>
            </w:r>
            <w:r>
              <w:rPr>
                <w:rFonts w:hint="default" w:ascii="Times New Roman" w:hAnsi="Times New Roman" w:eastAsia="宋体" w:cs="Times New Roman"/>
                <w:color w:val="auto"/>
                <w:spacing w:val="0"/>
                <w:sz w:val="24"/>
                <w:szCs w:val="24"/>
                <w:highlight w:val="none"/>
                <w:u w:val="none"/>
                <w:lang w:eastAsia="zh-CN"/>
              </w:rPr>
              <w:t>对区域水环境影响不大</w:t>
            </w:r>
            <w:r>
              <w:rPr>
                <w:rFonts w:hint="eastAsia" w:ascii="Times New Roman" w:hAnsi="Times New Roman" w:eastAsia="宋体" w:cs="Times New Roman"/>
                <w:color w:val="auto"/>
                <w:spacing w:val="0"/>
                <w:sz w:val="24"/>
                <w:szCs w:val="24"/>
                <w:highlight w:val="none"/>
                <w:u w:val="none"/>
                <w:lang w:eastAsia="zh-CN"/>
              </w:rPr>
              <w:t>。产生的废气采取相应的废气治理措施处理后达标排放，对周边环境的影响可接受。在采取隔声、降噪、减振以及合理布局等相应的噪声治理措施后</w:t>
            </w:r>
            <w:r>
              <w:rPr>
                <w:rFonts w:hint="default" w:ascii="Times New Roman" w:hAnsi="Times New Roman" w:eastAsia="宋体" w:cs="Times New Roman"/>
                <w:color w:val="auto"/>
                <w:spacing w:val="0"/>
                <w:sz w:val="24"/>
                <w:szCs w:val="24"/>
                <w:highlight w:val="none"/>
                <w:u w:val="none"/>
                <w:lang w:eastAsia="zh-CN"/>
              </w:rPr>
              <w:t>，</w:t>
            </w:r>
            <w:r>
              <w:rPr>
                <w:rFonts w:hint="eastAsia" w:ascii="Times New Roman" w:hAnsi="Times New Roman" w:eastAsia="宋体" w:cs="Times New Roman"/>
                <w:color w:val="auto"/>
                <w:spacing w:val="0"/>
                <w:sz w:val="24"/>
                <w:szCs w:val="24"/>
                <w:highlight w:val="none"/>
                <w:u w:val="none"/>
                <w:lang w:eastAsia="zh-CN"/>
              </w:rPr>
              <w:t>噪声源对</w:t>
            </w:r>
            <w:r>
              <w:rPr>
                <w:rFonts w:hint="default" w:ascii="Times New Roman" w:hAnsi="Times New Roman" w:eastAsia="宋体" w:cs="Times New Roman"/>
                <w:color w:val="auto"/>
                <w:spacing w:val="0"/>
                <w:sz w:val="24"/>
                <w:szCs w:val="24"/>
                <w:highlight w:val="none"/>
                <w:u w:val="none"/>
                <w:lang w:eastAsia="zh-CN"/>
              </w:rPr>
              <w:t>厂界的贡献值</w:t>
            </w:r>
            <w:r>
              <w:rPr>
                <w:rFonts w:hint="eastAsia" w:ascii="Times New Roman" w:hAnsi="Times New Roman" w:eastAsia="宋体" w:cs="Times New Roman"/>
                <w:color w:val="auto"/>
                <w:spacing w:val="0"/>
                <w:sz w:val="24"/>
                <w:szCs w:val="24"/>
                <w:highlight w:val="none"/>
                <w:u w:val="none"/>
                <w:lang w:eastAsia="zh-CN"/>
              </w:rPr>
              <w:t>可以满足噪声排放标准限值要求</w:t>
            </w:r>
            <w:r>
              <w:rPr>
                <w:rFonts w:hint="default" w:ascii="Times New Roman" w:hAnsi="Times New Roman" w:eastAsia="宋体" w:cs="Times New Roman"/>
                <w:color w:val="auto"/>
                <w:spacing w:val="0"/>
                <w:sz w:val="24"/>
                <w:szCs w:val="24"/>
                <w:highlight w:val="none"/>
                <w:u w:val="none"/>
                <w:lang w:eastAsia="zh-CN"/>
              </w:rPr>
              <w:t>。</w:t>
            </w:r>
            <w:r>
              <w:rPr>
                <w:rFonts w:hint="eastAsia" w:ascii="Times New Roman" w:hAnsi="Times New Roman" w:eastAsia="宋体" w:cs="Times New Roman"/>
                <w:color w:val="auto"/>
                <w:spacing w:val="0"/>
                <w:sz w:val="24"/>
                <w:szCs w:val="24"/>
                <w:highlight w:val="none"/>
                <w:u w:val="none"/>
                <w:lang w:eastAsia="zh-CN"/>
              </w:rPr>
              <w:t>全厂</w:t>
            </w:r>
            <w:r>
              <w:rPr>
                <w:rFonts w:hint="default" w:ascii="Times New Roman" w:hAnsi="Times New Roman" w:eastAsia="宋体" w:cs="Times New Roman"/>
                <w:color w:val="auto"/>
                <w:spacing w:val="0"/>
                <w:sz w:val="24"/>
                <w:szCs w:val="24"/>
                <w:highlight w:val="none"/>
                <w:u w:val="none"/>
                <w:lang w:eastAsia="zh-CN"/>
              </w:rPr>
              <w:t>各类固废均得到合理处置</w:t>
            </w:r>
            <w:r>
              <w:rPr>
                <w:rFonts w:hint="eastAsia" w:ascii="Times New Roman" w:hAnsi="Times New Roman" w:eastAsia="宋体" w:cs="Times New Roman"/>
                <w:color w:val="auto"/>
                <w:spacing w:val="0"/>
                <w:sz w:val="24"/>
                <w:szCs w:val="24"/>
                <w:highlight w:val="none"/>
                <w:u w:val="none"/>
                <w:lang w:eastAsia="zh-CN"/>
              </w:rPr>
              <w:t>，</w:t>
            </w:r>
            <w:r>
              <w:rPr>
                <w:rFonts w:hint="default" w:ascii="Times New Roman" w:hAnsi="Times New Roman" w:eastAsia="宋体" w:cs="Times New Roman"/>
                <w:color w:val="auto"/>
                <w:spacing w:val="0"/>
                <w:sz w:val="24"/>
                <w:szCs w:val="24"/>
                <w:highlight w:val="none"/>
                <w:u w:val="none"/>
                <w:lang w:eastAsia="zh-CN"/>
              </w:rPr>
              <w:t>不会对周边环境产生影响。</w:t>
            </w:r>
            <w:r>
              <w:rPr>
                <w:rFonts w:hint="eastAsia" w:ascii="Times New Roman" w:hAnsi="Times New Roman" w:eastAsia="宋体" w:cs="Times New Roman"/>
                <w:color w:val="auto"/>
                <w:spacing w:val="0"/>
                <w:sz w:val="24"/>
                <w:szCs w:val="24"/>
                <w:highlight w:val="none"/>
                <w:u w:val="none"/>
                <w:lang w:eastAsia="zh-CN"/>
              </w:rPr>
              <w:t>因此，在</w:t>
            </w:r>
            <w:r>
              <w:rPr>
                <w:rFonts w:hint="default" w:ascii="Times New Roman" w:hAnsi="Times New Roman" w:eastAsia="宋体" w:cs="Times New Roman"/>
                <w:color w:val="auto"/>
                <w:spacing w:val="0"/>
                <w:sz w:val="24"/>
                <w:szCs w:val="24"/>
                <w:highlight w:val="none"/>
                <w:u w:val="none"/>
                <w:lang w:eastAsia="zh-CN"/>
              </w:rPr>
              <w:t>采取相关</w:t>
            </w:r>
            <w:r>
              <w:rPr>
                <w:rFonts w:hint="eastAsia" w:ascii="Times New Roman" w:hAnsi="Times New Roman" w:eastAsia="宋体" w:cs="Times New Roman"/>
                <w:color w:val="auto"/>
                <w:spacing w:val="0"/>
                <w:sz w:val="24"/>
                <w:szCs w:val="24"/>
                <w:highlight w:val="none"/>
                <w:u w:val="none"/>
                <w:lang w:eastAsia="zh-CN"/>
              </w:rPr>
              <w:t>污染</w:t>
            </w:r>
            <w:r>
              <w:rPr>
                <w:rFonts w:hint="default" w:ascii="Times New Roman" w:hAnsi="Times New Roman" w:eastAsia="宋体" w:cs="Times New Roman"/>
                <w:color w:val="auto"/>
                <w:spacing w:val="0"/>
                <w:sz w:val="24"/>
                <w:szCs w:val="24"/>
                <w:highlight w:val="none"/>
                <w:u w:val="none"/>
                <w:lang w:eastAsia="zh-CN"/>
              </w:rPr>
              <w:t>防治</w:t>
            </w:r>
            <w:r>
              <w:rPr>
                <w:rFonts w:hint="eastAsia" w:ascii="Times New Roman" w:hAnsi="Times New Roman" w:eastAsia="宋体" w:cs="Times New Roman"/>
                <w:color w:val="auto"/>
                <w:spacing w:val="0"/>
                <w:sz w:val="24"/>
                <w:szCs w:val="24"/>
                <w:highlight w:val="none"/>
                <w:u w:val="none"/>
                <w:lang w:eastAsia="zh-CN"/>
              </w:rPr>
              <w:t>治理</w:t>
            </w:r>
            <w:r>
              <w:rPr>
                <w:rFonts w:hint="default" w:ascii="Times New Roman" w:hAnsi="Times New Roman" w:eastAsia="宋体" w:cs="Times New Roman"/>
                <w:color w:val="auto"/>
                <w:spacing w:val="0"/>
                <w:sz w:val="24"/>
                <w:szCs w:val="24"/>
                <w:highlight w:val="none"/>
                <w:u w:val="none"/>
                <w:lang w:eastAsia="zh-CN"/>
              </w:rPr>
              <w:t>措施后，项目排放的污染物不会突破区域的环境质量底线。因此，项目建设符合环境功能规划。</w:t>
            </w:r>
          </w:p>
          <w:p w14:paraId="090D1073">
            <w:pPr>
              <w:pStyle w:val="32"/>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auto"/>
                <w:spacing w:val="0"/>
                <w:w w:val="100"/>
                <w:position w:val="0"/>
                <w:sz w:val="24"/>
                <w:szCs w:val="24"/>
                <w:u w:val="none"/>
              </w:rPr>
            </w:pPr>
            <w:r>
              <w:rPr>
                <w:rFonts w:hint="eastAsia" w:ascii="Times New Roman" w:hAnsi="Times New Roman" w:cs="Times New Roman"/>
                <w:color w:val="auto"/>
                <w:spacing w:val="0"/>
                <w:w w:val="100"/>
                <w:position w:val="0"/>
                <w:sz w:val="24"/>
                <w:szCs w:val="24"/>
                <w:u w:val="none"/>
                <w:lang w:eastAsia="zh-CN"/>
              </w:rPr>
              <w:t>（</w:t>
            </w:r>
            <w:r>
              <w:rPr>
                <w:rFonts w:hint="eastAsia" w:ascii="Times New Roman" w:hAnsi="Times New Roman" w:cs="Times New Roman"/>
                <w:color w:val="auto"/>
                <w:spacing w:val="0"/>
                <w:w w:val="100"/>
                <w:position w:val="0"/>
                <w:sz w:val="24"/>
                <w:szCs w:val="24"/>
                <w:u w:val="none"/>
                <w:lang w:val="en-US" w:eastAsia="zh-CN"/>
              </w:rPr>
              <w:t>3</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资源利用上线：项目用电为区域集中供应，项目的水、气等资源利用不会突破区域的资源利用上线。本项目使用电能作为主要消耗能源，电能属于清洁能源。</w:t>
            </w:r>
            <w:r>
              <w:rPr>
                <w:rFonts w:hint="eastAsia"/>
                <w:color w:val="000000"/>
                <w:szCs w:val="21"/>
              </w:rPr>
              <w:t>项目资源的消耗量不大，不属于高耗能资源消耗型企业。项目建成运行后通过内部管理、设备选择、原辅材料的选用和管理、污染治理等多方面采取合理、可行、有效的防治措施，以“节能、降耗、减污”为目标，可有效控制污染及资源利用水平。项目不会突破区域资源利用</w:t>
            </w:r>
            <w:r>
              <w:rPr>
                <w:rFonts w:hint="eastAsia"/>
                <w:color w:val="000000"/>
                <w:szCs w:val="21"/>
                <w:lang w:eastAsia="zh-CN"/>
              </w:rPr>
              <w:t>上限</w:t>
            </w:r>
          </w:p>
          <w:p w14:paraId="5A28027A">
            <w:pPr>
              <w:pStyle w:val="32"/>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auto"/>
                <w:spacing w:val="0"/>
                <w:w w:val="100"/>
                <w:position w:val="0"/>
                <w:sz w:val="24"/>
                <w:szCs w:val="24"/>
                <w:u w:val="none"/>
              </w:rPr>
            </w:pPr>
            <w:r>
              <w:rPr>
                <w:rFonts w:hint="eastAsia" w:ascii="Times New Roman" w:hAnsi="Times New Roman" w:cs="Times New Roman"/>
                <w:color w:val="auto"/>
                <w:spacing w:val="0"/>
                <w:w w:val="100"/>
                <w:position w:val="0"/>
                <w:sz w:val="24"/>
                <w:szCs w:val="24"/>
                <w:u w:val="none"/>
                <w:lang w:eastAsia="zh-CN"/>
              </w:rPr>
              <w:t>（</w:t>
            </w:r>
            <w:r>
              <w:rPr>
                <w:rFonts w:hint="eastAsia" w:ascii="Times New Roman" w:hAnsi="Times New Roman" w:cs="Times New Roman"/>
                <w:color w:val="auto"/>
                <w:spacing w:val="0"/>
                <w:w w:val="100"/>
                <w:position w:val="0"/>
                <w:sz w:val="24"/>
                <w:szCs w:val="24"/>
                <w:u w:val="none"/>
                <w:lang w:val="en-US" w:eastAsia="zh-CN"/>
              </w:rPr>
              <w:t>4</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环境准入负面清单</w:t>
            </w:r>
          </w:p>
          <w:p w14:paraId="6371B513">
            <w:pPr>
              <w:pStyle w:val="32"/>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000000" w:themeColor="text1"/>
                <w:spacing w:val="0"/>
                <w:w w:val="100"/>
                <w:position w:val="0"/>
                <w:sz w:val="24"/>
                <w:szCs w:val="24"/>
                <w:highlight w:val="none"/>
                <w:u w:val="none"/>
                <w:lang w:eastAsia="zh-CN"/>
                <w14:textFill>
                  <w14:solidFill>
                    <w14:schemeClr w14:val="tx1"/>
                  </w14:solidFill>
                </w14:textFill>
              </w:rPr>
            </w:pPr>
            <w:r>
              <w:rPr>
                <w:rFonts w:hint="default" w:ascii="Times New Roman" w:hAnsi="Times New Roman" w:eastAsia="宋体" w:cs="Times New Roman"/>
                <w:color w:val="auto"/>
                <w:spacing w:val="0"/>
                <w:w w:val="100"/>
                <w:position w:val="0"/>
                <w:sz w:val="24"/>
                <w:szCs w:val="24"/>
                <w:u w:val="none"/>
              </w:rPr>
              <w:t>本项目不属于《</w:t>
            </w:r>
            <w:r>
              <w:rPr>
                <w:rFonts w:hint="default" w:ascii="Times New Roman" w:hAnsi="Times New Roman" w:eastAsia="宋体" w:cs="Times New Roman"/>
                <w:color w:val="auto"/>
                <w:spacing w:val="0"/>
                <w:w w:val="100"/>
                <w:position w:val="0"/>
                <w:sz w:val="24"/>
                <w:szCs w:val="24"/>
                <w:u w:val="none"/>
                <w:lang w:eastAsia="zh-CN"/>
              </w:rPr>
              <w:t>产业结构调整指导目录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lang w:val="en-US" w:eastAsia="zh-CN"/>
              </w:rPr>
              <w:t>2024</w:t>
            </w:r>
            <w:r>
              <w:rPr>
                <w:rFonts w:hint="eastAsia" w:ascii="Times New Roman" w:hAnsi="Times New Roman" w:cs="Times New Roman"/>
                <w:color w:val="auto"/>
                <w:spacing w:val="0"/>
                <w:w w:val="100"/>
                <w:position w:val="0"/>
                <w:sz w:val="24"/>
                <w:szCs w:val="24"/>
                <w:u w:val="none"/>
                <w:lang w:val="en-US" w:eastAsia="zh-CN"/>
              </w:rPr>
              <w:t>）</w:t>
            </w:r>
            <w:r>
              <w:rPr>
                <w:rFonts w:hint="default" w:ascii="Times New Roman" w:hAnsi="Times New Roman" w:eastAsia="宋体" w:cs="Times New Roman"/>
                <w:color w:val="auto"/>
                <w:spacing w:val="0"/>
                <w:w w:val="100"/>
                <w:position w:val="0"/>
                <w:sz w:val="24"/>
                <w:szCs w:val="24"/>
                <w:u w:val="none"/>
              </w:rPr>
              <w:t>》中限制或淘汰类；满足《市场准入负面清单草案</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试点版</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发改经体〔2016〕442号</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；项目无行业准入条件；不属于《福建省人民政府关于加强重点流域水环境</w:t>
            </w:r>
            <w:r>
              <w:rPr>
                <w:rFonts w:hint="default" w:ascii="Times New Roman" w:hAnsi="Times New Roman" w:eastAsia="宋体" w:cs="Times New Roman"/>
                <w:color w:val="auto"/>
                <w:spacing w:val="0"/>
                <w:w w:val="100"/>
                <w:position w:val="0"/>
                <w:sz w:val="24"/>
                <w:szCs w:val="24"/>
                <w:u w:val="none"/>
                <w:lang w:eastAsia="zh-CN"/>
              </w:rPr>
              <w:t>综合</w:t>
            </w:r>
            <w:r>
              <w:rPr>
                <w:rFonts w:hint="default" w:ascii="Times New Roman" w:hAnsi="Times New Roman" w:eastAsia="宋体" w:cs="Times New Roman"/>
                <w:color w:val="auto"/>
                <w:spacing w:val="0"/>
                <w:w w:val="100"/>
                <w:position w:val="0"/>
                <w:sz w:val="24"/>
                <w:szCs w:val="24"/>
                <w:u w:val="none"/>
              </w:rPr>
              <w:t>整治的意见》中禁止的产业；满足《福建省工业建设项目投资强度控制指标》相关要求；</w:t>
            </w:r>
            <w:r>
              <w:rPr>
                <w:rFonts w:hint="default" w:ascii="Times New Roman" w:hAnsi="Times New Roman" w:eastAsia="宋体" w:cs="Times New Roman"/>
                <w:color w:val="auto"/>
                <w:sz w:val="24"/>
                <w:szCs w:val="24"/>
                <w:u w:val="none"/>
                <w:lang w:eastAsia="zh-CN"/>
              </w:rPr>
              <w:t>项目符合国家产业政策，符合《福建省人民政府关于实施</w:t>
            </w:r>
            <w:r>
              <w:rPr>
                <w:rFonts w:hint="eastAsia" w:ascii="Times New Roman" w:hAnsi="Times New Roman" w:cs="Times New Roman"/>
                <w:color w:val="auto"/>
                <w:sz w:val="24"/>
                <w:szCs w:val="24"/>
                <w:u w:val="none"/>
                <w:lang w:eastAsia="zh-CN"/>
              </w:rPr>
              <w:t>“</w:t>
            </w:r>
            <w:r>
              <w:rPr>
                <w:rFonts w:hint="default" w:ascii="Times New Roman" w:hAnsi="Times New Roman" w:eastAsia="宋体" w:cs="Times New Roman"/>
                <w:color w:val="auto"/>
                <w:sz w:val="24"/>
                <w:szCs w:val="24"/>
                <w:u w:val="none"/>
                <w:lang w:eastAsia="zh-CN"/>
              </w:rPr>
              <w:t>三线一单</w:t>
            </w:r>
            <w:r>
              <w:rPr>
                <w:rFonts w:hint="eastAsia" w:ascii="Times New Roman" w:hAnsi="Times New Roman" w:cs="Times New Roman"/>
                <w:color w:val="auto"/>
                <w:sz w:val="24"/>
                <w:szCs w:val="24"/>
                <w:u w:val="none"/>
                <w:lang w:eastAsia="zh-CN"/>
              </w:rPr>
              <w:t>”</w:t>
            </w:r>
            <w:r>
              <w:rPr>
                <w:rFonts w:hint="default" w:ascii="Times New Roman" w:hAnsi="Times New Roman" w:eastAsia="宋体" w:cs="Times New Roman"/>
                <w:color w:val="auto"/>
                <w:sz w:val="24"/>
                <w:szCs w:val="24"/>
                <w:u w:val="none"/>
                <w:lang w:eastAsia="zh-CN"/>
              </w:rPr>
              <w:t>生态环境分区管控的通知</w:t>
            </w:r>
            <w:r>
              <w:rPr>
                <w:rFonts w:hint="eastAsia" w:ascii="Times New Roman" w:hAnsi="Times New Roman" w:cs="Times New Roman"/>
                <w:color w:val="auto"/>
                <w:sz w:val="24"/>
                <w:szCs w:val="24"/>
                <w:u w:val="none"/>
                <w:lang w:eastAsia="zh-CN"/>
              </w:rPr>
              <w:t>（</w:t>
            </w:r>
            <w:r>
              <w:rPr>
                <w:rFonts w:hint="default" w:ascii="Times New Roman" w:hAnsi="Times New Roman" w:eastAsia="宋体" w:cs="Times New Roman"/>
                <w:color w:val="auto"/>
                <w:sz w:val="24"/>
                <w:szCs w:val="24"/>
                <w:u w:val="none"/>
                <w:lang w:eastAsia="zh-CN"/>
              </w:rPr>
              <w:t>闽政〔2020〕12号</w:t>
            </w:r>
            <w:r>
              <w:rPr>
                <w:rFonts w:hint="eastAsia" w:ascii="Times New Roman" w:hAnsi="Times New Roman" w:cs="Times New Roman"/>
                <w:color w:val="auto"/>
                <w:sz w:val="24"/>
                <w:szCs w:val="24"/>
                <w:u w:val="none"/>
                <w:lang w:eastAsia="zh-CN"/>
              </w:rPr>
              <w:t>）</w:t>
            </w:r>
            <w:r>
              <w:rPr>
                <w:rFonts w:hint="default" w:ascii="Times New Roman" w:hAnsi="Times New Roman" w:eastAsia="宋体" w:cs="Times New Roman"/>
                <w:color w:val="auto"/>
                <w:sz w:val="24"/>
                <w:szCs w:val="24"/>
                <w:u w:val="none"/>
                <w:lang w:eastAsia="zh-CN"/>
              </w:rPr>
              <w:t>》全省生态环境总体准入要求及</w:t>
            </w:r>
            <w:r>
              <w:rPr>
                <w:rFonts w:hint="default" w:ascii="Times New Roman" w:hAnsi="Times New Roman" w:eastAsia="宋体" w:cs="Times New Roman"/>
                <w:color w:val="auto"/>
                <w:sz w:val="24"/>
                <w:szCs w:val="24"/>
                <w:u w:val="none"/>
              </w:rPr>
              <w:t>《</w:t>
            </w:r>
            <w:r>
              <w:rPr>
                <w:rFonts w:hint="default" w:ascii="Times New Roman" w:hAnsi="Times New Roman" w:eastAsia="宋体" w:cs="Times New Roman"/>
                <w:color w:val="auto"/>
                <w:sz w:val="24"/>
                <w:szCs w:val="24"/>
                <w:u w:val="none"/>
                <w:lang w:val="en-GB" w:eastAsia="zh-CN"/>
              </w:rPr>
              <w:t>福州市人民政府关于实施</w:t>
            </w:r>
            <w:r>
              <w:rPr>
                <w:rFonts w:hint="eastAsia" w:ascii="Times New Roman" w:hAnsi="Times New Roman" w:cs="Times New Roman"/>
                <w:color w:val="auto"/>
                <w:sz w:val="24"/>
                <w:szCs w:val="24"/>
                <w:u w:val="none"/>
                <w:lang w:val="en-GB" w:eastAsia="zh-CN"/>
              </w:rPr>
              <w:t>“</w:t>
            </w:r>
            <w:r>
              <w:rPr>
                <w:rFonts w:hint="default" w:ascii="Times New Roman" w:hAnsi="Times New Roman" w:eastAsia="宋体" w:cs="Times New Roman"/>
                <w:color w:val="auto"/>
                <w:spacing w:val="0"/>
                <w:w w:val="100"/>
                <w:position w:val="0"/>
                <w:sz w:val="24"/>
                <w:szCs w:val="24"/>
                <w:u w:val="none"/>
                <w:lang w:val="en-GB" w:eastAsia="zh-CN"/>
              </w:rPr>
              <w:t>三线一单</w:t>
            </w:r>
            <w:r>
              <w:rPr>
                <w:rFonts w:hint="eastAsia" w:ascii="Times New Roman" w:hAnsi="Times New Roman" w:cs="Times New Roman"/>
                <w:color w:val="auto"/>
                <w:spacing w:val="0"/>
                <w:w w:val="100"/>
                <w:position w:val="0"/>
                <w:sz w:val="24"/>
                <w:szCs w:val="24"/>
                <w:u w:val="none"/>
                <w:lang w:val="en-GB" w:eastAsia="zh-CN"/>
              </w:rPr>
              <w:t>”</w:t>
            </w:r>
            <w:r>
              <w:rPr>
                <w:rFonts w:hint="default" w:ascii="Times New Roman" w:hAnsi="Times New Roman" w:eastAsia="宋体" w:cs="Times New Roman"/>
                <w:color w:val="auto"/>
                <w:spacing w:val="0"/>
                <w:w w:val="100"/>
                <w:position w:val="0"/>
                <w:sz w:val="24"/>
                <w:szCs w:val="24"/>
                <w:u w:val="none"/>
                <w:lang w:val="en-GB" w:eastAsia="zh-CN"/>
              </w:rPr>
              <w:t>生态分区管控的通知</w:t>
            </w:r>
            <w:r>
              <w:rPr>
                <w:rFonts w:hint="default" w:ascii="Times New Roman" w:hAnsi="Times New Roman" w:eastAsia="宋体" w:cs="Times New Roman"/>
                <w:color w:val="auto"/>
                <w:spacing w:val="0"/>
                <w:w w:val="100"/>
                <w:position w:val="0"/>
                <w:sz w:val="24"/>
                <w:szCs w:val="24"/>
                <w:u w:val="none"/>
              </w:rPr>
              <w:t>》</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榕政综〔2021〕178号</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lang w:val="en-US" w:eastAsia="zh-CN"/>
              </w:rPr>
              <w:t>《</w:t>
            </w:r>
            <w:r>
              <w:rPr>
                <w:rFonts w:hint="eastAsia" w:ascii="Times New Roman" w:hAnsi="Times New Roman" w:cs="Times New Roman"/>
                <w:color w:val="auto"/>
                <w:spacing w:val="0"/>
                <w:w w:val="100"/>
                <w:position w:val="0"/>
                <w:sz w:val="24"/>
                <w:szCs w:val="24"/>
                <w:u w:val="none"/>
                <w:lang w:val="en-US" w:eastAsia="zh-CN"/>
              </w:rPr>
              <w:t>福州市生态环境局关于发布福州市2024年生产环境分区管控动态更新成果的通知</w:t>
            </w:r>
            <w:r>
              <w:rPr>
                <w:rFonts w:hint="default" w:ascii="Times New Roman" w:hAnsi="Times New Roman" w:eastAsia="宋体" w:cs="Times New Roman"/>
                <w:color w:val="auto"/>
                <w:spacing w:val="0"/>
                <w:w w:val="100"/>
                <w:position w:val="0"/>
                <w:sz w:val="24"/>
                <w:szCs w:val="24"/>
                <w:u w:val="none"/>
                <w:lang w:val="en-US" w:eastAsia="zh-CN"/>
              </w:rPr>
              <w:t>》</w:t>
            </w:r>
            <w:r>
              <w:rPr>
                <w:rFonts w:hint="eastAsia" w:ascii="Times New Roman" w:hAnsi="Times New Roman" w:cs="Times New Roman"/>
                <w:color w:val="auto"/>
                <w:spacing w:val="0"/>
                <w:w w:val="100"/>
                <w:position w:val="0"/>
                <w:sz w:val="24"/>
                <w:szCs w:val="24"/>
                <w:u w:val="none"/>
                <w:lang w:val="en-US" w:eastAsia="zh-CN"/>
              </w:rPr>
              <w:t>（榕环保综</w:t>
            </w:r>
            <w:r>
              <w:rPr>
                <w:rFonts w:hint="default" w:ascii="Times New Roman" w:hAnsi="Times New Roman" w:eastAsia="宋体" w:cs="Times New Roman"/>
                <w:color w:val="auto"/>
                <w:spacing w:val="0"/>
                <w:w w:val="100"/>
                <w:position w:val="0"/>
                <w:sz w:val="24"/>
                <w:szCs w:val="24"/>
                <w:u w:val="none"/>
              </w:rPr>
              <w:t>〔202</w:t>
            </w:r>
            <w:r>
              <w:rPr>
                <w:rFonts w:hint="eastAsia" w:ascii="Times New Roman" w:hAnsi="Times New Roman" w:cs="Times New Roman"/>
                <w:color w:val="auto"/>
                <w:spacing w:val="0"/>
                <w:w w:val="100"/>
                <w:position w:val="0"/>
                <w:sz w:val="24"/>
                <w:szCs w:val="24"/>
                <w:u w:val="none"/>
                <w:lang w:val="en-US" w:eastAsia="zh-CN"/>
              </w:rPr>
              <w:t>5</w:t>
            </w:r>
            <w:r>
              <w:rPr>
                <w:rFonts w:hint="default" w:ascii="Times New Roman" w:hAnsi="Times New Roman" w:eastAsia="宋体" w:cs="Times New Roman"/>
                <w:color w:val="auto"/>
                <w:spacing w:val="0"/>
                <w:w w:val="100"/>
                <w:position w:val="0"/>
                <w:sz w:val="24"/>
                <w:szCs w:val="24"/>
                <w:u w:val="none"/>
              </w:rPr>
              <w:t>〕</w:t>
            </w:r>
            <w:r>
              <w:rPr>
                <w:rFonts w:hint="eastAsia" w:ascii="Times New Roman" w:hAnsi="Times New Roman" w:cs="Times New Roman"/>
                <w:color w:val="auto"/>
                <w:spacing w:val="0"/>
                <w:w w:val="100"/>
                <w:position w:val="0"/>
                <w:sz w:val="24"/>
                <w:szCs w:val="24"/>
                <w:u w:val="none"/>
                <w:lang w:val="en-US" w:eastAsia="zh-CN"/>
              </w:rPr>
              <w:t>1号）</w:t>
            </w:r>
            <w:r>
              <w:rPr>
                <w:rFonts w:hint="default" w:ascii="Times New Roman" w:hAnsi="Times New Roman" w:eastAsia="宋体" w:cs="Times New Roman"/>
                <w:color w:val="auto"/>
                <w:spacing w:val="0"/>
                <w:w w:val="100"/>
                <w:position w:val="0"/>
                <w:sz w:val="24"/>
                <w:szCs w:val="24"/>
                <w:u w:val="none"/>
                <w:lang w:eastAsia="zh-CN"/>
              </w:rPr>
              <w:t>的要求；不属于《市场准入负面清单》</w:t>
            </w:r>
            <w:r>
              <w:rPr>
                <w:rFonts w:hint="eastAsia" w:ascii="Times New Roman" w:hAnsi="Times New Roman" w:cs="Times New Roman"/>
                <w:color w:val="000000" w:themeColor="text1"/>
                <w:spacing w:val="0"/>
                <w:w w:val="100"/>
                <w:position w:val="0"/>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4"/>
                <w:szCs w:val="24"/>
                <w:highlight w:val="none"/>
                <w:u w:val="none"/>
                <w:lang w:eastAsia="zh-CN"/>
                <w14:textFill>
                  <w14:solidFill>
                    <w14:schemeClr w14:val="tx1"/>
                  </w14:solidFill>
                </w14:textFill>
              </w:rPr>
              <w:t>2020年版</w:t>
            </w:r>
            <w:r>
              <w:rPr>
                <w:rFonts w:hint="eastAsia" w:ascii="Times New Roman" w:hAnsi="Times New Roman" w:cs="Times New Roman"/>
                <w:color w:val="000000" w:themeColor="text1"/>
                <w:spacing w:val="0"/>
                <w:w w:val="100"/>
                <w:position w:val="0"/>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4"/>
                <w:szCs w:val="24"/>
                <w:highlight w:val="none"/>
                <w:u w:val="none"/>
                <w:lang w:eastAsia="zh-CN"/>
                <w14:textFill>
                  <w14:solidFill>
                    <w14:schemeClr w14:val="tx1"/>
                  </w14:solidFill>
                </w14:textFill>
              </w:rPr>
              <w:t>中禁止准入类的项目。</w:t>
            </w:r>
          </w:p>
          <w:p w14:paraId="7D28D66D">
            <w:pPr>
              <w:pStyle w:val="31"/>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pPr>
            <w:bookmarkStart w:id="13" w:name="_Toc24656"/>
            <w:r>
              <w:rPr>
                <w:rFonts w:hint="eastAsia" w:ascii="Times New Roman" w:cs="Times New Roman"/>
                <w:b/>
                <w:color w:val="000000" w:themeColor="text1"/>
                <w:sz w:val="24"/>
                <w:szCs w:val="24"/>
                <w:highlight w:val="none"/>
                <w:u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与</w:t>
            </w:r>
            <w:r>
              <w:rPr>
                <w:rFonts w:hint="eastAsia" w:ascii="Times New Roman" w:cs="Times New Roman"/>
                <w:b/>
                <w:color w:val="000000" w:themeColor="text1"/>
                <w:sz w:val="24"/>
                <w:szCs w:val="24"/>
                <w:highlight w:val="none"/>
                <w:u w:val="none"/>
                <w:lang w:val="en-US" w:eastAsia="zh-CN"/>
                <w14:textFill>
                  <w14:solidFill>
                    <w14:schemeClr w14:val="tx1"/>
                  </w14:solidFill>
                </w14:textFill>
              </w:rPr>
              <w:t>省、市生态环境分区管控要求的</w:t>
            </w: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符合性分析</w:t>
            </w:r>
            <w:bookmarkEnd w:id="13"/>
          </w:p>
          <w:p w14:paraId="3BEE1C82">
            <w:pPr>
              <w:pStyle w:val="32"/>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w:t>
            </w:r>
            <w:r>
              <w:rPr>
                <w:rFonts w:hint="eastAsia" w:ascii="Times New Roman" w:hAnsi="Times New Roman"/>
                <w:color w:val="000000" w:themeColor="text1"/>
                <w:sz w:val="24"/>
                <w:szCs w:val="24"/>
                <w:highlight w:val="none"/>
                <w:lang w:val="en-GB"/>
                <w14:textFill>
                  <w14:solidFill>
                    <w14:schemeClr w14:val="tx1"/>
                  </w14:solidFill>
                </w14:textFill>
              </w:rPr>
              <w:t>《福建省人民政府关于实施“三线一单”生态环境分区管控的通知》（</w:t>
            </w:r>
            <w:r>
              <w:rPr>
                <w:rFonts w:hint="eastAsia" w:ascii="Times New Roman" w:hAnsi="Times New Roman"/>
                <w:color w:val="000000" w:themeColor="text1"/>
                <w:sz w:val="24"/>
                <w:szCs w:val="24"/>
                <w:highlight w:val="none"/>
                <w14:textFill>
                  <w14:solidFill>
                    <w14:schemeClr w14:val="tx1"/>
                  </w14:solidFill>
                </w14:textFill>
              </w:rPr>
              <w:t>闽政〔2020〕12号</w:t>
            </w:r>
            <w:r>
              <w:rPr>
                <w:rFonts w:hint="eastAsia" w:ascii="Times New Roman" w:hAnsi="Times New Roman"/>
                <w:color w:val="000000" w:themeColor="text1"/>
                <w:sz w:val="24"/>
                <w:szCs w:val="24"/>
                <w:highlight w:val="none"/>
                <w:lang w:val="en-GB"/>
                <w14:textFill>
                  <w14:solidFill>
                    <w14:schemeClr w14:val="tx1"/>
                  </w14:solidFill>
                </w14:textFill>
              </w:rPr>
              <w:t>）</w:t>
            </w:r>
            <w:r>
              <w:rPr>
                <w:rFonts w:hint="eastAsia" w:ascii="Times New Roman" w:hAnsi="Times New Roman"/>
                <w:color w:val="000000" w:themeColor="text1"/>
                <w:sz w:val="24"/>
                <w:szCs w:val="24"/>
                <w:highlight w:val="none"/>
                <w:lang w:val="en-GB" w:eastAsia="zh-CN"/>
                <w14:textFill>
                  <w14:solidFill>
                    <w14:schemeClr w14:val="tx1"/>
                  </w14:solidFill>
                </w14:textFill>
              </w:rPr>
              <w:t>《</w:t>
            </w:r>
            <w:r>
              <w:rPr>
                <w:rFonts w:hint="eastAsia" w:ascii="Times New Roman" w:hAnsi="Times New Roman"/>
                <w:color w:val="000000" w:themeColor="text1"/>
                <w:sz w:val="24"/>
                <w:szCs w:val="24"/>
                <w:highlight w:val="none"/>
                <w:lang w:val="en-GB"/>
                <w14:textFill>
                  <w14:solidFill>
                    <w14:schemeClr w14:val="tx1"/>
                  </w14:solidFill>
                </w14:textFill>
              </w:rPr>
              <w:t>中共福建省委办公厅 福建省人民政府办公厅关于加强生态环境分区管控的实施意见</w:t>
            </w:r>
            <w:r>
              <w:rPr>
                <w:rFonts w:hint="eastAsia" w:ascii="Times New Roman" w:hAnsi="Times New Roman"/>
                <w:color w:val="000000" w:themeColor="text1"/>
                <w:sz w:val="24"/>
                <w:szCs w:val="24"/>
                <w:highlight w:val="none"/>
                <w:lang w:val="en-GB" w:eastAsia="zh-CN"/>
                <w14:textFill>
                  <w14:solidFill>
                    <w14:schemeClr w14:val="tx1"/>
                  </w14:solidFill>
                </w14:textFill>
              </w:rPr>
              <w:t>》（</w:t>
            </w:r>
            <w:r>
              <w:rPr>
                <w:rFonts w:hint="eastAsia" w:ascii="Times New Roman" w:hAnsi="Times New Roman"/>
                <w:color w:val="000000" w:themeColor="text1"/>
                <w:sz w:val="24"/>
                <w:szCs w:val="24"/>
                <w:highlight w:val="none"/>
                <w:lang w:val="en-US" w:eastAsia="zh-CN"/>
                <w14:textFill>
                  <w14:solidFill>
                    <w14:schemeClr w14:val="tx1"/>
                  </w14:solidFill>
                </w14:textFill>
              </w:rPr>
              <w:t>2024年11月10日</w:t>
            </w:r>
            <w:r>
              <w:rPr>
                <w:rFonts w:hint="eastAsia" w:ascii="Times New Roman" w:hAnsi="Times New Roman"/>
                <w:color w:val="000000" w:themeColor="text1"/>
                <w:sz w:val="24"/>
                <w:szCs w:val="24"/>
                <w:highlight w:val="none"/>
                <w:lang w:val="en-GB"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和</w:t>
            </w:r>
            <w:r>
              <w:rPr>
                <w:rFonts w:hint="eastAsia" w:ascii="Times New Roman" w:hAnsi="Times New Roman"/>
                <w:color w:val="000000" w:themeColor="text1"/>
                <w:sz w:val="24"/>
                <w:szCs w:val="24"/>
                <w:highlight w:val="none"/>
                <w14:textFill>
                  <w14:solidFill>
                    <w14:schemeClr w14:val="tx1"/>
                  </w14:solidFill>
                </w14:textFill>
              </w:rPr>
              <w:t>《</w:t>
            </w:r>
            <w:r>
              <w:rPr>
                <w:rFonts w:hint="eastAsia" w:ascii="Times New Roman" w:hAnsi="Times New Roman"/>
                <w:color w:val="000000" w:themeColor="text1"/>
                <w:sz w:val="24"/>
                <w:szCs w:val="24"/>
                <w:highlight w:val="none"/>
                <w:lang w:val="en-US" w:eastAsia="zh-CN"/>
                <w14:textFill>
                  <w14:solidFill>
                    <w14:schemeClr w14:val="tx1"/>
                  </w14:solidFill>
                </w14:textFill>
              </w:rPr>
              <w:t>福州市生态环境局关于发布福州市2024年生态环境分区管控动态更新成果的通知</w:t>
            </w:r>
            <w:r>
              <w:rPr>
                <w:rFonts w:hint="eastAsia" w:ascii="Times New Roman" w:hAnsi="Times New Roman"/>
                <w:color w:val="000000" w:themeColor="text1"/>
                <w:sz w:val="24"/>
                <w:szCs w:val="24"/>
                <w:highlight w:val="none"/>
                <w14:textFill>
                  <w14:solidFill>
                    <w14:schemeClr w14:val="tx1"/>
                  </w14:solidFill>
                </w14:textFill>
              </w:rPr>
              <w:t>》（榕</w:t>
            </w:r>
            <w:r>
              <w:rPr>
                <w:rFonts w:hint="eastAsia" w:ascii="Times New Roman" w:hAnsi="Times New Roman"/>
                <w:color w:val="000000" w:themeColor="text1"/>
                <w:sz w:val="24"/>
                <w:szCs w:val="24"/>
                <w:highlight w:val="none"/>
                <w:lang w:val="en-US" w:eastAsia="zh-CN"/>
                <w14:textFill>
                  <w14:solidFill>
                    <w14:schemeClr w14:val="tx1"/>
                  </w14:solidFill>
                </w14:textFill>
              </w:rPr>
              <w:t>环保综</w:t>
            </w:r>
            <w:r>
              <w:rPr>
                <w:rFonts w:hint="eastAsia" w:ascii="Times New Roman" w:hAnsi="Times New Roman"/>
                <w:color w:val="000000" w:themeColor="text1"/>
                <w:sz w:val="24"/>
                <w:szCs w:val="24"/>
                <w:highlight w:val="none"/>
                <w14:textFill>
                  <w14:solidFill>
                    <w14:schemeClr w14:val="tx1"/>
                  </w14:solidFill>
                </w14:textFill>
              </w:rPr>
              <w:t>〔202</w:t>
            </w:r>
            <w:r>
              <w:rPr>
                <w:rFonts w:hint="eastAsia" w:ascii="Times New Roman" w:hAnsi="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color w:val="000000" w:themeColor="text1"/>
                <w:sz w:val="24"/>
                <w:szCs w:val="24"/>
                <w:highlight w:val="none"/>
                <w14:textFill>
                  <w14:solidFill>
                    <w14:schemeClr w14:val="tx1"/>
                  </w14:solidFill>
                </w14:textFill>
              </w:rPr>
              <w:t>〕</w:t>
            </w:r>
            <w:r>
              <w:rPr>
                <w:rFonts w:hint="eastAsia" w:ascii="Times New Roman" w:hAnsi="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color w:val="000000" w:themeColor="text1"/>
                <w:sz w:val="24"/>
                <w:szCs w:val="24"/>
                <w:highlight w:val="none"/>
                <w14:textFill>
                  <w14:solidFill>
                    <w14:schemeClr w14:val="tx1"/>
                  </w14:solidFill>
                </w14:textFill>
              </w:rPr>
              <w:t>号）</w:t>
            </w:r>
            <w:r>
              <w:rPr>
                <w:rFonts w:hint="eastAsia" w:ascii="Times New Roman" w:hAnsi="Times New Roman"/>
                <w:color w:val="000000" w:themeColor="text1"/>
                <w:sz w:val="24"/>
                <w:szCs w:val="24"/>
                <w:highlight w:val="none"/>
                <w:lang w:val="en-US" w:eastAsia="zh-CN"/>
                <w14:textFill>
                  <w14:solidFill>
                    <w14:schemeClr w14:val="tx1"/>
                  </w14:solidFill>
                </w14:textFill>
              </w:rPr>
              <w:t>以及</w:t>
            </w:r>
            <w:r>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《福建省生态环境分区管控综合查询报告》报告编号：</w:t>
            </w:r>
            <w:r>
              <w:rPr>
                <w:rFonts w:hint="eastAsia" w:ascii="宋体" w:hAnsi="宋体" w:eastAsia="宋体" w:cs="宋体"/>
                <w:color w:val="000000" w:themeColor="text1"/>
                <w:sz w:val="24"/>
                <w:szCs w:val="24"/>
                <w:highlight w:val="none"/>
                <w:vertAlign w:val="baseline"/>
                <w:lang w:val="en-US" w:eastAsia="zh-CN"/>
                <w14:textFill>
                  <w14:solidFill>
                    <w14:schemeClr w14:val="tx1"/>
                  </w14:solidFill>
                </w14:textFill>
              </w:rPr>
              <w:t>FQGK1757572439970</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位于</w:t>
            </w:r>
            <w:r>
              <w:rPr>
                <w:rFonts w:hint="eastAsia" w:ascii="Times New Roman" w:hAnsi="Times New Roman" w:cs="Times New Roman"/>
                <w:color w:val="auto"/>
                <w:sz w:val="24"/>
                <w:szCs w:val="24"/>
                <w:highlight w:val="none"/>
                <w:lang w:eastAsia="zh-CN"/>
              </w:rPr>
              <w:t>福清融侨经济技术开发区（均和云谷·福清科技港33#厂房）</w:t>
            </w:r>
            <w:r>
              <w:rPr>
                <w:rFonts w:hint="default" w:ascii="Times New Roman" w:hAnsi="Times New Roman" w:eastAsia="宋体" w:cs="Times New Roman"/>
                <w:color w:val="auto"/>
                <w:sz w:val="24"/>
                <w:szCs w:val="24"/>
                <w:highlight w:val="none"/>
                <w:lang w:val="en-US" w:eastAsia="zh-CN"/>
              </w:rPr>
              <w:t>，在</w:t>
            </w:r>
            <w:r>
              <w:rPr>
                <w:rFonts w:hint="eastAsia" w:ascii="Times New Roman" w:hAnsi="Times New Roman" w:cs="Times New Roman"/>
                <w:color w:val="auto"/>
                <w:sz w:val="24"/>
                <w:szCs w:val="24"/>
                <w:highlight w:val="none"/>
                <w:lang w:val="en-US" w:eastAsia="zh-CN"/>
              </w:rPr>
              <w:t>福清融侨经济</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开发区（工业园区）内且</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项目属于</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金属制品制造业</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，不属于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福州市生</w:t>
            </w:r>
            <w:r>
              <w:rPr>
                <w:rFonts w:hint="default" w:ascii="Times New Roman" w:hAnsi="Times New Roman" w:eastAsia="宋体" w:cs="Times New Roman"/>
                <w:color w:val="auto"/>
                <w:sz w:val="24"/>
                <w:szCs w:val="24"/>
                <w:highlight w:val="none"/>
                <w:lang w:val="en-US" w:eastAsia="zh-CN"/>
              </w:rPr>
              <w:t>态环境总体准入要求</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中</w:t>
            </w:r>
            <w:r>
              <w:rPr>
                <w:rFonts w:hint="eastAsia" w:ascii="Times New Roman" w:hAnsi="Times New Roman" w:eastAsia="宋体" w:cs="Times New Roman"/>
                <w:color w:val="auto"/>
                <w:sz w:val="24"/>
                <w:szCs w:val="24"/>
                <w:highlight w:val="none"/>
                <w:lang w:val="en-US" w:eastAsia="zh-CN"/>
              </w:rPr>
              <w:t>“空间</w:t>
            </w:r>
            <w:r>
              <w:rPr>
                <w:rFonts w:hint="default" w:ascii="Times New Roman" w:hAnsi="Times New Roman" w:eastAsia="宋体" w:cs="Times New Roman"/>
                <w:color w:val="auto"/>
                <w:sz w:val="24"/>
                <w:szCs w:val="24"/>
                <w:highlight w:val="none"/>
                <w:lang w:val="en-US" w:eastAsia="zh-CN"/>
              </w:rPr>
              <w:t>布局约束</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的工业区及特别规定的行业。</w:t>
            </w:r>
            <w:r>
              <w:rPr>
                <w:rFonts w:hint="default" w:ascii="Times New Roman" w:hAnsi="Times New Roman" w:eastAsia="宋体" w:cs="Times New Roman"/>
                <w:color w:val="auto"/>
                <w:sz w:val="24"/>
                <w:szCs w:val="24"/>
                <w:highlight w:val="none"/>
                <w:shd w:val="clear" w:color="auto" w:fill="auto"/>
                <w:lang w:val="en-US" w:eastAsia="zh-CN"/>
              </w:rPr>
              <w:t>全省生态环境总体准入要求符合性分析如下。</w:t>
            </w:r>
            <w:r>
              <w:rPr>
                <w:rFonts w:hint="default" w:ascii="Times New Roman" w:hAnsi="Times New Roman" w:eastAsia="宋体" w:cs="Times New Roman"/>
                <w:color w:val="auto"/>
                <w:sz w:val="24"/>
                <w:szCs w:val="24"/>
                <w:highlight w:val="none"/>
              </w:rPr>
              <w:t>相关要求分析见表1.1-</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与福州市生态环境总体准入要求进行对照分析，</w:t>
            </w:r>
            <w:r>
              <w:rPr>
                <w:rFonts w:hint="default" w:ascii="Times New Roman" w:hAnsi="Times New Roman" w:eastAsia="宋体" w:cs="Times New Roman"/>
                <w:color w:val="auto"/>
                <w:sz w:val="24"/>
                <w:szCs w:val="24"/>
                <w:highlight w:val="none"/>
              </w:rPr>
              <w:t>具体见表1</w:t>
            </w:r>
            <w:r>
              <w:rPr>
                <w:rFonts w:hint="default" w:ascii="Times New Roman" w:hAnsi="Times New Roman" w:eastAsia="宋体"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sz w:val="24"/>
                <w:szCs w:val="24"/>
              </w:rPr>
              <w:t>与重点管控单元（环境管控单元编码</w:t>
            </w:r>
            <w:r>
              <w:rPr>
                <w:rFonts w:hint="eastAsia" w:ascii="Times New Roman" w:hAnsi="Times New Roman" w:cs="Times New Roman"/>
                <w:sz w:val="24"/>
                <w:szCs w:val="24"/>
                <w:lang w:eastAsia="zh-CN"/>
              </w:rPr>
              <w:t>：</w:t>
            </w:r>
            <w:r>
              <w:rPr>
                <w:rFonts w:hint="eastAsia"/>
                <w:vertAlign w:val="baseline"/>
                <w:lang w:val="en-US" w:eastAsia="zh-CN"/>
              </w:rPr>
              <w:t>ZH35018120008</w:t>
            </w:r>
            <w:r>
              <w:rPr>
                <w:rFonts w:hint="default" w:ascii="Times New Roman" w:hAnsi="Times New Roman" w:eastAsia="宋体" w:cs="Times New Roman"/>
                <w:sz w:val="24"/>
                <w:szCs w:val="24"/>
                <w:highlight w:val="none"/>
              </w:rPr>
              <w:t>）准入要求符合性分析见表1</w:t>
            </w:r>
            <w:r>
              <w:rPr>
                <w:rFonts w:hint="default"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rPr>
              <w:t>4。福建省生态环境分区管控数据应用平台查询结果截图详见</w:t>
            </w:r>
            <w:r>
              <w:rPr>
                <w:rFonts w:hint="default" w:ascii="Times New Roman" w:hAnsi="Times New Roman" w:eastAsia="宋体" w:cs="Times New Roman"/>
                <w:b/>
                <w:bCs/>
                <w:sz w:val="24"/>
                <w:szCs w:val="24"/>
                <w:highlight w:val="none"/>
              </w:rPr>
              <w:t>附图</w:t>
            </w:r>
            <w:r>
              <w:rPr>
                <w:rFonts w:hint="eastAsia" w:ascii="Times New Roman" w:hAnsi="Times New Roman" w:cs="Times New Roman"/>
                <w:b/>
                <w:bCs/>
                <w:sz w:val="24"/>
                <w:szCs w:val="24"/>
                <w:highlight w:val="none"/>
                <w:lang w:val="en-US" w:eastAsia="zh-CN"/>
              </w:rPr>
              <w:t>七</w:t>
            </w:r>
            <w:r>
              <w:rPr>
                <w:rFonts w:hint="default" w:ascii="Times New Roman" w:hAnsi="Times New Roman" w:eastAsia="宋体" w:cs="Times New Roman"/>
                <w:sz w:val="24"/>
                <w:szCs w:val="24"/>
                <w:highlight w:val="none"/>
              </w:rPr>
              <w:t>，福建省生态环境分区管控综</w:t>
            </w:r>
            <w:r>
              <w:rPr>
                <w:rFonts w:hint="default" w:ascii="Times New Roman" w:hAnsi="Times New Roman" w:eastAsia="宋体" w:cs="Times New Roman"/>
                <w:b w:val="0"/>
                <w:bCs w:val="0"/>
                <w:sz w:val="24"/>
                <w:szCs w:val="24"/>
                <w:highlight w:val="none"/>
              </w:rPr>
              <w:t>合查询报告详见</w:t>
            </w:r>
            <w:r>
              <w:rPr>
                <w:rFonts w:hint="default" w:ascii="Times New Roman" w:hAnsi="Times New Roman" w:eastAsia="宋体" w:cs="Times New Roman"/>
                <w:b/>
                <w:bCs/>
                <w:sz w:val="24"/>
                <w:szCs w:val="24"/>
                <w:highlight w:val="none"/>
                <w:lang w:val="en-US" w:eastAsia="zh-CN"/>
              </w:rPr>
              <w:t>附件十</w:t>
            </w:r>
            <w:r>
              <w:rPr>
                <w:rFonts w:hint="eastAsia" w:ascii="Times New Roman" w:hAnsi="Times New Roman" w:cs="Times New Roman"/>
                <w:b/>
                <w:bCs/>
                <w:sz w:val="24"/>
                <w:szCs w:val="24"/>
                <w:highlight w:val="none"/>
                <w:lang w:val="en-US" w:eastAsia="zh-CN"/>
              </w:rPr>
              <w:t>七</w:t>
            </w:r>
            <w:r>
              <w:rPr>
                <w:rFonts w:hint="default" w:ascii="Times New Roman" w:hAnsi="Times New Roman" w:eastAsia="宋体" w:cs="Times New Roman"/>
                <w:color w:val="auto"/>
                <w:spacing w:val="0"/>
                <w:w w:val="100"/>
                <w:position w:val="0"/>
                <w:sz w:val="24"/>
                <w:szCs w:val="24"/>
                <w:highlight w:val="none"/>
                <w:u w:val="none"/>
              </w:rPr>
              <w:t>。</w:t>
            </w:r>
          </w:p>
        </w:tc>
      </w:tr>
    </w:tbl>
    <w:p w14:paraId="5CD64993">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br w:type="page"/>
      </w:r>
    </w:p>
    <w:p w14:paraId="65F0D839">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sectPr>
          <w:footerReference r:id="rId6" w:type="default"/>
          <w:pgSz w:w="11906" w:h="16838"/>
          <w:pgMar w:top="1587" w:right="1417" w:bottom="1587" w:left="1417" w:header="851" w:footer="992" w:gutter="0"/>
          <w:pgBorders>
            <w:top w:val="none" w:sz="0" w:space="0"/>
            <w:left w:val="none" w:sz="0" w:space="0"/>
            <w:bottom w:val="none" w:sz="0" w:space="0"/>
            <w:right w:val="none" w:sz="0" w:space="0"/>
          </w:pgBorders>
          <w:pgNumType w:fmt="decimal"/>
          <w:cols w:space="0" w:num="1"/>
          <w:rtlGutter w:val="0"/>
          <w:docGrid w:type="lines" w:linePitch="318" w:charSpace="0"/>
        </w:sectPr>
      </w:pPr>
    </w:p>
    <w:tbl>
      <w:tblPr>
        <w:tblStyle w:val="23"/>
        <w:tblW w:w="489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2839"/>
      </w:tblGrid>
      <w:tr w14:paraId="5E57AC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3" w:hRule="atLeast"/>
          <w:jc w:val="center"/>
        </w:trPr>
        <w:tc>
          <w:tcPr>
            <w:tcW w:w="272" w:type="pct"/>
            <w:noWrap w:val="0"/>
            <w:vAlign w:val="center"/>
          </w:tcPr>
          <w:p w14:paraId="231E3E50">
            <w:pPr>
              <w:rPr>
                <w:rFonts w:hint="default"/>
              </w:rPr>
            </w:pPr>
          </w:p>
        </w:tc>
        <w:tc>
          <w:tcPr>
            <w:tcW w:w="4727" w:type="pct"/>
            <w:noWrap w:val="0"/>
            <w:vAlign w:val="center"/>
          </w:tcPr>
          <w:p w14:paraId="3CDA0B98">
            <w:pPr>
              <w:keepNext w:val="0"/>
              <w:keepLines w:val="0"/>
              <w:pageBreakBefore w:val="0"/>
              <w:widowControl w:val="0"/>
              <w:kinsoku/>
              <w:wordWrap/>
              <w:overflowPunct/>
              <w:topLinePunct w:val="0"/>
              <w:autoSpaceDE w:val="0"/>
              <w:autoSpaceDN w:val="0"/>
              <w:bidi w:val="0"/>
              <w:adjustRightInd w:val="0"/>
              <w:snapToGrid w:val="0"/>
              <w:spacing w:before="323" w:beforeLines="100" w:line="240" w:lineRule="auto"/>
              <w:ind w:left="0" w:right="0" w:firstLine="0" w:firstLineChars="0"/>
              <w:jc w:val="center"/>
              <w:textAlignment w:val="auto"/>
              <w:rPr>
                <w:rFonts w:hint="default" w:ascii="Times New Roman" w:hAnsi="Times New Roman" w:eastAsia="宋体" w:cs="Times New Roman"/>
                <w:b/>
                <w:bCs/>
                <w:color w:val="auto"/>
                <w:kern w:val="0"/>
                <w:sz w:val="24"/>
                <w:szCs w:val="24"/>
                <w:u w:val="none"/>
              </w:rPr>
            </w:pPr>
            <w:r>
              <w:rPr>
                <w:rFonts w:hint="default" w:ascii="Times New Roman" w:hAnsi="Times New Roman" w:eastAsia="宋体" w:cs="Times New Roman"/>
                <w:b/>
                <w:bCs/>
                <w:color w:val="auto"/>
                <w:kern w:val="0"/>
                <w:sz w:val="24"/>
                <w:szCs w:val="24"/>
                <w:u w:val="none"/>
              </w:rPr>
              <w:t>表</w:t>
            </w:r>
            <w:r>
              <w:rPr>
                <w:rFonts w:hint="default" w:ascii="Times New Roman" w:hAnsi="Times New Roman" w:eastAsia="宋体" w:cs="Times New Roman"/>
                <w:b/>
                <w:bCs/>
                <w:color w:val="auto"/>
                <w:kern w:val="0"/>
                <w:sz w:val="24"/>
                <w:szCs w:val="24"/>
                <w:u w:val="none"/>
                <w:lang w:val="en-US" w:eastAsia="zh-CN"/>
              </w:rPr>
              <w:t>1.1-</w:t>
            </w:r>
            <w:r>
              <w:rPr>
                <w:rFonts w:hint="eastAsia" w:cs="Times New Roman"/>
                <w:b/>
                <w:bCs/>
                <w:color w:val="auto"/>
                <w:kern w:val="0"/>
                <w:sz w:val="24"/>
                <w:szCs w:val="24"/>
                <w:u w:val="none"/>
                <w:lang w:val="en-US" w:eastAsia="zh-CN"/>
              </w:rPr>
              <w:t>2</w:t>
            </w:r>
            <w:r>
              <w:rPr>
                <w:rFonts w:hint="default" w:ascii="Times New Roman" w:hAnsi="Times New Roman" w:eastAsia="宋体" w:cs="Times New Roman"/>
                <w:b/>
                <w:bCs/>
                <w:color w:val="auto"/>
                <w:kern w:val="0"/>
                <w:sz w:val="24"/>
                <w:szCs w:val="24"/>
                <w:u w:val="none"/>
              </w:rPr>
              <w:t xml:space="preserve"> 与</w:t>
            </w:r>
            <w:r>
              <w:rPr>
                <w:rFonts w:hint="eastAsia" w:cs="Times New Roman"/>
                <w:b/>
                <w:bCs/>
                <w:color w:val="auto"/>
                <w:kern w:val="0"/>
                <w:sz w:val="24"/>
                <w:szCs w:val="24"/>
                <w:u w:val="none"/>
                <w:lang w:val="en-US" w:eastAsia="zh-CN"/>
              </w:rPr>
              <w:t>全省生态环境总体准入要求的符合性分析</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624"/>
              <w:gridCol w:w="6970"/>
              <w:gridCol w:w="2941"/>
              <w:gridCol w:w="884"/>
            </w:tblGrid>
            <w:tr w14:paraId="283D8D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75" w:type="pct"/>
                  <w:tcBorders>
                    <w:tl2br w:val="nil"/>
                    <w:tr2bl w:val="nil"/>
                  </w:tcBorders>
                  <w:noWrap w:val="0"/>
                  <w:vAlign w:val="center"/>
                </w:tcPr>
                <w:p w14:paraId="0D6450CD">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适用范围</w:t>
                  </w:r>
                </w:p>
              </w:tc>
              <w:tc>
                <w:tcPr>
                  <w:tcW w:w="3008" w:type="pct"/>
                  <w:gridSpan w:val="2"/>
                  <w:tcBorders>
                    <w:tl2br w:val="nil"/>
                    <w:tr2bl w:val="nil"/>
                  </w:tcBorders>
                  <w:noWrap w:val="0"/>
                  <w:vAlign w:val="center"/>
                </w:tcPr>
                <w:p w14:paraId="23DC211C">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准入要</w:t>
                  </w:r>
                  <w:r>
                    <w:rPr>
                      <w:rFonts w:hint="default" w:ascii="Times New Roman" w:hAnsi="Times New Roman" w:eastAsia="宋体" w:cs="Times New Roman"/>
                      <w:color w:val="auto"/>
                      <w:sz w:val="21"/>
                      <w:szCs w:val="21"/>
                      <w:u w:val="none"/>
                      <w:lang w:val="en-US" w:eastAsia="zh-CN"/>
                    </w:rPr>
                    <w:t>求</w:t>
                  </w:r>
                </w:p>
              </w:tc>
              <w:tc>
                <w:tcPr>
                  <w:tcW w:w="1165" w:type="pct"/>
                  <w:tcBorders>
                    <w:tl2br w:val="nil"/>
                    <w:tr2bl w:val="nil"/>
                  </w:tcBorders>
                  <w:noWrap w:val="0"/>
                  <w:vAlign w:val="center"/>
                </w:tcPr>
                <w:p w14:paraId="40BF28E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sz w:val="21"/>
                      <w:szCs w:val="21"/>
                      <w:u w:val="none"/>
                    </w:rPr>
                    <w:t>本项目</w:t>
                  </w:r>
                  <w:r>
                    <w:rPr>
                      <w:rFonts w:hint="default" w:ascii="Times New Roman" w:hAnsi="Times New Roman" w:eastAsia="宋体" w:cs="Times New Roman"/>
                      <w:color w:val="auto"/>
                      <w:sz w:val="21"/>
                      <w:szCs w:val="21"/>
                      <w:u w:val="none"/>
                      <w:lang w:val="en-US" w:eastAsia="zh-CN"/>
                    </w:rPr>
                    <w:t>情况</w:t>
                  </w:r>
                </w:p>
              </w:tc>
              <w:tc>
                <w:tcPr>
                  <w:tcW w:w="350" w:type="pct"/>
                  <w:tcBorders>
                    <w:tl2br w:val="nil"/>
                    <w:tr2bl w:val="nil"/>
                  </w:tcBorders>
                  <w:noWrap w:val="0"/>
                  <w:vAlign w:val="center"/>
                </w:tcPr>
                <w:p w14:paraId="009DD24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符合性</w:t>
                  </w:r>
                </w:p>
              </w:tc>
            </w:tr>
            <w:tr w14:paraId="3F8B76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75" w:type="pct"/>
                  <w:vMerge w:val="restart"/>
                  <w:tcBorders>
                    <w:tl2br w:val="nil"/>
                    <w:tr2bl w:val="nil"/>
                  </w:tcBorders>
                  <w:noWrap w:val="0"/>
                  <w:vAlign w:val="center"/>
                </w:tcPr>
                <w:p w14:paraId="6003611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全省陆域</w:t>
                  </w:r>
                </w:p>
              </w:tc>
              <w:tc>
                <w:tcPr>
                  <w:tcW w:w="247" w:type="pct"/>
                  <w:vMerge w:val="restart"/>
                  <w:tcBorders>
                    <w:tl2br w:val="nil"/>
                    <w:tr2bl w:val="nil"/>
                  </w:tcBorders>
                  <w:noWrap w:val="0"/>
                  <w:vAlign w:val="center"/>
                </w:tcPr>
                <w:p w14:paraId="6440F3E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空间布局约束</w:t>
                  </w:r>
                </w:p>
              </w:tc>
              <w:tc>
                <w:tcPr>
                  <w:tcW w:w="2761" w:type="pct"/>
                  <w:tcBorders>
                    <w:tl2br w:val="nil"/>
                    <w:tr2bl w:val="nil"/>
                  </w:tcBorders>
                  <w:noWrap w:val="0"/>
                  <w:vAlign w:val="center"/>
                </w:tcPr>
                <w:p w14:paraId="16BDB815">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u w:val="none"/>
                      <w:vertAlign w:val="baseline"/>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1.石化、汽车、船舶、冶金、水泥、制浆造纸、印染等重点产业，要符合全省规划布局要求。</w:t>
                  </w:r>
                </w:p>
              </w:tc>
              <w:tc>
                <w:tcPr>
                  <w:tcW w:w="1165" w:type="pct"/>
                  <w:vMerge w:val="restart"/>
                  <w:tcBorders>
                    <w:tl2br w:val="nil"/>
                    <w:tr2bl w:val="nil"/>
                  </w:tcBorders>
                  <w:noWrap w:val="0"/>
                  <w:vAlign w:val="center"/>
                </w:tcPr>
                <w:p w14:paraId="2DE8EDAD">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1-2、本项目属于金属制品制造，不涉及石化、汽车、冶金、钢铁、水泥等重点行业。</w:t>
                  </w:r>
                </w:p>
                <w:p w14:paraId="467ED59E">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3-4本项目不属于煤电、氟化工项目。</w:t>
                  </w:r>
                </w:p>
                <w:p w14:paraId="21A02825">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5-6、</w:t>
                  </w:r>
                  <w:r>
                    <w:rPr>
                      <w:rFonts w:hint="default" w:ascii="Times New Roman" w:hAnsi="Times New Roman" w:eastAsia="宋体" w:cs="Times New Roman"/>
                      <w:color w:val="000000" w:themeColor="text1"/>
                      <w:sz w:val="21"/>
                      <w:szCs w:val="21"/>
                      <w:u w:val="none"/>
                      <w14:textFill>
                        <w14:solidFill>
                          <w14:schemeClr w14:val="tx1"/>
                        </w14:solidFill>
                      </w14:textFill>
                    </w:rPr>
                    <w:t>项目周边水环境质量达标。生活污水经化粪池处理后接入市政管网汇入</w:t>
                  </w: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污水处理</w:t>
                  </w: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厂</w:t>
                  </w:r>
                  <w:r>
                    <w:rPr>
                      <w:rFonts w:hint="eastAsia" w:cs="Times New Roman"/>
                      <w:color w:val="000000" w:themeColor="text1"/>
                      <w:sz w:val="21"/>
                      <w:szCs w:val="21"/>
                      <w:u w:val="none"/>
                      <w:lang w:eastAsia="zh-CN"/>
                      <w14:textFill>
                        <w14:solidFill>
                          <w14:schemeClr w14:val="tx1"/>
                        </w14:solidFill>
                      </w14:textFill>
                    </w:rPr>
                    <w:t>。</w:t>
                  </w:r>
                  <w:r>
                    <w:rPr>
                      <w:rFonts w:hint="eastAsia" w:cs="Times New Roman"/>
                      <w:color w:val="000000" w:themeColor="text1"/>
                      <w:sz w:val="21"/>
                      <w:szCs w:val="21"/>
                      <w:u w:val="none"/>
                      <w:lang w:val="en-US" w:eastAsia="zh-CN"/>
                      <w14:textFill>
                        <w14:solidFill>
                          <w14:schemeClr w14:val="tx1"/>
                        </w14:solidFill>
                      </w14:textFill>
                    </w:rPr>
                    <w:t>与空间布局约束不冲突。</w:t>
                  </w:r>
                </w:p>
                <w:p w14:paraId="66B629F6">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7、本项目不属于</w:t>
                  </w:r>
                  <w:r>
                    <w:rPr>
                      <w:rFonts w:hint="eastAsia"/>
                      <w:color w:val="000000" w:themeColor="text1"/>
                      <w:vertAlign w:val="baseline"/>
                      <w:lang w:val="en-US" w:eastAsia="zh-CN"/>
                      <w14:textFill>
                        <w14:solidFill>
                          <w14:schemeClr w14:val="tx1"/>
                        </w14:solidFill>
                      </w14:textFill>
                    </w:rPr>
                    <w:t>新建用汞的电石法（聚）氯乙烯生产工艺</w:t>
                  </w:r>
                </w:p>
              </w:tc>
              <w:tc>
                <w:tcPr>
                  <w:tcW w:w="350" w:type="pct"/>
                  <w:vMerge w:val="restart"/>
                  <w:tcBorders>
                    <w:tl2br w:val="nil"/>
                    <w:tr2bl w:val="nil"/>
                  </w:tcBorders>
                  <w:noWrap w:val="0"/>
                  <w:vAlign w:val="center"/>
                </w:tcPr>
                <w:p w14:paraId="1DC689B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符合</w:t>
                  </w:r>
                </w:p>
              </w:tc>
            </w:tr>
            <w:tr w14:paraId="5B89C9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475" w:type="pct"/>
                  <w:vMerge w:val="continue"/>
                  <w:tcBorders>
                    <w:tl2br w:val="nil"/>
                    <w:tr2bl w:val="nil"/>
                  </w:tcBorders>
                  <w:noWrap w:val="0"/>
                  <w:vAlign w:val="center"/>
                </w:tcPr>
                <w:p w14:paraId="1F98017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3FA09E5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28D6FBE4">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u w:val="none"/>
                      <w:vertAlign w:val="baseline"/>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2.严控钢铁、水泥、平板玻璃等产能过剩行业新增产能，新增产能应实施产能等量或减量置换。</w:t>
                  </w:r>
                </w:p>
              </w:tc>
              <w:tc>
                <w:tcPr>
                  <w:tcW w:w="1165" w:type="pct"/>
                  <w:vMerge w:val="continue"/>
                  <w:tcBorders>
                    <w:tl2br w:val="nil"/>
                    <w:tr2bl w:val="nil"/>
                  </w:tcBorders>
                  <w:noWrap w:val="0"/>
                  <w:vAlign w:val="center"/>
                </w:tcPr>
                <w:p w14:paraId="349D2CA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u w:val="none"/>
                      <w:vertAlign w:val="baseline"/>
                      <w14:textFill>
                        <w14:solidFill>
                          <w14:schemeClr w14:val="tx1"/>
                        </w14:solidFill>
                      </w14:textFill>
                    </w:rPr>
                  </w:pPr>
                </w:p>
              </w:tc>
              <w:tc>
                <w:tcPr>
                  <w:tcW w:w="350" w:type="pct"/>
                  <w:vMerge w:val="continue"/>
                  <w:tcBorders>
                    <w:tl2br w:val="nil"/>
                    <w:tr2bl w:val="nil"/>
                  </w:tcBorders>
                  <w:noWrap w:val="0"/>
                  <w:vAlign w:val="center"/>
                </w:tcPr>
                <w:p w14:paraId="06B101E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356738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475" w:type="pct"/>
                  <w:vMerge w:val="continue"/>
                  <w:tcBorders>
                    <w:tl2br w:val="nil"/>
                    <w:tr2bl w:val="nil"/>
                  </w:tcBorders>
                  <w:noWrap w:val="0"/>
                  <w:vAlign w:val="center"/>
                </w:tcPr>
                <w:p w14:paraId="1C4C72F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517AE9E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0D9A1DE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3.除列入国家规划的大型煤电和符合相关要求的等容量替代项目，以及以供热为主的热电联产项目外，原则上不再建设新的煤电项目。</w:t>
                  </w:r>
                </w:p>
              </w:tc>
              <w:tc>
                <w:tcPr>
                  <w:tcW w:w="1165" w:type="pct"/>
                  <w:vMerge w:val="continue"/>
                  <w:tcBorders>
                    <w:tl2br w:val="nil"/>
                    <w:tr2bl w:val="nil"/>
                  </w:tcBorders>
                  <w:noWrap w:val="0"/>
                  <w:vAlign w:val="center"/>
                </w:tcPr>
                <w:p w14:paraId="7E90916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50" w:type="pct"/>
                  <w:vMerge w:val="continue"/>
                  <w:tcBorders>
                    <w:tl2br w:val="nil"/>
                    <w:tr2bl w:val="nil"/>
                  </w:tcBorders>
                  <w:noWrap w:val="0"/>
                  <w:vAlign w:val="center"/>
                </w:tcPr>
                <w:p w14:paraId="31B2B16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216963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75" w:type="pct"/>
                  <w:vMerge w:val="continue"/>
                  <w:tcBorders>
                    <w:tl2br w:val="nil"/>
                    <w:tr2bl w:val="nil"/>
                  </w:tcBorders>
                  <w:noWrap w:val="0"/>
                  <w:vAlign w:val="center"/>
                </w:tcPr>
                <w:p w14:paraId="2A603BF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3611190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1840EE1C">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4.氟化工产业应集中布局在《关于促进我省氟化工产业绿色高效发展的若干意见》中确定的园区，在上述园区之外不再新建氟化工项目，园区之外现有氟化工项目不再扩大规模。</w:t>
                  </w:r>
                </w:p>
              </w:tc>
              <w:tc>
                <w:tcPr>
                  <w:tcW w:w="1165" w:type="pct"/>
                  <w:vMerge w:val="continue"/>
                  <w:tcBorders>
                    <w:tl2br w:val="nil"/>
                    <w:tr2bl w:val="nil"/>
                  </w:tcBorders>
                  <w:noWrap w:val="0"/>
                  <w:vAlign w:val="center"/>
                </w:tcPr>
                <w:p w14:paraId="17D4C56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50" w:type="pct"/>
                  <w:vMerge w:val="continue"/>
                  <w:tcBorders>
                    <w:tl2br w:val="nil"/>
                    <w:tr2bl w:val="nil"/>
                  </w:tcBorders>
                  <w:noWrap w:val="0"/>
                  <w:vAlign w:val="center"/>
                </w:tcPr>
                <w:p w14:paraId="35D538F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3CA17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475" w:type="pct"/>
                  <w:vMerge w:val="continue"/>
                  <w:tcBorders>
                    <w:tl2br w:val="nil"/>
                    <w:tr2bl w:val="nil"/>
                  </w:tcBorders>
                  <w:noWrap w:val="0"/>
                  <w:vAlign w:val="center"/>
                </w:tcPr>
                <w:p w14:paraId="28A5A6F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0D02C77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6FB6792D">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5.禁止在水环境质量不能稳定达标的区域内，建设新增相应不达标污染物指标排放量的工业项目。</w:t>
                  </w:r>
                </w:p>
              </w:tc>
              <w:tc>
                <w:tcPr>
                  <w:tcW w:w="1165" w:type="pct"/>
                  <w:vMerge w:val="continue"/>
                  <w:tcBorders>
                    <w:tl2br w:val="nil"/>
                    <w:tr2bl w:val="nil"/>
                  </w:tcBorders>
                  <w:noWrap w:val="0"/>
                  <w:vAlign w:val="center"/>
                </w:tcPr>
                <w:p w14:paraId="00E16F2A">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50" w:type="pct"/>
                  <w:vMerge w:val="continue"/>
                  <w:tcBorders>
                    <w:tl2br w:val="nil"/>
                    <w:tr2bl w:val="nil"/>
                  </w:tcBorders>
                  <w:noWrap w:val="0"/>
                  <w:vAlign w:val="center"/>
                </w:tcPr>
                <w:p w14:paraId="417ABF2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62119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475" w:type="pct"/>
                  <w:vMerge w:val="continue"/>
                  <w:tcBorders>
                    <w:tl2br w:val="nil"/>
                    <w:tr2bl w:val="nil"/>
                  </w:tcBorders>
                  <w:noWrap w:val="0"/>
                  <w:vAlign w:val="center"/>
                </w:tcPr>
                <w:p w14:paraId="5F1C24C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3220782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1B1EAC87">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6.禁止在通风廊道和主导风向的上风向布局大气重污染企业，推进建成区大气重污染企业搬迁或升级改造、环境风险企业搬迁或关闭退出。</w:t>
                  </w:r>
                </w:p>
              </w:tc>
              <w:tc>
                <w:tcPr>
                  <w:tcW w:w="1165" w:type="pct"/>
                  <w:vMerge w:val="continue"/>
                  <w:tcBorders>
                    <w:tl2br w:val="nil"/>
                    <w:tr2bl w:val="nil"/>
                  </w:tcBorders>
                  <w:noWrap w:val="0"/>
                  <w:vAlign w:val="center"/>
                </w:tcPr>
                <w:p w14:paraId="20BC1FA6">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p>
              </w:tc>
              <w:tc>
                <w:tcPr>
                  <w:tcW w:w="350" w:type="pct"/>
                  <w:vMerge w:val="continue"/>
                  <w:tcBorders>
                    <w:tl2br w:val="nil"/>
                    <w:tr2bl w:val="nil"/>
                  </w:tcBorders>
                  <w:noWrap w:val="0"/>
                  <w:vAlign w:val="center"/>
                </w:tcPr>
                <w:p w14:paraId="128C583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7BDBC8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1" w:hRule="atLeast"/>
              </w:trPr>
              <w:tc>
                <w:tcPr>
                  <w:tcW w:w="475" w:type="pct"/>
                  <w:vMerge w:val="continue"/>
                  <w:tcBorders>
                    <w:tl2br w:val="nil"/>
                    <w:tr2bl w:val="nil"/>
                  </w:tcBorders>
                  <w:noWrap w:val="0"/>
                  <w:vAlign w:val="center"/>
                </w:tcPr>
                <w:p w14:paraId="3B58DAB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58C6D81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6F521F70">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7.新建、扩建的涉及重点重金属污染物［1］的有色金属冶炼、电镀、制革、铅蓄电池制造企业布局应符合《福建省进一步加强重金属污染防控实施方案》（闽环保固体〔2022〕17号）要求。禁止低端落后产能向闽江中上游地区、九龙江北溪江东北引桥闸以上、西溪桥闸以上流域、晋江流域上游转移。禁止新建用汞的电石法（聚）氯乙烯生产工艺。</w:t>
                  </w:r>
                </w:p>
              </w:tc>
              <w:tc>
                <w:tcPr>
                  <w:tcW w:w="1165" w:type="pct"/>
                  <w:vMerge w:val="continue"/>
                  <w:tcBorders>
                    <w:tl2br w:val="nil"/>
                    <w:tr2bl w:val="nil"/>
                  </w:tcBorders>
                  <w:noWrap w:val="0"/>
                  <w:vAlign w:val="center"/>
                </w:tcPr>
                <w:p w14:paraId="7BDC0EA8">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p>
              </w:tc>
              <w:tc>
                <w:tcPr>
                  <w:tcW w:w="350" w:type="pct"/>
                  <w:vMerge w:val="continue"/>
                  <w:tcBorders>
                    <w:tl2br w:val="nil"/>
                    <w:tr2bl w:val="nil"/>
                  </w:tcBorders>
                  <w:noWrap w:val="0"/>
                  <w:vAlign w:val="center"/>
                </w:tcPr>
                <w:p w14:paraId="16958E5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7A5A9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475" w:type="pct"/>
                  <w:vMerge w:val="continue"/>
                  <w:tcBorders>
                    <w:tl2br w:val="nil"/>
                    <w:tr2bl w:val="nil"/>
                  </w:tcBorders>
                  <w:noWrap w:val="0"/>
                  <w:vAlign w:val="center"/>
                </w:tcPr>
                <w:p w14:paraId="548F855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restart"/>
                  <w:tcBorders>
                    <w:tl2br w:val="nil"/>
                    <w:tr2bl w:val="nil"/>
                  </w:tcBorders>
                  <w:noWrap w:val="0"/>
                  <w:vAlign w:val="center"/>
                </w:tcPr>
                <w:p w14:paraId="70B23E0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污染物排放管控</w:t>
                  </w:r>
                </w:p>
              </w:tc>
              <w:tc>
                <w:tcPr>
                  <w:tcW w:w="2761" w:type="pct"/>
                  <w:tcBorders>
                    <w:tl2br w:val="nil"/>
                    <w:tr2bl w:val="nil"/>
                  </w:tcBorders>
                  <w:noWrap w:val="0"/>
                  <w:vAlign w:val="center"/>
                </w:tcPr>
                <w:p w14:paraId="7DBFF7A8">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color w:val="auto"/>
                      <w:vertAlign w:val="baseline"/>
                      <w:lang w:val="en-US" w:eastAsia="zh-CN"/>
                    </w:rPr>
                    <w:t>1.建设项目新增的主要污染物（含VOCs）排放量应按要求实行等量或倍量替代。重点行业建设项目新增的主要污染物排放量应同时</w:t>
                  </w:r>
                  <w:r>
                    <w:rPr>
                      <w:rFonts w:hint="eastAsia"/>
                      <w:vertAlign w:val="baseline"/>
                      <w:lang w:val="en-US" w:eastAsia="zh-CN"/>
                    </w:rPr>
                    <w:t>满足《关于加强重点行业建设项目区域削减措施监督管理的通知》（环办环评〔2020〕36号）的要求。涉及新增总磷排放的建设项目应符合相关削减替代要求。新、改、扩建重点行业［2］建设项目要符合“闽环保固体〔2022〕17号”文件要求</w:t>
                  </w:r>
                  <w:r>
                    <w:rPr>
                      <w:rFonts w:hint="default" w:ascii="Times New Roman" w:hAnsi="Times New Roman" w:eastAsia="宋体" w:cs="Times New Roman"/>
                      <w:color w:val="auto"/>
                      <w:sz w:val="21"/>
                      <w:szCs w:val="21"/>
                      <w:u w:val="none"/>
                    </w:rPr>
                    <w:t>。</w:t>
                  </w:r>
                  <w:r>
                    <w:rPr>
                      <w:rFonts w:hint="eastAsia" w:cs="Times New Roman"/>
                      <w:color w:val="auto"/>
                      <w:sz w:val="21"/>
                      <w:szCs w:val="21"/>
                      <w:u w:val="none"/>
                      <w:lang w:eastAsia="zh-CN"/>
                    </w:rPr>
                    <w:t>涉及</w:t>
                  </w:r>
                  <w:r>
                    <w:rPr>
                      <w:rFonts w:hint="default" w:ascii="Times New Roman" w:hAnsi="Times New Roman" w:eastAsia="宋体" w:cs="Times New Roman"/>
                      <w:color w:val="auto"/>
                      <w:sz w:val="21"/>
                      <w:szCs w:val="21"/>
                      <w:u w:val="none"/>
                    </w:rPr>
                    <w:t>新增VOCs排放项目，VOCs排放实行区域内等量替代，福州、厦门、漳州、泉州、莆田、宁德等6个重点控制区可实施倍量替代。</w:t>
                  </w:r>
                </w:p>
              </w:tc>
              <w:tc>
                <w:tcPr>
                  <w:tcW w:w="1165" w:type="pct"/>
                  <w:tcBorders>
                    <w:tl2br w:val="nil"/>
                    <w:tr2bl w:val="nil"/>
                  </w:tcBorders>
                  <w:noWrap w:val="0"/>
                  <w:vAlign w:val="center"/>
                </w:tcPr>
                <w:p w14:paraId="2B0A24B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r>
                    <w:rPr>
                      <w:rFonts w:hint="eastAsia" w:ascii="Times New Roman" w:hAnsi="Times New Roman" w:eastAsia="宋体" w:cs="Times New Roman"/>
                      <w:color w:val="auto"/>
                      <w:kern w:val="0"/>
                      <w:sz w:val="21"/>
                      <w:szCs w:val="21"/>
                      <w:u w:val="none"/>
                      <w:vertAlign w:val="baseline"/>
                      <w:lang w:val="en-US" w:eastAsia="zh-CN"/>
                    </w:rPr>
                    <w:t>本项目涉及VOCs排放，</w:t>
                  </w:r>
                  <w:r>
                    <w:rPr>
                      <w:rFonts w:hint="default" w:ascii="Times New Roman" w:hAnsi="Times New Roman" w:eastAsia="宋体" w:cs="Times New Roman"/>
                      <w:color w:val="auto"/>
                      <w:kern w:val="0"/>
                      <w:sz w:val="21"/>
                      <w:szCs w:val="21"/>
                      <w:u w:val="none"/>
                      <w:vertAlign w:val="baseline"/>
                    </w:rPr>
                    <w:t>项目投产前，按生态环境主管部门相关规定落实挥发性有机物的倍量替代</w:t>
                  </w:r>
                </w:p>
              </w:tc>
              <w:tc>
                <w:tcPr>
                  <w:tcW w:w="350" w:type="pct"/>
                  <w:vMerge w:val="restart"/>
                  <w:tcBorders>
                    <w:tl2br w:val="nil"/>
                    <w:tr2bl w:val="nil"/>
                  </w:tcBorders>
                  <w:noWrap w:val="0"/>
                  <w:vAlign w:val="center"/>
                </w:tcPr>
                <w:p w14:paraId="10F24B7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符合</w:t>
                  </w:r>
                </w:p>
              </w:tc>
            </w:tr>
            <w:tr w14:paraId="08914B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475" w:type="pct"/>
                  <w:vMerge w:val="continue"/>
                  <w:tcBorders>
                    <w:tl2br w:val="nil"/>
                    <w:tr2bl w:val="nil"/>
                  </w:tcBorders>
                  <w:noWrap w:val="0"/>
                  <w:vAlign w:val="center"/>
                </w:tcPr>
                <w:p w14:paraId="1DD662E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0C7487B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19FACE6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2.新改扩建钢铁、火电项目应当执行超低排放限值，有色项目应当执行大气污染物特别排放限值。水泥行业新改扩建项目严格对照超低排放、能效标杆水平建设实施，现有项目超低排放改造应按“闽环规〔2023〕2号”文件的时限要求分步推进，2025年底前全面完成［2］［4］。</w:t>
                  </w:r>
                </w:p>
              </w:tc>
              <w:tc>
                <w:tcPr>
                  <w:tcW w:w="1165" w:type="pct"/>
                  <w:tcBorders>
                    <w:tl2br w:val="nil"/>
                    <w:tr2bl w:val="nil"/>
                  </w:tcBorders>
                  <w:noWrap w:val="0"/>
                  <w:vAlign w:val="center"/>
                </w:tcPr>
                <w:p w14:paraId="0CBC9C36">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r>
                    <w:rPr>
                      <w:rFonts w:hint="default" w:ascii="Times New Roman" w:hAnsi="Times New Roman" w:eastAsia="宋体" w:cs="Times New Roman"/>
                      <w:color w:val="auto"/>
                      <w:sz w:val="21"/>
                      <w:szCs w:val="21"/>
                      <w:u w:val="none"/>
                    </w:rPr>
                    <w:t>本项目</w:t>
                  </w:r>
                  <w:r>
                    <w:rPr>
                      <w:rFonts w:hint="default" w:ascii="Times New Roman" w:hAnsi="Times New Roman" w:eastAsia="宋体" w:cs="Times New Roman"/>
                      <w:color w:val="auto"/>
                      <w:spacing w:val="-5"/>
                      <w:sz w:val="21"/>
                      <w:szCs w:val="21"/>
                      <w:u w:val="none"/>
                    </w:rPr>
                    <w:t>不属于</w:t>
                  </w:r>
                  <w:r>
                    <w:rPr>
                      <w:rFonts w:hint="eastAsia" w:ascii="Times New Roman" w:hAnsi="Times New Roman" w:eastAsia="宋体" w:cs="Times New Roman"/>
                      <w:color w:val="auto"/>
                      <w:spacing w:val="-5"/>
                      <w:sz w:val="21"/>
                      <w:szCs w:val="21"/>
                      <w:u w:val="none"/>
                      <w:lang w:val="en-US" w:eastAsia="zh-CN"/>
                    </w:rPr>
                    <w:t>钢铁、火电</w:t>
                  </w:r>
                  <w:r>
                    <w:rPr>
                      <w:rFonts w:hint="default" w:ascii="Times New Roman" w:hAnsi="Times New Roman" w:eastAsia="宋体" w:cs="Times New Roman"/>
                      <w:color w:val="auto"/>
                      <w:spacing w:val="-5"/>
                      <w:sz w:val="21"/>
                      <w:szCs w:val="21"/>
                      <w:u w:val="none"/>
                    </w:rPr>
                    <w:t>项目</w:t>
                  </w:r>
                  <w:r>
                    <w:rPr>
                      <w:rFonts w:hint="default" w:ascii="Times New Roman" w:hAnsi="Times New Roman" w:eastAsia="宋体" w:cs="Times New Roman"/>
                      <w:color w:val="auto"/>
                      <w:sz w:val="21"/>
                      <w:szCs w:val="21"/>
                      <w:u w:val="none"/>
                    </w:rPr>
                    <w:t>，无超低排放限值要求</w:t>
                  </w:r>
                </w:p>
              </w:tc>
              <w:tc>
                <w:tcPr>
                  <w:tcW w:w="350" w:type="pct"/>
                  <w:vMerge w:val="continue"/>
                  <w:tcBorders>
                    <w:tl2br w:val="nil"/>
                    <w:tr2bl w:val="nil"/>
                  </w:tcBorders>
                  <w:noWrap w:val="0"/>
                  <w:vAlign w:val="center"/>
                </w:tcPr>
                <w:p w14:paraId="3ACA28A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3BE629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75" w:type="pct"/>
                  <w:vMerge w:val="continue"/>
                  <w:tcBorders>
                    <w:tl2br w:val="nil"/>
                    <w:tr2bl w:val="nil"/>
                  </w:tcBorders>
                  <w:noWrap w:val="0"/>
                  <w:vAlign w:val="center"/>
                </w:tcPr>
                <w:p w14:paraId="04B048F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1A77274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7EA3766C">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3.近岸海域汇水区域、“六江两溪”流域以及排入湖泊、水库等封闭、半封闭水域的城镇污水处理设施执行不低于一级A排放标准。到2025年，省级及以上各类开发区、工业园区完成“污水零直排区”建设，混合处理工业污水和生活污水的污水处理厂达到一级A排放标准。</w:t>
                  </w:r>
                </w:p>
              </w:tc>
              <w:tc>
                <w:tcPr>
                  <w:tcW w:w="1165" w:type="pct"/>
                  <w:tcBorders>
                    <w:tl2br w:val="nil"/>
                    <w:tr2bl w:val="nil"/>
                  </w:tcBorders>
                  <w:noWrap w:val="0"/>
                  <w:vAlign w:val="center"/>
                </w:tcPr>
                <w:p w14:paraId="2054E6B1">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sz w:val="21"/>
                      <w:szCs w:val="21"/>
                      <w:u w:val="none"/>
                      <w:lang w:val="en-US" w:eastAsia="zh-CN"/>
                    </w:rPr>
                    <w:t>本项目</w:t>
                  </w:r>
                  <w:r>
                    <w:rPr>
                      <w:rFonts w:hint="default" w:ascii="Times New Roman" w:hAnsi="Times New Roman" w:eastAsia="宋体" w:cs="Times New Roman"/>
                      <w:color w:val="auto"/>
                      <w:sz w:val="21"/>
                      <w:szCs w:val="21"/>
                      <w:u w:val="none"/>
                      <w:vertAlign w:val="baseline"/>
                      <w:lang w:eastAsia="zh-CN"/>
                    </w:rPr>
                    <w:t>运营期</w:t>
                  </w:r>
                  <w:r>
                    <w:rPr>
                      <w:rFonts w:hint="eastAsia" w:cs="Times New Roman"/>
                      <w:color w:val="auto"/>
                      <w:sz w:val="21"/>
                      <w:szCs w:val="21"/>
                      <w:u w:val="none"/>
                      <w:vertAlign w:val="baseline"/>
                      <w:lang w:val="en-US" w:eastAsia="zh-CN"/>
                    </w:rPr>
                    <w:t>生产废水为压铸机间接冷却水经冷却塔冷却后循环使用，产品水洗产生废水、研磨冷却水经循环水处理设备处理后循环使用。因此，本项目无生产废水排放。</w:t>
                  </w:r>
                  <w:r>
                    <w:rPr>
                      <w:rFonts w:hint="eastAsia" w:ascii="Times New Roman" w:hAnsi="Times New Roman" w:eastAsia="宋体" w:cs="Times New Roman"/>
                      <w:color w:val="auto"/>
                      <w:sz w:val="21"/>
                      <w:szCs w:val="21"/>
                      <w:u w:val="none"/>
                      <w:lang w:val="en-US" w:eastAsia="zh-CN"/>
                    </w:rPr>
                    <w:t>生活污水依托园区内化粪池处理达标后接入市政污水管网，纳入福清市融元污水处理厂进行集中</w:t>
                  </w:r>
                  <w:r>
                    <w:rPr>
                      <w:rFonts w:hint="default" w:ascii="Times New Roman" w:hAnsi="Times New Roman" w:eastAsia="宋体" w:cs="Times New Roman"/>
                      <w:color w:val="auto"/>
                      <w:sz w:val="21"/>
                      <w:szCs w:val="21"/>
                      <w:u w:val="none"/>
                      <w:lang w:val="en-US" w:eastAsia="zh-CN"/>
                    </w:rPr>
                    <w:t>处理</w:t>
                  </w:r>
                  <w:r>
                    <w:rPr>
                      <w:rFonts w:hint="eastAsia" w:ascii="Times New Roman" w:hAnsi="Times New Roman" w:eastAsia="宋体" w:cs="Times New Roman"/>
                      <w:color w:val="auto"/>
                      <w:sz w:val="21"/>
                      <w:szCs w:val="21"/>
                      <w:u w:val="none"/>
                      <w:lang w:val="en-US" w:eastAsia="zh-CN"/>
                    </w:rPr>
                    <w:t>。</w:t>
                  </w:r>
                </w:p>
              </w:tc>
              <w:tc>
                <w:tcPr>
                  <w:tcW w:w="350" w:type="pct"/>
                  <w:vMerge w:val="continue"/>
                  <w:tcBorders>
                    <w:tl2br w:val="nil"/>
                    <w:tr2bl w:val="nil"/>
                  </w:tcBorders>
                  <w:noWrap w:val="0"/>
                  <w:vAlign w:val="center"/>
                </w:tcPr>
                <w:p w14:paraId="21496A3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1F982A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475" w:type="pct"/>
                  <w:vMerge w:val="continue"/>
                  <w:tcBorders>
                    <w:tl2br w:val="nil"/>
                    <w:tr2bl w:val="nil"/>
                  </w:tcBorders>
                  <w:noWrap w:val="0"/>
                  <w:vAlign w:val="center"/>
                </w:tcPr>
                <w:p w14:paraId="72DCFEB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5F4EF35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17353F63">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4.优化调整货物运输方式，提升铁路货运比例，推进钢铁、电力、电解铝、焦化等重点工业企业和工业园区货物由公路运输转向铁路运输。</w:t>
                  </w:r>
                </w:p>
              </w:tc>
              <w:tc>
                <w:tcPr>
                  <w:tcW w:w="1165" w:type="pct"/>
                  <w:vMerge w:val="restart"/>
                  <w:tcBorders>
                    <w:tl2br w:val="nil"/>
                    <w:tr2bl w:val="nil"/>
                  </w:tcBorders>
                  <w:noWrap w:val="0"/>
                  <w:vAlign w:val="center"/>
                </w:tcPr>
                <w:p w14:paraId="5782FBAF">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本项目不属于</w:t>
                  </w:r>
                  <w:r>
                    <w:rPr>
                      <w:rFonts w:hint="eastAsia"/>
                      <w:vertAlign w:val="baseline"/>
                      <w:lang w:val="en-US" w:eastAsia="zh-CN"/>
                    </w:rPr>
                    <w:t>钢铁、电力、电解铝、焦化、石化、涂料、纺织印染、橡胶、医药等重点工业企业</w:t>
                  </w:r>
                </w:p>
              </w:tc>
              <w:tc>
                <w:tcPr>
                  <w:tcW w:w="350" w:type="pct"/>
                  <w:vMerge w:val="continue"/>
                  <w:tcBorders>
                    <w:tl2br w:val="nil"/>
                    <w:tr2bl w:val="nil"/>
                  </w:tcBorders>
                  <w:noWrap w:val="0"/>
                  <w:vAlign w:val="center"/>
                </w:tcPr>
                <w:p w14:paraId="70A6153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40ABC2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75" w:type="pct"/>
                  <w:vMerge w:val="continue"/>
                  <w:tcBorders>
                    <w:tl2br w:val="nil"/>
                    <w:tr2bl w:val="nil"/>
                  </w:tcBorders>
                  <w:noWrap w:val="0"/>
                  <w:vAlign w:val="center"/>
                </w:tcPr>
                <w:p w14:paraId="2661087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53A00C2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5F7E16DD">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5.加强石化、涂料、纺织印染、橡胶、医药等行业新污染物环境风险管控。</w:t>
                  </w:r>
                </w:p>
              </w:tc>
              <w:tc>
                <w:tcPr>
                  <w:tcW w:w="1165" w:type="pct"/>
                  <w:vMerge w:val="continue"/>
                  <w:tcBorders>
                    <w:tl2br w:val="nil"/>
                    <w:tr2bl w:val="nil"/>
                  </w:tcBorders>
                  <w:noWrap w:val="0"/>
                  <w:vAlign w:val="center"/>
                </w:tcPr>
                <w:p w14:paraId="278156D9">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50" w:type="pct"/>
                  <w:vMerge w:val="continue"/>
                  <w:tcBorders>
                    <w:tl2br w:val="nil"/>
                    <w:tr2bl w:val="nil"/>
                  </w:tcBorders>
                  <w:noWrap w:val="0"/>
                  <w:vAlign w:val="center"/>
                </w:tcPr>
                <w:p w14:paraId="66BB95E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7CAAF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75" w:type="pct"/>
                  <w:vMerge w:val="continue"/>
                  <w:tcBorders>
                    <w:tl2br w:val="nil"/>
                    <w:tr2bl w:val="nil"/>
                  </w:tcBorders>
                  <w:noWrap w:val="0"/>
                  <w:vAlign w:val="center"/>
                </w:tcPr>
                <w:p w14:paraId="60E7780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restart"/>
                  <w:tcBorders>
                    <w:tl2br w:val="nil"/>
                    <w:tr2bl w:val="nil"/>
                  </w:tcBorders>
                  <w:noWrap w:val="0"/>
                  <w:vAlign w:val="center"/>
                </w:tcPr>
                <w:p w14:paraId="78218D1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资源开发效率要求</w:t>
                  </w:r>
                </w:p>
                <w:p w14:paraId="1404069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61" w:type="pct"/>
                  <w:tcBorders>
                    <w:tl2br w:val="nil"/>
                    <w:tr2bl w:val="nil"/>
                  </w:tcBorders>
                  <w:noWrap w:val="0"/>
                  <w:vAlign w:val="center"/>
                </w:tcPr>
                <w:p w14:paraId="29E10AC7">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1.实施能源消耗总量和强度双控。</w:t>
                  </w:r>
                </w:p>
              </w:tc>
              <w:tc>
                <w:tcPr>
                  <w:tcW w:w="1165" w:type="pct"/>
                  <w:vMerge w:val="restart"/>
                  <w:tcBorders>
                    <w:tl2br w:val="nil"/>
                    <w:tr2bl w:val="nil"/>
                  </w:tcBorders>
                  <w:noWrap w:val="0"/>
                  <w:vAlign w:val="center"/>
                </w:tcPr>
                <w:p w14:paraId="50072C3F">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kern w:val="0"/>
                      <w:sz w:val="21"/>
                      <w:szCs w:val="21"/>
                      <w:highlight w:val="none"/>
                      <w:vertAlign w:val="baseline"/>
                      <w:lang w:val="en-US" w:eastAsia="zh-CN"/>
                    </w:rPr>
                    <w:t>本项目</w:t>
                  </w:r>
                  <w:r>
                    <w:rPr>
                      <w:rFonts w:hint="default" w:ascii="Times New Roman" w:hAnsi="Times New Roman" w:cs="Times New Roman"/>
                      <w:color w:val="auto"/>
                      <w:kern w:val="0"/>
                      <w:sz w:val="21"/>
                      <w:szCs w:val="21"/>
                      <w:highlight w:val="none"/>
                      <w:vertAlign w:val="baseline"/>
                      <w:lang w:val="en-US" w:eastAsia="zh-CN"/>
                    </w:rPr>
                    <w:t>仅使用电能</w:t>
                  </w:r>
                  <w:r>
                    <w:rPr>
                      <w:rFonts w:hint="eastAsia" w:ascii="Times New Roman" w:hAnsi="Times New Roman" w:cs="Times New Roman"/>
                      <w:color w:val="auto"/>
                      <w:kern w:val="0"/>
                      <w:sz w:val="21"/>
                      <w:szCs w:val="21"/>
                      <w:highlight w:val="none"/>
                      <w:vertAlign w:val="baseline"/>
                      <w:lang w:val="en-US" w:eastAsia="zh-CN"/>
                    </w:rPr>
                    <w:t>和水能</w:t>
                  </w:r>
                  <w:r>
                    <w:rPr>
                      <w:rFonts w:hint="default" w:ascii="Times New Roman" w:hAnsi="Times New Roman" w:cs="Times New Roman"/>
                      <w:color w:val="auto"/>
                      <w:kern w:val="0"/>
                      <w:sz w:val="21"/>
                      <w:szCs w:val="21"/>
                      <w:highlight w:val="none"/>
                      <w:vertAlign w:val="baseline"/>
                      <w:lang w:val="en-US" w:eastAsia="zh-CN"/>
                    </w:rPr>
                    <w:t>，不涉及其他</w:t>
                  </w:r>
                  <w:r>
                    <w:rPr>
                      <w:rFonts w:hint="eastAsia" w:cs="Times New Roman"/>
                      <w:color w:val="auto"/>
                      <w:kern w:val="0"/>
                      <w:sz w:val="21"/>
                      <w:szCs w:val="21"/>
                      <w:highlight w:val="none"/>
                      <w:vertAlign w:val="baseline"/>
                      <w:lang w:val="en-US" w:eastAsia="zh-CN"/>
                    </w:rPr>
                    <w:t>能源</w:t>
                  </w:r>
                  <w:r>
                    <w:rPr>
                      <w:rFonts w:hint="default" w:ascii="Times New Roman" w:hAnsi="Times New Roman" w:cs="Times New Roman"/>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lang w:eastAsia="zh-CN"/>
                    </w:rPr>
                    <w:t>项目所采用的生产工艺、装备技术可达国内先进水平；水耗、能耗指标可达国内先进水平</w:t>
                  </w:r>
                </w:p>
              </w:tc>
              <w:tc>
                <w:tcPr>
                  <w:tcW w:w="350" w:type="pct"/>
                  <w:vMerge w:val="restart"/>
                  <w:tcBorders>
                    <w:tl2br w:val="nil"/>
                    <w:tr2bl w:val="nil"/>
                  </w:tcBorders>
                  <w:noWrap w:val="0"/>
                  <w:vAlign w:val="center"/>
                </w:tcPr>
                <w:p w14:paraId="1D595FB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符合</w:t>
                  </w:r>
                </w:p>
              </w:tc>
            </w:tr>
            <w:tr w14:paraId="615F6D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75" w:type="pct"/>
                  <w:vMerge w:val="continue"/>
                  <w:tcBorders>
                    <w:tl2br w:val="nil"/>
                    <w:tr2bl w:val="nil"/>
                  </w:tcBorders>
                  <w:noWrap w:val="0"/>
                  <w:vAlign w:val="center"/>
                </w:tcPr>
                <w:p w14:paraId="7DB774C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412678A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61" w:type="pct"/>
                  <w:tcBorders>
                    <w:tl2br w:val="nil"/>
                    <w:tr2bl w:val="nil"/>
                  </w:tcBorders>
                  <w:noWrap w:val="0"/>
                  <w:vAlign w:val="center"/>
                </w:tcPr>
                <w:p w14:paraId="0C938607">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2.强化产业园区单位土地面积投资强度和效用指标的刚性约束，提高土地利用效率。</w:t>
                  </w:r>
                </w:p>
              </w:tc>
              <w:tc>
                <w:tcPr>
                  <w:tcW w:w="1165" w:type="pct"/>
                  <w:vMerge w:val="continue"/>
                  <w:tcBorders>
                    <w:tl2br w:val="nil"/>
                    <w:tr2bl w:val="nil"/>
                  </w:tcBorders>
                  <w:noWrap w:val="0"/>
                  <w:vAlign w:val="center"/>
                </w:tcPr>
                <w:p w14:paraId="2E428EC2">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50" w:type="pct"/>
                  <w:vMerge w:val="continue"/>
                  <w:tcBorders>
                    <w:tl2br w:val="nil"/>
                    <w:tr2bl w:val="nil"/>
                  </w:tcBorders>
                  <w:noWrap w:val="0"/>
                  <w:vAlign w:val="center"/>
                </w:tcPr>
                <w:p w14:paraId="49969DD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5AEE5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475" w:type="pct"/>
                  <w:vMerge w:val="continue"/>
                  <w:tcBorders>
                    <w:tl2br w:val="nil"/>
                    <w:tr2bl w:val="nil"/>
                  </w:tcBorders>
                  <w:noWrap w:val="0"/>
                  <w:vAlign w:val="center"/>
                </w:tcPr>
                <w:p w14:paraId="4C61204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120CBFA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61" w:type="pct"/>
                  <w:tcBorders>
                    <w:tl2br w:val="nil"/>
                    <w:tr2bl w:val="nil"/>
                  </w:tcBorders>
                  <w:noWrap w:val="0"/>
                  <w:vAlign w:val="center"/>
                </w:tcPr>
                <w:p w14:paraId="6DF5A668">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3.具备使用再生水条件但未充分利用的钢铁、火电、化工、制浆造纸、印染等项目，不得批准其新增取水许可。在沿海地区电力、化工、石化等行业，推行直接利用海水作为循环冷却等工业用水。</w:t>
                  </w:r>
                </w:p>
              </w:tc>
              <w:tc>
                <w:tcPr>
                  <w:tcW w:w="1165" w:type="pct"/>
                  <w:vMerge w:val="continue"/>
                  <w:tcBorders>
                    <w:tl2br w:val="nil"/>
                    <w:tr2bl w:val="nil"/>
                  </w:tcBorders>
                  <w:noWrap w:val="0"/>
                  <w:vAlign w:val="center"/>
                </w:tcPr>
                <w:p w14:paraId="1DA93D9F">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50" w:type="pct"/>
                  <w:vMerge w:val="continue"/>
                  <w:tcBorders>
                    <w:tl2br w:val="nil"/>
                    <w:tr2bl w:val="nil"/>
                  </w:tcBorders>
                  <w:noWrap w:val="0"/>
                  <w:vAlign w:val="center"/>
                </w:tcPr>
                <w:p w14:paraId="40F5F65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79875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75" w:type="pct"/>
                  <w:vMerge w:val="continue"/>
                  <w:tcBorders>
                    <w:tl2br w:val="nil"/>
                    <w:tr2bl w:val="nil"/>
                  </w:tcBorders>
                  <w:noWrap w:val="0"/>
                  <w:vAlign w:val="center"/>
                </w:tcPr>
                <w:p w14:paraId="3B3C132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133DE9E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61" w:type="pct"/>
                  <w:tcBorders>
                    <w:tl2br w:val="nil"/>
                    <w:tr2bl w:val="nil"/>
                  </w:tcBorders>
                  <w:noWrap w:val="0"/>
                  <w:vAlign w:val="center"/>
                </w:tcPr>
                <w:p w14:paraId="41D483D9">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4.落实“闽环规〔2023〕1号”文件要求，不再新建每小时35蒸吨以下燃煤锅炉，以及每小时10蒸吨及以下燃生物质和其他使用高污染燃料的锅炉。集中供热管网覆盖范围内禁止新建、扩建分散燃煤、燃油等供热锅炉。</w:t>
                  </w:r>
                </w:p>
              </w:tc>
              <w:tc>
                <w:tcPr>
                  <w:tcW w:w="1165" w:type="pct"/>
                  <w:vMerge w:val="continue"/>
                  <w:tcBorders>
                    <w:tl2br w:val="nil"/>
                    <w:tr2bl w:val="nil"/>
                  </w:tcBorders>
                  <w:noWrap w:val="0"/>
                  <w:vAlign w:val="center"/>
                </w:tcPr>
                <w:p w14:paraId="3624FB59">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50" w:type="pct"/>
                  <w:vMerge w:val="continue"/>
                  <w:tcBorders>
                    <w:tl2br w:val="nil"/>
                    <w:tr2bl w:val="nil"/>
                  </w:tcBorders>
                  <w:noWrap w:val="0"/>
                  <w:vAlign w:val="center"/>
                </w:tcPr>
                <w:p w14:paraId="54D49B6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1AC3B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75" w:type="pct"/>
                  <w:vMerge w:val="continue"/>
                  <w:tcBorders>
                    <w:tl2br w:val="nil"/>
                    <w:tr2bl w:val="nil"/>
                  </w:tcBorders>
                  <w:noWrap w:val="0"/>
                  <w:vAlign w:val="center"/>
                </w:tcPr>
                <w:p w14:paraId="527CAAE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0095B4A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61" w:type="pct"/>
                  <w:tcBorders>
                    <w:tl2br w:val="nil"/>
                    <w:tr2bl w:val="nil"/>
                  </w:tcBorders>
                  <w:noWrap w:val="0"/>
                  <w:vAlign w:val="center"/>
                </w:tcPr>
                <w:p w14:paraId="157641AD">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5.落实“闽环保大气〔2023〕5号”文件要求，按照“提气、转电、控煤”的发展思路，推动陶瓷行业进一步优化用能结构，实现能源消费清洁低碳化。</w:t>
                  </w:r>
                </w:p>
              </w:tc>
              <w:tc>
                <w:tcPr>
                  <w:tcW w:w="1165" w:type="pct"/>
                  <w:vMerge w:val="continue"/>
                  <w:tcBorders>
                    <w:tl2br w:val="nil"/>
                    <w:tr2bl w:val="nil"/>
                  </w:tcBorders>
                  <w:noWrap w:val="0"/>
                  <w:vAlign w:val="center"/>
                </w:tcPr>
                <w:p w14:paraId="7B94A557">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50" w:type="pct"/>
                  <w:vMerge w:val="continue"/>
                  <w:tcBorders>
                    <w:tl2br w:val="nil"/>
                    <w:tr2bl w:val="nil"/>
                  </w:tcBorders>
                  <w:noWrap w:val="0"/>
                  <w:vAlign w:val="center"/>
                </w:tcPr>
                <w:p w14:paraId="2C1FB61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bl>
          <w:p w14:paraId="27B50405">
            <w:pPr>
              <w:keepNext w:val="0"/>
              <w:keepLines w:val="0"/>
              <w:pageBreakBefore w:val="0"/>
              <w:widowControl w:val="0"/>
              <w:kinsoku/>
              <w:wordWrap/>
              <w:overflowPunct/>
              <w:topLinePunct w:val="0"/>
              <w:autoSpaceDE w:val="0"/>
              <w:autoSpaceDN w:val="0"/>
              <w:bidi w:val="0"/>
              <w:adjustRightInd w:val="0"/>
              <w:snapToGrid w:val="0"/>
              <w:spacing w:before="323" w:beforeLines="100" w:line="240" w:lineRule="auto"/>
              <w:ind w:left="0" w:right="0" w:firstLine="0" w:firstLineChars="0"/>
              <w:jc w:val="center"/>
              <w:textAlignment w:val="auto"/>
              <w:rPr>
                <w:rFonts w:hint="default" w:ascii="Times New Roman" w:hAnsi="Times New Roman" w:eastAsia="宋体" w:cs="Times New Roman"/>
                <w:b/>
                <w:bCs/>
                <w:color w:val="auto"/>
                <w:kern w:val="0"/>
                <w:sz w:val="24"/>
                <w:szCs w:val="24"/>
                <w:u w:val="none"/>
              </w:rPr>
            </w:pPr>
            <w:r>
              <w:rPr>
                <w:rFonts w:hint="default" w:ascii="Times New Roman" w:hAnsi="Times New Roman" w:eastAsia="宋体" w:cs="Times New Roman"/>
                <w:b/>
                <w:bCs/>
                <w:color w:val="auto"/>
                <w:kern w:val="0"/>
                <w:sz w:val="24"/>
                <w:szCs w:val="24"/>
                <w:u w:val="none"/>
              </w:rPr>
              <w:t>表</w:t>
            </w:r>
            <w:r>
              <w:rPr>
                <w:rFonts w:hint="default" w:ascii="Times New Roman" w:hAnsi="Times New Roman" w:eastAsia="宋体" w:cs="Times New Roman"/>
                <w:b/>
                <w:bCs/>
                <w:color w:val="auto"/>
                <w:kern w:val="0"/>
                <w:sz w:val="24"/>
                <w:szCs w:val="24"/>
                <w:u w:val="none"/>
                <w:lang w:val="en-US" w:eastAsia="zh-CN"/>
              </w:rPr>
              <w:t>1.1-</w:t>
            </w:r>
            <w:r>
              <w:rPr>
                <w:rFonts w:hint="eastAsia" w:ascii="Times New Roman" w:hAnsi="Times New Roman" w:eastAsia="宋体" w:cs="Times New Roman"/>
                <w:b/>
                <w:bCs/>
                <w:color w:val="auto"/>
                <w:kern w:val="0"/>
                <w:sz w:val="24"/>
                <w:szCs w:val="24"/>
                <w:u w:val="none"/>
                <w:lang w:val="en-US" w:eastAsia="zh-CN"/>
              </w:rPr>
              <w:t>3</w:t>
            </w:r>
            <w:r>
              <w:rPr>
                <w:rFonts w:hint="default" w:ascii="Times New Roman" w:hAnsi="Times New Roman" w:eastAsia="宋体" w:cs="Times New Roman"/>
                <w:b/>
                <w:bCs/>
                <w:color w:val="auto"/>
                <w:kern w:val="0"/>
                <w:sz w:val="24"/>
                <w:szCs w:val="24"/>
                <w:u w:val="none"/>
              </w:rPr>
              <w:t xml:space="preserve"> </w:t>
            </w:r>
            <w:r>
              <w:rPr>
                <w:rFonts w:hint="eastAsia" w:ascii="Times New Roman" w:hAnsi="Times New Roman" w:eastAsia="宋体" w:cs="Times New Roman"/>
                <w:b/>
                <w:bCs/>
                <w:color w:val="auto"/>
                <w:sz w:val="24"/>
                <w:szCs w:val="24"/>
                <w:highlight w:val="none"/>
                <w:lang w:val="en-US" w:eastAsia="zh-CN"/>
              </w:rPr>
              <w:t>福州市</w:t>
            </w:r>
            <w:r>
              <w:rPr>
                <w:rFonts w:hint="default" w:ascii="Times New Roman" w:hAnsi="Times New Roman" w:eastAsia="宋体" w:cs="Times New Roman"/>
                <w:b/>
                <w:bCs/>
                <w:color w:val="auto"/>
                <w:sz w:val="24"/>
                <w:szCs w:val="24"/>
                <w:highlight w:val="none"/>
              </w:rPr>
              <w:t>生态环境总体准入要求的符合性分析</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901"/>
              <w:gridCol w:w="7390"/>
              <w:gridCol w:w="2716"/>
              <w:gridCol w:w="891"/>
            </w:tblGrid>
            <w:tr w14:paraId="33B1B9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285" w:type="pct"/>
                  <w:tcBorders>
                    <w:tl2br w:val="nil"/>
                    <w:tr2bl w:val="nil"/>
                  </w:tcBorders>
                  <w:vAlign w:val="center"/>
                </w:tcPr>
                <w:p w14:paraId="60A5706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适用范围</w:t>
                  </w:r>
                </w:p>
              </w:tc>
              <w:tc>
                <w:tcPr>
                  <w:tcW w:w="3284" w:type="pct"/>
                  <w:gridSpan w:val="2"/>
                  <w:tcBorders>
                    <w:tl2br w:val="nil"/>
                    <w:tr2bl w:val="nil"/>
                  </w:tcBorders>
                  <w:vAlign w:val="center"/>
                </w:tcPr>
                <w:p w14:paraId="27707BC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准入要求</w:t>
                  </w:r>
                </w:p>
              </w:tc>
              <w:tc>
                <w:tcPr>
                  <w:tcW w:w="1076" w:type="pct"/>
                  <w:tcBorders>
                    <w:tl2br w:val="nil"/>
                    <w:tr2bl w:val="nil"/>
                  </w:tcBorders>
                  <w:vAlign w:val="center"/>
                </w:tcPr>
                <w:p w14:paraId="797B60D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本项目情况</w:t>
                  </w:r>
                </w:p>
              </w:tc>
              <w:tc>
                <w:tcPr>
                  <w:tcW w:w="353" w:type="pct"/>
                  <w:tcBorders>
                    <w:tl2br w:val="nil"/>
                    <w:tr2bl w:val="nil"/>
                  </w:tcBorders>
                  <w:vAlign w:val="center"/>
                </w:tcPr>
                <w:p w14:paraId="744A70B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符合性</w:t>
                  </w:r>
                </w:p>
              </w:tc>
            </w:tr>
            <w:tr w14:paraId="18E7F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restart"/>
                  <w:tcBorders>
                    <w:tl2br w:val="nil"/>
                    <w:tr2bl w:val="nil"/>
                  </w:tcBorders>
                  <w:vAlign w:val="center"/>
                </w:tcPr>
                <w:p w14:paraId="64332B0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城镇生活类重点管控单元</w:t>
                  </w:r>
                </w:p>
              </w:tc>
              <w:tc>
                <w:tcPr>
                  <w:tcW w:w="357" w:type="pct"/>
                  <w:tcBorders>
                    <w:tl2br w:val="nil"/>
                    <w:tr2bl w:val="nil"/>
                  </w:tcBorders>
                  <w:vAlign w:val="center"/>
                </w:tcPr>
                <w:p w14:paraId="4C54552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空间布局约束</w:t>
                  </w:r>
                </w:p>
              </w:tc>
              <w:tc>
                <w:tcPr>
                  <w:tcW w:w="2927" w:type="pct"/>
                  <w:tcBorders>
                    <w:tl2br w:val="nil"/>
                    <w:tr2bl w:val="nil"/>
                  </w:tcBorders>
                  <w:vAlign w:val="center"/>
                </w:tcPr>
                <w:p w14:paraId="540CF570">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严禁在城镇人口密集区新建危险化学品生产企业；现有不符合安全和卫生防护距离要求的危险化学品生产企业2025年底前完成就地改造达标、搬迁进入规范化工园区或关闭退出。</w:t>
                  </w:r>
                </w:p>
              </w:tc>
              <w:tc>
                <w:tcPr>
                  <w:tcW w:w="1076" w:type="pct"/>
                  <w:tcBorders>
                    <w:tl2br w:val="nil"/>
                    <w:tr2bl w:val="nil"/>
                  </w:tcBorders>
                  <w:vAlign w:val="center"/>
                </w:tcPr>
                <w:p w14:paraId="29447E8B">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default" w:ascii="Times New Roman" w:hAnsi="Times New Roman" w:eastAsia="宋体" w:cs="Times New Roman"/>
                      <w:color w:val="auto"/>
                      <w:sz w:val="21"/>
                      <w:szCs w:val="21"/>
                      <w:u w:val="none"/>
                      <w:vertAlign w:val="baseline"/>
                    </w:rPr>
                  </w:pPr>
                  <w:r>
                    <w:rPr>
                      <w:rFonts w:hint="eastAsia"/>
                      <w:color w:val="auto"/>
                      <w:u w:val="none"/>
                      <w:vertAlign w:val="baseline"/>
                      <w:lang w:val="en-US" w:eastAsia="zh-CN"/>
                    </w:rPr>
                    <w:t>本项目不属于危险化学品生产企业，不属于印染、原料药制造、化工等企业；本项目位于</w:t>
                  </w:r>
                  <w:r>
                    <w:rPr>
                      <w:rFonts w:hint="eastAsia"/>
                      <w:color w:val="auto"/>
                      <w:sz w:val="21"/>
                      <w:szCs w:val="21"/>
                      <w:u w:val="none"/>
                      <w:lang w:eastAsia="zh-CN"/>
                    </w:rPr>
                    <w:t>福清融侨经济技术开发区内。</w:t>
                  </w:r>
                </w:p>
              </w:tc>
              <w:tc>
                <w:tcPr>
                  <w:tcW w:w="353" w:type="pct"/>
                  <w:tcBorders>
                    <w:tl2br w:val="nil"/>
                    <w:tr2bl w:val="nil"/>
                  </w:tcBorders>
                  <w:vAlign w:val="center"/>
                </w:tcPr>
                <w:p w14:paraId="7A1E4FCC">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w:t>
                  </w:r>
                </w:p>
              </w:tc>
            </w:tr>
            <w:tr w14:paraId="515CAC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continue"/>
                  <w:tcBorders>
                    <w:tl2br w:val="nil"/>
                    <w:tr2bl w:val="nil"/>
                  </w:tcBorders>
                  <w:vAlign w:val="center"/>
                </w:tcPr>
                <w:p w14:paraId="1FF9D63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357" w:type="pct"/>
                  <w:tcBorders>
                    <w:tl2br w:val="nil"/>
                    <w:tr2bl w:val="nil"/>
                  </w:tcBorders>
                  <w:vAlign w:val="center"/>
                </w:tcPr>
                <w:p w14:paraId="296E34B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污染物排放管控</w:t>
                  </w:r>
                </w:p>
              </w:tc>
              <w:tc>
                <w:tcPr>
                  <w:tcW w:w="2927" w:type="pct"/>
                  <w:tcBorders>
                    <w:tl2br w:val="nil"/>
                    <w:tr2bl w:val="nil"/>
                  </w:tcBorders>
                  <w:vAlign w:val="center"/>
                </w:tcPr>
                <w:p w14:paraId="43DCE249">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在城市建成区新建大气污染型项目，二氧化硫、氮氧化物排放量应实行倍量削减替代。</w:t>
                  </w:r>
                </w:p>
              </w:tc>
              <w:tc>
                <w:tcPr>
                  <w:tcW w:w="1076" w:type="pct"/>
                  <w:tcBorders>
                    <w:tl2br w:val="nil"/>
                    <w:tr2bl w:val="nil"/>
                  </w:tcBorders>
                  <w:vAlign w:val="center"/>
                </w:tcPr>
                <w:p w14:paraId="61D60F5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eastAsia="zh-CN"/>
                    </w:rPr>
                  </w:pPr>
                  <w:r>
                    <w:rPr>
                      <w:rFonts w:hint="eastAsia" w:ascii="Times New Roman" w:hAnsi="Times New Roman" w:eastAsia="宋体" w:cs="Times New Roman"/>
                      <w:color w:val="auto"/>
                      <w:kern w:val="0"/>
                      <w:sz w:val="21"/>
                      <w:szCs w:val="21"/>
                      <w:u w:val="none"/>
                      <w:lang w:val="en-US" w:eastAsia="zh-CN" w:bidi="ar"/>
                    </w:rPr>
                    <w:t>本项目不涉及</w:t>
                  </w:r>
                  <w:r>
                    <w:rPr>
                      <w:rFonts w:hint="eastAsia"/>
                      <w:color w:val="auto"/>
                      <w:u w:val="none"/>
                      <w:vertAlign w:val="baseline"/>
                      <w:lang w:val="en-US" w:eastAsia="zh-CN"/>
                    </w:rPr>
                    <w:t>新增二氧化硫、氮氧化物的排放，</w:t>
                  </w:r>
                  <w:r>
                    <w:rPr>
                      <w:rFonts w:hint="default" w:ascii="Times New Roman" w:hAnsi="Times New Roman" w:eastAsia="宋体" w:cs="Times New Roman"/>
                      <w:color w:val="auto"/>
                      <w:kern w:val="0"/>
                      <w:sz w:val="21"/>
                      <w:szCs w:val="21"/>
                      <w:u w:val="none"/>
                      <w:lang w:val="en-US" w:eastAsia="zh-CN" w:bidi="ar"/>
                    </w:rPr>
                    <w:t>本项目</w:t>
                  </w:r>
                  <w:r>
                    <w:rPr>
                      <w:rFonts w:hint="eastAsia" w:ascii="Times New Roman" w:hAnsi="Times New Roman" w:eastAsia="宋体" w:cs="Times New Roman"/>
                      <w:color w:val="auto"/>
                      <w:kern w:val="0"/>
                      <w:sz w:val="21"/>
                      <w:szCs w:val="21"/>
                      <w:u w:val="none"/>
                      <w:lang w:val="en-US" w:eastAsia="zh-CN" w:bidi="ar"/>
                    </w:rPr>
                    <w:t>涉及</w:t>
                  </w:r>
                  <w:r>
                    <w:rPr>
                      <w:rFonts w:hint="default" w:ascii="Times New Roman" w:hAnsi="Times New Roman" w:eastAsia="宋体" w:cs="Times New Roman"/>
                      <w:color w:val="auto"/>
                      <w:sz w:val="21"/>
                      <w:szCs w:val="21"/>
                      <w:highlight w:val="none"/>
                      <w:u w:val="none"/>
                      <w:vertAlign w:val="baseline"/>
                      <w:lang w:eastAsia="zh-CN"/>
                    </w:rPr>
                    <w:t>新增</w:t>
                  </w:r>
                  <w:r>
                    <w:rPr>
                      <w:rFonts w:hint="default" w:ascii="Times New Roman" w:hAnsi="Times New Roman" w:eastAsia="宋体" w:cs="Times New Roman"/>
                      <w:color w:val="auto"/>
                      <w:sz w:val="21"/>
                      <w:szCs w:val="21"/>
                      <w:u w:val="none"/>
                    </w:rPr>
                    <w:t>VOCs排放，VOCs排放实行区域内倍量替代</w:t>
                  </w:r>
                  <w:r>
                    <w:rPr>
                      <w:rFonts w:hint="eastAsia" w:ascii="Times New Roman" w:hAnsi="Times New Roman" w:cs="Times New Roman"/>
                      <w:color w:val="auto"/>
                      <w:sz w:val="21"/>
                      <w:szCs w:val="21"/>
                      <w:u w:val="none"/>
                      <w:lang w:eastAsia="zh-CN"/>
                    </w:rPr>
                    <w:t>。</w:t>
                  </w:r>
                </w:p>
              </w:tc>
              <w:tc>
                <w:tcPr>
                  <w:tcW w:w="353" w:type="pct"/>
                  <w:tcBorders>
                    <w:tl2br w:val="nil"/>
                    <w:tr2bl w:val="nil"/>
                  </w:tcBorders>
                  <w:vAlign w:val="center"/>
                </w:tcPr>
                <w:p w14:paraId="21F04CD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w:t>
                  </w:r>
                </w:p>
              </w:tc>
            </w:tr>
            <w:tr w14:paraId="431E34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restart"/>
                  <w:tcBorders>
                    <w:tl2br w:val="nil"/>
                    <w:tr2bl w:val="nil"/>
                  </w:tcBorders>
                  <w:vAlign w:val="center"/>
                </w:tcPr>
                <w:p w14:paraId="5EF61FA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福州市陆域</w:t>
                  </w:r>
                </w:p>
              </w:tc>
              <w:tc>
                <w:tcPr>
                  <w:tcW w:w="357" w:type="pct"/>
                  <w:vMerge w:val="restart"/>
                  <w:tcBorders>
                    <w:tl2br w:val="nil"/>
                    <w:tr2bl w:val="nil"/>
                  </w:tcBorders>
                  <w:vAlign w:val="center"/>
                </w:tcPr>
                <w:p w14:paraId="552061F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空间布局约束</w:t>
                  </w:r>
                </w:p>
              </w:tc>
              <w:tc>
                <w:tcPr>
                  <w:tcW w:w="2927" w:type="pct"/>
                  <w:tcBorders>
                    <w:tl2br w:val="nil"/>
                    <w:tr2bl w:val="nil"/>
                  </w:tcBorders>
                  <w:vAlign w:val="center"/>
                </w:tcPr>
                <w:p w14:paraId="5703E36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b/>
                      <w:bCs/>
                      <w:vertAlign w:val="baseline"/>
                      <w:lang w:val="en-US" w:eastAsia="zh-CN"/>
                    </w:rPr>
                  </w:pPr>
                  <w:r>
                    <w:rPr>
                      <w:rFonts w:hint="eastAsia" w:ascii="Times New Roman" w:hAnsi="Times New Roman" w:eastAsia="宋体" w:cs="Times New Roman"/>
                      <w:b/>
                      <w:bCs/>
                      <w:vertAlign w:val="baseline"/>
                      <w:lang w:val="en-US" w:eastAsia="zh-CN"/>
                    </w:rPr>
                    <w:t>一、优先保护单元中的生态保护红线</w:t>
                  </w:r>
                </w:p>
                <w:p w14:paraId="542568B5">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1.</w:t>
                  </w:r>
                  <w:r>
                    <w:rPr>
                      <w:rFonts w:hint="eastAsia" w:ascii="Times New Roman" w:hAnsi="Times New Roman" w:eastAsia="宋体" w:cs="Times New Roman"/>
                      <w:vertAlign w:val="baseline"/>
                      <w:lang w:val="en-US" w:eastAsia="zh-CN"/>
                    </w:rPr>
                    <w:t>根据《关于在国土空间规划中统筹划定落实三条控制线的指导意见》《自然资源部生态环境部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14:paraId="00D0D9D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宋体" w:hAnsi="宋体" w:eastAsia="宋体" w:cs="宋体"/>
                      <w:vertAlign w:val="baseline"/>
                      <w:lang w:val="en-US" w:eastAsia="zh-CN"/>
                    </w:rPr>
                    <w:t>（</w:t>
                  </w:r>
                  <w:r>
                    <w:rPr>
                      <w:rFonts w:hint="default" w:ascii="Times New Roman" w:hAnsi="Times New Roman" w:eastAsia="宋体" w:cs="Times New Roman"/>
                      <w:vertAlign w:val="baseline"/>
                      <w:lang w:val="en-US" w:eastAsia="zh-CN"/>
                    </w:rPr>
                    <w:t>1</w:t>
                  </w:r>
                  <w:r>
                    <w:rPr>
                      <w:rFonts w:hint="eastAsia" w:ascii="宋体" w:hAnsi="宋体" w:eastAsia="宋体" w:cs="宋体"/>
                      <w:vertAlign w:val="baseline"/>
                      <w:lang w:val="en-US" w:eastAsia="zh-CN"/>
                    </w:rPr>
                    <w:t>）</w:t>
                  </w:r>
                  <w:r>
                    <w:rPr>
                      <w:rFonts w:hint="eastAsia" w:ascii="Times New Roman" w:hAnsi="Times New Roman" w:eastAsia="宋体" w:cs="Times New Roman"/>
                      <w:vertAlign w:val="baseline"/>
                      <w:lang w:val="en-US" w:eastAsia="zh-CN"/>
                    </w:rPr>
                    <w:t>管护巡护、保护执法、科学研究、调查监测、测绘导航、防灾减灾救灾、军事国防、疫情防控等活动及相关的必要设施</w:t>
                  </w:r>
                  <w:r>
                    <w:rPr>
                      <w:rFonts w:hint="eastAsia" w:cs="Times New Roman"/>
                      <w:vertAlign w:val="baseline"/>
                      <w:lang w:val="en-US" w:eastAsia="zh-CN"/>
                    </w:rPr>
                    <w:t>修缮</w:t>
                  </w:r>
                  <w:r>
                    <w:rPr>
                      <w:rFonts w:hint="eastAsia" w:ascii="Times New Roman" w:hAnsi="Times New Roman" w:eastAsia="宋体" w:cs="Times New Roman"/>
                      <w:vertAlign w:val="baseline"/>
                      <w:lang w:val="en-US" w:eastAsia="zh-CN"/>
                    </w:rPr>
                    <w:t>。</w:t>
                  </w:r>
                </w:p>
                <w:p w14:paraId="4B49BC2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（2）</w:t>
                  </w:r>
                  <w:r>
                    <w:rPr>
                      <w:rFonts w:hint="eastAsia" w:ascii="Times New Roman" w:hAnsi="Times New Roman" w:eastAsia="宋体" w:cs="Times New Roman"/>
                      <w:vertAlign w:val="baseline"/>
                      <w:lang w:val="en-US" w:eastAsia="zh-CN"/>
                    </w:rPr>
                    <w:t>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08C9DA0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（3）</w:t>
                  </w:r>
                  <w:r>
                    <w:rPr>
                      <w:rFonts w:hint="eastAsia" w:ascii="Times New Roman" w:hAnsi="Times New Roman" w:eastAsia="宋体" w:cs="Times New Roman"/>
                      <w:vertAlign w:val="baseline"/>
                      <w:lang w:val="en-US" w:eastAsia="zh-CN"/>
                    </w:rPr>
                    <w:t>经依法批准的考古调查发掘、古生物化石调查发掘、标本采集和文物保护活动。</w:t>
                  </w:r>
                </w:p>
                <w:p w14:paraId="34D9AF8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（4）按规定对人工商品林进行抚育采伐，或以提升森林质量、优化栖息地、建设生物防火隔离带等为目的的树种更新，依法开展的竹林采伐经营。</w:t>
                  </w:r>
                </w:p>
                <w:p w14:paraId="5F4776B9">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（5）不破坏生态功能的适度参观旅游、科普宣教及符合相关规划的配套性服务设施和相关的必要公共设施建设及维护。</w:t>
                  </w:r>
                </w:p>
                <w:p w14:paraId="37790CD9">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（6）必须且无法避让、符合县级以上国土空间规划的线性基础设施、通讯和防洪、供水设施建设和船舶航行、航道疏浚清淤等活动；已有的合法水利、交通运输等设施运行维护改造。</w:t>
                  </w:r>
                </w:p>
                <w:p w14:paraId="282A5AD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76C9A78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（8）依据县级以上国土空间规划和生态保护修复专项规划开展的生态修复。</w:t>
                  </w:r>
                </w:p>
                <w:p w14:paraId="7B1C7BF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（9）法律法规规定允许的其他人为活动。</w:t>
                  </w:r>
                </w:p>
                <w:p w14:paraId="4C2C95A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2.</w:t>
                  </w:r>
                  <w:r>
                    <w:rPr>
                      <w:rFonts w:hint="eastAsia" w:ascii="Times New Roman" w:hAnsi="Times New Roman" w:eastAsia="宋体" w:cs="Times New Roman"/>
                      <w:vertAlign w:val="baseline"/>
                      <w:lang w:val="en-US" w:eastAsia="zh-CN"/>
                    </w:rPr>
                    <w:t>依据《福建省自然资源厅福建省生态环境厅福建省林业局关于进一步加强生态保护红线监管的通知（试行）》（闽自然资发〔2023〕56号），允许占用生态保护红线的重大项目范围：</w:t>
                  </w:r>
                </w:p>
                <w:p w14:paraId="573A9392">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（1）党中央、国务院发布文件或批准规划中明确具体名称的项目和国务院批准的项目。</w:t>
                  </w:r>
                </w:p>
                <w:p w14:paraId="700C2B4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（2）中央军委及其有关部门批准的军事国防项目。</w:t>
                  </w:r>
                </w:p>
                <w:p w14:paraId="2E1B79C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（3）国家级规划（指国务院及其有关部门正式颁布）明确的交通、水利项目。</w:t>
                  </w:r>
                </w:p>
                <w:p w14:paraId="2E128DF8">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（4）国家级规划明确的电网项目，国家级规划明确的且符合国家产业政策的能源矿产勘查开采、油气管线、水电、核电项目。</w:t>
                  </w:r>
                </w:p>
                <w:p w14:paraId="6A30897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（5）为贯彻落实党中央、国务院重大决策部署</w:t>
                  </w:r>
                  <w:r>
                    <w:rPr>
                      <w:rFonts w:hint="eastAsia" w:cs="Times New Roman"/>
                      <w:vertAlign w:val="baseline"/>
                      <w:lang w:val="en-US" w:eastAsia="zh-CN"/>
                    </w:rPr>
                    <w:t>，由</w:t>
                  </w:r>
                  <w:r>
                    <w:rPr>
                      <w:rFonts w:hint="eastAsia" w:ascii="Times New Roman" w:hAnsi="Times New Roman" w:eastAsia="宋体" w:cs="Times New Roman"/>
                      <w:vertAlign w:val="baseline"/>
                      <w:lang w:val="en-US" w:eastAsia="zh-CN"/>
                    </w:rPr>
                    <w:t>国务院投资主管部门或国务院投资主管部门会同有关部门确认的交通、能源、水利等基础设施项目。</w:t>
                  </w:r>
                </w:p>
                <w:p w14:paraId="6031F0DC">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（6）按照国家重大项目用地保障工作机制要求，国家发展</w:t>
                  </w:r>
                  <w:r>
                    <w:rPr>
                      <w:rFonts w:hint="eastAsia" w:cs="Times New Roman"/>
                      <w:vertAlign w:val="baseline"/>
                      <w:lang w:val="en-US" w:eastAsia="zh-CN"/>
                    </w:rPr>
                    <w:t>和改革委员会</w:t>
                  </w:r>
                  <w:r>
                    <w:rPr>
                      <w:rFonts w:hint="eastAsia" w:ascii="Times New Roman" w:hAnsi="Times New Roman" w:eastAsia="宋体" w:cs="Times New Roman"/>
                      <w:vertAlign w:val="baseline"/>
                      <w:lang w:val="en-US" w:eastAsia="zh-CN"/>
                    </w:rPr>
                    <w:t>同有关部门确认的需中央加大建设用地保障力度，确实难以避让的国家重大项目。</w:t>
                  </w:r>
                </w:p>
              </w:tc>
              <w:tc>
                <w:tcPr>
                  <w:tcW w:w="1076" w:type="pct"/>
                  <w:tcBorders>
                    <w:tl2br w:val="nil"/>
                    <w:tr2bl w:val="nil"/>
                  </w:tcBorders>
                  <w:vAlign w:val="center"/>
                </w:tcPr>
                <w:p w14:paraId="3C616159">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本项目不涉及自然保护区、风景名胜区、饮用水水源保护区等区域，不在优先保护单</w:t>
                  </w:r>
                  <w:r>
                    <w:rPr>
                      <w:rFonts w:hint="eastAsia" w:cs="Times New Roman"/>
                      <w:color w:val="auto"/>
                      <w:sz w:val="21"/>
                      <w:szCs w:val="21"/>
                      <w:u w:val="none"/>
                      <w:lang w:val="en-US" w:eastAsia="zh-CN"/>
                    </w:rPr>
                    <w:t>位单</w:t>
                  </w:r>
                  <w:r>
                    <w:rPr>
                      <w:rFonts w:hint="eastAsia" w:ascii="Times New Roman" w:hAnsi="Times New Roman" w:eastAsia="宋体" w:cs="Times New Roman"/>
                      <w:color w:val="auto"/>
                      <w:sz w:val="21"/>
                      <w:szCs w:val="21"/>
                      <w:u w:val="none"/>
                      <w:lang w:val="en-US" w:eastAsia="zh-CN"/>
                    </w:rPr>
                    <w:t>元内，不涉及生态保护红线的占用。</w:t>
                  </w:r>
                </w:p>
                <w:p w14:paraId="4CEFC4B3">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w:t>
                  </w:r>
                  <w:r>
                    <w:rPr>
                      <w:rFonts w:hint="eastAsia" w:ascii="Times New Roman" w:hAnsi="Times New Roman" w:eastAsia="宋体" w:cs="Times New Roman"/>
                      <w:color w:val="auto"/>
                      <w:sz w:val="21"/>
                      <w:szCs w:val="21"/>
                      <w:u w:val="none"/>
                      <w:lang w:val="en-US" w:eastAsia="zh-CN"/>
                    </w:rPr>
                    <w:t>本项目不属于重大项目。</w:t>
                  </w:r>
                </w:p>
                <w:p w14:paraId="7F7AC9F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3" w:type="pct"/>
                  <w:tcBorders>
                    <w:tl2br w:val="nil"/>
                    <w:tr2bl w:val="nil"/>
                  </w:tcBorders>
                  <w:vAlign w:val="center"/>
                </w:tcPr>
                <w:p w14:paraId="4593DBCF">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w:t>
                  </w:r>
                </w:p>
              </w:tc>
            </w:tr>
            <w:tr w14:paraId="09E824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continue"/>
                  <w:tcBorders>
                    <w:tl2br w:val="nil"/>
                    <w:tr2bl w:val="nil"/>
                  </w:tcBorders>
                  <w:vAlign w:val="center"/>
                </w:tcPr>
                <w:p w14:paraId="7FF062A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7" w:type="pct"/>
                  <w:vMerge w:val="continue"/>
                  <w:tcBorders>
                    <w:tl2br w:val="nil"/>
                    <w:tr2bl w:val="nil"/>
                  </w:tcBorders>
                  <w:vAlign w:val="center"/>
                </w:tcPr>
                <w:p w14:paraId="720B795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2927" w:type="pct"/>
                  <w:tcBorders>
                    <w:tl2br w:val="nil"/>
                    <w:tr2bl w:val="nil"/>
                  </w:tcBorders>
                  <w:vAlign w:val="center"/>
                </w:tcPr>
                <w:p w14:paraId="7A4933D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b/>
                      <w:bCs/>
                      <w:vertAlign w:val="baseline"/>
                      <w:lang w:val="en-US" w:eastAsia="zh-CN"/>
                    </w:rPr>
                  </w:pPr>
                  <w:r>
                    <w:rPr>
                      <w:rFonts w:hint="eastAsia" w:ascii="Times New Roman" w:hAnsi="Times New Roman" w:eastAsia="宋体" w:cs="Times New Roman"/>
                      <w:b/>
                      <w:bCs/>
                      <w:vertAlign w:val="baseline"/>
                      <w:lang w:val="en-US" w:eastAsia="zh-CN"/>
                    </w:rPr>
                    <w:t>二、优先保护单元中的一般生态空间</w:t>
                  </w:r>
                </w:p>
                <w:p w14:paraId="27BC9D93">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1.</w:t>
                  </w:r>
                  <w:r>
                    <w:rPr>
                      <w:rFonts w:hint="eastAsia" w:ascii="Times New Roman" w:hAnsi="Times New Roman" w:eastAsia="宋体" w:cs="Times New Roman"/>
                      <w:vertAlign w:val="baseline"/>
                      <w:lang w:val="en-US" w:eastAsia="zh-CN"/>
                    </w:rPr>
                    <w:t>一般生态空间以保护和修复生态环境、提供生态产品和服务为首要任务，因地制宜地发展不影响主体功能定位的适宜产业。</w:t>
                  </w:r>
                </w:p>
                <w:p w14:paraId="4B371164">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2.</w:t>
                  </w:r>
                  <w:r>
                    <w:rPr>
                      <w:rFonts w:hint="eastAsia" w:ascii="Times New Roman" w:hAnsi="Times New Roman" w:eastAsia="宋体" w:cs="Times New Roman"/>
                      <w:vertAlign w:val="baseline"/>
                      <w:lang w:val="en-US" w:eastAsia="zh-CN"/>
                    </w:rPr>
                    <w:t>一般生态空间内未纳入生态保护红线的饮用水水源保护区等各类法定保护地，其管控要求依照相关法律法规执行。</w:t>
                  </w:r>
                </w:p>
                <w:p w14:paraId="2C7081B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cs="Times New Roman"/>
                      <w:vertAlign w:val="baseline"/>
                      <w:lang w:val="en-US" w:eastAsia="zh-CN"/>
                    </w:rPr>
                    <w:t>3.</w:t>
                  </w:r>
                  <w:r>
                    <w:rPr>
                      <w:rFonts w:hint="eastAsia" w:ascii="Times New Roman" w:hAnsi="Times New Roman" w:eastAsia="宋体" w:cs="Times New Roman"/>
                      <w:vertAlign w:val="baseline"/>
                      <w:lang w:val="en-US" w:eastAsia="zh-CN"/>
                    </w:rPr>
                    <w:t>一般生态空间内现有合法的水泥厂、矿山开发等生产性设施及生活垃圾处置等民生工程予以保留，应按照法律法规要求落实污染防治和生态保护措施，避免对生态功能造成破坏。</w:t>
                  </w:r>
                </w:p>
              </w:tc>
              <w:tc>
                <w:tcPr>
                  <w:tcW w:w="1076" w:type="pct"/>
                  <w:tcBorders>
                    <w:tl2br w:val="nil"/>
                    <w:tr2bl w:val="nil"/>
                  </w:tcBorders>
                  <w:vAlign w:val="center"/>
                </w:tcPr>
                <w:p w14:paraId="038E080A">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本项目位于福清市重点管控单元1</w:t>
                  </w:r>
                  <w:r>
                    <w:rPr>
                      <w:rFonts w:hint="eastAsia" w:cs="Times New Roman"/>
                      <w:color w:val="auto"/>
                      <w:sz w:val="21"/>
                      <w:szCs w:val="21"/>
                      <w:u w:val="none"/>
                      <w:lang w:val="en-US" w:eastAsia="zh-CN"/>
                    </w:rPr>
                    <w:t>（</w:t>
                  </w:r>
                  <w:r>
                    <w:rPr>
                      <w:rFonts w:hint="eastAsia" w:ascii="Times New Roman" w:hAnsi="Times New Roman" w:eastAsia="宋体" w:cs="Times New Roman"/>
                      <w:color w:val="auto"/>
                      <w:sz w:val="21"/>
                      <w:szCs w:val="21"/>
                      <w:u w:val="none"/>
                      <w:lang w:val="en-US" w:eastAsia="zh-CN"/>
                    </w:rPr>
                    <w:t>重点管控单元</w:t>
                  </w:r>
                  <w:r>
                    <w:rPr>
                      <w:rFonts w:hint="eastAsia" w:cs="Times New Roman"/>
                      <w:color w:val="auto"/>
                      <w:sz w:val="21"/>
                      <w:szCs w:val="21"/>
                      <w:u w:val="none"/>
                      <w:lang w:val="en-US" w:eastAsia="zh-CN"/>
                    </w:rPr>
                    <w:t>）</w:t>
                  </w:r>
                  <w:r>
                    <w:rPr>
                      <w:rFonts w:hint="eastAsia" w:ascii="Times New Roman" w:hAnsi="Times New Roman" w:eastAsia="宋体" w:cs="Times New Roman"/>
                      <w:color w:val="auto"/>
                      <w:sz w:val="21"/>
                      <w:szCs w:val="21"/>
                      <w:u w:val="none"/>
                      <w:lang w:val="en-US" w:eastAsia="zh-CN"/>
                    </w:rPr>
                    <w:t>，不属于优先保护单元。</w:t>
                  </w:r>
                </w:p>
                <w:p w14:paraId="755A666F">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w:t>
                  </w:r>
                  <w:r>
                    <w:rPr>
                      <w:rFonts w:hint="eastAsia" w:ascii="Times New Roman" w:hAnsi="Times New Roman" w:eastAsia="宋体" w:cs="Times New Roman"/>
                      <w:color w:val="auto"/>
                      <w:sz w:val="21"/>
                      <w:szCs w:val="21"/>
                      <w:u w:val="none"/>
                      <w:lang w:val="en-US" w:eastAsia="zh-CN"/>
                    </w:rPr>
                    <w:t>本项目不涉及饮用水水源保护区</w:t>
                  </w:r>
                </w:p>
                <w:p w14:paraId="5043375B">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lang w:val="en-US" w:eastAsia="zh-CN"/>
                    </w:rPr>
                    <w:t>3.</w:t>
                  </w:r>
                  <w:r>
                    <w:rPr>
                      <w:rFonts w:hint="eastAsia" w:ascii="Times New Roman" w:hAnsi="Times New Roman" w:eastAsia="宋体" w:cs="Times New Roman"/>
                      <w:color w:val="auto"/>
                      <w:sz w:val="21"/>
                      <w:szCs w:val="21"/>
                      <w:u w:val="none"/>
                      <w:lang w:val="en-US" w:eastAsia="zh-CN"/>
                    </w:rPr>
                    <w:t>项目不属于</w:t>
                  </w:r>
                  <w:r>
                    <w:rPr>
                      <w:rFonts w:hint="eastAsia" w:ascii="Times New Roman" w:hAnsi="Times New Roman" w:eastAsia="宋体" w:cs="Times New Roman"/>
                      <w:vertAlign w:val="baseline"/>
                      <w:lang w:val="en-US" w:eastAsia="zh-CN"/>
                    </w:rPr>
                    <w:t>水泥厂、矿山开发等生产性设施项目</w:t>
                  </w:r>
                </w:p>
              </w:tc>
              <w:tc>
                <w:tcPr>
                  <w:tcW w:w="353" w:type="pct"/>
                  <w:tcBorders>
                    <w:tl2br w:val="nil"/>
                    <w:tr2bl w:val="nil"/>
                  </w:tcBorders>
                  <w:vAlign w:val="center"/>
                </w:tcPr>
                <w:p w14:paraId="3AE6320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r w14:paraId="641208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continue"/>
                  <w:tcBorders>
                    <w:tl2br w:val="nil"/>
                    <w:tr2bl w:val="nil"/>
                  </w:tcBorders>
                  <w:vAlign w:val="center"/>
                </w:tcPr>
                <w:p w14:paraId="207FB17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7" w:type="pct"/>
                  <w:vMerge w:val="continue"/>
                  <w:tcBorders>
                    <w:tl2br w:val="nil"/>
                    <w:tr2bl w:val="nil"/>
                  </w:tcBorders>
                  <w:vAlign w:val="center"/>
                </w:tcPr>
                <w:p w14:paraId="4EFB1BB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2927" w:type="pct"/>
                  <w:tcBorders>
                    <w:tl2br w:val="nil"/>
                    <w:tr2bl w:val="nil"/>
                  </w:tcBorders>
                  <w:vAlign w:val="center"/>
                </w:tcPr>
                <w:p w14:paraId="631FAAE0">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b/>
                      <w:bCs/>
                      <w:vertAlign w:val="baseline"/>
                      <w:lang w:val="en-US" w:eastAsia="zh-CN"/>
                    </w:rPr>
                    <w:t>三、其它要求</w:t>
                  </w:r>
                </w:p>
                <w:p w14:paraId="57F0DD3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1.</w:t>
                  </w:r>
                  <w:r>
                    <w:rPr>
                      <w:rFonts w:hint="eastAsia" w:ascii="Times New Roman" w:hAnsi="Times New Roman" w:eastAsia="宋体" w:cs="Times New Roman"/>
                      <w:vertAlign w:val="baseline"/>
                      <w:lang w:val="en-US" w:eastAsia="zh-CN"/>
                    </w:rPr>
                    <w:t>福州市石化中上游项目重点在福州江阴港城经济区、可门港经济区化工新材料产业园布局。</w:t>
                  </w:r>
                </w:p>
                <w:p w14:paraId="2A761F9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2.</w:t>
                  </w:r>
                  <w:r>
                    <w:rPr>
                      <w:rFonts w:hint="eastAsia" w:ascii="Times New Roman" w:hAnsi="Times New Roman" w:eastAsia="宋体" w:cs="Times New Roman"/>
                      <w:vertAlign w:val="baseline"/>
                      <w:lang w:val="en-US" w:eastAsia="zh-CN"/>
                    </w:rPr>
                    <w:t>禁止在闽江马尾罗星塔以上流域范围新、扩建制革项目，严控新（扩）建植物制浆、印染、合成革及人造革、电镀项目。</w:t>
                  </w:r>
                </w:p>
                <w:p w14:paraId="2C578E24">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3.</w:t>
                  </w:r>
                  <w:r>
                    <w:rPr>
                      <w:rFonts w:hint="eastAsia" w:ascii="Times New Roman" w:hAnsi="Times New Roman" w:eastAsia="宋体" w:cs="Times New Roman"/>
                      <w:vertAlign w:val="baseline"/>
                      <w:lang w:val="en-US" w:eastAsia="zh-CN"/>
                    </w:rPr>
                    <w:t>禁止在通风廊道和主导风向的上风向布局大气重污染企业，推进建成区大气重污染企业搬迁或升级改造、环境风险企业搬迁或关闭退出。</w:t>
                  </w:r>
                </w:p>
                <w:p w14:paraId="3159846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4.</w:t>
                  </w:r>
                  <w:r>
                    <w:rPr>
                      <w:rFonts w:hint="eastAsia" w:ascii="Times New Roman" w:hAnsi="Times New Roman" w:eastAsia="宋体" w:cs="Times New Roman"/>
                      <w:vertAlign w:val="baseline"/>
                      <w:lang w:val="en-US" w:eastAsia="zh-CN"/>
                    </w:rPr>
                    <w:t>禁止新、改、扩建生产高VOCs含量有机溶剂型涂料、油墨和胶黏剂的项目。</w:t>
                  </w:r>
                </w:p>
                <w:p w14:paraId="764A3DC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5.</w:t>
                  </w:r>
                  <w:r>
                    <w:rPr>
                      <w:rFonts w:hint="eastAsia" w:ascii="Times New Roman" w:hAnsi="Times New Roman" w:eastAsia="宋体" w:cs="Times New Roman"/>
                      <w:vertAlign w:val="baseline"/>
                      <w:lang w:val="en-US" w:eastAsia="zh-CN"/>
                    </w:rPr>
                    <w:t>持续加强闽清等地建陶产业的环境综合治理，充分衔接国土空间规划和生态环境分区管控，并对照产业政策、城市总体发展规划等要求，进一步明确发展定位，优化产业布局和规模。</w:t>
                  </w:r>
                </w:p>
                <w:p w14:paraId="33D5DE43">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6.</w:t>
                  </w:r>
                  <w:r>
                    <w:rPr>
                      <w:rFonts w:hint="eastAsia" w:ascii="Times New Roman" w:hAnsi="Times New Roman" w:eastAsia="宋体" w:cs="Times New Roman"/>
                      <w:vertAlign w:val="baseline"/>
                      <w:lang w:val="en-US" w:eastAsia="zh-CN"/>
                    </w:rPr>
                    <w:t>新建、扩建的涉及重点重金属污染物［1］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30C2CA17">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7.</w:t>
                  </w:r>
                  <w:r>
                    <w:rPr>
                      <w:rFonts w:hint="eastAsia" w:ascii="Times New Roman" w:hAnsi="Times New Roman" w:eastAsia="宋体" w:cs="Times New Roman"/>
                      <w:vertAlign w:val="baseline"/>
                      <w:lang w:val="en-US" w:eastAsia="zh-CN"/>
                    </w:rPr>
                    <w:t>禁止在流域上游新建、扩建重污染企业和项目。</w:t>
                  </w:r>
                </w:p>
                <w:p w14:paraId="1D67BFF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8.</w:t>
                  </w:r>
                  <w:r>
                    <w:rPr>
                      <w:rFonts w:hint="eastAsia" w:ascii="Times New Roman" w:hAnsi="Times New Roman" w:eastAsia="宋体" w:cs="Times New Roman"/>
                      <w:vertAlign w:val="baseline"/>
                      <w:lang w:val="en-US" w:eastAsia="zh-CN"/>
                    </w:rPr>
                    <w:t>重要敏感水体及富营养化湖库生态缓冲带除相关政府部门批准的科学研究活动外，禁止其它可能对保护区构成危害或不良影响的大规模生产、建设活动。</w:t>
                  </w:r>
                </w:p>
                <w:p w14:paraId="5D98FCF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9.</w:t>
                  </w:r>
                  <w:r>
                    <w:rPr>
                      <w:rFonts w:hint="eastAsia" w:ascii="Times New Roman" w:hAnsi="Times New Roman" w:eastAsia="宋体" w:cs="Times New Roman"/>
                      <w:vertAlign w:val="baseline"/>
                      <w:lang w:val="en-US" w:eastAsia="zh-CN"/>
                    </w:rPr>
                    <w:t>新、改、扩建煤电、钢铁、建材、石化、化工等“两高”项目，严格落实国家、省、市产业规划、产业政策、“三线一单”、规划环评，以及产能置换、煤炭消费减量替代、区域污染削减等相关要求。</w:t>
                  </w:r>
                </w:p>
                <w:p w14:paraId="0018FA7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cs="Times New Roman"/>
                      <w:vertAlign w:val="baseline"/>
                      <w:lang w:val="en-US" w:eastAsia="zh-CN"/>
                    </w:rPr>
                    <w:t>10.</w:t>
                  </w:r>
                  <w:r>
                    <w:rPr>
                      <w:rFonts w:hint="eastAsia" w:ascii="Times New Roman" w:hAnsi="Times New Roman" w:eastAsia="宋体" w:cs="Times New Roman"/>
                      <w:vertAlign w:val="baseline"/>
                      <w:lang w:val="en-US" w:eastAsia="zh-CN"/>
                    </w:rPr>
                    <w:t>单元内涉及永久基本农田的，应按照《福建省基本农田保护条例》（2010年修正本）、《国土资源部关于全面实行永久共本农田特殊保护的通知》（国土资规〔2018〕1号）、《中共中央国务院关于加强耕地保护和改进占补平衡的意见》（2017年1月9日）等相关文件要求进</w:t>
                  </w:r>
                  <w:r>
                    <w:rPr>
                      <w:rFonts w:hint="eastAsia" w:cs="Times New Roman"/>
                      <w:vertAlign w:val="baseline"/>
                      <w:lang w:val="en-US" w:eastAsia="zh-CN"/>
                    </w:rPr>
                    <w:t>行严</w:t>
                  </w:r>
                  <w:r>
                    <w:rPr>
                      <w:rFonts w:hint="eastAsia" w:ascii="Times New Roman" w:hAnsi="Times New Roman" w:eastAsia="宋体" w:cs="Times New Roman"/>
                      <w:vertAlign w:val="baseline"/>
                      <w:lang w:val="en-US" w:eastAsia="zh-CN"/>
                    </w:rPr>
                    <w:t>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076" w:type="pct"/>
                  <w:tcBorders>
                    <w:tl2br w:val="nil"/>
                    <w:tr2bl w:val="nil"/>
                  </w:tcBorders>
                  <w:vAlign w:val="center"/>
                </w:tcPr>
                <w:p w14:paraId="43A48B57">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本项目不属于石化植物制浆、印染、合成革及人造革、电镀项目，不涉及油墨、涂料、胶粘剂的使用，不属于陶瓷企业。不属于煤电、钢铁、建材、石化、化工等“两高”项目；</w:t>
                  </w:r>
                </w:p>
                <w:p w14:paraId="06400EDD">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default" w:ascii="Times New Roman" w:hAnsi="Times New Roman" w:eastAsia="宋体" w:cs="Times New Roman"/>
                      <w:vertAlign w:val="baseline"/>
                      <w:lang w:val="en-US" w:eastAsia="zh-CN"/>
                    </w:rPr>
                  </w:pPr>
                  <w:r>
                    <w:rPr>
                      <w:rFonts w:hint="eastAsia" w:cs="Times New Roman"/>
                      <w:color w:val="auto"/>
                      <w:sz w:val="21"/>
                      <w:szCs w:val="21"/>
                      <w:u w:val="none"/>
                      <w:lang w:val="en-US" w:eastAsia="zh-CN"/>
                    </w:rPr>
                    <w:t>2.</w:t>
                  </w:r>
                  <w:r>
                    <w:rPr>
                      <w:rFonts w:hint="eastAsia" w:ascii="Times New Roman" w:hAnsi="Times New Roman" w:eastAsia="宋体" w:cs="Times New Roman"/>
                      <w:color w:val="auto"/>
                      <w:sz w:val="21"/>
                      <w:szCs w:val="21"/>
                      <w:u w:val="none"/>
                      <w:lang w:val="en-US" w:eastAsia="zh-CN"/>
                    </w:rPr>
                    <w:t>项目不属于</w:t>
                  </w:r>
                  <w:r>
                    <w:rPr>
                      <w:rFonts w:hint="eastAsia" w:ascii="Times New Roman" w:hAnsi="Times New Roman" w:eastAsia="宋体" w:cs="Times New Roman"/>
                      <w:vertAlign w:val="baseline"/>
                      <w:lang w:val="en-US" w:eastAsia="zh-CN"/>
                    </w:rPr>
                    <w:t>高VOCs含量有机溶剂型涂料、油墨和胶黏剂的项目；</w:t>
                  </w:r>
                </w:p>
                <w:p w14:paraId="780A967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lang w:val="en-US" w:eastAsia="zh-CN"/>
                    </w:rPr>
                    <w:t>3.</w:t>
                  </w:r>
                  <w:r>
                    <w:rPr>
                      <w:rFonts w:hint="eastAsia" w:ascii="Times New Roman" w:hAnsi="Times New Roman" w:eastAsia="宋体" w:cs="Times New Roman"/>
                      <w:color w:val="auto"/>
                      <w:sz w:val="21"/>
                      <w:szCs w:val="21"/>
                      <w:u w:val="none"/>
                      <w:lang w:val="en-US" w:eastAsia="zh-CN"/>
                    </w:rPr>
                    <w:t>项目所在地属于工业用地，不涉及基本农田、永久基本农田、防风固沙林和农田保护林等。</w:t>
                  </w:r>
                </w:p>
              </w:tc>
              <w:tc>
                <w:tcPr>
                  <w:tcW w:w="353" w:type="pct"/>
                  <w:tcBorders>
                    <w:tl2br w:val="nil"/>
                    <w:tr2bl w:val="nil"/>
                  </w:tcBorders>
                  <w:vAlign w:val="center"/>
                </w:tcPr>
                <w:p w14:paraId="7C9504B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r w14:paraId="06D1EF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continue"/>
                  <w:tcBorders>
                    <w:tl2br w:val="nil"/>
                    <w:tr2bl w:val="nil"/>
                  </w:tcBorders>
                  <w:vAlign w:val="center"/>
                </w:tcPr>
                <w:p w14:paraId="7E7C075B">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7" w:type="pct"/>
                  <w:tcBorders>
                    <w:tl2br w:val="nil"/>
                    <w:tr2bl w:val="nil"/>
                  </w:tcBorders>
                  <w:vAlign w:val="center"/>
                </w:tcPr>
                <w:p w14:paraId="4A51934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vertAlign w:val="baseline"/>
                      <w:lang w:val="en-US" w:eastAsia="zh-CN"/>
                    </w:rPr>
                    <w:t>污染物排放管控</w:t>
                  </w:r>
                </w:p>
              </w:tc>
              <w:tc>
                <w:tcPr>
                  <w:tcW w:w="2927" w:type="pct"/>
                  <w:tcBorders>
                    <w:tl2br w:val="nil"/>
                    <w:tr2bl w:val="nil"/>
                  </w:tcBorders>
                  <w:vAlign w:val="center"/>
                </w:tcPr>
                <w:p w14:paraId="7AA93DE8">
                  <w:pPr>
                    <w:keepNext w:val="0"/>
                    <w:keepLines w:val="0"/>
                    <w:pageBreakBefore w:val="0"/>
                    <w:widowControl w:val="0"/>
                    <w:numPr>
                      <w:ilvl w:val="0"/>
                      <w:numId w:val="5"/>
                    </w:numPr>
                    <w:kinsoku/>
                    <w:wordWrap/>
                    <w:overflowPunct/>
                    <w:topLinePunct w:val="0"/>
                    <w:autoSpaceDE/>
                    <w:autoSpaceDN/>
                    <w:bidi w:val="0"/>
                    <w:adjustRightInd/>
                    <w:snapToGrid/>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工业类新（改、扩）建项目新增主要污染物（水污染物化学需氧量、氨氮和大气污染物二氧化硫、氮氧化物）排放总量指标应符合区域环境质量和总量控制要求，立足于通过</w:t>
                  </w:r>
                  <w:r>
                    <w:rPr>
                      <w:rFonts w:hint="eastAsia"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以新带老</w:t>
                  </w:r>
                  <w:r>
                    <w:rPr>
                      <w:rFonts w:hint="eastAsia"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、削减存量，努力实现区域、企业自身总量平衡。总量指标来源、审核和监督管理按照“榕环保综〔2017〕90号</w:t>
                  </w:r>
                  <w:r>
                    <w:rPr>
                      <w:rFonts w:hint="eastAsia"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等相关文件执行。</w:t>
                  </w:r>
                </w:p>
                <w:p w14:paraId="0066DB96">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新、改、扩建涉VOCs排放项目，应从源头加强控制，使用低（无）VOCs含量的原辅材料，实施新建项目VOCs排放区域内1.2及以上倍量替代。</w:t>
                  </w:r>
                </w:p>
                <w:p w14:paraId="49399F13">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严格控制新建、改建、扩建钢铁、水泥、平板玻璃、有色金属冶炼、化工等工业项目。新改扩建钢铁、火电项目</w:t>
                  </w:r>
                  <w:r>
                    <w:rPr>
                      <w:rFonts w:hint="eastAsia" w:cs="Times New Roman"/>
                      <w:b w:val="0"/>
                      <w:bCs w:val="0"/>
                      <w:vertAlign w:val="baseline"/>
                      <w:lang w:val="en-US" w:eastAsia="zh-CN"/>
                    </w:rPr>
                    <w:t>应当</w:t>
                  </w:r>
                  <w:r>
                    <w:rPr>
                      <w:rFonts w:hint="default" w:ascii="Times New Roman" w:hAnsi="Times New Roman" w:eastAsia="宋体" w:cs="Times New Roman"/>
                      <w:b w:val="0"/>
                      <w:bCs w:val="0"/>
                      <w:vertAlign w:val="baseline"/>
                      <w:lang w:val="en-US" w:eastAsia="zh-CN"/>
                    </w:rPr>
                    <w:t>执行超低排放限值，有色项目应当执行大气污染物特别排放限值。重点控制区新建化工、石化应当执行大气污染物特别排放限值。</w:t>
                  </w:r>
                </w:p>
                <w:p w14:paraId="1BD30C4F">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氟化工、印染、电镀等行业企业实行水污染物特别排放限值。</w:t>
                  </w:r>
                </w:p>
                <w:p w14:paraId="34B90F8F">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新、改、扩建重点行业［2］建设项目要遵循重点重金属污染物排放“等量替代”原则，总量来源原则上应是同一重点行业内的削减量，当同一重点行业无法满足时可从其他重点行业调剂。</w:t>
                  </w:r>
                </w:p>
                <w:p w14:paraId="3C4EF0F2">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每小时35（含）—65蒸吨燃煤锅炉和位于县级及以上城市建成区内保留的燃煤、燃油、燃生物质锅炉，原则上2024年底前必须全面实现超低排放。</w:t>
                  </w:r>
                </w:p>
                <w:p w14:paraId="04CDC0E3">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水泥行业新改扩建项目严格对照超低排放、能效标杆水平建设实施；现有项目超低排放改造应按文件（闽环规〔2023〕2号）的时限要求分步推进，2025年底前全面完成［3］［4］。</w:t>
                  </w:r>
                </w:p>
                <w:p w14:paraId="0059D56A">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076" w:type="pct"/>
                  <w:tcBorders>
                    <w:tl2br w:val="nil"/>
                    <w:tr2bl w:val="nil"/>
                  </w:tcBorders>
                  <w:vAlign w:val="center"/>
                </w:tcPr>
                <w:p w14:paraId="1598D140">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sz w:val="21"/>
                      <w:szCs w:val="21"/>
                      <w:u w:val="none"/>
                      <w:lang w:val="en-US" w:eastAsia="zh-CN"/>
                    </w:rPr>
                    <w:t>1.本项目不新增</w:t>
                  </w:r>
                  <w:r>
                    <w:rPr>
                      <w:rFonts w:hint="eastAsia"/>
                      <w:color w:val="auto"/>
                      <w:u w:val="none"/>
                      <w:vertAlign w:val="baseline"/>
                      <w:lang w:val="en-US" w:eastAsia="zh-CN"/>
                    </w:rPr>
                    <w:t>水污染物化学需氧量、氨氮和大气污染物二氧化硫、氮氧化物的排放；</w:t>
                  </w:r>
                </w:p>
                <w:p w14:paraId="1E36DD34">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2.本项目新增VOCs排放，在区域内实行倍量替代；</w:t>
                  </w:r>
                </w:p>
                <w:p w14:paraId="54CDA67E">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3.本项目不属于钢铁、水泥、平板玻璃、有色金属冶炼、化工等工业项目；</w:t>
                  </w:r>
                </w:p>
                <w:p w14:paraId="3588B8C2">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4.本项目不属于氟化工、印染、电镀等行业企业；</w:t>
                  </w:r>
                </w:p>
                <w:p w14:paraId="3CE534AC">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5.本项目不涉及重点污染物排放；</w:t>
                  </w:r>
                </w:p>
                <w:p w14:paraId="34ECAE81">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6.本项目采用电阻炉进行加工，不使用燃煤、燃油、生物质和其他使用高污染燃料的锅炉；</w:t>
                  </w:r>
                </w:p>
                <w:p w14:paraId="24FDDC71">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7.本项目不属于水泥行业；</w:t>
                  </w:r>
                </w:p>
                <w:p w14:paraId="7BF7120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olor w:val="auto"/>
                      <w:u w:val="none"/>
                      <w:vertAlign w:val="baseline"/>
                      <w:lang w:val="en-US" w:eastAsia="zh-CN"/>
                    </w:rPr>
                    <w:t>8.本项目不属于印染、皮革、农药、医药、涂料等企业，不涉及废药品、废农药以及抗生素生产过程中产生的废母液、废反应基和废培养基等废物的产生。</w:t>
                  </w:r>
                </w:p>
              </w:tc>
              <w:tc>
                <w:tcPr>
                  <w:tcW w:w="353" w:type="pct"/>
                  <w:tcBorders>
                    <w:tl2br w:val="nil"/>
                    <w:tr2bl w:val="nil"/>
                  </w:tcBorders>
                  <w:vAlign w:val="center"/>
                </w:tcPr>
                <w:p w14:paraId="60844FF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r w14:paraId="66CB84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continue"/>
                  <w:tcBorders>
                    <w:tl2br w:val="nil"/>
                    <w:tr2bl w:val="nil"/>
                  </w:tcBorders>
                  <w:vAlign w:val="center"/>
                </w:tcPr>
                <w:p w14:paraId="7AA404E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7" w:type="pct"/>
                  <w:tcBorders>
                    <w:tl2br w:val="nil"/>
                    <w:tr2bl w:val="nil"/>
                  </w:tcBorders>
                  <w:vAlign w:val="center"/>
                </w:tcPr>
                <w:p w14:paraId="6EA46BC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资源开发效率要求</w:t>
                  </w:r>
                </w:p>
              </w:tc>
              <w:tc>
                <w:tcPr>
                  <w:tcW w:w="2927" w:type="pct"/>
                  <w:tcBorders>
                    <w:tl2br w:val="nil"/>
                    <w:tr2bl w:val="nil"/>
                  </w:tcBorders>
                  <w:vAlign w:val="center"/>
                </w:tcPr>
                <w:p w14:paraId="0AFA832F">
                  <w:pPr>
                    <w:keepNext w:val="0"/>
                    <w:keepLines w:val="0"/>
                    <w:pageBreakBefore w:val="0"/>
                    <w:widowControl w:val="0"/>
                    <w:numPr>
                      <w:ilvl w:val="0"/>
                      <w:numId w:val="6"/>
                    </w:numPr>
                    <w:kinsoku/>
                    <w:wordWrap/>
                    <w:overflowPunct/>
                    <w:topLinePunct w:val="0"/>
                    <w:autoSpaceDE/>
                    <w:autoSpaceDN/>
                    <w:bidi w:val="0"/>
                    <w:adjustRightInd/>
                    <w:snapToGrid/>
                    <w:ind w:left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29E28B3B">
                  <w:pPr>
                    <w:keepNext w:val="0"/>
                    <w:keepLines w:val="0"/>
                    <w:pageBreakBefore w:val="0"/>
                    <w:widowControl w:val="0"/>
                    <w:numPr>
                      <w:ilvl w:val="0"/>
                      <w:numId w:val="6"/>
                    </w:numPr>
                    <w:kinsoku/>
                    <w:wordWrap/>
                    <w:overflowPunct/>
                    <w:topLinePunct w:val="0"/>
                    <w:autoSpaceDE/>
                    <w:autoSpaceDN/>
                    <w:bidi w:val="0"/>
                    <w:adjustRightInd/>
                    <w:snapToGrid/>
                    <w:ind w:left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按照</w:t>
                  </w:r>
                  <w:r>
                    <w:rPr>
                      <w:rFonts w:hint="eastAsia" w:ascii="Times New Roman" w:hAnsi="Times New Roman" w:eastAsia="宋体"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提气、转电、控煤</w:t>
                  </w:r>
                  <w:r>
                    <w:rPr>
                      <w:rFonts w:hint="eastAsia" w:ascii="Times New Roman" w:hAnsi="Times New Roman" w:eastAsia="宋体"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的发展思路，推动陶瓷行业进一步优化用能结构，实现能源消费清洁低碳化。</w:t>
                  </w:r>
                </w:p>
              </w:tc>
              <w:tc>
                <w:tcPr>
                  <w:tcW w:w="1076" w:type="pct"/>
                  <w:tcBorders>
                    <w:tl2br w:val="nil"/>
                    <w:tr2bl w:val="nil"/>
                  </w:tcBorders>
                  <w:vAlign w:val="center"/>
                </w:tcPr>
                <w:p w14:paraId="62BAD3C9">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sz w:val="21"/>
                      <w:szCs w:val="21"/>
                      <w:u w:val="none"/>
                      <w:lang w:val="en-US" w:eastAsia="zh-CN"/>
                    </w:rPr>
                    <w:t>1.</w:t>
                  </w:r>
                  <w:r>
                    <w:rPr>
                      <w:rFonts w:hint="eastAsia"/>
                      <w:color w:val="auto"/>
                      <w:u w:val="none"/>
                      <w:vertAlign w:val="baseline"/>
                      <w:lang w:val="en-US" w:eastAsia="zh-CN"/>
                    </w:rPr>
                    <w:t>本项目设置锅炉为电炉，不燃煤、燃油、生物质和其他使用高污染燃料的锅炉；</w:t>
                  </w:r>
                </w:p>
                <w:p w14:paraId="519C2EE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olor w:val="auto"/>
                      <w:sz w:val="21"/>
                      <w:szCs w:val="21"/>
                      <w:u w:val="none"/>
                      <w:lang w:val="en-US" w:eastAsia="zh-CN"/>
                    </w:rPr>
                    <w:t>2.本项目不属于陶瓷行业。</w:t>
                  </w:r>
                </w:p>
              </w:tc>
              <w:tc>
                <w:tcPr>
                  <w:tcW w:w="353" w:type="pct"/>
                  <w:tcBorders>
                    <w:tl2br w:val="nil"/>
                    <w:tr2bl w:val="nil"/>
                  </w:tcBorders>
                  <w:vAlign w:val="center"/>
                </w:tcPr>
                <w:p w14:paraId="2670779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bl>
          <w:p w14:paraId="736E1AE2">
            <w:pPr>
              <w:keepNext w:val="0"/>
              <w:keepLines w:val="0"/>
              <w:pageBreakBefore w:val="0"/>
              <w:widowControl w:val="0"/>
              <w:kinsoku/>
              <w:wordWrap/>
              <w:overflowPunct/>
              <w:topLinePunct w:val="0"/>
              <w:autoSpaceDE w:val="0"/>
              <w:autoSpaceDN w:val="0"/>
              <w:bidi w:val="0"/>
              <w:adjustRightInd w:val="0"/>
              <w:snapToGrid w:val="0"/>
              <w:spacing w:before="323" w:beforeLines="100" w:line="240" w:lineRule="auto"/>
              <w:ind w:left="0" w:right="0"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表1.1-4本项目与</w:t>
            </w:r>
            <w:r>
              <w:rPr>
                <w:rFonts w:hint="eastAsia" w:ascii="Times New Roman" w:hAnsi="Times New Roman" w:eastAsia="宋体" w:cs="Times New Roman"/>
                <w:b/>
                <w:bCs/>
                <w:color w:val="auto"/>
                <w:sz w:val="24"/>
                <w:szCs w:val="24"/>
                <w:highlight w:val="none"/>
                <w:lang w:val="en-US" w:eastAsia="zh-CN"/>
              </w:rPr>
              <w:t>福清市</w:t>
            </w:r>
            <w:r>
              <w:rPr>
                <w:rFonts w:hint="default" w:ascii="Times New Roman" w:hAnsi="Times New Roman" w:eastAsia="宋体" w:cs="Times New Roman"/>
                <w:b/>
                <w:bCs/>
                <w:color w:val="auto"/>
                <w:sz w:val="24"/>
                <w:szCs w:val="24"/>
                <w:highlight w:val="none"/>
                <w:lang w:val="en-US" w:eastAsia="zh-CN"/>
              </w:rPr>
              <w:t>重点管控单元</w:t>
            </w:r>
            <w:r>
              <w:rPr>
                <w:rFonts w:hint="eastAsia"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环境管控单元准入要求</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77"/>
              <w:gridCol w:w="1083"/>
              <w:gridCol w:w="755"/>
              <w:gridCol w:w="692"/>
              <w:gridCol w:w="5050"/>
              <w:gridCol w:w="2636"/>
              <w:gridCol w:w="725"/>
            </w:tblGrid>
            <w:tr w14:paraId="2CDE6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tcBorders>
                    <w:tl2br w:val="nil"/>
                    <w:tr2bl w:val="nil"/>
                  </w:tcBorders>
                  <w:vAlign w:val="center"/>
                </w:tcPr>
                <w:p w14:paraId="083D63D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环境管控单位编码</w:t>
                  </w:r>
                </w:p>
              </w:tc>
              <w:tc>
                <w:tcPr>
                  <w:tcW w:w="429" w:type="pct"/>
                  <w:tcBorders>
                    <w:tl2br w:val="nil"/>
                    <w:tr2bl w:val="nil"/>
                  </w:tcBorders>
                  <w:vAlign w:val="center"/>
                </w:tcPr>
                <w:p w14:paraId="491F8F0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环境管控单元名称</w:t>
                  </w:r>
                </w:p>
              </w:tc>
              <w:tc>
                <w:tcPr>
                  <w:tcW w:w="299" w:type="pct"/>
                  <w:tcBorders>
                    <w:tl2br w:val="nil"/>
                    <w:tr2bl w:val="nil"/>
                  </w:tcBorders>
                  <w:vAlign w:val="center"/>
                </w:tcPr>
                <w:p w14:paraId="3DCFEC6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管控类别</w:t>
                  </w:r>
                </w:p>
              </w:tc>
              <w:tc>
                <w:tcPr>
                  <w:tcW w:w="2274" w:type="pct"/>
                  <w:gridSpan w:val="2"/>
                  <w:tcBorders>
                    <w:tl2br w:val="nil"/>
                    <w:tr2bl w:val="nil"/>
                  </w:tcBorders>
                  <w:vAlign w:val="center"/>
                </w:tcPr>
                <w:p w14:paraId="081502E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管控要求</w:t>
                  </w:r>
                </w:p>
              </w:tc>
              <w:tc>
                <w:tcPr>
                  <w:tcW w:w="1044" w:type="pct"/>
                  <w:tcBorders>
                    <w:tl2br w:val="nil"/>
                    <w:tr2bl w:val="nil"/>
                  </w:tcBorders>
                  <w:vAlign w:val="center"/>
                </w:tcPr>
                <w:p w14:paraId="45CF0E7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本项目情况</w:t>
                  </w:r>
                </w:p>
              </w:tc>
              <w:tc>
                <w:tcPr>
                  <w:tcW w:w="287" w:type="pct"/>
                  <w:tcBorders>
                    <w:tl2br w:val="nil"/>
                    <w:tr2bl w:val="nil"/>
                  </w:tcBorders>
                  <w:vAlign w:val="center"/>
                </w:tcPr>
                <w:p w14:paraId="1151C59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符合性</w:t>
                  </w:r>
                </w:p>
              </w:tc>
            </w:tr>
            <w:tr w14:paraId="46CF23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restart"/>
                  <w:tcBorders>
                    <w:tl2br w:val="nil"/>
                    <w:tr2bl w:val="nil"/>
                  </w:tcBorders>
                  <w:vAlign w:val="center"/>
                </w:tcPr>
                <w:p w14:paraId="405D347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sz w:val="21"/>
                      <w:szCs w:val="21"/>
                      <w:vertAlign w:val="baseline"/>
                      <w:lang w:val="en-US" w:eastAsia="zh-CN"/>
                    </w:rPr>
                    <w:t>ZH35018120008</w:t>
                  </w:r>
                </w:p>
              </w:tc>
              <w:tc>
                <w:tcPr>
                  <w:tcW w:w="429" w:type="pct"/>
                  <w:vMerge w:val="restart"/>
                  <w:tcBorders>
                    <w:tl2br w:val="nil"/>
                    <w:tr2bl w:val="nil"/>
                  </w:tcBorders>
                  <w:vAlign w:val="center"/>
                </w:tcPr>
                <w:p w14:paraId="6CE4D8C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福清市重点管控单元1</w:t>
                  </w:r>
                </w:p>
              </w:tc>
              <w:tc>
                <w:tcPr>
                  <w:tcW w:w="299" w:type="pct"/>
                  <w:vMerge w:val="restart"/>
                  <w:tcBorders>
                    <w:tl2br w:val="nil"/>
                    <w:tr2bl w:val="nil"/>
                  </w:tcBorders>
                  <w:vAlign w:val="center"/>
                </w:tcPr>
                <w:p w14:paraId="5D12569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重点管控单位</w:t>
                  </w:r>
                </w:p>
              </w:tc>
              <w:tc>
                <w:tcPr>
                  <w:tcW w:w="274" w:type="pct"/>
                  <w:tcBorders>
                    <w:tl2br w:val="nil"/>
                    <w:tr2bl w:val="nil"/>
                  </w:tcBorders>
                  <w:vAlign w:val="center"/>
                </w:tcPr>
                <w:p w14:paraId="16B9F22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空间布局约束</w:t>
                  </w:r>
                </w:p>
              </w:tc>
              <w:tc>
                <w:tcPr>
                  <w:tcW w:w="2000" w:type="pct"/>
                  <w:tcBorders>
                    <w:tl2br w:val="nil"/>
                    <w:tr2bl w:val="nil"/>
                  </w:tcBorders>
                  <w:vAlign w:val="center"/>
                </w:tcPr>
                <w:p w14:paraId="3B263182">
                  <w:pPr>
                    <w:keepNext w:val="0"/>
                    <w:keepLines w:val="0"/>
                    <w:pageBreakBefore w:val="0"/>
                    <w:widowControl w:val="0"/>
                    <w:numPr>
                      <w:ilvl w:val="0"/>
                      <w:numId w:val="7"/>
                    </w:numPr>
                    <w:kinsoku/>
                    <w:wordWrap/>
                    <w:overflowPunct/>
                    <w:topLinePunct w:val="0"/>
                    <w:bidi w:val="0"/>
                    <w:adjustRightInd/>
                    <w:snapToGrid/>
                    <w:spacing w:line="240" w:lineRule="auto"/>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w:t>
                  </w:r>
                </w:p>
                <w:p w14:paraId="405676AF">
                  <w:pPr>
                    <w:keepNext w:val="0"/>
                    <w:keepLines w:val="0"/>
                    <w:pageBreakBefore w:val="0"/>
                    <w:widowControl w:val="0"/>
                    <w:numPr>
                      <w:ilvl w:val="0"/>
                      <w:numId w:val="7"/>
                    </w:numPr>
                    <w:kinsoku/>
                    <w:wordWrap/>
                    <w:overflowPunct/>
                    <w:topLinePunct w:val="0"/>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严格控制包装印刷、工业涂装、制鞋等高VOCs排放的项目建设，相关新建项目必须进入工业园区。</w:t>
                  </w:r>
                </w:p>
                <w:p w14:paraId="5301D5BE">
                  <w:pPr>
                    <w:keepNext w:val="0"/>
                    <w:keepLines w:val="0"/>
                    <w:pageBreakBefore w:val="0"/>
                    <w:widowControl w:val="0"/>
                    <w:numPr>
                      <w:ilvl w:val="0"/>
                      <w:numId w:val="0"/>
                    </w:numPr>
                    <w:kinsoku/>
                    <w:wordWrap/>
                    <w:overflowPunct/>
                    <w:topLinePunct w:val="0"/>
                    <w:bidi w:val="0"/>
                    <w:adjustRightInd/>
                    <w:snapToGrid/>
                    <w:spacing w:line="240" w:lineRule="auto"/>
                    <w:ind w:leftChars="0"/>
                    <w:jc w:val="left"/>
                    <w:textAlignment w:val="auto"/>
                    <w:rPr>
                      <w:rFonts w:hint="default" w:ascii="Times New Roman" w:hAnsi="Times New Roman" w:eastAsia="宋体" w:cs="Times New Roman"/>
                      <w:sz w:val="21"/>
                      <w:szCs w:val="21"/>
                      <w:vertAlign w:val="baseline"/>
                      <w:lang w:val="en-US" w:eastAsia="zh-CN"/>
                    </w:rPr>
                  </w:pPr>
                  <w:r>
                    <w:rPr>
                      <w:rFonts w:hint="eastAsia" w:cs="Times New Roman"/>
                      <w:b w:val="0"/>
                      <w:bCs w:val="0"/>
                      <w:sz w:val="21"/>
                      <w:szCs w:val="21"/>
                      <w:vertAlign w:val="baseline"/>
                      <w:lang w:val="en-US" w:eastAsia="zh-CN"/>
                    </w:rPr>
                    <w:t>3.</w:t>
                  </w:r>
                  <w:r>
                    <w:rPr>
                      <w:rFonts w:hint="default" w:ascii="Times New Roman" w:hAnsi="Times New Roman" w:eastAsia="宋体" w:cs="Times New Roman"/>
                      <w:b w:val="0"/>
                      <w:bCs w:val="0"/>
                      <w:sz w:val="21"/>
                      <w:szCs w:val="21"/>
                      <w:vertAlign w:val="baseline"/>
                      <w:lang w:val="en-US" w:eastAsia="zh-CN"/>
                    </w:rPr>
                    <w:t>禁止开发利用未经评估和无害化处理的列入建设用地污染地块名录及开发利用负面清单的土地。</w:t>
                  </w:r>
                </w:p>
              </w:tc>
              <w:tc>
                <w:tcPr>
                  <w:tcW w:w="1044" w:type="pct"/>
                  <w:tcBorders>
                    <w:tl2br w:val="nil"/>
                    <w:tr2bl w:val="nil"/>
                  </w:tcBorders>
                  <w:vAlign w:val="center"/>
                </w:tcPr>
                <w:p w14:paraId="4F116F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1、</w:t>
                  </w:r>
                  <w:r>
                    <w:rPr>
                      <w:rFonts w:hint="default" w:ascii="Times New Roman" w:hAnsi="Times New Roman" w:eastAsia="宋体" w:cs="Times New Roman"/>
                      <w:color w:val="auto"/>
                      <w:sz w:val="21"/>
                      <w:szCs w:val="21"/>
                      <w:u w:val="none"/>
                      <w:vertAlign w:val="baseline"/>
                      <w:lang w:val="en-US" w:eastAsia="zh-CN"/>
                    </w:rPr>
                    <w:t>本项目不属于危险化学品生产企业，不属于印染、原料药制造、化工等企业；</w:t>
                  </w:r>
                </w:p>
                <w:p w14:paraId="70EDDC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2、本项目不属于包装印刷、工业涂装、制鞋等高VOCs排放的项目；</w:t>
                  </w:r>
                </w:p>
                <w:p w14:paraId="14D93C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3、</w:t>
                  </w:r>
                  <w:r>
                    <w:rPr>
                      <w:rFonts w:hint="default" w:ascii="Times New Roman" w:hAnsi="Times New Roman" w:eastAsia="宋体" w:cs="Times New Roman"/>
                      <w:color w:val="auto"/>
                      <w:sz w:val="21"/>
                      <w:szCs w:val="21"/>
                      <w:u w:val="none"/>
                      <w:vertAlign w:val="baseline"/>
                      <w:lang w:val="en-US" w:eastAsia="zh-CN"/>
                    </w:rPr>
                    <w:t>本项目位于</w:t>
                  </w:r>
                  <w:r>
                    <w:rPr>
                      <w:rFonts w:hint="default" w:ascii="Times New Roman" w:hAnsi="Times New Roman" w:eastAsia="宋体" w:cs="Times New Roman"/>
                      <w:color w:val="auto"/>
                      <w:sz w:val="21"/>
                      <w:szCs w:val="21"/>
                      <w:u w:val="none"/>
                      <w:lang w:eastAsia="zh-CN"/>
                    </w:rPr>
                    <w:t>福清融侨经济技术开发区内</w:t>
                  </w:r>
                  <w:r>
                    <w:rPr>
                      <w:rFonts w:hint="eastAsia" w:cs="Times New Roman"/>
                      <w:color w:val="auto"/>
                      <w:sz w:val="21"/>
                      <w:szCs w:val="21"/>
                      <w:u w:val="none"/>
                      <w:lang w:eastAsia="zh-CN"/>
                    </w:rPr>
                    <w:t>，</w:t>
                  </w:r>
                  <w:r>
                    <w:rPr>
                      <w:rFonts w:hint="eastAsia" w:cs="Times New Roman"/>
                      <w:color w:val="auto"/>
                      <w:sz w:val="21"/>
                      <w:szCs w:val="21"/>
                      <w:u w:val="none"/>
                      <w:lang w:val="en-US" w:eastAsia="zh-CN"/>
                    </w:rPr>
                    <w:t>不涉及</w:t>
                  </w:r>
                  <w:r>
                    <w:rPr>
                      <w:rFonts w:hint="default" w:ascii="Times New Roman" w:hAnsi="Times New Roman" w:eastAsia="宋体" w:cs="Times New Roman"/>
                      <w:b w:val="0"/>
                      <w:bCs w:val="0"/>
                      <w:color w:val="auto"/>
                      <w:sz w:val="21"/>
                      <w:szCs w:val="21"/>
                      <w:vertAlign w:val="baseline"/>
                      <w:lang w:val="en-US" w:eastAsia="zh-CN"/>
                    </w:rPr>
                    <w:t>开发利用未经评估和无害化处理的列入建设用地污染地块名录及开发利用负面清单的土地</w:t>
                  </w:r>
                  <w:r>
                    <w:rPr>
                      <w:rFonts w:hint="default" w:ascii="Times New Roman" w:hAnsi="Times New Roman" w:eastAsia="宋体" w:cs="Times New Roman"/>
                      <w:color w:val="auto"/>
                      <w:sz w:val="21"/>
                      <w:szCs w:val="21"/>
                      <w:u w:val="none"/>
                      <w:lang w:eastAsia="zh-CN"/>
                    </w:rPr>
                    <w:t>。</w:t>
                  </w:r>
                </w:p>
              </w:tc>
              <w:tc>
                <w:tcPr>
                  <w:tcW w:w="287" w:type="pct"/>
                  <w:tcBorders>
                    <w:tl2br w:val="nil"/>
                    <w:tr2bl w:val="nil"/>
                  </w:tcBorders>
                  <w:vAlign w:val="center"/>
                </w:tcPr>
                <w:p w14:paraId="3D981BB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53FFC1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continue"/>
                  <w:tcBorders>
                    <w:tl2br w:val="nil"/>
                    <w:tr2bl w:val="nil"/>
                  </w:tcBorders>
                  <w:vAlign w:val="center"/>
                </w:tcPr>
                <w:p w14:paraId="63B401F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429" w:type="pct"/>
                  <w:vMerge w:val="continue"/>
                  <w:tcBorders>
                    <w:tl2br w:val="nil"/>
                    <w:tr2bl w:val="nil"/>
                  </w:tcBorders>
                  <w:vAlign w:val="center"/>
                </w:tcPr>
                <w:p w14:paraId="301C7A7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99" w:type="pct"/>
                  <w:vMerge w:val="continue"/>
                  <w:tcBorders>
                    <w:tl2br w:val="nil"/>
                    <w:tr2bl w:val="nil"/>
                  </w:tcBorders>
                  <w:vAlign w:val="center"/>
                </w:tcPr>
                <w:p w14:paraId="0B95009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4" w:type="pct"/>
                  <w:tcBorders>
                    <w:tl2br w:val="nil"/>
                    <w:tr2bl w:val="nil"/>
                  </w:tcBorders>
                  <w:vAlign w:val="center"/>
                </w:tcPr>
                <w:p w14:paraId="6A8AF73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污染物排放管控</w:t>
                  </w:r>
                </w:p>
              </w:tc>
              <w:tc>
                <w:tcPr>
                  <w:tcW w:w="2000" w:type="pct"/>
                  <w:tcBorders>
                    <w:tl2br w:val="nil"/>
                    <w:tr2bl w:val="nil"/>
                  </w:tcBorders>
                  <w:vAlign w:val="center"/>
                </w:tcPr>
                <w:p w14:paraId="1F7AE86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落实新增二氧化硫、氮氧化物和VOCs排放总量控制要求。</w:t>
                  </w:r>
                </w:p>
              </w:tc>
              <w:tc>
                <w:tcPr>
                  <w:tcW w:w="1044" w:type="pct"/>
                  <w:tcBorders>
                    <w:tl2br w:val="nil"/>
                    <w:tr2bl w:val="nil"/>
                  </w:tcBorders>
                  <w:vAlign w:val="center"/>
                </w:tcPr>
                <w:p w14:paraId="662FC8C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kern w:val="0"/>
                      <w:sz w:val="21"/>
                      <w:szCs w:val="21"/>
                      <w:u w:val="none"/>
                      <w:lang w:val="en-US" w:eastAsia="zh-CN" w:bidi="ar"/>
                    </w:rPr>
                    <w:t>本项目不涉及</w:t>
                  </w:r>
                  <w:r>
                    <w:rPr>
                      <w:rFonts w:hint="default" w:ascii="Times New Roman" w:hAnsi="Times New Roman" w:eastAsia="宋体" w:cs="Times New Roman"/>
                      <w:color w:val="auto"/>
                      <w:sz w:val="21"/>
                      <w:szCs w:val="21"/>
                      <w:u w:val="none"/>
                      <w:vertAlign w:val="baseline"/>
                      <w:lang w:val="en-US" w:eastAsia="zh-CN"/>
                    </w:rPr>
                    <w:t>新增二氧化硫、氮氧化物的排放，</w:t>
                  </w:r>
                  <w:r>
                    <w:rPr>
                      <w:rFonts w:hint="default" w:ascii="Times New Roman" w:hAnsi="Times New Roman" w:eastAsia="宋体" w:cs="Times New Roman"/>
                      <w:color w:val="auto"/>
                      <w:kern w:val="0"/>
                      <w:sz w:val="21"/>
                      <w:szCs w:val="21"/>
                      <w:u w:val="none"/>
                      <w:lang w:val="en-US" w:eastAsia="zh-CN" w:bidi="ar"/>
                    </w:rPr>
                    <w:t>本项目涉及</w:t>
                  </w:r>
                  <w:r>
                    <w:rPr>
                      <w:rFonts w:hint="default" w:ascii="Times New Roman" w:hAnsi="Times New Roman" w:eastAsia="宋体" w:cs="Times New Roman"/>
                      <w:color w:val="auto"/>
                      <w:sz w:val="21"/>
                      <w:szCs w:val="21"/>
                      <w:highlight w:val="none"/>
                      <w:u w:val="none"/>
                      <w:vertAlign w:val="baseline"/>
                      <w:lang w:eastAsia="zh-CN"/>
                    </w:rPr>
                    <w:t>新增</w:t>
                  </w:r>
                  <w:r>
                    <w:rPr>
                      <w:rFonts w:hint="default" w:ascii="Times New Roman" w:hAnsi="Times New Roman" w:eastAsia="宋体" w:cs="Times New Roman"/>
                      <w:color w:val="auto"/>
                      <w:sz w:val="21"/>
                      <w:szCs w:val="21"/>
                      <w:u w:val="none"/>
                    </w:rPr>
                    <w:t>VOCs排放，VOCs排放实行区域内倍量替代</w:t>
                  </w:r>
                  <w:r>
                    <w:rPr>
                      <w:rFonts w:hint="default" w:ascii="Times New Roman" w:hAnsi="Times New Roman" w:eastAsia="宋体" w:cs="Times New Roman"/>
                      <w:color w:val="auto"/>
                      <w:sz w:val="21"/>
                      <w:szCs w:val="21"/>
                      <w:u w:val="none"/>
                      <w:lang w:eastAsia="zh-CN"/>
                    </w:rPr>
                    <w:t>。</w:t>
                  </w:r>
                </w:p>
              </w:tc>
              <w:tc>
                <w:tcPr>
                  <w:tcW w:w="287" w:type="pct"/>
                  <w:tcBorders>
                    <w:tl2br w:val="nil"/>
                    <w:tr2bl w:val="nil"/>
                  </w:tcBorders>
                  <w:vAlign w:val="center"/>
                </w:tcPr>
                <w:p w14:paraId="350CD76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71005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continue"/>
                  <w:tcBorders>
                    <w:tl2br w:val="nil"/>
                    <w:tr2bl w:val="nil"/>
                  </w:tcBorders>
                  <w:vAlign w:val="center"/>
                </w:tcPr>
                <w:p w14:paraId="2775845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429" w:type="pct"/>
                  <w:vMerge w:val="continue"/>
                  <w:tcBorders>
                    <w:tl2br w:val="nil"/>
                    <w:tr2bl w:val="nil"/>
                  </w:tcBorders>
                  <w:vAlign w:val="center"/>
                </w:tcPr>
                <w:p w14:paraId="574F305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99" w:type="pct"/>
                  <w:vMerge w:val="continue"/>
                  <w:tcBorders>
                    <w:tl2br w:val="nil"/>
                    <w:tr2bl w:val="nil"/>
                  </w:tcBorders>
                  <w:vAlign w:val="center"/>
                </w:tcPr>
                <w:p w14:paraId="2824B1E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4" w:type="pct"/>
                  <w:tcBorders>
                    <w:tl2br w:val="nil"/>
                    <w:tr2bl w:val="nil"/>
                  </w:tcBorders>
                  <w:vAlign w:val="center"/>
                </w:tcPr>
                <w:p w14:paraId="0054D1E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环境风险防控</w:t>
                  </w:r>
                </w:p>
              </w:tc>
              <w:tc>
                <w:tcPr>
                  <w:tcW w:w="2000" w:type="pct"/>
                  <w:tcBorders>
                    <w:tl2br w:val="nil"/>
                    <w:tr2bl w:val="nil"/>
                  </w:tcBorders>
                  <w:vAlign w:val="center"/>
                </w:tcPr>
                <w:p w14:paraId="28F5F621">
                  <w:pPr>
                    <w:keepNext w:val="0"/>
                    <w:keepLines w:val="0"/>
                    <w:pageBreakBefore w:val="0"/>
                    <w:widowControl w:val="0"/>
                    <w:kinsoku/>
                    <w:wordWrap/>
                    <w:overflowPunct/>
                    <w:topLinePunct w:val="0"/>
                    <w:bidi w:val="0"/>
                    <w:adjustRightInd/>
                    <w:snapToGrid/>
                    <w:spacing w:line="240" w:lineRule="auto"/>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1044" w:type="pct"/>
                  <w:tcBorders>
                    <w:tl2br w:val="nil"/>
                    <w:tr2bl w:val="nil"/>
                  </w:tcBorders>
                  <w:vAlign w:val="center"/>
                </w:tcPr>
                <w:p w14:paraId="5987F4EB">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kern w:val="0"/>
                      <w:sz w:val="21"/>
                      <w:szCs w:val="21"/>
                      <w:u w:val="none"/>
                      <w:lang w:val="en-US" w:eastAsia="zh-CN" w:bidi="ar"/>
                    </w:rPr>
                  </w:pPr>
                  <w:r>
                    <w:rPr>
                      <w:rFonts w:hint="eastAsia"/>
                    </w:rPr>
                    <w:t>不涉及</w:t>
                  </w:r>
                </w:p>
              </w:tc>
              <w:tc>
                <w:tcPr>
                  <w:tcW w:w="287" w:type="pct"/>
                  <w:tcBorders>
                    <w:tl2br w:val="nil"/>
                    <w:tr2bl w:val="nil"/>
                  </w:tcBorders>
                  <w:vAlign w:val="center"/>
                </w:tcPr>
                <w:p w14:paraId="5B01814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符合</w:t>
                  </w:r>
                </w:p>
              </w:tc>
            </w:tr>
            <w:tr w14:paraId="501653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4" w:type="pct"/>
                  <w:vMerge w:val="continue"/>
                  <w:tcBorders>
                    <w:tl2br w:val="nil"/>
                    <w:tr2bl w:val="nil"/>
                  </w:tcBorders>
                  <w:vAlign w:val="center"/>
                </w:tcPr>
                <w:p w14:paraId="44279F4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429" w:type="pct"/>
                  <w:vMerge w:val="continue"/>
                  <w:tcBorders>
                    <w:tl2br w:val="nil"/>
                    <w:tr2bl w:val="nil"/>
                  </w:tcBorders>
                  <w:vAlign w:val="center"/>
                </w:tcPr>
                <w:p w14:paraId="6D0D91F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99" w:type="pct"/>
                  <w:vMerge w:val="continue"/>
                  <w:tcBorders>
                    <w:tl2br w:val="nil"/>
                    <w:tr2bl w:val="nil"/>
                  </w:tcBorders>
                  <w:vAlign w:val="center"/>
                </w:tcPr>
                <w:p w14:paraId="36FDCF7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4" w:type="pct"/>
                  <w:tcBorders>
                    <w:tl2br w:val="nil"/>
                    <w:tr2bl w:val="nil"/>
                  </w:tcBorders>
                  <w:vAlign w:val="center"/>
                </w:tcPr>
                <w:p w14:paraId="0BA001A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资源开发效率要求</w:t>
                  </w:r>
                </w:p>
              </w:tc>
              <w:tc>
                <w:tcPr>
                  <w:tcW w:w="2000" w:type="pct"/>
                  <w:tcBorders>
                    <w:tl2br w:val="nil"/>
                    <w:tr2bl w:val="nil"/>
                  </w:tcBorders>
                  <w:vAlign w:val="center"/>
                </w:tcPr>
                <w:p w14:paraId="0B58FAB4">
                  <w:pPr>
                    <w:keepNext w:val="0"/>
                    <w:keepLines w:val="0"/>
                    <w:pageBreakBefore w:val="0"/>
                    <w:widowControl w:val="0"/>
                    <w:kinsoku/>
                    <w:wordWrap/>
                    <w:overflowPunct/>
                    <w:topLinePunct w:val="0"/>
                    <w:bidi w:val="0"/>
                    <w:adjustRightInd/>
                    <w:snapToGrid/>
                    <w:spacing w:line="240" w:lineRule="auto"/>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高污染燃料禁燃区内禁止燃用高污染燃料，禁止新建、扩建燃用高污染燃料的设施。已建的燃用高污染燃料设施，限期改用电、天然气、液化石油气等清洁能源。</w:t>
                  </w:r>
                </w:p>
              </w:tc>
              <w:tc>
                <w:tcPr>
                  <w:tcW w:w="1044" w:type="pct"/>
                  <w:tcBorders>
                    <w:tl2br w:val="nil"/>
                    <w:tr2bl w:val="nil"/>
                  </w:tcBorders>
                  <w:vAlign w:val="center"/>
                </w:tcPr>
                <w:p w14:paraId="52BD2B8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kern w:val="0"/>
                      <w:sz w:val="21"/>
                      <w:szCs w:val="21"/>
                      <w:u w:val="none"/>
                      <w:lang w:val="en-US" w:eastAsia="zh-CN" w:bidi="ar"/>
                    </w:rPr>
                  </w:pPr>
                  <w:r>
                    <w:t>项目用电作为能源，未使用高污染燃料</w:t>
                  </w:r>
                </w:p>
              </w:tc>
              <w:tc>
                <w:tcPr>
                  <w:tcW w:w="287" w:type="pct"/>
                  <w:tcBorders>
                    <w:tl2br w:val="nil"/>
                    <w:tr2bl w:val="nil"/>
                  </w:tcBorders>
                  <w:vAlign w:val="center"/>
                </w:tcPr>
                <w:p w14:paraId="0A73603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符合</w:t>
                  </w:r>
                </w:p>
              </w:tc>
            </w:tr>
          </w:tbl>
          <w:p w14:paraId="744776BC">
            <w:pPr>
              <w:pStyle w:val="22"/>
              <w:keepLines w:val="0"/>
              <w:pageBreakBefore w:val="0"/>
              <w:wordWrap/>
              <w:topLinePunct w:val="0"/>
              <w:bidi w:val="0"/>
              <w:spacing w:before="0" w:after="0" w:line="360" w:lineRule="auto"/>
              <w:ind w:left="0" w:right="0" w:firstLine="0" w:firstLineChars="0"/>
              <w:jc w:val="left"/>
              <w:rPr>
                <w:rFonts w:hint="default" w:ascii="Times New Roman" w:hAnsi="Times New Roman" w:eastAsia="宋体" w:cs="Times New Roman"/>
                <w:color w:val="auto"/>
                <w:sz w:val="24"/>
                <w:szCs w:val="24"/>
                <w:u w:val="none"/>
                <w:lang w:eastAsia="zh-CN"/>
              </w:rPr>
            </w:pPr>
          </w:p>
        </w:tc>
      </w:tr>
    </w:tbl>
    <w:p w14:paraId="4C025DAE">
      <w:pPr>
        <w:jc w:val="both"/>
        <w:rPr>
          <w:rFonts w:hint="eastAsia" w:eastAsia="楷体_GB2312" w:cs="Times New Roman"/>
          <w:color w:val="auto"/>
          <w:sz w:val="36"/>
          <w:szCs w:val="36"/>
          <w:u w:val="none"/>
          <w:lang w:eastAsia="zh-CN"/>
        </w:rPr>
        <w:sectPr>
          <w:pgSz w:w="16838" w:h="11906" w:orient="landscape"/>
          <w:pgMar w:top="1417" w:right="1587" w:bottom="1417" w:left="158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8690"/>
      </w:tblGrid>
      <w:tr w14:paraId="2D0A3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 w:type="pct"/>
          </w:tcPr>
          <w:p w14:paraId="594F6A01">
            <w:pPr>
              <w:pStyle w:val="11"/>
              <w:rPr>
                <w:rFonts w:hint="eastAsia"/>
                <w:color w:val="000000" w:themeColor="text1"/>
                <w:highlight w:val="none"/>
                <w:vertAlign w:val="baseline"/>
                <w:lang w:eastAsia="zh-CN"/>
                <w14:textFill>
                  <w14:solidFill>
                    <w14:schemeClr w14:val="tx1"/>
                  </w14:solidFill>
                </w14:textFill>
              </w:rPr>
            </w:pPr>
          </w:p>
        </w:tc>
        <w:tc>
          <w:tcPr>
            <w:tcW w:w="4678" w:type="pct"/>
          </w:tcPr>
          <w:p w14:paraId="636E504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left"/>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根据上述分析，本项目与《福建省人民政府关于实施</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三线一单</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生态环境分区管控的通知》</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闽政</w:t>
            </w:r>
            <w:r>
              <w:rPr>
                <w:rFonts w:hint="eastAsia" w:cs="Times New Roman"/>
                <w:color w:val="000000" w:themeColor="text1"/>
                <w:sz w:val="24"/>
                <w:szCs w:val="24"/>
                <w:highlight w:val="none"/>
                <w:u w:val="none"/>
                <w:lang w:eastAsia="zh-CN"/>
                <w14:textFill>
                  <w14:solidFill>
                    <w14:schemeClr w14:val="tx1"/>
                  </w14:solidFill>
                </w14:textFill>
              </w:rPr>
              <w:t>〔2020〕12号</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w:t>
            </w:r>
            <w:r>
              <w:rPr>
                <w:rFonts w:hint="eastAsia" w:cs="Times New Roman"/>
                <w:color w:val="000000" w:themeColor="text1"/>
                <w:sz w:val="24"/>
                <w:szCs w:val="24"/>
                <w:highlight w:val="none"/>
                <w:u w:val="none"/>
                <w:lang w:eastAsia="zh-CN"/>
                <w14:textFill>
                  <w14:solidFill>
                    <w14:schemeClr w14:val="tx1"/>
                  </w14:solidFill>
                </w14:textFill>
              </w:rPr>
              <w:t>、</w:t>
            </w:r>
            <w:r>
              <w:rPr>
                <w:rFonts w:hint="eastAsia" w:ascii="Times New Roman" w:hAnsi="Times New Roman"/>
                <w:color w:val="000000" w:themeColor="text1"/>
                <w:sz w:val="24"/>
                <w:szCs w:val="24"/>
                <w:highlight w:val="none"/>
                <w:lang w:val="en-GB" w:eastAsia="zh-CN"/>
                <w14:textFill>
                  <w14:solidFill>
                    <w14:schemeClr w14:val="tx1"/>
                  </w14:solidFill>
                </w14:textFill>
              </w:rPr>
              <w:t>《</w:t>
            </w:r>
            <w:r>
              <w:rPr>
                <w:rFonts w:hint="eastAsia" w:ascii="Times New Roman" w:hAnsi="Times New Roman"/>
                <w:color w:val="000000" w:themeColor="text1"/>
                <w:sz w:val="24"/>
                <w:szCs w:val="24"/>
                <w:highlight w:val="none"/>
                <w:lang w:val="en-GB"/>
                <w14:textFill>
                  <w14:solidFill>
                    <w14:schemeClr w14:val="tx1"/>
                  </w14:solidFill>
                </w14:textFill>
              </w:rPr>
              <w:t>中共福建省委办公厅福建省人民政府办公厅关于加强生态环境分区管控的实施意见</w:t>
            </w:r>
            <w:r>
              <w:rPr>
                <w:rFonts w:hint="eastAsia" w:ascii="Times New Roman" w:hAnsi="Times New Roman"/>
                <w:color w:val="000000" w:themeColor="text1"/>
                <w:sz w:val="24"/>
                <w:szCs w:val="24"/>
                <w:highlight w:val="none"/>
                <w:lang w:val="en-GB" w:eastAsia="zh-CN"/>
                <w14:textFill>
                  <w14:solidFill>
                    <w14:schemeClr w14:val="tx1"/>
                  </w14:solidFill>
                </w14:textFill>
              </w:rPr>
              <w:t>》（</w:t>
            </w:r>
            <w:r>
              <w:rPr>
                <w:rFonts w:hint="eastAsia" w:ascii="Times New Roman" w:hAnsi="Times New Roman"/>
                <w:color w:val="000000" w:themeColor="text1"/>
                <w:sz w:val="24"/>
                <w:szCs w:val="24"/>
                <w:highlight w:val="none"/>
                <w:lang w:val="en-US" w:eastAsia="zh-CN"/>
                <w14:textFill>
                  <w14:solidFill>
                    <w14:schemeClr w14:val="tx1"/>
                  </w14:solidFill>
                </w14:textFill>
              </w:rPr>
              <w:t>2024年11月10日</w:t>
            </w:r>
            <w:r>
              <w:rPr>
                <w:rFonts w:hint="eastAsia" w:ascii="Times New Roman" w:hAnsi="Times New Roman"/>
                <w:color w:val="000000" w:themeColor="text1"/>
                <w:sz w:val="24"/>
                <w:szCs w:val="24"/>
                <w:highlight w:val="none"/>
                <w:lang w:val="en-GB" w:eastAsia="zh-CN"/>
                <w14:textFill>
                  <w14:solidFill>
                    <w14:schemeClr w14:val="tx1"/>
                  </w14:solidFill>
                </w14:textFill>
              </w:rPr>
              <w:t>）</w:t>
            </w:r>
            <w:r>
              <w:rPr>
                <w:rFonts w:hint="eastAsia"/>
                <w:color w:val="000000" w:themeColor="text1"/>
                <w:sz w:val="24"/>
                <w:szCs w:val="24"/>
                <w:highlight w:val="none"/>
                <w:lang w:val="en-GB" w:eastAsia="zh-CN"/>
                <w14:textFill>
                  <w14:solidFill>
                    <w14:schemeClr w14:val="tx1"/>
                  </w14:solidFill>
                </w14:textFill>
              </w:rPr>
              <w:t>、</w:t>
            </w:r>
            <w:r>
              <w:rPr>
                <w:rFonts w:hint="eastAsia"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福州市生态环境局关于发布福州市2024年生态环境分区管控动态更新成果的通知</w:t>
            </w:r>
            <w:r>
              <w:rPr>
                <w:rFonts w:hint="eastAsia" w:ascii="Times New Roman" w:hAnsi="Times New Roman"/>
                <w:color w:val="auto"/>
                <w:sz w:val="24"/>
                <w:szCs w:val="24"/>
                <w:highlight w:val="none"/>
              </w:rPr>
              <w:t>》（榕</w:t>
            </w:r>
            <w:r>
              <w:rPr>
                <w:rFonts w:hint="eastAsia" w:ascii="Times New Roman" w:hAnsi="Times New Roman"/>
                <w:color w:val="auto"/>
                <w:sz w:val="24"/>
                <w:szCs w:val="24"/>
                <w:highlight w:val="none"/>
                <w:lang w:val="en-US" w:eastAsia="zh-CN"/>
              </w:rPr>
              <w:t>环保综</w:t>
            </w:r>
            <w:r>
              <w:rPr>
                <w:rFonts w:hint="eastAsia" w:ascii="Times New Roman" w:hAnsi="Times New Roman"/>
                <w:color w:val="auto"/>
                <w:sz w:val="24"/>
                <w:szCs w:val="24"/>
                <w:highlight w:val="none"/>
              </w:rPr>
              <w:t>〔202</w:t>
            </w:r>
            <w:r>
              <w:rPr>
                <w:rFonts w:hint="eastAsia" w:ascii="Times New Roman" w:hAnsi="Times New Roman"/>
                <w:color w:val="auto"/>
                <w:sz w:val="24"/>
                <w:szCs w:val="24"/>
                <w:highlight w:val="none"/>
                <w:lang w:val="en-US" w:eastAsia="zh-CN"/>
              </w:rPr>
              <w:t>5</w:t>
            </w:r>
            <w:r>
              <w:rPr>
                <w:rFonts w:hint="eastAsia"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1</w:t>
            </w:r>
            <w:r>
              <w:rPr>
                <w:rFonts w:hint="eastAsia" w:ascii="Times New Roman" w:hAnsi="Times New Roman"/>
                <w:color w:val="auto"/>
                <w:sz w:val="24"/>
                <w:szCs w:val="24"/>
                <w:highlight w:val="none"/>
              </w:rPr>
              <w:t>号）</w:t>
            </w:r>
            <w:r>
              <w:rPr>
                <w:rFonts w:hint="default" w:ascii="Times New Roman" w:hAnsi="Times New Roman" w:eastAsia="宋体" w:cs="Times New Roman"/>
                <w:color w:val="auto"/>
                <w:sz w:val="24"/>
                <w:szCs w:val="24"/>
                <w:highlight w:val="none"/>
                <w:u w:val="none"/>
              </w:rPr>
              <w:t>中的相关规定是符合的。</w:t>
            </w:r>
          </w:p>
          <w:p w14:paraId="4442B9EA">
            <w:pPr>
              <w:pStyle w:val="34"/>
              <w:keepNext w:val="0"/>
              <w:keepLines w:val="0"/>
              <w:pageBreakBefore w:val="0"/>
              <w:widowControl w:val="0"/>
              <w:kinsoku/>
              <w:wordWrap/>
              <w:overflowPunct/>
              <w:topLinePunct w:val="0"/>
              <w:autoSpaceDE/>
              <w:autoSpaceDN/>
              <w:bidi w:val="0"/>
              <w:adjustRightInd/>
              <w:spacing w:line="360" w:lineRule="auto"/>
              <w:ind w:firstLine="482" w:firstLineChars="200"/>
              <w:jc w:val="left"/>
              <w:textAlignment w:val="auto"/>
              <w:outlineLvl w:val="9"/>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cs="Times New Roman"/>
                <w:b/>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平面布局合理性分析</w:t>
            </w:r>
          </w:p>
          <w:p w14:paraId="304689A3">
            <w:pPr>
              <w:pStyle w:val="35"/>
              <w:keepNext w:val="0"/>
              <w:keepLines w:val="0"/>
              <w:pageBreakBefore w:val="0"/>
              <w:kinsoku/>
              <w:wordWrap/>
              <w:overflowPunct/>
              <w:topLinePunct w:val="0"/>
              <w:bidi w:val="0"/>
              <w:spacing w:line="360" w:lineRule="auto"/>
              <w:ind w:firstLine="480"/>
              <w:textAlignment w:val="auto"/>
              <w:outlineLvl w:val="9"/>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highlight w:val="none"/>
                <w14:textFill>
                  <w14:solidFill>
                    <w14:schemeClr w14:val="tx1"/>
                  </w14:solidFill>
                </w14:textFill>
              </w:rPr>
              <w:t>项目</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购置</w:t>
            </w:r>
            <w:r>
              <w:rPr>
                <w:rFonts w:hint="default" w:ascii="Times New Roman" w:hAnsi="Times New Roman" w:eastAsia="宋体" w:cs="Times New Roman"/>
                <w:color w:val="auto"/>
                <w:sz w:val="24"/>
                <w:szCs w:val="24"/>
                <w:highlight w:val="none"/>
                <w:u w:val="none"/>
                <w:lang w:val="en-US" w:eastAsia="zh-CN"/>
              </w:rPr>
              <w:t>均和云谷·福清科技港3</w:t>
            </w:r>
            <w:r>
              <w:rPr>
                <w:rFonts w:hint="default" w:ascii="Times New Roman" w:hAnsi="Times New Roman" w:cs="Times New Roman"/>
                <w:color w:val="auto"/>
                <w:sz w:val="24"/>
                <w:szCs w:val="24"/>
                <w:highlight w:val="none"/>
                <w:u w:val="none"/>
                <w:lang w:val="en-US" w:eastAsia="zh-CN"/>
              </w:rPr>
              <w:t>3</w:t>
            </w:r>
            <w:r>
              <w:rPr>
                <w:rFonts w:hint="default" w:ascii="Times New Roman" w:hAnsi="Times New Roman" w:eastAsia="宋体" w:cs="Times New Roman"/>
                <w:color w:val="auto"/>
                <w:sz w:val="24"/>
                <w:szCs w:val="24"/>
                <w:highlight w:val="none"/>
                <w:u w:val="none"/>
                <w:lang w:val="en-US" w:eastAsia="zh-CN"/>
              </w:rPr>
              <w:t>栋厂房</w:t>
            </w:r>
            <w:r>
              <w:rPr>
                <w:rFonts w:hint="default" w:ascii="Times New Roman" w:hAnsi="Times New Roman" w:cs="Times New Roman"/>
                <w:color w:val="auto"/>
                <w:sz w:val="24"/>
                <w:szCs w:val="24"/>
                <w:highlight w:val="none"/>
                <w:u w:val="none"/>
                <w:lang w:val="en-US" w:eastAsia="zh-CN"/>
              </w:rPr>
              <w:t>1-4</w:t>
            </w:r>
            <w:r>
              <w:rPr>
                <w:rFonts w:hint="default" w:ascii="Times New Roman" w:hAnsi="Times New Roman" w:eastAsia="宋体" w:cs="Times New Roman"/>
                <w:color w:val="auto"/>
                <w:sz w:val="24"/>
                <w:szCs w:val="24"/>
                <w:highlight w:val="none"/>
                <w:u w:val="none"/>
                <w:lang w:val="en-US" w:eastAsia="zh-CN"/>
              </w:rPr>
              <w:t>层作为生</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产场所，合计面积</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4188.94</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u w:val="none"/>
                <w:vertAlign w:val="superscript"/>
                <w:lang w:val="en-US" w:eastAsia="zh-CN"/>
                <w14:textFill>
                  <w14:solidFill>
                    <w14:schemeClr w14:val="tx1"/>
                  </w14:solidFill>
                </w14:textFill>
              </w:rPr>
              <w:t>2</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w:t>
            </w:r>
            <w:r>
              <w:rPr>
                <w:rFonts w:hint="eastAsia" w:ascii="宋体" w:hAnsi="宋体" w:cs="宋体"/>
                <w:color w:val="000000" w:themeColor="text1"/>
                <w:sz w:val="24"/>
                <w:szCs w:val="24"/>
                <w:highlight w:val="none"/>
                <w:u w:val="none"/>
                <w:lang w:val="en-US" w:eastAsia="zh-CN"/>
                <w14:textFill>
                  <w14:solidFill>
                    <w14:schemeClr w14:val="tx1"/>
                  </w14:solidFill>
                </w14:textFill>
              </w:rPr>
              <w:t>厂房</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购置合同详见</w:t>
            </w:r>
            <w:r>
              <w:rPr>
                <w:rFonts w:hint="eastAsia" w:ascii="宋体" w:hAnsi="宋体" w:eastAsia="宋体" w:cs="宋体"/>
                <w:b/>
                <w:bCs/>
                <w:color w:val="000000" w:themeColor="text1"/>
                <w:sz w:val="24"/>
                <w:szCs w:val="24"/>
                <w:highlight w:val="none"/>
                <w:u w:val="none"/>
                <w:lang w:val="en-US" w:eastAsia="zh-CN"/>
                <w14:textFill>
                  <w14:solidFill>
                    <w14:schemeClr w14:val="tx1"/>
                  </w14:solidFill>
                </w14:textFill>
              </w:rPr>
              <w:t>附件</w:t>
            </w:r>
            <w:r>
              <w:rPr>
                <w:rFonts w:hint="eastAsia" w:ascii="宋体" w:hAnsi="宋体" w:cs="宋体"/>
                <w:b/>
                <w:bCs/>
                <w:color w:val="000000" w:themeColor="text1"/>
                <w:sz w:val="24"/>
                <w:szCs w:val="24"/>
                <w:highlight w:val="none"/>
                <w:u w:val="none"/>
                <w:lang w:val="en-US" w:eastAsia="zh-CN"/>
                <w14:textFill>
                  <w14:solidFill>
                    <w14:schemeClr w14:val="tx1"/>
                  </w14:solidFill>
                </w14:textFill>
              </w:rPr>
              <w:t>五</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厂区内厂房布置简单，</w:t>
            </w:r>
            <w:r>
              <w:rPr>
                <w:rFonts w:hint="eastAsia" w:cs="Times New Roman"/>
                <w:color w:val="000000" w:themeColor="text1"/>
                <w:sz w:val="24"/>
                <w:szCs w:val="24"/>
                <w:highlight w:val="none"/>
                <w:lang w:val="en-US" w:eastAsia="zh-CN"/>
                <w14:textFill>
                  <w14:solidFill>
                    <w14:schemeClr w14:val="tx1"/>
                  </w14:solidFill>
                </w14:textFill>
              </w:rPr>
              <w:t>一层为电阻炉、压铸机及周边辅助设备；二层为抛光、打磨、钻孔、攻牙等设备；三层为原料与成品存放区；冷却塔、活性炭吸附装置、布袋除尘器、循环水处理设施、切削液回收装置等环保设施建设于一层厂房外，已获得园区许可。熔融、压铸脱模时所产生的VOCs、颗粒物通过“布袋除尘器+活性炭吸附装置”处理后接入生产废气管道，由排气筒（DA001）排放。产品水洗产生废水、研磨冷却水经循环水处理设施处理后循环使用不外排。攻牙机、多轴攻牙机、数控机床等工作时产生的废切削液通过切削液回收装置处理后循环使用。</w:t>
            </w:r>
            <w:r>
              <w:rPr>
                <w:rFonts w:hint="default" w:ascii="Times New Roman" w:hAnsi="Times New Roman" w:eastAsia="宋体" w:cs="Times New Roman"/>
                <w:color w:val="000000" w:themeColor="text1"/>
                <w:sz w:val="24"/>
                <w:szCs w:val="24"/>
                <w:highlight w:val="none"/>
                <w14:textFill>
                  <w14:solidFill>
                    <w14:schemeClr w14:val="tx1"/>
                  </w14:solidFill>
                </w14:textFill>
              </w:rPr>
              <w:t>各功能分区明确，生产车间内平面布置基本上根据生产工艺需要和物料流向，各工序布置间距较近，便于生产操作，同时也避免物料来回运输消耗能源，厂区总平面布置基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本合理</w:t>
            </w:r>
            <w:r>
              <w:rPr>
                <w:rFonts w:hint="eastAsia" w:cs="Times New Roman"/>
                <w:color w:val="000000" w:themeColor="text1"/>
                <w:sz w:val="24"/>
                <w:szCs w:val="24"/>
                <w:highlight w:val="none"/>
                <w:lang w:val="en-US" w:eastAsia="zh-CN"/>
                <w14:textFill>
                  <w14:solidFill>
                    <w14:schemeClr w14:val="tx1"/>
                  </w14:solidFill>
                </w14:textFill>
              </w:rPr>
              <w:t>（厂区总平面布置图详见</w:t>
            </w:r>
            <w:r>
              <w:rPr>
                <w:rFonts w:hint="eastAsia" w:cs="Times New Roman"/>
                <w:b/>
                <w:bCs/>
                <w:color w:val="000000" w:themeColor="text1"/>
                <w:sz w:val="24"/>
                <w:szCs w:val="24"/>
                <w:highlight w:val="none"/>
                <w:lang w:val="en-US" w:eastAsia="zh-CN"/>
                <w14:textFill>
                  <w14:solidFill>
                    <w14:schemeClr w14:val="tx1"/>
                  </w14:solidFill>
                </w14:textFill>
              </w:rPr>
              <w:t>附图五</w:t>
            </w:r>
            <w:r>
              <w:rPr>
                <w:rFonts w:hint="eastAsia" w:cs="Times New Roman"/>
                <w:color w:val="000000" w:themeColor="text1"/>
                <w:sz w:val="24"/>
                <w:szCs w:val="24"/>
                <w:highlight w:val="none"/>
                <w:lang w:val="en-US" w:eastAsia="zh-CN"/>
                <w14:textFill>
                  <w14:solidFill>
                    <w14:schemeClr w14:val="tx1"/>
                  </w14:solidFill>
                </w14:textFill>
              </w:rPr>
              <w:t>、项目平面布置图详见</w:t>
            </w:r>
            <w:r>
              <w:rPr>
                <w:rFonts w:hint="eastAsia" w:cs="Times New Roman"/>
                <w:b/>
                <w:bCs/>
                <w:color w:val="000000" w:themeColor="text1"/>
                <w:sz w:val="24"/>
                <w:szCs w:val="24"/>
                <w:highlight w:val="none"/>
                <w:lang w:val="en-US" w:eastAsia="zh-CN"/>
                <w14:textFill>
                  <w14:solidFill>
                    <w14:schemeClr w14:val="tx1"/>
                  </w14:solidFill>
                </w14:textFill>
              </w:rPr>
              <w:t>附图六</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07AFA48C">
            <w:pPr>
              <w:pStyle w:val="34"/>
              <w:keepNext w:val="0"/>
              <w:keepLines w:val="0"/>
              <w:pageBreakBefore w:val="0"/>
              <w:widowControl w:val="0"/>
              <w:kinsoku/>
              <w:wordWrap/>
              <w:overflowPunct/>
              <w:topLinePunct w:val="0"/>
              <w:autoSpaceDE/>
              <w:autoSpaceDN/>
              <w:bidi w:val="0"/>
              <w:adjustRightInd/>
              <w:spacing w:line="360" w:lineRule="auto"/>
              <w:ind w:firstLine="482" w:firstLineChars="200"/>
              <w:jc w:val="left"/>
              <w:textAlignment w:val="auto"/>
              <w:outlineLvl w:val="9"/>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cs="Times New Roman"/>
                <w:b/>
                <w:bCs/>
                <w:color w:val="000000" w:themeColor="text1"/>
                <w:sz w:val="24"/>
                <w:szCs w:val="24"/>
                <w:highlight w:val="none"/>
                <w:lang w:val="en-US" w:eastAsia="zh-CN"/>
                <w14:textFill>
                  <w14:solidFill>
                    <w14:schemeClr w14:val="tx1"/>
                  </w14:solidFill>
                </w14:textFill>
              </w:rPr>
              <w:t>6.项目选址合理性分析</w:t>
            </w:r>
          </w:p>
          <w:p w14:paraId="7577BA08">
            <w:pPr>
              <w:widowControl/>
              <w:spacing w:line="360" w:lineRule="auto"/>
              <w:ind w:firstLine="480" w:firstLineChars="200"/>
              <w:jc w:val="left"/>
              <w:rPr>
                <w:rFonts w:hint="eastAsia"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本项目位</w:t>
            </w:r>
            <w:r>
              <w:rPr>
                <w:rFonts w:hint="default" w:ascii="Times New Roman" w:hAnsi="Times New Roman" w:eastAsia="宋体" w:cs="Times New Roman"/>
                <w:color w:val="auto"/>
                <w:sz w:val="24"/>
                <w:szCs w:val="24"/>
                <w:highlight w:val="none"/>
                <w:u w:val="none"/>
                <w:lang w:eastAsia="zh-CN"/>
              </w:rPr>
              <w:t>于</w:t>
            </w:r>
            <w:r>
              <w:rPr>
                <w:rFonts w:hint="eastAsia" w:cs="Times New Roman"/>
                <w:color w:val="auto"/>
                <w:sz w:val="24"/>
                <w:szCs w:val="24"/>
                <w:highlight w:val="none"/>
                <w:lang w:eastAsia="zh-CN"/>
              </w:rPr>
              <w:t>福清融侨经济技术开发区（均和云谷·福清科技港33#厂房）</w:t>
            </w:r>
            <w:r>
              <w:rPr>
                <w:rFonts w:hint="eastAsia" w:cs="Times New Roman"/>
                <w:color w:val="auto"/>
                <w:sz w:val="24"/>
                <w:szCs w:val="24"/>
                <w:highlight w:val="none"/>
                <w:u w:val="none"/>
                <w:lang w:val="en-US" w:eastAsia="zh-CN"/>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根据调查项目厂址不位于自然保护区、风景名胜区、饮用水水源保护区和其他需要特别保护等法律法规禁止开发建设的区域，用地为工业用地，与区域内土地利用规划不冲突。</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《关于</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均和云谷</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·福清科技港</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入园企业申请办理环评手续的函</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“均和云谷</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·福清科技港</w:t>
            </w:r>
            <w:r>
              <w:rPr>
                <w:rFonts w:hint="eastAsia" w:cs="Times New Roman"/>
                <w:color w:val="000000" w:themeColor="text1"/>
                <w:sz w:val="24"/>
                <w:szCs w:val="24"/>
                <w:highlight w:val="none"/>
                <w:u w:val="none"/>
                <w:lang w:val="en-US" w:eastAsia="zh-CN"/>
                <w14:textFill>
                  <w14:solidFill>
                    <w14:schemeClr w14:val="tx1"/>
                  </w14:solidFill>
                </w14:textFill>
              </w:rPr>
              <w:t>位于福清融侨经济技术开发区阳下街道，</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目前</w:t>
            </w:r>
            <w:r>
              <w:rPr>
                <w:rFonts w:hint="eastAsia" w:cs="Times New Roman"/>
                <w:color w:val="000000" w:themeColor="text1"/>
                <w:sz w:val="24"/>
                <w:szCs w:val="24"/>
                <w:highlight w:val="none"/>
                <w:u w:val="none"/>
                <w:lang w:val="en-US" w:eastAsia="zh-CN"/>
                <w14:textFill>
                  <w14:solidFill>
                    <w14:schemeClr w14:val="tx1"/>
                  </w14:solidFill>
                </w14:textFill>
              </w:rPr>
              <w:t>有福建聚望新材料科技有限公司、福州市尚康工贸有限公司、福州福顺来新材料有限公司、福州市闽侯振兴炜业机械有限</w:t>
            </w:r>
            <w:r>
              <w:rPr>
                <w:rFonts w:hint="eastAsia" w:cs="Times New Roman"/>
                <w:color w:val="auto"/>
                <w:sz w:val="24"/>
                <w:szCs w:val="24"/>
                <w:highlight w:val="none"/>
                <w:u w:val="none"/>
                <w:lang w:val="en-US" w:eastAsia="zh-CN"/>
              </w:rPr>
              <w:t>公司、</w:t>
            </w:r>
            <w:r>
              <w:rPr>
                <w:rFonts w:hint="eastAsia" w:cs="Times New Roman"/>
                <w:b/>
                <w:bCs/>
                <w:color w:val="auto"/>
                <w:sz w:val="24"/>
                <w:szCs w:val="24"/>
                <w:highlight w:val="none"/>
                <w:u w:val="none"/>
                <w:lang w:val="en-US" w:eastAsia="zh-CN"/>
              </w:rPr>
              <w:t>福建瑞昌新能源科技开发有限公司</w:t>
            </w:r>
            <w:r>
              <w:rPr>
                <w:rFonts w:hint="eastAsia" w:ascii="Times New Roman" w:hAnsi="Times New Roman" w:cs="Times New Roman"/>
                <w:color w:val="auto"/>
                <w:sz w:val="24"/>
                <w:szCs w:val="24"/>
                <w:highlight w:val="none"/>
                <w:u w:val="none"/>
                <w:lang w:val="en-US" w:eastAsia="zh-CN"/>
              </w:rPr>
              <w:t>等</w:t>
            </w:r>
            <w:r>
              <w:rPr>
                <w:rFonts w:hint="eastAsia" w:cs="Times New Roman"/>
                <w:color w:val="000000" w:themeColor="text1"/>
                <w:sz w:val="24"/>
                <w:szCs w:val="24"/>
                <w:highlight w:val="none"/>
                <w:u w:val="none"/>
                <w:lang w:val="en-US" w:eastAsia="zh-CN"/>
                <w14:textFill>
                  <w14:solidFill>
                    <w14:schemeClr w14:val="tx1"/>
                  </w14:solidFill>
                </w14:textFill>
              </w:rPr>
              <w:t>5</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家企业</w:t>
            </w:r>
            <w:r>
              <w:rPr>
                <w:rFonts w:hint="eastAsia" w:cs="Times New Roman"/>
                <w:color w:val="000000" w:themeColor="text1"/>
                <w:sz w:val="24"/>
                <w:szCs w:val="24"/>
                <w:highlight w:val="none"/>
                <w:u w:val="none"/>
                <w:lang w:val="en-US" w:eastAsia="zh-CN"/>
                <w14:textFill>
                  <w14:solidFill>
                    <w14:schemeClr w14:val="tx1"/>
                  </w14:solidFill>
                </w14:textFill>
              </w:rPr>
              <w:t>已通过入园审批，正在入驻准备投产”</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。（详见</w:t>
            </w:r>
            <w:r>
              <w:rPr>
                <w:rFonts w:hint="eastAsia" w:ascii="Times New Roman" w:hAnsi="Times New Roman" w:cs="Times New Roman"/>
                <w:b/>
                <w:bCs/>
                <w:color w:val="000000" w:themeColor="text1"/>
                <w:sz w:val="24"/>
                <w:szCs w:val="24"/>
                <w:highlight w:val="none"/>
                <w:u w:val="none"/>
                <w:lang w:val="en-US" w:eastAsia="zh-CN"/>
                <w14:textFill>
                  <w14:solidFill>
                    <w14:schemeClr w14:val="tx1"/>
                  </w14:solidFill>
                </w14:textFill>
              </w:rPr>
              <w:t>附件</w:t>
            </w:r>
            <w:r>
              <w:rPr>
                <w:rFonts w:hint="eastAsia" w:cs="Times New Roman"/>
                <w:b/>
                <w:bCs/>
                <w:color w:val="000000" w:themeColor="text1"/>
                <w:sz w:val="24"/>
                <w:szCs w:val="24"/>
                <w:highlight w:val="none"/>
                <w:u w:val="none"/>
                <w:lang w:val="en-US" w:eastAsia="zh-CN"/>
                <w14:textFill>
                  <w14:solidFill>
                    <w14:schemeClr w14:val="tx1"/>
                  </w14:solidFill>
                </w14:textFill>
              </w:rPr>
              <w:t>七</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w:t>
            </w:r>
            <w:r>
              <w:rPr>
                <w:rFonts w:hint="eastAsia" w:cs="Times New Roman"/>
                <w:color w:val="000000" w:themeColor="text1"/>
                <w:sz w:val="24"/>
                <w:szCs w:val="24"/>
                <w:highlight w:val="none"/>
                <w:u w:val="none"/>
                <w:lang w:val="en-US" w:eastAsia="zh-CN"/>
                <w14:textFill>
                  <w14:solidFill>
                    <w14:schemeClr w14:val="tx1"/>
                  </w14:solidFill>
                </w14:textFill>
              </w:rPr>
              <w:t>入园</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申请办理环评手续函）</w:t>
            </w:r>
            <w:r>
              <w:rPr>
                <w:rFonts w:hint="eastAsia" w:cs="Times New Roman"/>
                <w:color w:val="000000" w:themeColor="text1"/>
                <w:sz w:val="24"/>
                <w:szCs w:val="24"/>
                <w:highlight w:val="none"/>
                <w:u w:val="none"/>
                <w:lang w:val="en-US" w:eastAsia="zh-CN"/>
                <w14:textFill>
                  <w14:solidFill>
                    <w14:schemeClr w14:val="tx1"/>
                  </w14:solidFill>
                </w14:textFill>
              </w:rPr>
              <w:t>。</w:t>
            </w:r>
          </w:p>
          <w:p w14:paraId="16E485B4">
            <w:pPr>
              <w:widowControl/>
              <w:spacing w:line="360" w:lineRule="auto"/>
              <w:ind w:firstLine="480" w:firstLineChars="200"/>
              <w:jc w:val="left"/>
              <w:rPr>
                <w:rFonts w:hint="eastAsia"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根据</w:t>
            </w:r>
            <w:r>
              <w:rPr>
                <w:rFonts w:hint="eastAsia"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业主</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提供的</w:t>
            </w:r>
            <w:r>
              <w:rPr>
                <w:rFonts w:hint="eastAsia"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均和产业发展（福清）有限公司不动产权证（闽（2022）福清市不动产权第0015820号）</w:t>
            </w:r>
            <w:r>
              <w:rPr>
                <w:rFonts w:hint="eastAsia" w:cs="Times New Roman"/>
                <w:color w:val="000000" w:themeColor="text1"/>
                <w:spacing w:val="0"/>
                <w:sz w:val="24"/>
                <w:szCs w:val="24"/>
                <w:highlight w:val="none"/>
                <w:u w:val="none"/>
                <w:lang w:val="en-US" w:eastAsia="zh-CN"/>
                <w14:textFill>
                  <w14:solidFill>
                    <w14:schemeClr w14:val="tx1"/>
                  </w14:solidFill>
                </w14:textFill>
              </w:rPr>
              <w:t>（厂房购置合同</w:t>
            </w:r>
            <w:r>
              <w:rPr>
                <w:rFonts w:hint="default"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详见</w:t>
            </w:r>
            <w:r>
              <w:rPr>
                <w:rFonts w:hint="default" w:ascii="Times New Roman" w:hAnsi="Times New Roman" w:eastAsia="宋体" w:cs="Times New Roman"/>
                <w:b/>
                <w:bCs/>
                <w:color w:val="000000" w:themeColor="text1"/>
                <w:spacing w:val="0"/>
                <w:sz w:val="24"/>
                <w:szCs w:val="24"/>
                <w:highlight w:val="none"/>
                <w:u w:val="none"/>
                <w:lang w:val="en-US" w:eastAsia="zh-CN"/>
                <w14:textFill>
                  <w14:solidFill>
                    <w14:schemeClr w14:val="tx1"/>
                  </w14:solidFill>
                </w14:textFill>
              </w:rPr>
              <w:t>附件</w:t>
            </w:r>
            <w:r>
              <w:rPr>
                <w:rFonts w:hint="eastAsia" w:cs="Times New Roman"/>
                <w:b/>
                <w:bCs/>
                <w:color w:val="000000" w:themeColor="text1"/>
                <w:spacing w:val="0"/>
                <w:sz w:val="24"/>
                <w:szCs w:val="24"/>
                <w:highlight w:val="none"/>
                <w:u w:val="none"/>
                <w:lang w:val="en-US" w:eastAsia="zh-CN"/>
                <w14:textFill>
                  <w14:solidFill>
                    <w14:schemeClr w14:val="tx1"/>
                  </w14:solidFill>
                </w14:textFill>
              </w:rPr>
              <w:t>五</w:t>
            </w:r>
            <w:r>
              <w:rPr>
                <w:rFonts w:hint="eastAsia" w:cs="Times New Roman"/>
                <w:b w:val="0"/>
                <w:bCs w:val="0"/>
                <w:color w:val="000000" w:themeColor="text1"/>
                <w:spacing w:val="0"/>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，该厂区用地为工业用地，厂房为工业厂房</w:t>
            </w:r>
            <w:r>
              <w:rPr>
                <w:rFonts w:hint="default" w:ascii="Times New Roman" w:hAnsi="Times New Roman" w:eastAsia="宋体" w:cs="Times New Roman"/>
                <w:color w:val="000000" w:themeColor="text1"/>
                <w:sz w:val="24"/>
                <w:szCs w:val="24"/>
                <w:highlight w:val="none"/>
                <w14:textFill>
                  <w14:solidFill>
                    <w14:schemeClr w14:val="tx1"/>
                  </w14:solidFill>
                </w14:textFill>
              </w:rPr>
              <w:t>。根据福清市自然资源和规划局审定的均和云谷福清科技港总平面</w:t>
            </w:r>
            <w:r>
              <w:rPr>
                <w:rFonts w:hint="eastAsia" w:cs="Times New Roman"/>
                <w:color w:val="000000" w:themeColor="text1"/>
                <w:sz w:val="24"/>
                <w:szCs w:val="24"/>
                <w:highlight w:val="none"/>
                <w:lang w:eastAsia="zh-CN"/>
                <w14:textFill>
                  <w14:solidFill>
                    <w14:schemeClr w14:val="tx1"/>
                  </w14:solidFill>
                </w14:textFill>
              </w:rPr>
              <w:t>布置</w:t>
            </w:r>
            <w:r>
              <w:rPr>
                <w:rFonts w:hint="default" w:ascii="Times New Roman" w:hAnsi="Times New Roman" w:eastAsia="宋体" w:cs="Times New Roman"/>
                <w:color w:val="000000" w:themeColor="text1"/>
                <w:sz w:val="24"/>
                <w:szCs w:val="24"/>
                <w:highlight w:val="none"/>
                <w14:textFill>
                  <w14:solidFill>
                    <w14:schemeClr w14:val="tx1"/>
                  </w14:solidFill>
                </w14:textFill>
              </w:rPr>
              <w:t>图及均和产业发展（福清）有限公司规划条件核实意见书（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整区</w:t>
            </w:r>
            <w:r>
              <w:rPr>
                <w:rFonts w:hint="default" w:ascii="Times New Roman" w:hAnsi="Times New Roman" w:eastAsia="宋体" w:cs="Times New Roman"/>
                <w:color w:val="000000" w:themeColor="text1"/>
                <w:sz w:val="24"/>
                <w:szCs w:val="24"/>
                <w:highlight w:val="none"/>
                <w14:textFill>
                  <w14:solidFill>
                    <w14:schemeClr w14:val="tx1"/>
                  </w14:solidFill>
                </w14:textFill>
              </w:rPr>
              <w:t>）（编号：融规核〔202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112</w:t>
            </w:r>
            <w:r>
              <w:rPr>
                <w:rFonts w:hint="default" w:ascii="Times New Roman" w:hAnsi="Times New Roman" w:eastAsia="宋体" w:cs="Times New Roman"/>
                <w:color w:val="000000" w:themeColor="text1"/>
                <w:sz w:val="24"/>
                <w:szCs w:val="24"/>
                <w:highlight w:val="none"/>
                <w14:textFill>
                  <w14:solidFill>
                    <w14:schemeClr w14:val="tx1"/>
                  </w14:solidFill>
                </w14:textFill>
              </w:rPr>
              <w:t>号）可知，项目位于均和云谷福清科技港</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#厂房，</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#厂房构筑物主要经济技术指标均通过规划部门审核审定。</w:t>
            </w:r>
          </w:p>
          <w:p w14:paraId="72C61243">
            <w:pPr>
              <w:widowControl/>
              <w:spacing w:line="360" w:lineRule="auto"/>
              <w:ind w:firstLine="480" w:firstLineChars="200"/>
              <w:jc w:val="left"/>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根据现场勘查，</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项目</w:t>
            </w:r>
            <w:r>
              <w:rPr>
                <w:rFonts w:hint="eastAsia"/>
                <w:color w:val="000000" w:themeColor="text1"/>
                <w:sz w:val="24"/>
                <w:highlight w:val="none"/>
                <w:lang w:val="en-US" w:eastAsia="zh-CN"/>
                <w14:textFill>
                  <w14:solidFill>
                    <w14:schemeClr w14:val="tx1"/>
                  </w14:solidFill>
                </w14:textFill>
              </w:rPr>
              <w:t>厂界外50米范围内不存在声环境保护目标，厂界</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外500米范围内距离项目最近的西南侧约</w:t>
            </w:r>
            <w:r>
              <w:rPr>
                <w:rFonts w:hint="eastAsia" w:cs="Times New Roman"/>
                <w:color w:val="000000" w:themeColor="text1"/>
                <w:sz w:val="24"/>
                <w:highlight w:val="none"/>
                <w:lang w:val="en-US" w:eastAsia="zh-CN"/>
                <w14:textFill>
                  <w14:solidFill>
                    <w14:schemeClr w14:val="tx1"/>
                  </w14:solidFill>
                </w14:textFill>
              </w:rPr>
              <w:t>287</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m的下田村居民点，</w:t>
            </w:r>
            <w:r>
              <w:rPr>
                <w:rFonts w:hint="eastAsia" w:cs="Times New Roman"/>
                <w:color w:val="000000" w:themeColor="text1"/>
                <w:sz w:val="24"/>
                <w:highlight w:val="none"/>
                <w:lang w:val="en-US" w:eastAsia="zh-CN"/>
                <w14:textFill>
                  <w14:solidFill>
                    <w14:schemeClr w14:val="tx1"/>
                  </w14:solidFill>
                </w14:textFill>
              </w:rPr>
              <w:t>水环境保护目标为厂界西北侧300m的溪畔河</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Ⅲ类</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水体</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周边</w:t>
            </w:r>
            <w:r>
              <w:rPr>
                <w:rFonts w:hint="eastAsia" w:cs="Times New Roman"/>
                <w:color w:val="000000" w:themeColor="text1"/>
                <w:sz w:val="24"/>
                <w:highlight w:val="none"/>
                <w:lang w:eastAsia="zh-CN"/>
                <w14:textFill>
                  <w14:solidFill>
                    <w14:schemeClr w14:val="tx1"/>
                  </w14:solidFill>
                </w14:textFill>
              </w:rPr>
              <w:t>分布以工业企业为主</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等</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，项目周边环境示意图</w:t>
            </w:r>
            <w:r>
              <w:rPr>
                <w:rFonts w:hint="eastAsia" w:cs="Times New Roman"/>
                <w:color w:val="000000" w:themeColor="text1"/>
                <w:sz w:val="24"/>
                <w:highlight w:val="none"/>
                <w:lang w:val="en-US" w:eastAsia="zh-CN"/>
                <w14:textFill>
                  <w14:solidFill>
                    <w14:schemeClr w14:val="tx1"/>
                  </w14:solidFill>
                </w14:textFill>
              </w:rPr>
              <w:t>及保护目标</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详见</w:t>
            </w:r>
            <w:r>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t>附图</w:t>
            </w:r>
            <w:r>
              <w:rPr>
                <w:rFonts w:hint="eastAsia" w:cs="Times New Roman"/>
                <w:b/>
                <w:bCs/>
                <w:color w:val="000000" w:themeColor="text1"/>
                <w:sz w:val="24"/>
                <w:highlight w:val="none"/>
                <w:lang w:val="en-US" w:eastAsia="zh-CN"/>
                <w14:textFill>
                  <w14:solidFill>
                    <w14:schemeClr w14:val="tx1"/>
                  </w14:solidFill>
                </w14:textFill>
              </w:rPr>
              <w:t>三</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项目周边环境现状拍摄图详</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见</w:t>
            </w: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附图</w:t>
            </w:r>
            <w:r>
              <w:rPr>
                <w:rFonts w:hint="eastAsia" w:cs="Times New Roman"/>
                <w:b/>
                <w:bCs/>
                <w:color w:val="000000" w:themeColor="text1"/>
                <w:sz w:val="24"/>
                <w:highlight w:val="none"/>
                <w:lang w:val="en-US" w:eastAsia="zh-CN"/>
                <w14:textFill>
                  <w14:solidFill>
                    <w14:schemeClr w14:val="tx1"/>
                  </w14:solidFill>
                </w14:textFill>
              </w:rPr>
              <w:t>四</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建设单位在</w:t>
            </w:r>
            <w:r>
              <w:rPr>
                <w:rFonts w:hint="eastAsia" w:cs="Times New Roman"/>
                <w:color w:val="000000" w:themeColor="text1"/>
                <w:sz w:val="24"/>
                <w:highlight w:val="none"/>
                <w:lang w:eastAsia="zh-CN"/>
                <w14:textFill>
                  <w14:solidFill>
                    <w14:schemeClr w14:val="tx1"/>
                  </w14:solidFill>
                </w14:textFill>
              </w:rPr>
              <w:t>切实落实</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本评价提出的各项污染治理措施的前提下，可实现污染物达标排放</w:t>
            </w:r>
            <w:r>
              <w:rPr>
                <w:rFonts w:hint="eastAsia" w:cs="Times New Roman"/>
                <w:color w:val="000000" w:themeColor="text1"/>
                <w:sz w:val="24"/>
                <w:highlight w:val="none"/>
                <w:lang w:eastAsia="zh-CN"/>
                <w14:textFill>
                  <w14:solidFill>
                    <w14:schemeClr w14:val="tx1"/>
                  </w14:solidFill>
                </w14:textFill>
              </w:rPr>
              <w:t>且</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各污染物排放源强较低，运营期产生的</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三废</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及噪声对周边环境影响不明显，因此，项目</w:t>
            </w:r>
            <w:r>
              <w:rPr>
                <w:rFonts w:hint="eastAsia" w:cs="Times New Roman"/>
                <w:color w:val="000000" w:themeColor="text1"/>
                <w:sz w:val="24"/>
                <w:highlight w:val="none"/>
                <w:lang w:val="en-US" w:eastAsia="zh-CN"/>
                <w14:textFill>
                  <w14:solidFill>
                    <w14:schemeClr w14:val="tx1"/>
                  </w14:solidFill>
                </w14:textFill>
              </w:rPr>
              <w:t>建设选址可行。</w:t>
            </w:r>
          </w:p>
          <w:p w14:paraId="33CA0927">
            <w:pPr>
              <w:widowControl/>
              <w:numPr>
                <w:ilvl w:val="0"/>
                <w:numId w:val="0"/>
              </w:numPr>
              <w:spacing w:line="360" w:lineRule="auto"/>
              <w:ind w:firstLine="482" w:firstLineChars="200"/>
              <w:jc w:val="left"/>
              <w:rPr>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7.</w:t>
            </w:r>
            <w:r>
              <w:rPr>
                <w:b/>
                <w:bCs/>
                <w:color w:val="000000" w:themeColor="text1"/>
                <w:sz w:val="24"/>
                <w:highlight w:val="none"/>
                <w14:textFill>
                  <w14:solidFill>
                    <w14:schemeClr w14:val="tx1"/>
                  </w14:solidFill>
                </w14:textFill>
              </w:rPr>
              <w:t>与挥发性有机物污染防治相关政策符合性分析</w:t>
            </w:r>
          </w:p>
          <w:p w14:paraId="68FDAB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eastAsia="宋体" w:cs="宋体"/>
                <w:color w:val="000000" w:themeColor="text1"/>
                <w:sz w:val="24"/>
                <w:szCs w:val="24"/>
                <w:highlight w:val="none"/>
                <w:u w:val="none"/>
                <w:lang w:val="en-US" w:eastAsia="zh-CN" w:bidi="ar"/>
                <w14:textFill>
                  <w14:solidFill>
                    <w14:schemeClr w14:val="tx1"/>
                  </w14:solidFill>
                </w14:textFill>
              </w:rPr>
            </w:pPr>
            <w:r>
              <w:rPr>
                <w:rFonts w:hint="eastAsia" w:cs="宋体"/>
                <w:color w:val="000000" w:themeColor="text1"/>
                <w:sz w:val="24"/>
                <w:szCs w:val="24"/>
                <w:highlight w:val="none"/>
                <w:u w:val="none"/>
                <w:lang w:bidi="ar"/>
                <w14:textFill>
                  <w14:solidFill>
                    <w14:schemeClr w14:val="tx1"/>
                  </w14:solidFill>
                </w14:textFill>
              </w:rPr>
              <w:t>本项目与挥发性有机物污染防治政策相关内容符合性分析，符合性分析详见表</w:t>
            </w:r>
            <w:r>
              <w:rPr>
                <w:rFonts w:hint="eastAsia" w:cs="宋体"/>
                <w:color w:val="000000" w:themeColor="text1"/>
                <w:sz w:val="24"/>
                <w:szCs w:val="24"/>
                <w:highlight w:val="none"/>
                <w:u w:val="none"/>
                <w:lang w:val="en-US" w:eastAsia="zh-CN" w:bidi="ar"/>
                <w14:textFill>
                  <w14:solidFill>
                    <w14:schemeClr w14:val="tx1"/>
                  </w14:solidFill>
                </w14:textFill>
              </w:rPr>
              <w:t>1.1-5</w:t>
            </w:r>
            <w:r>
              <w:rPr>
                <w:rFonts w:hint="eastAsia" w:cs="宋体"/>
                <w:color w:val="000000" w:themeColor="text1"/>
                <w:sz w:val="24"/>
                <w:szCs w:val="24"/>
                <w:highlight w:val="none"/>
                <w:u w:val="none"/>
                <w:lang w:bidi="ar"/>
                <w14:textFill>
                  <w14:solidFill>
                    <w14:schemeClr w14:val="tx1"/>
                  </w14:solidFill>
                </w14:textFill>
              </w:rPr>
              <w:t>。</w:t>
            </w:r>
            <w:r>
              <w:rPr>
                <w:rFonts w:hint="eastAsia" w:cs="宋体"/>
                <w:color w:val="000000" w:themeColor="text1"/>
                <w:sz w:val="24"/>
                <w:szCs w:val="24"/>
                <w:highlight w:val="none"/>
                <w:u w:val="none"/>
                <w:lang w:eastAsia="zh-CN" w:bidi="ar"/>
                <w14:textFill>
                  <w14:solidFill>
                    <w14:schemeClr w14:val="tx1"/>
                  </w14:solidFill>
                </w14:textFill>
              </w:rPr>
              <w:t>根据表</w:t>
            </w:r>
            <w:r>
              <w:rPr>
                <w:rFonts w:hint="eastAsia" w:cs="宋体"/>
                <w:color w:val="000000" w:themeColor="text1"/>
                <w:sz w:val="24"/>
                <w:szCs w:val="24"/>
                <w:highlight w:val="none"/>
                <w:u w:val="none"/>
                <w:lang w:val="en-US" w:eastAsia="zh-CN" w:bidi="ar"/>
                <w14:textFill>
                  <w14:solidFill>
                    <w14:schemeClr w14:val="tx1"/>
                  </w14:solidFill>
                </w14:textFill>
              </w:rPr>
              <w:t>1.1-5的分析可知，本项目建设符合国家及地方的</w:t>
            </w:r>
            <w:r>
              <w:rPr>
                <w:rFonts w:hint="eastAsia" w:cs="宋体"/>
                <w:color w:val="000000" w:themeColor="text1"/>
                <w:sz w:val="24"/>
                <w:szCs w:val="24"/>
                <w:highlight w:val="none"/>
                <w:u w:val="none"/>
                <w:lang w:bidi="ar"/>
                <w14:textFill>
                  <w14:solidFill>
                    <w14:schemeClr w14:val="tx1"/>
                  </w14:solidFill>
                </w14:textFill>
              </w:rPr>
              <w:t>挥发性有机物污染防治政策相关内容</w:t>
            </w:r>
            <w:r>
              <w:rPr>
                <w:rFonts w:hint="eastAsia" w:cs="宋体"/>
                <w:color w:val="000000" w:themeColor="text1"/>
                <w:sz w:val="24"/>
                <w:szCs w:val="24"/>
                <w:highlight w:val="none"/>
                <w:u w:val="none"/>
                <w:lang w:eastAsia="zh-CN" w:bidi="ar"/>
                <w14:textFill>
                  <w14:solidFill>
                    <w14:schemeClr w14:val="tx1"/>
                  </w14:solidFill>
                </w14:textFill>
              </w:rPr>
              <w:t>的要求。</w:t>
            </w:r>
          </w:p>
          <w:p w14:paraId="2D00FFE7">
            <w:pPr>
              <w:keepNext w:val="0"/>
              <w:keepLines w:val="0"/>
              <w:pageBreakBefore w:val="0"/>
              <w:widowControl w:val="0"/>
              <w:kinsoku/>
              <w:wordWrap/>
              <w:overflowPunct/>
              <w:topLinePunct w:val="0"/>
              <w:autoSpaceDE w:val="0"/>
              <w:autoSpaceDN w:val="0"/>
              <w:bidi w:val="0"/>
              <w:adjustRightInd w:val="0"/>
              <w:snapToGrid w:val="0"/>
              <w:spacing w:before="160" w:beforeLines="50" w:line="240" w:lineRule="auto"/>
              <w:ind w:left="0" w:right="0" w:firstLine="0" w:firstLineChars="0"/>
              <w:jc w:val="center"/>
              <w:textAlignment w:val="auto"/>
              <w:rPr>
                <w:rFonts w:hint="default" w:ascii="Times New Roman" w:hAnsi="Times New Roman" w:eastAsia="黑体" w:cs="Times New Roman"/>
                <w:color w:val="000000" w:themeColor="text1"/>
                <w:sz w:val="24"/>
                <w:highlight w:val="none"/>
                <w:u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表1.1-5 挥发性有机物污染防治政策相关内容</w:t>
            </w:r>
          </w:p>
          <w:tbl>
            <w:tblPr>
              <w:tblStyle w:val="24"/>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4163"/>
              <w:gridCol w:w="2532"/>
              <w:gridCol w:w="451"/>
            </w:tblGrid>
            <w:tr w14:paraId="5BA77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79" w:type="pct"/>
                  <w:tcBorders>
                    <w:tl2br w:val="nil"/>
                    <w:tr2bl w:val="nil"/>
                  </w:tcBorders>
                  <w:vAlign w:val="center"/>
                </w:tcPr>
                <w:p w14:paraId="1B598B6B">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相关文件名称</w:t>
                  </w:r>
                </w:p>
              </w:tc>
              <w:tc>
                <w:tcPr>
                  <w:tcW w:w="2458" w:type="pct"/>
                  <w:tcBorders>
                    <w:tl2br w:val="nil"/>
                    <w:tr2bl w:val="nil"/>
                  </w:tcBorders>
                  <w:vAlign w:val="center"/>
                </w:tcPr>
                <w:p w14:paraId="537A018D">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相关内容</w:t>
                  </w:r>
                </w:p>
              </w:tc>
              <w:tc>
                <w:tcPr>
                  <w:tcW w:w="1495" w:type="pct"/>
                  <w:tcBorders>
                    <w:tl2br w:val="nil"/>
                    <w:tr2bl w:val="nil"/>
                  </w:tcBorders>
                  <w:vAlign w:val="center"/>
                </w:tcPr>
                <w:p w14:paraId="586BCE7C">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本项目内容</w:t>
                  </w:r>
                </w:p>
              </w:tc>
              <w:tc>
                <w:tcPr>
                  <w:tcW w:w="266" w:type="pct"/>
                  <w:tcBorders>
                    <w:tl2br w:val="nil"/>
                    <w:tr2bl w:val="nil"/>
                  </w:tcBorders>
                  <w:vAlign w:val="center"/>
                </w:tcPr>
                <w:p w14:paraId="74124BE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符合性</w:t>
                  </w:r>
                </w:p>
              </w:tc>
            </w:tr>
            <w:tr w14:paraId="7794E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9" w:type="pct"/>
                  <w:tcBorders>
                    <w:tl2br w:val="nil"/>
                    <w:tr2bl w:val="nil"/>
                  </w:tcBorders>
                  <w:shd w:val="clear" w:color="auto" w:fill="auto"/>
                  <w:vAlign w:val="center"/>
                </w:tcPr>
                <w:p w14:paraId="6768FAEE">
                  <w:pPr>
                    <w:pStyle w:val="36"/>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福建省“十四五”空气质量改善规划</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5FD37625">
                  <w:pPr>
                    <w:pStyle w:val="36"/>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2022年1月</w:t>
                  </w:r>
                  <w:r>
                    <w:rPr>
                      <w:rFonts w:hint="eastAsia" w:cs="Times New Roman"/>
                      <w:color w:val="000000" w:themeColor="text1"/>
                      <w:sz w:val="21"/>
                      <w:szCs w:val="21"/>
                      <w:highlight w:val="none"/>
                      <w:lang w:val="en-US" w:eastAsia="zh-CN"/>
                      <w14:textFill>
                        <w14:solidFill>
                          <w14:schemeClr w14:val="tx1"/>
                        </w14:solidFill>
                      </w14:textFill>
                    </w:rPr>
                    <w:t>）</w:t>
                  </w:r>
                </w:p>
              </w:tc>
              <w:tc>
                <w:tcPr>
                  <w:tcW w:w="2458" w:type="pct"/>
                  <w:tcBorders>
                    <w:tl2br w:val="nil"/>
                    <w:tr2bl w:val="nil"/>
                  </w:tcBorders>
                  <w:shd w:val="clear" w:color="auto" w:fill="auto"/>
                  <w:vAlign w:val="center"/>
                </w:tcPr>
                <w:p w14:paraId="489BAEBA">
                  <w:pPr>
                    <w:pStyle w:val="36"/>
                    <w:keepNext w:val="0"/>
                    <w:keepLines w:val="0"/>
                    <w:pageBreakBefore w:val="0"/>
                    <w:widowControl w:val="0"/>
                    <w:kinsoku/>
                    <w:wordWrap/>
                    <w:overflowPunct/>
                    <w:topLinePunct w:val="0"/>
                    <w:autoSpaceDE/>
                    <w:autoSpaceDN w:val="0"/>
                    <w:bidi w:val="0"/>
                    <w:adjustRightInd w:val="0"/>
                    <w:snapToGrid w:val="0"/>
                    <w:spacing w:line="320" w:lineRule="exact"/>
                    <w:jc w:val="both"/>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推广使用水性、高固体分、无溶剂、粉末等低VOCs含量涂料，</w:t>
                  </w:r>
                  <w:r>
                    <w:rPr>
                      <w:rFonts w:hint="eastAsia"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电缆桥架</w:t>
                  </w:r>
                  <w:r>
                    <w:rPr>
                      <w:rFonts w:hint="eastAsia" w:ascii="Times New Roman" w:hAnsi="Times New Roman" w:eastAsia="宋体" w:cs="Times New Roman"/>
                      <w:color w:val="000000" w:themeColor="text1"/>
                      <w:sz w:val="21"/>
                      <w:szCs w:val="21"/>
                      <w:highlight w:val="none"/>
                      <w14:textFill>
                        <w14:solidFill>
                          <w14:schemeClr w14:val="tx1"/>
                        </w14:solidFill>
                      </w14:textFill>
                    </w:rPr>
                    <w:t>制造、</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汽车零部件</w:t>
                  </w:r>
                  <w:r>
                    <w:rPr>
                      <w:rFonts w:hint="eastAsia" w:ascii="Times New Roman" w:hAnsi="Times New Roman" w:eastAsia="宋体" w:cs="Times New Roman"/>
                      <w:color w:val="000000" w:themeColor="text1"/>
                      <w:sz w:val="21"/>
                      <w:szCs w:val="21"/>
                      <w:highlight w:val="none"/>
                      <w14:textFill>
                        <w14:solidFill>
                          <w14:schemeClr w14:val="tx1"/>
                        </w14:solidFill>
                      </w14:textFill>
                    </w:rPr>
                    <w:t>、工程机械使用比例达到50%以上；</w:t>
                  </w:r>
                  <w:r>
                    <w:rPr>
                      <w:rFonts w:hint="eastAsia"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严格执行涂料、油墨、胶粘剂、清洗剂VOCs含量限值标准，加大抽检力度，确保生产、销售、进口、使用符合标准的产品。严格涉VOCs建设项目环境影响评价，VOCs排放实行区域内等量替代，</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福州</w:t>
                  </w:r>
                  <w:r>
                    <w:rPr>
                      <w:rFonts w:hint="eastAsia" w:ascii="Times New Roman" w:hAnsi="Times New Roman" w:eastAsia="宋体" w:cs="Times New Roman"/>
                      <w:color w:val="000000" w:themeColor="text1"/>
                      <w:sz w:val="21"/>
                      <w:szCs w:val="21"/>
                      <w:highlight w:val="none"/>
                      <w14:textFill>
                        <w14:solidFill>
                          <w14:schemeClr w14:val="tx1"/>
                        </w14:solidFill>
                      </w14:textFill>
                    </w:rPr>
                    <w:t>、厦门、漳州、泉州、莆田、宁德实施VOCs倍量替代。</w:t>
                  </w:r>
                </w:p>
              </w:tc>
              <w:tc>
                <w:tcPr>
                  <w:tcW w:w="1495" w:type="pct"/>
                  <w:vMerge w:val="restart"/>
                  <w:tcBorders>
                    <w:tl2br w:val="nil"/>
                    <w:tr2bl w:val="nil"/>
                  </w:tcBorders>
                  <w:vAlign w:val="center"/>
                </w:tcPr>
                <w:p w14:paraId="33BB7C9C">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b w:val="0"/>
                      <w:bCs w:val="0"/>
                      <w:color w:val="000000" w:themeColor="text1"/>
                      <w:sz w:val="21"/>
                      <w:szCs w:val="21"/>
                      <w:highlight w:val="none"/>
                      <w:lang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本项目</w:t>
                  </w:r>
                  <w:r>
                    <w:rPr>
                      <w:rFonts w:hint="eastAsia" w:ascii="Times New Roman" w:hAnsi="Times New Roman" w:cs="Times New Roman"/>
                      <w:b w:val="0"/>
                      <w:bCs w:val="0"/>
                      <w:color w:val="auto"/>
                      <w:sz w:val="21"/>
                      <w:szCs w:val="21"/>
                      <w:highlight w:val="none"/>
                      <w:vertAlign w:val="baseline"/>
                      <w:lang w:val="en-US" w:eastAsia="zh-CN"/>
                    </w:rPr>
                    <w:t>属于电脑零配件、汽车及电动车零配件、POS机零配件及其他五金配件</w:t>
                  </w:r>
                  <w:r>
                    <w:rPr>
                      <w:rFonts w:hint="eastAsia" w:cs="Times New Roman"/>
                      <w:b w:val="0"/>
                      <w:bCs w:val="0"/>
                      <w:color w:val="auto"/>
                      <w:sz w:val="21"/>
                      <w:szCs w:val="21"/>
                      <w:highlight w:val="none"/>
                      <w:vertAlign w:val="baseline"/>
                      <w:lang w:val="en-US" w:eastAsia="zh-CN"/>
                    </w:rPr>
                    <w:t>铝制品</w:t>
                  </w:r>
                  <w:r>
                    <w:rPr>
                      <w:rFonts w:hint="eastAsia" w:ascii="Times New Roman" w:hAnsi="Times New Roman" w:cs="Times New Roman"/>
                      <w:b w:val="0"/>
                      <w:bCs w:val="0"/>
                      <w:color w:val="auto"/>
                      <w:sz w:val="21"/>
                      <w:szCs w:val="21"/>
                      <w:highlight w:val="none"/>
                      <w:vertAlign w:val="baseline"/>
                      <w:lang w:val="en-US" w:eastAsia="zh-CN"/>
                    </w:rPr>
                    <w:t>加工制造。生产过程中不涉及涂料使用，</w:t>
                  </w:r>
                  <w:r>
                    <w:rPr>
                      <w:rFonts w:hint="eastAsia" w:cs="Times New Roman"/>
                      <w:b w:val="0"/>
                      <w:bCs w:val="0"/>
                      <w:color w:val="auto"/>
                      <w:sz w:val="21"/>
                      <w:szCs w:val="21"/>
                      <w:highlight w:val="none"/>
                      <w:vertAlign w:val="baseline"/>
                      <w:lang w:val="en-US" w:eastAsia="zh-CN"/>
                    </w:rPr>
                    <w:t>压铸脱</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模</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所产生VOCs的排放量较小，</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不需</w:t>
                  </w:r>
                  <w:r>
                    <w:rPr>
                      <w:rFonts w:hint="default" w:ascii="Times New Roman" w:hAnsi="Times New Roman" w:cs="Times New Roman"/>
                      <w:b w:val="0"/>
                      <w:bCs w:val="0"/>
                      <w:color w:val="000000" w:themeColor="text1"/>
                      <w:sz w:val="21"/>
                      <w:szCs w:val="21"/>
                      <w:highlight w:val="none"/>
                      <w14:textFill>
                        <w14:solidFill>
                          <w14:schemeClr w14:val="tx1"/>
                        </w14:solidFill>
                      </w14:textFill>
                    </w:rPr>
                    <w:t>安装VOCs在线监控设备</w:t>
                  </w:r>
                  <w:r>
                    <w:rPr>
                      <w:rFonts w:hint="eastAsia" w:ascii="Times New Roman" w:hAnsi="Times New Roman" w:cs="Times New Roman"/>
                      <w:b w:val="0"/>
                      <w:bCs w:val="0"/>
                      <w:color w:val="000000" w:themeColor="text1"/>
                      <w:sz w:val="21"/>
                      <w:szCs w:val="21"/>
                      <w:highlight w:val="none"/>
                      <w:lang w:eastAsia="zh-CN"/>
                      <w14:textFill>
                        <w14:solidFill>
                          <w14:schemeClr w14:val="tx1"/>
                        </w14:solidFill>
                      </w14:textFill>
                    </w:rPr>
                    <w:t>；</w:t>
                  </w:r>
                </w:p>
                <w:p w14:paraId="28D9A1FE">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项目建设</w:t>
                  </w:r>
                  <w:r>
                    <w:rPr>
                      <w:rFonts w:hint="eastAsia" w:ascii="Times New Roman" w:hAnsi="Times New Roman" w:cs="Times New Roman"/>
                      <w:b w:val="0"/>
                      <w:bCs w:val="0"/>
                      <w:color w:val="auto"/>
                      <w:sz w:val="21"/>
                      <w:szCs w:val="21"/>
                      <w:highlight w:val="none"/>
                      <w:lang w:val="en-US" w:eastAsia="zh-CN"/>
                    </w:rPr>
                    <w:t>位置位于</w:t>
                  </w:r>
                  <w:r>
                    <w:rPr>
                      <w:rFonts w:hint="eastAsia" w:cs="Times New Roman"/>
                      <w:color w:val="auto"/>
                      <w:sz w:val="21"/>
                      <w:szCs w:val="21"/>
                      <w:highlight w:val="none"/>
                      <w:lang w:eastAsia="zh-CN"/>
                    </w:rPr>
                    <w:t>福清融侨经济技术开发区（均和云谷·福清科技港33#厂房）</w:t>
                  </w:r>
                  <w:r>
                    <w:rPr>
                      <w:rFonts w:hint="eastAsia" w:ascii="Times New Roman" w:hAnsi="Times New Roman" w:eastAsia="宋体" w:cs="Times New Roman"/>
                      <w:b w:val="0"/>
                      <w:bCs w:val="0"/>
                      <w:color w:val="auto"/>
                      <w:sz w:val="21"/>
                      <w:szCs w:val="21"/>
                      <w:highlight w:val="none"/>
                      <w:lang w:val="en-US" w:eastAsia="zh-CN"/>
                    </w:rPr>
                    <w:t>，生产过</w:t>
                  </w:r>
                  <w:r>
                    <w:rPr>
                      <w:rFonts w:hint="eastAsia" w:cs="Times New Roman"/>
                      <w:b w:val="0"/>
                      <w:bCs w:val="0"/>
                      <w:color w:val="auto"/>
                      <w:sz w:val="21"/>
                      <w:szCs w:val="21"/>
                      <w:highlight w:val="none"/>
                      <w:lang w:val="en-US" w:eastAsia="zh-CN"/>
                    </w:rPr>
                    <w:t>程中</w:t>
                  </w:r>
                  <w:r>
                    <w:rPr>
                      <w:rFonts w:hint="default" w:ascii="Times New Roman" w:hAnsi="Times New Roman" w:cs="Times New Roman"/>
                      <w:color w:val="auto"/>
                      <w:sz w:val="21"/>
                      <w:szCs w:val="21"/>
                      <w:highlight w:val="none"/>
                    </w:rPr>
                    <w:t>排放的VOC</w:t>
                  </w:r>
                  <w:r>
                    <w:rPr>
                      <w:rFonts w:hint="eastAsia" w:ascii="Times New Roman" w:hAnsi="Times New Roman" w:cs="Times New Roman"/>
                      <w:color w:val="auto"/>
                      <w:sz w:val="21"/>
                      <w:szCs w:val="21"/>
                      <w:highlight w:val="none"/>
                      <w:vertAlign w:val="subscript"/>
                      <w:lang w:val="en-US" w:eastAsia="zh-CN"/>
                    </w:rPr>
                    <w:t>s</w:t>
                  </w:r>
                  <w:r>
                    <w:rPr>
                      <w:rFonts w:hint="default" w:ascii="Times New Roman" w:hAnsi="Times New Roman" w:cs="Times New Roman"/>
                      <w:color w:val="auto"/>
                      <w:sz w:val="21"/>
                      <w:szCs w:val="21"/>
                      <w:highlight w:val="none"/>
                    </w:rPr>
                    <w:t>由</w:t>
                  </w:r>
                  <w:r>
                    <w:rPr>
                      <w:rFonts w:hint="default" w:ascii="Times New Roman" w:hAnsi="Times New Roman" w:cs="Times New Roman"/>
                      <w:color w:val="000000" w:themeColor="text1"/>
                      <w:sz w:val="21"/>
                      <w:szCs w:val="21"/>
                      <w:highlight w:val="none"/>
                      <w14:textFill>
                        <w14:solidFill>
                          <w14:schemeClr w14:val="tx1"/>
                        </w14:solidFill>
                      </w14:textFill>
                    </w:rPr>
                    <w:t>建设单位向生态环境主管部门申请倍量削减替代</w:t>
                  </w:r>
                </w:p>
              </w:tc>
              <w:tc>
                <w:tcPr>
                  <w:tcW w:w="266" w:type="pct"/>
                  <w:vMerge w:val="restart"/>
                  <w:tcBorders>
                    <w:tl2br w:val="nil"/>
                    <w:tr2bl w:val="nil"/>
                  </w:tcBorders>
                  <w:vAlign w:val="center"/>
                </w:tcPr>
                <w:p w14:paraId="0B33423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14:paraId="68FED0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9" w:type="pct"/>
                  <w:tcBorders>
                    <w:tl2br w:val="nil"/>
                    <w:tr2bl w:val="nil"/>
                  </w:tcBorders>
                  <w:shd w:val="clear" w:color="auto" w:fill="auto"/>
                  <w:vAlign w:val="center"/>
                </w:tcPr>
                <w:p w14:paraId="310DF726">
                  <w:pPr>
                    <w:pStyle w:val="36"/>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2022年度福州市蓝天碧海净土保卫战行动计划通知</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eastAsia="zh-CN"/>
                      <w14:textFill>
                        <w14:solidFill>
                          <w14:schemeClr w14:val="tx1"/>
                        </w14:solidFill>
                      </w14:textFill>
                    </w:rPr>
                    <w:t>榕环委办</w:t>
                  </w:r>
                  <w:r>
                    <w:rPr>
                      <w:rFonts w:hint="eastAsia" w:ascii="Times New Roman" w:hAnsi="Times New Roman" w:cs="Times New Roman"/>
                      <w:color w:val="000000" w:themeColor="text1"/>
                      <w:sz w:val="21"/>
                      <w:szCs w:val="21"/>
                      <w:highlight w:val="none"/>
                      <w:lang w:eastAsia="zh-CN"/>
                      <w14:textFill>
                        <w14:solidFill>
                          <w14:schemeClr w14:val="tx1"/>
                        </w14:solidFill>
                      </w14:textFill>
                    </w:rPr>
                    <w:t>〔2022〕49号</w:t>
                  </w:r>
                  <w:r>
                    <w:rPr>
                      <w:rFonts w:hint="eastAsia" w:cs="Times New Roman"/>
                      <w:color w:val="000000" w:themeColor="text1"/>
                      <w:sz w:val="21"/>
                      <w:szCs w:val="21"/>
                      <w:highlight w:val="none"/>
                      <w:lang w:eastAsia="zh-CN"/>
                      <w14:textFill>
                        <w14:solidFill>
                          <w14:schemeClr w14:val="tx1"/>
                        </w14:solidFill>
                      </w14:textFill>
                    </w:rPr>
                    <w:t>）</w:t>
                  </w:r>
                </w:p>
              </w:tc>
              <w:tc>
                <w:tcPr>
                  <w:tcW w:w="2458" w:type="pct"/>
                  <w:tcBorders>
                    <w:tl2br w:val="nil"/>
                    <w:tr2bl w:val="nil"/>
                  </w:tcBorders>
                  <w:shd w:val="clear" w:color="auto" w:fill="auto"/>
                  <w:vAlign w:val="center"/>
                </w:tcPr>
                <w:p w14:paraId="11112126">
                  <w:pPr>
                    <w:pStyle w:val="36"/>
                    <w:keepNext w:val="0"/>
                    <w:keepLines w:val="0"/>
                    <w:pageBreakBefore w:val="0"/>
                    <w:widowControl w:val="0"/>
                    <w:kinsoku/>
                    <w:wordWrap/>
                    <w:overflowPunct/>
                    <w:topLinePunct w:val="0"/>
                    <w:autoSpaceDE/>
                    <w:autoSpaceDN w:val="0"/>
                    <w:bidi w:val="0"/>
                    <w:adjustRightInd w:val="0"/>
                    <w:snapToGrid w:val="0"/>
                    <w:spacing w:line="320" w:lineRule="exact"/>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四是严格涉VOCs建设项目环境影响评价审批。新、改、扩建涉VOCs排放项目，应使用低</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无</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VOCs涂料、粘胶剂等，实施新建项目VOCs排放区域内1.2及以上倍量替代。VOCs年排放量大于5吨的新建项目投运前应安装VOCs在线监控设备，并接入市生态云平台。</w:t>
                  </w:r>
                </w:p>
              </w:tc>
              <w:tc>
                <w:tcPr>
                  <w:tcW w:w="1495" w:type="pct"/>
                  <w:vMerge w:val="continue"/>
                  <w:tcBorders>
                    <w:tl2br w:val="nil"/>
                    <w:tr2bl w:val="nil"/>
                  </w:tcBorders>
                  <w:vAlign w:val="center"/>
                </w:tcPr>
                <w:p w14:paraId="66DA2B85">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66" w:type="pct"/>
                  <w:vMerge w:val="continue"/>
                  <w:tcBorders>
                    <w:tl2br w:val="nil"/>
                    <w:tr2bl w:val="nil"/>
                  </w:tcBorders>
                  <w:vAlign w:val="center"/>
                </w:tcPr>
                <w:p w14:paraId="78B39C76">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r>
            <w:tr w14:paraId="04CDD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9" w:type="pct"/>
                  <w:tcBorders>
                    <w:tl2br w:val="nil"/>
                    <w:tr2bl w:val="nil"/>
                  </w:tcBorders>
                  <w:shd w:val="clear" w:color="auto" w:fill="auto"/>
                  <w:vAlign w:val="center"/>
                </w:tcPr>
                <w:p w14:paraId="093771CC">
                  <w:pPr>
                    <w:pStyle w:val="36"/>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福州市“十四五”生态环境保护规划</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榕政办〔2021〕123 号</w:t>
                  </w:r>
                  <w:r>
                    <w:rPr>
                      <w:rFonts w:hint="eastAsia" w:cs="Times New Roman"/>
                      <w:color w:val="000000" w:themeColor="text1"/>
                      <w:sz w:val="21"/>
                      <w:szCs w:val="21"/>
                      <w:highlight w:val="none"/>
                      <w:lang w:eastAsia="zh-CN"/>
                      <w14:textFill>
                        <w14:solidFill>
                          <w14:schemeClr w14:val="tx1"/>
                        </w14:solidFill>
                      </w14:textFill>
                    </w:rPr>
                    <w:t>）</w:t>
                  </w:r>
                </w:p>
              </w:tc>
              <w:tc>
                <w:tcPr>
                  <w:tcW w:w="2458" w:type="pct"/>
                  <w:tcBorders>
                    <w:tl2br w:val="nil"/>
                    <w:tr2bl w:val="nil"/>
                  </w:tcBorders>
                  <w:shd w:val="clear" w:color="auto" w:fill="auto"/>
                  <w:vAlign w:val="center"/>
                </w:tcPr>
                <w:p w14:paraId="686B29C0">
                  <w:pPr>
                    <w:pStyle w:val="36"/>
                    <w:keepNext w:val="0"/>
                    <w:keepLines w:val="0"/>
                    <w:pageBreakBefore w:val="0"/>
                    <w:widowControl w:val="0"/>
                    <w:kinsoku/>
                    <w:wordWrap/>
                    <w:overflowPunct/>
                    <w:topLinePunct w:val="0"/>
                    <w:autoSpaceDE/>
                    <w:autoSpaceDN w:val="0"/>
                    <w:bidi w:val="0"/>
                    <w:adjustRightInd w:val="0"/>
                    <w:snapToGrid w:val="0"/>
                    <w:spacing w:line="300" w:lineRule="exact"/>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强化挥发性有机物整治。</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实行挥发性有机物排放倍量替代。加大涉VOCs企业源头替代力度，推广使用低</w:t>
                  </w:r>
                  <w:r>
                    <w:rPr>
                      <w:rFonts w:hint="eastAsia"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无</w:t>
                  </w:r>
                  <w:r>
                    <w:rPr>
                      <w:rFonts w:hint="eastAsia"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VOCs原辅材料替代，禁止生产高VOCs含量有机溶剂型涂料、油墨和胶黏剂的新、改、扩建项目，推进重点企业“油改水”治理，提高有机溶剂回收率。”</w:t>
                  </w:r>
                </w:p>
              </w:tc>
              <w:tc>
                <w:tcPr>
                  <w:tcW w:w="1495" w:type="pct"/>
                  <w:vMerge w:val="continue"/>
                  <w:tcBorders>
                    <w:tl2br w:val="nil"/>
                    <w:tr2bl w:val="nil"/>
                  </w:tcBorders>
                  <w:vAlign w:val="center"/>
                </w:tcPr>
                <w:p w14:paraId="248E3FB2">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66" w:type="pct"/>
                  <w:vMerge w:val="continue"/>
                  <w:tcBorders>
                    <w:tl2br w:val="nil"/>
                    <w:tr2bl w:val="nil"/>
                  </w:tcBorders>
                  <w:vAlign w:val="center"/>
                </w:tcPr>
                <w:p w14:paraId="45D9DC4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r>
            <w:tr w14:paraId="572B25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779" w:type="pct"/>
                  <w:tcBorders>
                    <w:tl2br w:val="nil"/>
                    <w:tr2bl w:val="nil"/>
                  </w:tcBorders>
                  <w:shd w:val="clear" w:color="auto" w:fill="auto"/>
                  <w:vAlign w:val="center"/>
                </w:tcPr>
                <w:p w14:paraId="299361A2">
                  <w:pPr>
                    <w:pStyle w:val="36"/>
                    <w:adjustRightInd w:val="0"/>
                    <w:snapToGrid w:val="0"/>
                    <w:spacing w:line="340" w:lineRule="exact"/>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榕环保综</w:t>
                  </w:r>
                  <w:r>
                    <w:rPr>
                      <w:rFonts w:hint="eastAsia"/>
                      <w:color w:val="000000" w:themeColor="text1"/>
                      <w:highlight w:val="none"/>
                      <w:lang w:eastAsia="zh-CN"/>
                      <w14:textFill>
                        <w14:solidFill>
                          <w14:schemeClr w14:val="tx1"/>
                        </w14:solidFill>
                      </w14:textFill>
                    </w:rPr>
                    <w:t>〔2021〕100号</w:t>
                  </w:r>
                  <w:r>
                    <w:rPr>
                      <w:rFonts w:hint="eastAsia"/>
                      <w:color w:val="000000" w:themeColor="text1"/>
                      <w:highlight w:val="none"/>
                      <w14:textFill>
                        <w14:solidFill>
                          <w14:schemeClr w14:val="tx1"/>
                        </w14:solidFill>
                      </w14:textFill>
                    </w:rPr>
                    <w:t>《关于开展福州市重点行业挥发性有机物综合治理工作（VOCs2.0）》</w:t>
                  </w:r>
                </w:p>
              </w:tc>
              <w:tc>
                <w:tcPr>
                  <w:tcW w:w="2458" w:type="pct"/>
                  <w:tcBorders>
                    <w:tl2br w:val="nil"/>
                    <w:tr2bl w:val="nil"/>
                  </w:tcBorders>
                  <w:shd w:val="clear" w:color="auto" w:fill="auto"/>
                  <w:vAlign w:val="center"/>
                </w:tcPr>
                <w:p w14:paraId="547C5F36">
                  <w:pPr>
                    <w:pStyle w:val="37"/>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（三）严格审批，加强管控</w:t>
                  </w:r>
                </w:p>
                <w:p w14:paraId="276BCCE5">
                  <w:pPr>
                    <w:pStyle w:val="36"/>
                    <w:adjustRightInd w:val="0"/>
                    <w:snapToGrid w:val="0"/>
                    <w:spacing w:line="340" w:lineRule="exact"/>
                    <w:jc w:val="both"/>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1.严格涉挥发性有机物建设项目环境影响评价审批。新、改、扩建排放挥发性有机物的建设项目实行</w:t>
                  </w:r>
                  <w:r>
                    <w:rPr>
                      <w:rFonts w:hint="eastAsia"/>
                      <w:color w:val="000000" w:themeColor="text1"/>
                      <w:highlight w:val="none"/>
                      <w:shd w:val="clear" w:color="auto" w:fill="FFFFFF"/>
                      <w14:textFill>
                        <w14:solidFill>
                          <w14:schemeClr w14:val="tx1"/>
                        </w14:solidFill>
                      </w14:textFill>
                    </w:rPr>
                    <w:t>倍量</w:t>
                  </w:r>
                  <w:r>
                    <w:rPr>
                      <w:rFonts w:hint="eastAsia"/>
                      <w:color w:val="000000" w:themeColor="text1"/>
                      <w:highlight w:val="none"/>
                      <w14:textFill>
                        <w14:solidFill>
                          <w14:schemeClr w14:val="tx1"/>
                        </w14:solidFill>
                      </w14:textFill>
                    </w:rPr>
                    <w:t>替代。鼓励使用低（无）挥发性有机物含量的原辅材料</w:t>
                  </w:r>
                </w:p>
              </w:tc>
              <w:tc>
                <w:tcPr>
                  <w:tcW w:w="1495" w:type="pct"/>
                  <w:vMerge w:val="continue"/>
                  <w:tcBorders>
                    <w:tl2br w:val="nil"/>
                    <w:tr2bl w:val="nil"/>
                  </w:tcBorders>
                  <w:vAlign w:val="center"/>
                </w:tcPr>
                <w:p w14:paraId="30F18106">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66" w:type="pct"/>
                  <w:vMerge w:val="continue"/>
                  <w:tcBorders>
                    <w:tl2br w:val="nil"/>
                    <w:tr2bl w:val="nil"/>
                  </w:tcBorders>
                  <w:vAlign w:val="center"/>
                </w:tcPr>
                <w:p w14:paraId="0CF520AF">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r>
            <w:tr w14:paraId="57B6C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9" w:type="pct"/>
                  <w:tcBorders>
                    <w:tl2br w:val="nil"/>
                    <w:tr2bl w:val="nil"/>
                  </w:tcBorders>
                  <w:vAlign w:val="center"/>
                </w:tcPr>
                <w:p w14:paraId="73F0C9D2">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color w:val="000000" w:themeColor="text1"/>
                      <w:highlight w:val="none"/>
                      <w14:textFill>
                        <w14:solidFill>
                          <w14:schemeClr w14:val="tx1"/>
                        </w14:solidFill>
                      </w14:textFill>
                    </w:rPr>
                    <w:t>《福建省2020年挥发性有机物治理攻坚实施方案》的通知</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闽环保大气〔2020〕6号</w:t>
                  </w:r>
                  <w:r>
                    <w:rPr>
                      <w:rFonts w:hint="eastAsia"/>
                      <w:color w:val="000000" w:themeColor="text1"/>
                      <w:highlight w:val="none"/>
                      <w14:textFill>
                        <w14:solidFill>
                          <w14:schemeClr w14:val="tx1"/>
                        </w14:solidFill>
                      </w14:textFill>
                    </w:rPr>
                    <w:t>）</w:t>
                  </w:r>
                </w:p>
              </w:tc>
              <w:tc>
                <w:tcPr>
                  <w:tcW w:w="2458" w:type="pct"/>
                  <w:tcBorders>
                    <w:tl2br w:val="nil"/>
                    <w:tr2bl w:val="nil"/>
                  </w:tcBorders>
                  <w:shd w:val="clear" w:color="auto" w:fill="auto"/>
                  <w:vAlign w:val="center"/>
                </w:tcPr>
                <w:p w14:paraId="28CE4856">
                  <w:pPr>
                    <w:pStyle w:val="37"/>
                    <w:jc w:val="both"/>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大力推进源头替代，有效减少VOCs产生；</w:t>
                  </w:r>
                </w:p>
                <w:p w14:paraId="0F2D6DE3">
                  <w:pPr>
                    <w:pStyle w:val="37"/>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全面落实标准要求，强化无组织排放控制。加强含VOCs物料全方位、全链条、全环节密闭管理........。生产和使用环节应采用密闭设备，或在密闭空间中操作并有效收集废气，或进行局部气体收集；处置环节应将盛装过VOCs物料的包装容器、含VOCs废料</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渣、液</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、废吸附剂等通过加盖、封装等方式密闭，妥善存放，集中清运，交有资质的单位处置，不得随意丢弃；</w:t>
                  </w:r>
                </w:p>
                <w:p w14:paraId="6CBE8DF8">
                  <w:pPr>
                    <w:pStyle w:val="37"/>
                    <w:ind w:firstLine="0" w:firstLineChars="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聚焦治污设施</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三率</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，提升综合治理效率</w:t>
                  </w:r>
                  <w:r>
                    <w:rPr>
                      <w:color w:val="000000" w:themeColor="text1"/>
                      <w:highlight w:val="none"/>
                      <w:shd w:val="clear" w:color="auto" w:fill="FFFFFF"/>
                      <w14:textFill>
                        <w14:solidFill>
                          <w14:schemeClr w14:val="tx1"/>
                        </w14:solidFill>
                      </w14:textFill>
                    </w:rPr>
                    <w:t>。.</w:t>
                  </w:r>
                  <w:r>
                    <w:rPr>
                      <w:color w:val="000000" w:themeColor="text1"/>
                      <w:highlight w:val="none"/>
                      <w14:textFill>
                        <w14:solidFill>
                          <w14:schemeClr w14:val="tx1"/>
                        </w14:solidFill>
                      </w14:textFill>
                    </w:rPr>
                    <w:t>....</w:t>
                  </w:r>
                  <w:r>
                    <w:rPr>
                      <w:color w:val="000000" w:themeColor="text1"/>
                      <w:highlight w:val="none"/>
                      <w:shd w:val="clear" w:color="auto" w:fill="FFFFFF"/>
                      <w14:textFill>
                        <w14:solidFill>
                          <w14:schemeClr w14:val="tx1"/>
                        </w14:solidFill>
                      </w14:textFill>
                    </w:rPr>
                    <w:t>.</w:t>
                  </w:r>
                  <w:r>
                    <w:rPr>
                      <w:color w:val="000000" w:themeColor="text1"/>
                      <w:highlight w:val="none"/>
                      <w14:textFill>
                        <w14:solidFill>
                          <w14:schemeClr w14:val="tx1"/>
                        </w14:solidFill>
                      </w14:textFill>
                    </w:rPr>
                    <w:t>除恶臭异味治理外，一般不采用低温等离子、光催化、光氧化等技术。优先采用密闭设备、在密闭空间中操作或采用全密闭集气罩收集方式；</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采用活性炭吸附技术的，应选择碘值不低于800毫克/克的活性炭，并按设计要求足量添加、及时更换。</w:t>
                  </w:r>
                </w:p>
              </w:tc>
              <w:tc>
                <w:tcPr>
                  <w:tcW w:w="1495" w:type="pct"/>
                  <w:tcBorders>
                    <w:tl2br w:val="nil"/>
                    <w:tr2bl w:val="nil"/>
                  </w:tcBorders>
                  <w:shd w:val="clear" w:color="auto" w:fill="auto"/>
                  <w:vAlign w:val="center"/>
                </w:tcPr>
                <w:p w14:paraId="21B903FF">
                  <w:pPr>
                    <w:pStyle w:val="36"/>
                    <w:keepNext w:val="0"/>
                    <w:keepLines w:val="0"/>
                    <w:pageBreakBefore w:val="0"/>
                    <w:widowControl w:val="0"/>
                    <w:kinsoku/>
                    <w:wordWrap/>
                    <w:overflowPunct/>
                    <w:topLinePunct w:val="0"/>
                    <w:bidi w:val="0"/>
                    <w:adjustRightInd w:val="0"/>
                    <w:snapToGrid w:val="0"/>
                    <w:spacing w:line="320" w:lineRule="exact"/>
                    <w:jc w:val="both"/>
                    <w:textAlignment w:val="auto"/>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cs="Times New Roman"/>
                      <w:color w:val="000000" w:themeColor="text1"/>
                      <w:kern w:val="2"/>
                      <w:sz w:val="21"/>
                      <w:szCs w:val="21"/>
                      <w:highlight w:val="none"/>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w:t>
                  </w:r>
                  <w:r>
                    <w:rPr>
                      <w:rFonts w:hint="eastAsia" w:cs="Times New Roman"/>
                      <w:color w:val="000000" w:themeColor="text1"/>
                      <w:kern w:val="2"/>
                      <w:sz w:val="21"/>
                      <w:szCs w:val="21"/>
                      <w:highlight w:val="none"/>
                      <w:lang w:val="en-US" w:eastAsia="zh-CN" w:bidi="ar-SA"/>
                      <w14:textFill>
                        <w14:solidFill>
                          <w14:schemeClr w14:val="tx1"/>
                        </w14:solidFill>
                      </w14:textFill>
                    </w:rPr>
                    <w:t>压铸成型工序使用的脱模剂会产生少量的VOCs，在脱模过程中，设备</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配套顶吸式半密闭集气罩收集有机废气，收集效率80%，拟将更换的废活性炭当作危险废物，</w:t>
                  </w:r>
                  <w:r>
                    <w:rPr>
                      <w:rFonts w:hint="eastAsia" w:cs="Times New Roman"/>
                      <w:color w:val="000000" w:themeColor="text1"/>
                      <w:kern w:val="2"/>
                      <w:sz w:val="21"/>
                      <w:szCs w:val="21"/>
                      <w:highlight w:val="none"/>
                      <w:lang w:val="en-US" w:eastAsia="zh-CN" w:bidi="ar-SA"/>
                      <w14:textFill>
                        <w14:solidFill>
                          <w14:schemeClr w14:val="tx1"/>
                        </w14:solidFill>
                      </w14:textFill>
                    </w:rPr>
                    <w:t>暂存</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于</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危险废物贮存库</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内</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，定期委托有资质单位统一处置；（3）本项目将</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产生的VOCs收集</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后通过1套活性炭吸附装置</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处理后排放</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color w:val="000000" w:themeColor="text1"/>
                      <w:szCs w:val="21"/>
                      <w:highlight w:val="none"/>
                      <w14:textFill>
                        <w14:solidFill>
                          <w14:schemeClr w14:val="tx1"/>
                        </w14:solidFill>
                      </w14:textFill>
                    </w:rPr>
                    <w:t>项目生产设备除进出料口全部密闭，</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采用集气罩收集，采用碘值不低于800毫克/克的活性炭，并定期更换</w:t>
                  </w:r>
                  <w:r>
                    <w:rPr>
                      <w:color w:val="000000" w:themeColor="text1"/>
                      <w:highlight w:val="none"/>
                      <w14:textFill>
                        <w14:solidFill>
                          <w14:schemeClr w14:val="tx1"/>
                        </w14:solidFill>
                      </w14:textFill>
                    </w:rPr>
                    <w:t>。</w:t>
                  </w:r>
                </w:p>
              </w:tc>
              <w:tc>
                <w:tcPr>
                  <w:tcW w:w="266" w:type="pct"/>
                  <w:tcBorders>
                    <w:tl2br w:val="nil"/>
                    <w:tr2bl w:val="nil"/>
                  </w:tcBorders>
                  <w:vAlign w:val="center"/>
                </w:tcPr>
                <w:p w14:paraId="49AE23C0">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14:paraId="2E99FF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9" w:type="pct"/>
                  <w:tcBorders>
                    <w:tl2br w:val="nil"/>
                    <w:tr2bl w:val="nil"/>
                  </w:tcBorders>
                  <w:vAlign w:val="center"/>
                </w:tcPr>
                <w:p w14:paraId="37E2F7C6">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《福建省重点行业挥发性有机物排放控制要求</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试行</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的通知》</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闽环保大气〔2017〕9号</w:t>
                  </w:r>
                  <w:r>
                    <w:rPr>
                      <w:rFonts w:hint="eastAsia" w:cs="Times New Roman"/>
                      <w:color w:val="000000" w:themeColor="text1"/>
                      <w:sz w:val="21"/>
                      <w:szCs w:val="21"/>
                      <w:highlight w:val="none"/>
                      <w:lang w:val="en-US" w:eastAsia="zh-CN"/>
                      <w14:textFill>
                        <w14:solidFill>
                          <w14:schemeClr w14:val="tx1"/>
                        </w14:solidFill>
                      </w14:textFill>
                    </w:rPr>
                    <w:t>）</w:t>
                  </w:r>
                </w:p>
              </w:tc>
              <w:tc>
                <w:tcPr>
                  <w:tcW w:w="2458" w:type="pct"/>
                  <w:tcBorders>
                    <w:tl2br w:val="nil"/>
                    <w:tr2bl w:val="nil"/>
                  </w:tcBorders>
                  <w:vAlign w:val="center"/>
                </w:tcPr>
                <w:p w14:paraId="0D84D159">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工艺过程控制要求</w:t>
                  </w:r>
                </w:p>
                <w:p w14:paraId="408669A3">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含VOCs物料应储存于密闭容器中。盛装含VOCs物料的容器应存放于储存室内，或至少设置遮阳挡雨等设施</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p w14:paraId="45307575">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其他控制要求</w:t>
                  </w:r>
                </w:p>
                <w:p w14:paraId="31A78B18">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产生有废气</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的</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生产工艺和装置均设有收集系统和净化处理装置；所有产生VOCs的生产车间</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或生产设施</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均进行密闭，无露天和敞开式涂装、流平、干燥作业；不能完全密闭的部位设置软帘阻隔设施，减少废气排放；更换的VOCs吸附剂的废弃物等，产生后马上密闭，存放在不透气的容器内，贮存、转移期间保持密闭；密闭式局部收集的逸散的VOCs废气收集率达到80%以上</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1495" w:type="pct"/>
                  <w:tcBorders>
                    <w:tl2br w:val="nil"/>
                    <w:tr2bl w:val="nil"/>
                  </w:tcBorders>
                  <w:vAlign w:val="center"/>
                </w:tcPr>
                <w:p w14:paraId="18FC9D36">
                  <w:pPr>
                    <w:keepNext w:val="0"/>
                    <w:keepLines w:val="0"/>
                    <w:pageBreakBefore w:val="0"/>
                    <w:widowControl/>
                    <w:numPr>
                      <w:ilvl w:val="0"/>
                      <w:numId w:val="8"/>
                    </w:numP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项目含</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非甲烷总烃</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的原辅料均放置在原辅料仓库。</w:t>
                  </w:r>
                </w:p>
                <w:p w14:paraId="4EF6F29B">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（2）项目</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压铸成型</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过程中所产生</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挥发性有机废气</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经集气罩收集后通过“</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集气罩+布袋除尘器+</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活性炭吸附装置”</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处理后通过</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15</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m高</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排气筒</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（DA001）</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排放，拟将更换的废活性炭</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属于危险废物</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袋装密闭暂存于</w:t>
                  </w:r>
                  <w:r>
                    <w:rPr>
                      <w:rFonts w:hint="eastAsia" w:ascii="Times New Roman" w:hAnsi="Times New Roman" w:cs="Times New Roman"/>
                      <w:color w:val="000000" w:themeColor="text1"/>
                      <w:sz w:val="21"/>
                      <w:szCs w:val="21"/>
                      <w:highlight w:val="none"/>
                      <w:lang w:eastAsia="zh-CN"/>
                      <w14:textFill>
                        <w14:solidFill>
                          <w14:schemeClr w14:val="tx1"/>
                        </w14:solidFill>
                      </w14:textFill>
                    </w:rPr>
                    <w:t>危险废物贮存</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间</w:t>
                  </w:r>
                  <w:r>
                    <w:rPr>
                      <w:rFonts w:hint="default" w:ascii="Times New Roman" w:hAnsi="Times New Roman" w:cs="Times New Roman"/>
                      <w:color w:val="000000" w:themeColor="text1"/>
                      <w:sz w:val="21"/>
                      <w:szCs w:val="21"/>
                      <w:highlight w:val="none"/>
                      <w14:textFill>
                        <w14:solidFill>
                          <w14:schemeClr w14:val="tx1"/>
                        </w14:solidFill>
                      </w14:textFill>
                    </w:rPr>
                    <w:t>内</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，委托有资质的单位定期处置；</w:t>
                  </w:r>
                  <w:r>
                    <w:rPr>
                      <w:rFonts w:hint="eastAsia" w:cs="Times New Roman"/>
                      <w:color w:val="000000" w:themeColor="text1"/>
                      <w:sz w:val="21"/>
                      <w:szCs w:val="21"/>
                      <w:highlight w:val="none"/>
                      <w:lang w:val="en-US" w:eastAsia="zh-CN"/>
                      <w14:textFill>
                        <w14:solidFill>
                          <w14:schemeClr w14:val="tx1"/>
                        </w14:solidFill>
                      </w14:textFill>
                    </w:rPr>
                    <w:t>非甲烷总烃</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采用密闭车间集气罩收集，集气效率为</w:t>
                  </w:r>
                  <w:r>
                    <w:rPr>
                      <w:rFonts w:hint="eastAsia" w:cs="Times New Roman"/>
                      <w:color w:val="000000" w:themeColor="text1"/>
                      <w:sz w:val="21"/>
                      <w:szCs w:val="21"/>
                      <w:highlight w:val="none"/>
                      <w:lang w:val="en-US" w:eastAsia="zh-CN"/>
                      <w14:textFill>
                        <w14:solidFill>
                          <w14:schemeClr w14:val="tx1"/>
                        </w14:solidFill>
                      </w14:textFill>
                    </w:rPr>
                    <w:t>8</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0%左右≥</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8</w:t>
                  </w:r>
                  <w:r>
                    <w:rPr>
                      <w:rFonts w:hint="default" w:ascii="Times New Roman" w:hAnsi="Times New Roman" w:cs="Times New Roman"/>
                      <w:color w:val="000000" w:themeColor="text1"/>
                      <w:sz w:val="21"/>
                      <w:szCs w:val="21"/>
                      <w:highlight w:val="none"/>
                      <w14:textFill>
                        <w14:solidFill>
                          <w14:schemeClr w14:val="tx1"/>
                        </w14:solidFill>
                      </w14:textFill>
                    </w:rPr>
                    <w:t>0%</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266" w:type="pct"/>
                  <w:tcBorders>
                    <w:tl2br w:val="nil"/>
                    <w:tr2bl w:val="nil"/>
                  </w:tcBorders>
                  <w:vAlign w:val="center"/>
                </w:tcPr>
                <w:p w14:paraId="19AA0489">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14:paraId="479D5D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9" w:type="pct"/>
                  <w:tcBorders>
                    <w:tl2br w:val="nil"/>
                    <w:tr2bl w:val="nil"/>
                  </w:tcBorders>
                  <w:vAlign w:val="center"/>
                </w:tcPr>
                <w:p w14:paraId="3ACC1DBB">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福建省重点行业挥发性有机物污染防治工作方案</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闽环保大气〔2017〕6号</w:t>
                  </w:r>
                  <w:r>
                    <w:rPr>
                      <w:rFonts w:hint="eastAsia" w:cs="Times New Roman"/>
                      <w:color w:val="000000" w:themeColor="text1"/>
                      <w:sz w:val="21"/>
                      <w:szCs w:val="21"/>
                      <w:highlight w:val="none"/>
                      <w:lang w:eastAsia="zh-CN"/>
                      <w14:textFill>
                        <w14:solidFill>
                          <w14:schemeClr w14:val="tx1"/>
                        </w14:solidFill>
                      </w14:textFill>
                    </w:rPr>
                    <w:t>）</w:t>
                  </w:r>
                </w:p>
              </w:tc>
              <w:tc>
                <w:tcPr>
                  <w:tcW w:w="2458" w:type="pct"/>
                  <w:tcBorders>
                    <w:tl2br w:val="nil"/>
                    <w:tr2bl w:val="nil"/>
                  </w:tcBorders>
                  <w:vAlign w:val="center"/>
                </w:tcPr>
                <w:p w14:paraId="10737397">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000000" w:themeColor="text1"/>
                      <w:szCs w:val="21"/>
                      <w:highlight w:val="none"/>
                      <w:u w:val="none"/>
                      <w14:textFill>
                        <w14:solidFill>
                          <w14:schemeClr w14:val="tx1"/>
                        </w14:solidFill>
                      </w14:textFill>
                    </w:rPr>
                  </w:pPr>
                  <w:r>
                    <w:rPr>
                      <w:rFonts w:hint="default"/>
                      <w:color w:val="000000" w:themeColor="text1"/>
                      <w:szCs w:val="21"/>
                      <w:highlight w:val="none"/>
                      <w:u w:val="none"/>
                      <w14:textFill>
                        <w14:solidFill>
                          <w14:schemeClr w14:val="tx1"/>
                        </w14:solidFill>
                      </w14:textFill>
                    </w:rPr>
                    <w:t>二、主要任务</w:t>
                  </w:r>
                </w:p>
                <w:p w14:paraId="17EF1B77">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000000" w:themeColor="text1"/>
                      <w:szCs w:val="21"/>
                      <w:highlight w:val="none"/>
                      <w:u w:val="none"/>
                      <w14:textFill>
                        <w14:solidFill>
                          <w14:schemeClr w14:val="tx1"/>
                        </w14:solidFill>
                      </w14:textFill>
                    </w:rPr>
                  </w:pPr>
                  <w:r>
                    <w:rPr>
                      <w:rFonts w:hint="default"/>
                      <w:color w:val="000000" w:themeColor="text1"/>
                      <w:szCs w:val="21"/>
                      <w:highlight w:val="none"/>
                      <w:u w:val="none"/>
                      <w14:textFill>
                        <w14:solidFill>
                          <w14:schemeClr w14:val="tx1"/>
                        </w14:solidFill>
                      </w14:textFill>
                    </w:rPr>
                    <w:t>（一）严格环境准入</w:t>
                  </w:r>
                </w:p>
                <w:p w14:paraId="68506BE1">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000000" w:themeColor="text1"/>
                      <w:szCs w:val="21"/>
                      <w:highlight w:val="none"/>
                      <w:u w:val="none"/>
                      <w14:textFill>
                        <w14:solidFill>
                          <w14:schemeClr w14:val="tx1"/>
                        </w14:solidFill>
                      </w14:textFill>
                    </w:rPr>
                  </w:pPr>
                  <w:r>
                    <w:rPr>
                      <w:rFonts w:hint="default"/>
                      <w:color w:val="000000" w:themeColor="text1"/>
                      <w:szCs w:val="21"/>
                      <w:highlight w:val="none"/>
                      <w:u w:val="none"/>
                      <w14:textFill>
                        <w14:solidFill>
                          <w14:schemeClr w14:val="tx1"/>
                        </w14:solidFill>
                      </w14:textFill>
                    </w:rPr>
                    <w:t>进一步提高行业准入门槛，严格控制新增污染物排放量。严格限制石化、化工、包装印刷、工业涂装等高VOCs排放建设项目。新改扩建项目要使用低VOCs含量原辅材料，采取密闭措施，加强废气收集，配套安装高效治理设施，减少污染排放。淘汰国家及地方明令禁止的落后工艺和设备。</w:t>
                  </w:r>
                </w:p>
                <w:p w14:paraId="6F600E6E">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000000" w:themeColor="text1"/>
                      <w:szCs w:val="21"/>
                      <w:highlight w:val="none"/>
                      <w:u w:val="none"/>
                      <w14:textFill>
                        <w14:solidFill>
                          <w14:schemeClr w14:val="tx1"/>
                        </w14:solidFill>
                      </w14:textFill>
                    </w:rPr>
                  </w:pPr>
                  <w:r>
                    <w:rPr>
                      <w:rFonts w:hint="default"/>
                      <w:color w:val="000000" w:themeColor="text1"/>
                      <w:szCs w:val="21"/>
                      <w:highlight w:val="none"/>
                      <w:u w:val="none"/>
                      <w14:textFill>
                        <w14:solidFill>
                          <w14:schemeClr w14:val="tx1"/>
                        </w14:solidFill>
                      </w14:textFill>
                    </w:rPr>
                    <w:t>（二）大力推进清洁生产</w:t>
                  </w:r>
                </w:p>
                <w:p w14:paraId="1BC39878">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000000" w:themeColor="text1"/>
                      <w:szCs w:val="21"/>
                      <w:highlight w:val="none"/>
                      <w:u w:val="none"/>
                      <w14:textFill>
                        <w14:solidFill>
                          <w14:schemeClr w14:val="tx1"/>
                        </w14:solidFill>
                      </w14:textFill>
                    </w:rPr>
                  </w:pPr>
                  <w:r>
                    <w:rPr>
                      <w:rFonts w:hint="default"/>
                      <w:color w:val="000000" w:themeColor="text1"/>
                      <w:szCs w:val="21"/>
                      <w:highlight w:val="none"/>
                      <w:u w:val="none"/>
                      <w14:textFill>
                        <w14:solidFill>
                          <w14:schemeClr w14:val="tx1"/>
                        </w14:solidFill>
                      </w14:textFill>
                    </w:rPr>
                    <w:t>在重点行业大力倡导环境标志产品生产及使用，尤其是水性涂料的生产和使用，从源头控制VOCs排放。</w:t>
                  </w:r>
                </w:p>
                <w:p w14:paraId="77F4CC3F">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000000" w:themeColor="text1"/>
                      <w:szCs w:val="21"/>
                      <w:highlight w:val="none"/>
                      <w:u w:val="none"/>
                      <w14:textFill>
                        <w14:solidFill>
                          <w14:schemeClr w14:val="tx1"/>
                        </w14:solidFill>
                      </w14:textFill>
                    </w:rPr>
                  </w:pPr>
                  <w:r>
                    <w:rPr>
                      <w:rFonts w:hint="default"/>
                      <w:color w:val="000000" w:themeColor="text1"/>
                      <w:szCs w:val="21"/>
                      <w:highlight w:val="none"/>
                      <w:u w:val="none"/>
                      <w14:textFill>
                        <w14:solidFill>
                          <w14:schemeClr w14:val="tx1"/>
                        </w14:solidFill>
                      </w14:textFill>
                    </w:rPr>
                    <w:t>（三）加快推进重点行业VOCs专项整治</w:t>
                  </w:r>
                </w:p>
                <w:p w14:paraId="46F01B6C">
                  <w:pPr>
                    <w:keepNext w:val="0"/>
                    <w:keepLines w:val="0"/>
                    <w:pageBreakBefore w:val="0"/>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000000" w:themeColor="text1"/>
                      <w:szCs w:val="21"/>
                      <w:highlight w:val="none"/>
                      <w:u w:val="none"/>
                      <w14:textFill>
                        <w14:solidFill>
                          <w14:schemeClr w14:val="tx1"/>
                        </w14:solidFill>
                      </w14:textFill>
                    </w:rPr>
                  </w:pPr>
                  <w:r>
                    <w:rPr>
                      <w:rFonts w:hint="default"/>
                      <w:color w:val="000000" w:themeColor="text1"/>
                      <w:szCs w:val="21"/>
                      <w:highlight w:val="none"/>
                      <w:u w:val="none"/>
                      <w14:textFill>
                        <w14:solidFill>
                          <w14:schemeClr w14:val="tx1"/>
                        </w14:solidFill>
                      </w14:textFill>
                    </w:rPr>
                    <w:t>（2）加强化工企业污染综合整治</w:t>
                  </w:r>
                </w:p>
                <w:p w14:paraId="16B0E54D">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color w:val="000000" w:themeColor="text1"/>
                      <w:szCs w:val="21"/>
                      <w:highlight w:val="none"/>
                      <w:u w:val="none"/>
                      <w14:textFill>
                        <w14:solidFill>
                          <w14:schemeClr w14:val="tx1"/>
                        </w14:solidFill>
                      </w14:textFill>
                    </w:rPr>
                    <w:t>提升有机化工（含有机化学原料、合成材料、日用化工、涂料、油墨、胶粘剂、染料、化学溶剂、试剂生产等）、医药化工、塑料制品企业装备水平，严格控制跑冒滴漏。原料、中间产品与成品应密闭储存，对于实际蒸汽压大于2.8千帕、容积大于100立方米的有机液体储罐，采用高效密封方式的浮顶罐或安装密闭排气系统进行净化处理。排放VOCs的生产工序要在密闭空间或设备中实施，产生的含VOCs废气需进行净化处理。</w:t>
                  </w:r>
                </w:p>
              </w:tc>
              <w:tc>
                <w:tcPr>
                  <w:tcW w:w="1495" w:type="pct"/>
                  <w:tcBorders>
                    <w:tl2br w:val="nil"/>
                    <w:tr2bl w:val="nil"/>
                  </w:tcBorders>
                  <w:vAlign w:val="center"/>
                </w:tcPr>
                <w:p w14:paraId="38642AB8">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000000" w:themeColor="text1"/>
                      <w:szCs w:val="21"/>
                      <w:highlight w:val="none"/>
                      <w:u w:val="none"/>
                      <w14:textFill>
                        <w14:solidFill>
                          <w14:schemeClr w14:val="tx1"/>
                        </w14:solidFill>
                      </w14:textFill>
                    </w:rPr>
                  </w:pPr>
                  <w:r>
                    <w:rPr>
                      <w:rFonts w:hint="eastAsia"/>
                      <w:color w:val="000000" w:themeColor="text1"/>
                      <w:szCs w:val="21"/>
                      <w:highlight w:val="none"/>
                      <w:u w:val="none"/>
                      <w:lang w:val="en-US" w:eastAsia="zh-CN"/>
                      <w14:textFill>
                        <w14:solidFill>
                          <w14:schemeClr w14:val="tx1"/>
                        </w14:solidFill>
                      </w14:textFill>
                    </w:rPr>
                    <w:t>1.本项目从事电脑零配件、汽车及电动车零配件、POS机零配件及其他五金</w:t>
                  </w:r>
                  <w:r>
                    <w:rPr>
                      <w:rFonts w:hint="eastAsia"/>
                      <w:color w:val="auto"/>
                      <w:szCs w:val="21"/>
                      <w:highlight w:val="none"/>
                      <w:u w:val="none"/>
                      <w:lang w:val="en-US" w:eastAsia="zh-CN"/>
                    </w:rPr>
                    <w:t>配件加工生产，属于有色金属铸造业，</w:t>
                  </w:r>
                  <w:r>
                    <w:rPr>
                      <w:rFonts w:hint="eastAsia"/>
                      <w:color w:val="000000" w:themeColor="text1"/>
                      <w:szCs w:val="21"/>
                      <w:highlight w:val="none"/>
                      <w:u w:val="none"/>
                      <w:lang w:val="en-US" w:eastAsia="zh-CN"/>
                      <w14:textFill>
                        <w14:solidFill>
                          <w14:schemeClr w14:val="tx1"/>
                        </w14:solidFill>
                      </w14:textFill>
                    </w:rPr>
                    <w:t>不属于文件中限制的</w:t>
                  </w:r>
                  <w:r>
                    <w:rPr>
                      <w:rFonts w:hint="default"/>
                      <w:color w:val="000000" w:themeColor="text1"/>
                      <w:szCs w:val="21"/>
                      <w:highlight w:val="none"/>
                      <w:u w:val="none"/>
                      <w:lang w:val="en-US" w:eastAsia="zh-CN"/>
                      <w14:textFill>
                        <w14:solidFill>
                          <w14:schemeClr w14:val="tx1"/>
                        </w14:solidFill>
                      </w14:textFill>
                    </w:rPr>
                    <w:t>高VOCs排放建设项目</w:t>
                  </w:r>
                  <w:r>
                    <w:rPr>
                      <w:rFonts w:hint="eastAsia"/>
                      <w:color w:val="000000" w:themeColor="text1"/>
                      <w:szCs w:val="21"/>
                      <w:highlight w:val="none"/>
                      <w:u w:val="none"/>
                      <w:lang w:val="en-US" w:eastAsia="zh-CN"/>
                      <w14:textFill>
                        <w14:solidFill>
                          <w14:schemeClr w14:val="tx1"/>
                        </w14:solidFill>
                      </w14:textFill>
                    </w:rPr>
                    <w:t>，本项目原辅材料为铝锭、压铸脱模剂等，不涉及高</w:t>
                  </w:r>
                  <w:r>
                    <w:rPr>
                      <w:rFonts w:hint="default"/>
                      <w:color w:val="000000" w:themeColor="text1"/>
                      <w:szCs w:val="21"/>
                      <w:highlight w:val="none"/>
                      <w:u w:val="none"/>
                      <w:lang w:val="en-US" w:eastAsia="zh-CN"/>
                      <w14:textFill>
                        <w14:solidFill>
                          <w14:schemeClr w14:val="tx1"/>
                        </w14:solidFill>
                      </w14:textFill>
                    </w:rPr>
                    <w:t>VOCs</w:t>
                  </w:r>
                  <w:r>
                    <w:rPr>
                      <w:rFonts w:hint="default"/>
                      <w:color w:val="000000" w:themeColor="text1"/>
                      <w:szCs w:val="21"/>
                      <w:highlight w:val="none"/>
                      <w:u w:val="none"/>
                      <w14:textFill>
                        <w14:solidFill>
                          <w14:schemeClr w14:val="tx1"/>
                        </w14:solidFill>
                      </w14:textFill>
                    </w:rPr>
                    <w:t>含量原辅材料</w:t>
                  </w:r>
                  <w:r>
                    <w:rPr>
                      <w:rFonts w:hint="eastAsia"/>
                      <w:color w:val="000000" w:themeColor="text1"/>
                      <w:szCs w:val="21"/>
                      <w:highlight w:val="none"/>
                      <w:u w:val="none"/>
                      <w:lang w:eastAsia="zh-CN"/>
                      <w14:textFill>
                        <w14:solidFill>
                          <w14:schemeClr w14:val="tx1"/>
                        </w14:solidFill>
                      </w14:textFill>
                    </w:rPr>
                    <w:t>且在采取有效的收集措施和治理措施后，通过排气筒达标排放。本项目不涉及</w:t>
                  </w:r>
                  <w:r>
                    <w:rPr>
                      <w:rFonts w:hint="default"/>
                      <w:color w:val="000000" w:themeColor="text1"/>
                      <w:szCs w:val="21"/>
                      <w:highlight w:val="none"/>
                      <w:u w:val="none"/>
                      <w14:textFill>
                        <w14:solidFill>
                          <w14:schemeClr w14:val="tx1"/>
                        </w14:solidFill>
                      </w14:textFill>
                    </w:rPr>
                    <w:t>国家及地方明令禁止的落后工艺和设备。</w:t>
                  </w:r>
                </w:p>
                <w:p w14:paraId="2627F77D">
                  <w:pPr>
                    <w:pStyle w:val="36"/>
                    <w:widowControl/>
                    <w:numPr>
                      <w:ilvl w:val="0"/>
                      <w:numId w:val="0"/>
                    </w:numPr>
                    <w:adjustRightInd w:val="0"/>
                    <w:spacing w:line="340" w:lineRule="exact"/>
                    <w:jc w:val="both"/>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本项目使用低VOCs含量原辅材料，</w:t>
                  </w:r>
                  <w:r>
                    <w:rPr>
                      <w:rFonts w:hint="eastAsia"/>
                      <w:bCs/>
                      <w:color w:val="000000" w:themeColor="text1"/>
                      <w:highlight w:val="none"/>
                      <w14:textFill>
                        <w14:solidFill>
                          <w14:schemeClr w14:val="tx1"/>
                        </w14:solidFill>
                      </w14:textFill>
                    </w:rPr>
                    <w:t>项目废气经集气装置收集后通过废气处理设施处理后达标排放</w:t>
                  </w:r>
                  <w:r>
                    <w:rPr>
                      <w:rFonts w:hint="eastAsia"/>
                      <w:color w:val="000000" w:themeColor="text1"/>
                      <w:highlight w:val="none"/>
                      <w14:textFill>
                        <w14:solidFill>
                          <w14:schemeClr w14:val="tx1"/>
                        </w14:solidFill>
                      </w14:textFill>
                    </w:rPr>
                    <w:t>。</w:t>
                  </w:r>
                </w:p>
                <w:p w14:paraId="19CABAAF">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本项目废气产生点设备上方设置集气罩，拟将产生的VOCs收集后通过1套“二级活性炭吸附装置”处理后排放，设计净化效率</w:t>
                  </w:r>
                  <w:r>
                    <w:rPr>
                      <w:rFonts w:hint="eastAsia"/>
                      <w:color w:val="000000" w:themeColor="text1"/>
                      <w:highlight w:val="none"/>
                      <w:lang w:val="en-US" w:eastAsia="zh-CN"/>
                      <w14:textFill>
                        <w14:solidFill>
                          <w14:schemeClr w14:val="tx1"/>
                        </w14:solidFill>
                      </w14:textFill>
                    </w:rPr>
                    <w:t>为75</w:t>
                  </w:r>
                  <w:r>
                    <w:rPr>
                      <w:rFonts w:hint="eastAsia"/>
                      <w:color w:val="000000" w:themeColor="text1"/>
                      <w:highlight w:val="none"/>
                      <w14:textFill>
                        <w14:solidFill>
                          <w14:schemeClr w14:val="tx1"/>
                        </w14:solidFill>
                      </w14:textFill>
                    </w:rPr>
                    <w:t>%。</w:t>
                  </w:r>
                </w:p>
              </w:tc>
              <w:tc>
                <w:tcPr>
                  <w:tcW w:w="266" w:type="pct"/>
                  <w:tcBorders>
                    <w:tl2br w:val="nil"/>
                    <w:tr2bl w:val="nil"/>
                  </w:tcBorders>
                  <w:vAlign w:val="center"/>
                </w:tcPr>
                <w:p w14:paraId="0AFA5AE1">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14:paraId="03B6BB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9" w:type="pct"/>
                  <w:vMerge w:val="restart"/>
                  <w:tcBorders>
                    <w:tl2br w:val="nil"/>
                    <w:tr2bl w:val="nil"/>
                  </w:tcBorders>
                  <w:vAlign w:val="center"/>
                </w:tcPr>
                <w:p w14:paraId="3C50FC86">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《挥发性有机物无组织排放控制标准》</w:t>
                  </w:r>
                  <w:r>
                    <w:rPr>
                      <w:rFonts w:hint="eastAsia"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GB37822-2019</w:t>
                  </w:r>
                  <w:r>
                    <w:rPr>
                      <w:rFonts w:hint="eastAsia" w:cs="Times New Roman"/>
                      <w:color w:val="000000" w:themeColor="text1"/>
                      <w:highlight w:val="none"/>
                      <w:lang w:val="en-US" w:eastAsia="zh-CN"/>
                      <w14:textFill>
                        <w14:solidFill>
                          <w14:schemeClr w14:val="tx1"/>
                        </w14:solidFill>
                      </w14:textFill>
                    </w:rPr>
                    <w:t>）</w:t>
                  </w:r>
                </w:p>
              </w:tc>
              <w:tc>
                <w:tcPr>
                  <w:tcW w:w="2458" w:type="pct"/>
                  <w:tcBorders>
                    <w:tl2br w:val="nil"/>
                    <w:tr2bl w:val="nil"/>
                  </w:tcBorders>
                  <w:vAlign w:val="center"/>
                </w:tcPr>
                <w:p w14:paraId="2CFF3639">
                  <w:pPr>
                    <w:pStyle w:val="37"/>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5.1.1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highlight w:val="none"/>
                      <w:lang w:val="en-US" w:eastAsia="zh-CN"/>
                      <w14:textFill>
                        <w14:solidFill>
                          <w14:schemeClr w14:val="tx1"/>
                        </w14:solidFill>
                      </w14:textFill>
                    </w:rPr>
                    <w:t>VOCs物料应储存于密闭的容器、包装袋、储罐、储库、料仓中。</w:t>
                  </w:r>
                </w:p>
                <w:p w14:paraId="44B3FD99">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color w:val="000000" w:themeColor="text1"/>
                      <w:szCs w:val="21"/>
                      <w:highlight w:val="none"/>
                      <w:u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5.1.2 盛装VOCs物料的容器或包装袋应存放于室内，或存放于设置有雨棚、遮阳和防渗设施的专用场地。盛装VOCs物料的容器或包装袋在非取用状态时应加盖、封口，保持密闭。</w:t>
                  </w:r>
                </w:p>
              </w:tc>
              <w:tc>
                <w:tcPr>
                  <w:tcW w:w="1495" w:type="pct"/>
                  <w:tcBorders>
                    <w:tl2br w:val="nil"/>
                    <w:tr2bl w:val="nil"/>
                  </w:tcBorders>
                  <w:vAlign w:val="center"/>
                </w:tcPr>
                <w:p w14:paraId="13176CD4">
                  <w:pPr>
                    <w:pStyle w:val="36"/>
                    <w:keepNext w:val="0"/>
                    <w:keepLines w:val="0"/>
                    <w:pageBreakBefore w:val="0"/>
                    <w:widowControl w:val="0"/>
                    <w:kinsoku/>
                    <w:wordWrap/>
                    <w:overflowPunct/>
                    <w:topLinePunct w:val="0"/>
                    <w:bidi w:val="0"/>
                    <w:adjustRightInd w:val="0"/>
                    <w:snapToGrid w:val="0"/>
                    <w:spacing w:line="320" w:lineRule="exact"/>
                    <w:jc w:val="both"/>
                    <w:textAlignment w:val="auto"/>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w:t>
                  </w:r>
                  <w:r>
                    <w:rPr>
                      <w:rFonts w:hint="eastAsia" w:cs="Times New Roman"/>
                      <w:color w:val="000000" w:themeColor="text1"/>
                      <w:kern w:val="2"/>
                      <w:sz w:val="21"/>
                      <w:szCs w:val="21"/>
                      <w:highlight w:val="none"/>
                      <w:lang w:val="en-US" w:eastAsia="zh-CN" w:bidi="ar-SA"/>
                      <w14:textFill>
                        <w14:solidFill>
                          <w14:schemeClr w14:val="tx1"/>
                        </w14:solidFill>
                      </w14:textFill>
                    </w:rPr>
                    <w:t>压铸成型工序</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使用</w:t>
                  </w:r>
                  <w:r>
                    <w:rPr>
                      <w:rFonts w:hint="eastAsia" w:cs="Times New Roman"/>
                      <w:color w:val="000000" w:themeColor="text1"/>
                      <w:kern w:val="2"/>
                      <w:sz w:val="21"/>
                      <w:szCs w:val="21"/>
                      <w:highlight w:val="none"/>
                      <w:lang w:val="en-US" w:eastAsia="zh-CN" w:bidi="ar-SA"/>
                      <w14:textFill>
                        <w14:solidFill>
                          <w14:schemeClr w14:val="tx1"/>
                        </w14:solidFill>
                      </w14:textFill>
                    </w:rPr>
                    <w:t>脱模剂进行脱模，脱模剂采用塑料桶进行盛装</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暂存在</w:t>
                  </w:r>
                  <w:r>
                    <w:rPr>
                      <w:rFonts w:hint="eastAsia" w:cs="Times New Roman"/>
                      <w:color w:val="000000" w:themeColor="text1"/>
                      <w:kern w:val="2"/>
                      <w:sz w:val="21"/>
                      <w:szCs w:val="21"/>
                      <w:highlight w:val="none"/>
                      <w:lang w:val="en-US" w:eastAsia="zh-CN" w:bidi="ar-SA"/>
                      <w14:textFill>
                        <w14:solidFill>
                          <w14:schemeClr w14:val="tx1"/>
                        </w14:solidFill>
                      </w14:textFill>
                    </w:rPr>
                    <w:t>化学品仓库</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中，</w:t>
                  </w:r>
                  <w:r>
                    <w:rPr>
                      <w:rFonts w:hint="eastAsia" w:cs="Times New Roman"/>
                      <w:color w:val="000000" w:themeColor="text1"/>
                      <w:kern w:val="2"/>
                      <w:sz w:val="21"/>
                      <w:szCs w:val="21"/>
                      <w:highlight w:val="none"/>
                      <w:lang w:val="en-US" w:eastAsia="zh-CN" w:bidi="ar-SA"/>
                      <w14:textFill>
                        <w14:solidFill>
                          <w14:schemeClr w14:val="tx1"/>
                        </w14:solidFill>
                      </w14:textFill>
                    </w:rPr>
                    <w:t>非甲烷总烃</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含量低；常温下不产生</w:t>
                  </w:r>
                  <w:r>
                    <w:rPr>
                      <w:rFonts w:hint="eastAsia" w:cs="Times New Roman"/>
                      <w:color w:val="000000" w:themeColor="text1"/>
                      <w:kern w:val="2"/>
                      <w:sz w:val="21"/>
                      <w:szCs w:val="21"/>
                      <w:highlight w:val="none"/>
                      <w:lang w:val="en-US" w:eastAsia="zh-CN" w:bidi="ar-SA"/>
                      <w14:textFill>
                        <w14:solidFill>
                          <w14:schemeClr w14:val="tx1"/>
                        </w14:solidFill>
                      </w14:textFill>
                    </w:rPr>
                    <w:t>非甲烷总烃</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266" w:type="pct"/>
                  <w:tcBorders>
                    <w:tl2br w:val="nil"/>
                    <w:tr2bl w:val="nil"/>
                  </w:tcBorders>
                  <w:vAlign w:val="center"/>
                </w:tcPr>
                <w:p w14:paraId="4022ADFD">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14:paraId="585804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9" w:type="pct"/>
                  <w:vMerge w:val="continue"/>
                  <w:tcBorders>
                    <w:tl2br w:val="nil"/>
                    <w:tr2bl w:val="nil"/>
                  </w:tcBorders>
                  <w:vAlign w:val="center"/>
                </w:tcPr>
                <w:p w14:paraId="389F4325">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2458" w:type="pct"/>
                  <w:tcBorders>
                    <w:tl2br w:val="nil"/>
                    <w:tr2bl w:val="nil"/>
                  </w:tcBorders>
                  <w:vAlign w:val="center"/>
                </w:tcPr>
                <w:p w14:paraId="74999520">
                  <w:pPr>
                    <w:pStyle w:val="37"/>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6.1.1 液态VOC物料应采用密闭管道输送。采用非管道输送方式转移液态VOC物料时，应采用密闭容器、罐车。</w:t>
                  </w:r>
                </w:p>
                <w:p w14:paraId="47BACCD3">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6.1.2 粉状、粒状VOCs物料应采用气力输送设备、管状带式输送机、螺旋输送机等密闭输送方式或者采用密闭的包装袋、容器或罐车进行物料转移。</w:t>
                  </w:r>
                </w:p>
              </w:tc>
              <w:tc>
                <w:tcPr>
                  <w:tcW w:w="1495" w:type="pct"/>
                  <w:tcBorders>
                    <w:tl2br w:val="nil"/>
                    <w:tr2bl w:val="nil"/>
                  </w:tcBorders>
                  <w:vAlign w:val="center"/>
                </w:tcPr>
                <w:p w14:paraId="252DA4A3">
                  <w:pPr>
                    <w:pStyle w:val="37"/>
                    <w:jc w:val="center"/>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项目涉及液态</w:t>
                  </w:r>
                  <w:r>
                    <w:rPr>
                      <w:rFonts w:hint="eastAsia" w:cs="Times New Roman"/>
                      <w:color w:val="000000" w:themeColor="text1"/>
                      <w:kern w:val="2"/>
                      <w:sz w:val="21"/>
                      <w:szCs w:val="21"/>
                      <w:highlight w:val="none"/>
                      <w:lang w:val="en-US" w:eastAsia="zh-CN" w:bidi="ar-SA"/>
                      <w14:textFill>
                        <w14:solidFill>
                          <w14:schemeClr w14:val="tx1"/>
                        </w14:solidFill>
                      </w14:textFill>
                    </w:rPr>
                    <w:t>非甲烷总烃</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物料</w:t>
                  </w:r>
                  <w:r>
                    <w:rPr>
                      <w:rFonts w:hint="eastAsia" w:cs="Times New Roman"/>
                      <w:color w:val="000000" w:themeColor="text1"/>
                      <w:highlight w:val="none"/>
                      <w:lang w:val="en-US" w:eastAsia="zh-CN"/>
                      <w14:textFill>
                        <w14:solidFill>
                          <w14:schemeClr w14:val="tx1"/>
                        </w14:solidFill>
                      </w14:textFill>
                    </w:rPr>
                    <w:t>（压铸脱模剂）</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采用密闭容器进厂运输、储存于化学品仓库</w:t>
                  </w:r>
                </w:p>
              </w:tc>
              <w:tc>
                <w:tcPr>
                  <w:tcW w:w="266" w:type="pct"/>
                  <w:tcBorders>
                    <w:tl2br w:val="nil"/>
                    <w:tr2bl w:val="nil"/>
                  </w:tcBorders>
                  <w:vAlign w:val="center"/>
                </w:tcPr>
                <w:p w14:paraId="1066A707">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14:paraId="6C046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9" w:type="pct"/>
                  <w:vMerge w:val="continue"/>
                  <w:tcBorders>
                    <w:tl2br w:val="nil"/>
                    <w:tr2bl w:val="nil"/>
                  </w:tcBorders>
                  <w:vAlign w:val="center"/>
                </w:tcPr>
                <w:p w14:paraId="57133E01">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2458" w:type="pct"/>
                  <w:tcBorders>
                    <w:tl2br w:val="nil"/>
                    <w:tr2bl w:val="nil"/>
                  </w:tcBorders>
                  <w:shd w:val="clear" w:color="auto" w:fill="auto"/>
                  <w:vAlign w:val="center"/>
                </w:tcPr>
                <w:p w14:paraId="6E3C02E0">
                  <w:pPr>
                    <w:pStyle w:val="37"/>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7.3.1 企业应建立台账，记录含VOCs原辅材料和含VOCs产品的名称、使用量、回收量、废弃量、去向以及VOCs含量等信息。台账保存期限不少于3年。</w:t>
                  </w:r>
                </w:p>
                <w:p w14:paraId="4914082E">
                  <w:pPr>
                    <w:pStyle w:val="37"/>
                    <w:ind w:firstLine="0" w:firstLineChars="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7.3.3 载有VOC物料的设备及其管道在开停工车、检维修和清洗时，应在退料阶段将残存物料退净，并用密闭容器盛装，退料过程废气应排至VOCs废气收集处理系统</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清洗及吹扫过程排气应排至VOCs废气收集处理系统。</w:t>
                  </w:r>
                </w:p>
              </w:tc>
              <w:tc>
                <w:tcPr>
                  <w:tcW w:w="1495" w:type="pct"/>
                  <w:tcBorders>
                    <w:tl2br w:val="nil"/>
                    <w:tr2bl w:val="nil"/>
                  </w:tcBorders>
                  <w:vAlign w:val="center"/>
                </w:tcPr>
                <w:p w14:paraId="597626BB">
                  <w:pPr>
                    <w:pStyle w:val="37"/>
                    <w:jc w:val="both"/>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项目将严格按照要求制定</w:t>
                  </w:r>
                  <w:r>
                    <w:rPr>
                      <w:rFonts w:hint="default" w:ascii="Times New Roman" w:hAnsi="Times New Roman" w:eastAsia="宋体" w:cs="Times New Roman"/>
                      <w:color w:val="000000" w:themeColor="text1"/>
                      <w:highlight w:val="none"/>
                      <w:lang w:val="en-US" w:eastAsia="zh-CN"/>
                      <w14:textFill>
                        <w14:solidFill>
                          <w14:schemeClr w14:val="tx1"/>
                        </w14:solidFill>
                      </w14:textFill>
                    </w:rPr>
                    <w:t>含</w:t>
                  </w:r>
                  <w:r>
                    <w:rPr>
                      <w:rFonts w:hint="eastAsia" w:cs="Times New Roman"/>
                      <w:color w:val="000000" w:themeColor="text1"/>
                      <w:kern w:val="2"/>
                      <w:sz w:val="21"/>
                      <w:szCs w:val="21"/>
                      <w:highlight w:val="none"/>
                      <w:lang w:val="en-US" w:eastAsia="zh-CN" w:bidi="ar-SA"/>
                      <w14:textFill>
                        <w14:solidFill>
                          <w14:schemeClr w14:val="tx1"/>
                        </w14:solidFill>
                      </w14:textFill>
                    </w:rPr>
                    <w:t>非甲烷总烃</w:t>
                  </w:r>
                  <w:r>
                    <w:rPr>
                      <w:rFonts w:hint="default" w:ascii="Times New Roman" w:hAnsi="Times New Roman" w:eastAsia="宋体" w:cs="Times New Roman"/>
                      <w:color w:val="000000" w:themeColor="text1"/>
                      <w:highlight w:val="none"/>
                      <w:lang w:val="en-US" w:eastAsia="zh-CN"/>
                      <w14:textFill>
                        <w14:solidFill>
                          <w14:schemeClr w14:val="tx1"/>
                        </w14:solidFill>
                      </w14:textFill>
                    </w:rPr>
                    <w:t>原辅材料</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购买台账，</w:t>
                  </w:r>
                  <w:r>
                    <w:rPr>
                      <w:rFonts w:hint="default" w:ascii="Times New Roman" w:hAnsi="Times New Roman" w:eastAsia="宋体" w:cs="Times New Roman"/>
                      <w:color w:val="000000" w:themeColor="text1"/>
                      <w:highlight w:val="none"/>
                      <w:lang w:val="en-US" w:eastAsia="zh-CN"/>
                      <w14:textFill>
                        <w14:solidFill>
                          <w14:schemeClr w14:val="tx1"/>
                        </w14:solidFill>
                      </w14:textFill>
                    </w:rPr>
                    <w:t>台账保存期限不少于3年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c>
                <w:tcPr>
                  <w:tcW w:w="266" w:type="pct"/>
                  <w:tcBorders>
                    <w:tl2br w:val="nil"/>
                    <w:tr2bl w:val="nil"/>
                  </w:tcBorders>
                  <w:vAlign w:val="center"/>
                </w:tcPr>
                <w:p w14:paraId="7AB54711">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14:paraId="35E37E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9" w:type="pct"/>
                  <w:vMerge w:val="continue"/>
                  <w:vAlign w:val="center"/>
                </w:tcPr>
                <w:p w14:paraId="44F9066C">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2458" w:type="pct"/>
                  <w:shd w:val="clear" w:color="auto" w:fill="auto"/>
                  <w:vAlign w:val="center"/>
                </w:tcPr>
                <w:p w14:paraId="69E3E474">
                  <w:pPr>
                    <w:pStyle w:val="37"/>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10.1.2 VOCs废气收集处理系统应与生产工艺设备同步运行。VOCs 废气收集处理系统发生故障或检修时，对应的生产工艺设备应停止运行，待检修完毕后同步投入使用</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生产工艺设备不能停止运行或不能及时停止运行的，应设置废气应急处理设施或采取其他替代措施。</w:t>
                  </w:r>
                </w:p>
                <w:p w14:paraId="51DB84FB">
                  <w:pPr>
                    <w:pStyle w:val="37"/>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10.2.1 企业应考虑生产工艺、操作方式、废气性质、处理方法等因素，对VOCs废气进行分类收集。</w:t>
                  </w:r>
                </w:p>
                <w:p w14:paraId="30B21C4F">
                  <w:pPr>
                    <w:pStyle w:val="37"/>
                    <w:ind w:firstLine="0" w:firstLineChars="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10.4 记录要求</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年。</w:t>
                  </w:r>
                </w:p>
              </w:tc>
              <w:tc>
                <w:tcPr>
                  <w:tcW w:w="1495" w:type="pct"/>
                  <w:vAlign w:val="center"/>
                </w:tcPr>
                <w:p w14:paraId="08C5ED38">
                  <w:pPr>
                    <w:pStyle w:val="37"/>
                    <w:jc w:val="both"/>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highlight w:val="none"/>
                      <w:lang w:val="en-US" w:eastAsia="zh-CN"/>
                      <w14:textFill>
                        <w14:solidFill>
                          <w14:schemeClr w14:val="tx1"/>
                        </w14:solidFill>
                      </w14:textFill>
                    </w:rPr>
                    <w:t>废气收集处理系统</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将</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与生产工艺设备同步运行。</w:t>
                  </w:r>
                  <w:r>
                    <w:rPr>
                      <w:rFonts w:hint="eastAsia" w:cs="Times New Roman"/>
                      <w:color w:val="000000" w:themeColor="text1"/>
                      <w:kern w:val="2"/>
                      <w:sz w:val="21"/>
                      <w:szCs w:val="21"/>
                      <w:highlight w:val="none"/>
                      <w:lang w:val="en-US" w:eastAsia="zh-CN" w:bidi="ar-SA"/>
                      <w14:textFill>
                        <w14:solidFill>
                          <w14:schemeClr w14:val="tx1"/>
                        </w14:solidFill>
                      </w14:textFill>
                    </w:rPr>
                    <w:t>非甲烷总烃</w:t>
                  </w:r>
                  <w:r>
                    <w:rPr>
                      <w:rFonts w:hint="default" w:ascii="Times New Roman" w:hAnsi="Times New Roman" w:eastAsia="宋体" w:cs="Times New Roman"/>
                      <w:color w:val="000000" w:themeColor="text1"/>
                      <w:highlight w:val="none"/>
                      <w:lang w:val="en-US" w:eastAsia="zh-CN"/>
                      <w14:textFill>
                        <w14:solidFill>
                          <w14:schemeClr w14:val="tx1"/>
                        </w14:solidFill>
                      </w14:textFill>
                    </w:rPr>
                    <w:t>废气收集处理系统发生故障或检修时，对应的生产工艺设备应停止运行，待检修完毕后同步投入使用</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w:t>
                  </w:r>
                  <w:r>
                    <w:rPr>
                      <w:rFonts w:hint="eastAsia" w:cs="Times New Roman"/>
                      <w:color w:val="000000" w:themeColor="text1"/>
                      <w:highlight w:val="none"/>
                      <w:lang w:val="en-US" w:eastAsia="zh-CN"/>
                      <w14:textFill>
                        <w14:solidFill>
                          <w14:schemeClr w14:val="tx1"/>
                        </w14:solidFill>
                      </w14:textFill>
                    </w:rPr>
                    <w:t>生产</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废气拟收集后统一通过1套</w:t>
                  </w:r>
                  <w:r>
                    <w:rPr>
                      <w:rFonts w:hint="eastAsia" w:cs="Times New Roman"/>
                      <w:color w:val="000000" w:themeColor="text1"/>
                      <w:highlight w:val="none"/>
                      <w:lang w:val="en-US" w:eastAsia="zh-CN"/>
                      <w14:textFill>
                        <w14:solidFill>
                          <w14:schemeClr w14:val="tx1"/>
                        </w14:solidFill>
                      </w14:textFill>
                    </w:rPr>
                    <w:t>二级</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活性炭吸附装置处理后排放。项目将严格按照要求制定</w:t>
                  </w:r>
                  <w:r>
                    <w:rPr>
                      <w:rFonts w:hint="default" w:ascii="Times New Roman" w:hAnsi="Times New Roman" w:eastAsia="宋体" w:cs="Times New Roman"/>
                      <w:color w:val="000000" w:themeColor="text1"/>
                      <w:highlight w:val="none"/>
                      <w:lang w:val="en-US" w:eastAsia="zh-CN"/>
                      <w14:textFill>
                        <w14:solidFill>
                          <w14:schemeClr w14:val="tx1"/>
                        </w14:solidFill>
                      </w14:textFill>
                    </w:rPr>
                    <w:t>废气收集系统、</w:t>
                  </w:r>
                  <w:r>
                    <w:rPr>
                      <w:rFonts w:hint="eastAsia" w:cs="Times New Roman"/>
                      <w:color w:val="000000" w:themeColor="text1"/>
                      <w:kern w:val="2"/>
                      <w:sz w:val="21"/>
                      <w:szCs w:val="21"/>
                      <w:highlight w:val="none"/>
                      <w:lang w:val="en-US" w:eastAsia="zh-CN" w:bidi="ar-SA"/>
                      <w14:textFill>
                        <w14:solidFill>
                          <w14:schemeClr w14:val="tx1"/>
                        </w14:solidFill>
                      </w14:textFill>
                    </w:rPr>
                    <w:t>非甲烷总烃</w:t>
                  </w:r>
                  <w:r>
                    <w:rPr>
                      <w:rFonts w:hint="default" w:ascii="Times New Roman" w:hAnsi="Times New Roman" w:eastAsia="宋体" w:cs="Times New Roman"/>
                      <w:color w:val="000000" w:themeColor="text1"/>
                      <w:highlight w:val="none"/>
                      <w:lang w:val="en-US" w:eastAsia="zh-CN"/>
                      <w14:textFill>
                        <w14:solidFill>
                          <w14:schemeClr w14:val="tx1"/>
                        </w14:solidFill>
                      </w14:textFill>
                    </w:rPr>
                    <w:t>处理设施</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运行台账，</w:t>
                  </w:r>
                  <w:r>
                    <w:rPr>
                      <w:rFonts w:hint="default" w:ascii="Times New Roman" w:hAnsi="Times New Roman" w:eastAsia="宋体" w:cs="Times New Roman"/>
                      <w:color w:val="000000" w:themeColor="text1"/>
                      <w:highlight w:val="none"/>
                      <w:lang w:val="en-US" w:eastAsia="zh-CN"/>
                      <w14:textFill>
                        <w14:solidFill>
                          <w14:schemeClr w14:val="tx1"/>
                        </w14:solidFill>
                      </w14:textFill>
                    </w:rPr>
                    <w:t>台账保存期限不少于3年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c>
                <w:tcPr>
                  <w:tcW w:w="266" w:type="pct"/>
                  <w:vAlign w:val="center"/>
                </w:tcPr>
                <w:p w14:paraId="5E288F8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p>
              </w:tc>
            </w:tr>
          </w:tbl>
          <w:p w14:paraId="52CBDF25">
            <w:pPr>
              <w:spacing w:line="360" w:lineRule="auto"/>
              <w:ind w:firstLine="480" w:firstLineChars="200"/>
              <w:jc w:val="left"/>
              <w:rPr>
                <w:rFonts w:hint="eastAsia"/>
                <w:color w:val="000000" w:themeColor="text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根据以上分析，项目产生挥发性有机物可以得到有效</w:t>
            </w:r>
            <w:r>
              <w:rPr>
                <w:rFonts w:hint="eastAsia" w:cs="Times New Roman"/>
                <w:color w:val="000000" w:themeColor="text1"/>
                <w:kern w:val="2"/>
                <w:sz w:val="24"/>
                <w:szCs w:val="24"/>
                <w:highlight w:val="none"/>
                <w:lang w:val="en-US" w:eastAsia="zh-CN" w:bidi="ar"/>
                <w14:textFill>
                  <w14:solidFill>
                    <w14:schemeClr w14:val="tx1"/>
                  </w14:solidFill>
                </w14:textFill>
              </w:rPr>
              <w:t>地</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控制，采取有效治理措施后，符合挥发性有机物污染防治相关政策的要求。</w:t>
            </w:r>
          </w:p>
        </w:tc>
      </w:tr>
    </w:tbl>
    <w:p w14:paraId="5F644830">
      <w:pP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br w:type="page"/>
      </w:r>
    </w:p>
    <w:p w14:paraId="118067D6">
      <w:pPr>
        <w:pStyle w:val="2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000000" w:themeColor="text1"/>
          <w:sz w:val="30"/>
          <w:szCs w:val="30"/>
          <w:highlight w:val="none"/>
          <w:u w:val="none"/>
          <w:lang w:val="en-US" w:eastAsia="zh-CN"/>
          <w14:textFill>
            <w14:solidFill>
              <w14:schemeClr w14:val="tx1"/>
            </w14:solidFill>
          </w14:textFill>
        </w:rPr>
      </w:pPr>
      <w:bookmarkStart w:id="14" w:name="_Toc2805"/>
      <w:bookmarkStart w:id="15" w:name="_Toc8447"/>
      <w:r>
        <w:rPr>
          <w:rFonts w:hint="default" w:ascii="Times New Roman" w:hAnsi="Times New Roman" w:eastAsia="黑体" w:cs="Times New Roman"/>
          <w:snapToGrid w:val="0"/>
          <w:color w:val="000000" w:themeColor="text1"/>
          <w:sz w:val="30"/>
          <w:szCs w:val="30"/>
          <w:highlight w:val="none"/>
          <w:u w:val="none"/>
          <w:lang w:val="en-US" w:eastAsia="zh-CN"/>
          <w14:textFill>
            <w14:solidFill>
              <w14:schemeClr w14:val="tx1"/>
            </w14:solidFill>
          </w14:textFill>
        </w:rPr>
        <w:t>二、建设项目工程分析</w:t>
      </w:r>
      <w:bookmarkEnd w:id="14"/>
      <w:bookmarkEnd w:id="15"/>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8797"/>
      </w:tblGrid>
      <w:tr w14:paraId="041CE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10" w:hRule="atLeast"/>
        </w:trPr>
        <w:tc>
          <w:tcPr>
            <w:tcW w:w="261" w:type="pct"/>
            <w:vAlign w:val="center"/>
          </w:tcPr>
          <w:p w14:paraId="251E59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建设内容</w:t>
            </w:r>
          </w:p>
        </w:tc>
        <w:tc>
          <w:tcPr>
            <w:tcW w:w="4738" w:type="pct"/>
            <w:vAlign w:val="center"/>
          </w:tcPr>
          <w:p w14:paraId="622FDA22">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000000" w:themeColor="text1"/>
                <w:sz w:val="28"/>
                <w:szCs w:val="28"/>
                <w:highlight w:val="none"/>
                <w:u w:val="none"/>
                <w:lang w:val="en-US" w:eastAsia="zh-CN"/>
                <w14:textFill>
                  <w14:solidFill>
                    <w14:schemeClr w14:val="tx1"/>
                  </w14:solidFill>
                </w14:textFill>
              </w:rPr>
            </w:pPr>
            <w:bookmarkStart w:id="16" w:name="_Toc2901"/>
            <w:bookmarkStart w:id="17" w:name="_Toc2247"/>
            <w:bookmarkStart w:id="18" w:name="_Toc9428"/>
            <w:bookmarkStart w:id="19" w:name="_Toc7822"/>
            <w:bookmarkStart w:id="20" w:name="_Toc17663"/>
            <w:r>
              <w:rPr>
                <w:rFonts w:hint="default" w:ascii="Times New Roman" w:hAnsi="Times New Roman" w:eastAsia="宋体" w:cs="Times New Roman"/>
                <w:color w:val="000000" w:themeColor="text1"/>
                <w:sz w:val="28"/>
                <w:szCs w:val="28"/>
                <w:highlight w:val="none"/>
                <w:u w:val="none"/>
                <w:lang w:val="en-US" w:eastAsia="zh-CN"/>
                <w14:textFill>
                  <w14:solidFill>
                    <w14:schemeClr w14:val="tx1"/>
                  </w14:solidFill>
                </w14:textFill>
              </w:rPr>
              <w:t>2.1 项目由来</w:t>
            </w:r>
            <w:bookmarkEnd w:id="16"/>
            <w:bookmarkEnd w:id="17"/>
            <w:bookmarkEnd w:id="18"/>
            <w:bookmarkEnd w:id="19"/>
            <w:bookmarkEnd w:id="20"/>
          </w:p>
          <w:p w14:paraId="57CE14F8">
            <w:pPr>
              <w:pStyle w:val="2"/>
              <w:spacing w:line="360" w:lineRule="auto"/>
              <w:ind w:firstLine="480" w:firstLineChars="200"/>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cs="Times New Roman"/>
                <w:color w:val="auto"/>
                <w:sz w:val="24"/>
                <w:szCs w:val="24"/>
                <w:highlight w:val="none"/>
                <w:u w:val="none"/>
                <w:lang w:val="en-US" w:eastAsia="zh-CN"/>
              </w:rPr>
              <w:t>福建瑞昌新能源科技开发有限公司</w:t>
            </w:r>
            <w:r>
              <w:rPr>
                <w:rFonts w:hint="eastAsia" w:ascii="Times New Roman" w:hAnsi="Times New Roman" w:eastAsia="宋体" w:cs="Times New Roman"/>
                <w:color w:val="auto"/>
                <w:sz w:val="24"/>
                <w:szCs w:val="24"/>
                <w:highlight w:val="none"/>
                <w:u w:val="none"/>
                <w:lang w:val="en-US" w:eastAsia="zh-CN"/>
              </w:rPr>
              <w:t>成立于20</w:t>
            </w:r>
            <w:r>
              <w:rPr>
                <w:rFonts w:hint="eastAsia" w:cs="Times New Roman"/>
                <w:color w:val="auto"/>
                <w:sz w:val="24"/>
                <w:szCs w:val="24"/>
                <w:highlight w:val="none"/>
                <w:u w:val="none"/>
                <w:lang w:val="en-US" w:eastAsia="zh-CN"/>
              </w:rPr>
              <w:t>12</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年</w:t>
            </w:r>
            <w:r>
              <w:rPr>
                <w:rFonts w:hint="eastAsia" w:cs="Times New Roman"/>
                <w:color w:val="000000" w:themeColor="text1"/>
                <w:sz w:val="24"/>
                <w:szCs w:val="24"/>
                <w:highlight w:val="none"/>
                <w:u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月2</w:t>
            </w:r>
            <w:r>
              <w:rPr>
                <w:rFonts w:hint="eastAsia" w:cs="Times New Roman"/>
                <w:color w:val="000000" w:themeColor="text1"/>
                <w:sz w:val="24"/>
                <w:szCs w:val="24"/>
                <w:highlight w:val="none"/>
                <w:u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日，注册资本为</w:t>
            </w:r>
            <w:r>
              <w:rPr>
                <w:rFonts w:hint="eastAsia" w:cs="Times New Roman"/>
                <w:color w:val="000000" w:themeColor="text1"/>
                <w:sz w:val="24"/>
                <w:szCs w:val="24"/>
                <w:highlight w:val="none"/>
                <w:u w:val="none"/>
                <w:lang w:val="en-US" w:eastAsia="zh-CN"/>
                <w14:textFill>
                  <w14:solidFill>
                    <w14:schemeClr w14:val="tx1"/>
                  </w14:solidFill>
                </w14:textFill>
              </w:rPr>
              <w:t>2000</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万元，</w:t>
            </w:r>
            <w:r>
              <w:rPr>
                <w:rFonts w:hint="eastAsia" w:cs="Times New Roman"/>
                <w:color w:val="000000" w:themeColor="text1"/>
                <w:sz w:val="24"/>
                <w:szCs w:val="24"/>
                <w:highlight w:val="none"/>
                <w:u w:val="none"/>
                <w:lang w:val="en-US" w:eastAsia="zh-CN"/>
                <w14:textFill>
                  <w14:solidFill>
                    <w14:schemeClr w14:val="tx1"/>
                  </w14:solidFill>
                </w14:textFill>
              </w:rPr>
              <w:t>注册地址福建省福州市福清市宏路街道大埔村融深工业园大埔路423-47号。</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主要从事</w:t>
            </w:r>
            <w:r>
              <w:rPr>
                <w:rFonts w:hint="eastAsia" w:cs="Times New Roman"/>
                <w:color w:val="000000" w:themeColor="text1"/>
                <w:sz w:val="24"/>
                <w:szCs w:val="24"/>
                <w:highlight w:val="none"/>
                <w:u w:val="none"/>
                <w:lang w:val="en-US" w:eastAsia="zh-CN"/>
                <w14:textFill>
                  <w14:solidFill>
                    <w14:schemeClr w14:val="tx1"/>
                  </w14:solidFill>
                </w14:textFill>
              </w:rPr>
              <w:t>电脑产品及配件、五金制品、模具、汽车零部件研、生产等相关业务。</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统一社会信用代码为</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，法人是</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u w:val="none"/>
                <w14:textFill>
                  <w14:solidFill>
                    <w14:schemeClr w14:val="tx1"/>
                  </w14:solidFill>
                </w14:textFill>
              </w:rPr>
              <w:t>营业执照</w:t>
            </w:r>
            <w:r>
              <w:rPr>
                <w:rFonts w:hint="eastAsia" w:cs="Times New Roman"/>
                <w:color w:val="000000" w:themeColor="text1"/>
                <w:sz w:val="24"/>
                <w:szCs w:val="24"/>
                <w:highlight w:val="none"/>
                <w:u w:val="none"/>
                <w:lang w:val="en-US" w:eastAsia="zh-CN"/>
                <w14:textFill>
                  <w14:solidFill>
                    <w14:schemeClr w14:val="tx1"/>
                  </w14:solidFill>
                </w14:textFill>
              </w:rPr>
              <w:t>详见</w:t>
            </w:r>
            <w:r>
              <w:rPr>
                <w:rFonts w:hint="eastAsia" w:cs="Times New Roman"/>
                <w:b/>
                <w:bCs/>
                <w:color w:val="000000" w:themeColor="text1"/>
                <w:sz w:val="24"/>
                <w:szCs w:val="24"/>
                <w:highlight w:val="none"/>
                <w:u w:val="none"/>
                <w:lang w:val="en-US" w:eastAsia="zh-CN"/>
                <w14:textFill>
                  <w14:solidFill>
                    <w14:schemeClr w14:val="tx1"/>
                  </w14:solidFill>
                </w14:textFill>
              </w:rPr>
              <w:t>附件二</w:t>
            </w:r>
            <w:r>
              <w:rPr>
                <w:rFonts w:hint="eastAsia" w:ascii="Times New Roman" w:hAnsi="Times New Roman" w:cs="Times New Roman"/>
                <w:color w:val="000000" w:themeColor="text1"/>
                <w:sz w:val="24"/>
                <w:szCs w:val="24"/>
                <w:highlight w:val="none"/>
                <w:u w:val="none"/>
                <w:lang w:eastAsia="zh-CN"/>
                <w14:textFill>
                  <w14:solidFill>
                    <w14:schemeClr w14:val="tx1"/>
                  </w14:solidFill>
                </w14:textFill>
              </w:rPr>
              <w:t>及</w:t>
            </w:r>
            <w:r>
              <w:rPr>
                <w:rFonts w:hint="default" w:ascii="Times New Roman" w:hAnsi="Times New Roman" w:cs="Times New Roman"/>
                <w:color w:val="000000" w:themeColor="text1"/>
                <w:sz w:val="24"/>
                <w:szCs w:val="24"/>
                <w:highlight w:val="none"/>
                <w:u w:val="none"/>
                <w14:textFill>
                  <w14:solidFill>
                    <w14:schemeClr w14:val="tx1"/>
                  </w14:solidFill>
                </w14:textFill>
              </w:rPr>
              <w:t>法人身份证</w:t>
            </w:r>
            <w:r>
              <w:rPr>
                <w:rFonts w:hint="eastAsia" w:ascii="Times New Roman" w:hAnsi="Times New Roman" w:cs="Times New Roman"/>
                <w:color w:val="000000" w:themeColor="text1"/>
                <w:sz w:val="24"/>
                <w:szCs w:val="24"/>
                <w:highlight w:val="none"/>
                <w:u w:val="none"/>
                <w:lang w:eastAsia="zh-CN"/>
                <w14:textFill>
                  <w14:solidFill>
                    <w14:schemeClr w14:val="tx1"/>
                  </w14:solidFill>
                </w14:textFill>
              </w:rPr>
              <w:t>复印件</w:t>
            </w:r>
            <w:r>
              <w:rPr>
                <w:rFonts w:hint="default" w:ascii="Times New Roman" w:hAnsi="Times New Roman" w:cs="Times New Roman"/>
                <w:b w:val="0"/>
                <w:bCs w:val="0"/>
                <w:color w:val="000000" w:themeColor="text1"/>
                <w:sz w:val="24"/>
                <w:szCs w:val="24"/>
                <w:highlight w:val="none"/>
                <w:u w:val="none"/>
                <w14:textFill>
                  <w14:solidFill>
                    <w14:schemeClr w14:val="tx1"/>
                  </w14:solidFill>
                </w14:textFill>
              </w:rPr>
              <w:t>见</w:t>
            </w:r>
            <w:r>
              <w:rPr>
                <w:rFonts w:hint="default" w:ascii="Times New Roman" w:hAnsi="Times New Roman" w:cs="Times New Roman"/>
                <w:b/>
                <w:bCs/>
                <w:color w:val="000000" w:themeColor="text1"/>
                <w:sz w:val="24"/>
                <w:szCs w:val="24"/>
                <w:highlight w:val="none"/>
                <w:u w:val="none"/>
                <w14:textFill>
                  <w14:solidFill>
                    <w14:schemeClr w14:val="tx1"/>
                  </w14:solidFill>
                </w14:textFill>
              </w:rPr>
              <w:t>附件</w:t>
            </w:r>
            <w:r>
              <w:rPr>
                <w:rFonts w:hint="eastAsia" w:cs="Times New Roman"/>
                <w:b/>
                <w:bCs/>
                <w:color w:val="000000" w:themeColor="text1"/>
                <w:sz w:val="24"/>
                <w:szCs w:val="24"/>
                <w:highlight w:val="none"/>
                <w:u w:val="none"/>
                <w:lang w:val="en-US" w:eastAsia="zh-CN"/>
                <w14:textFill>
                  <w14:solidFill>
                    <w14:schemeClr w14:val="tx1"/>
                  </w14:solidFill>
                </w14:textFill>
              </w:rPr>
              <w:t>三</w:t>
            </w:r>
            <w:r>
              <w:rPr>
                <w:rFonts w:hint="eastAsia" w:ascii="Times New Roman" w:hAnsi="Times New Roman" w:cs="Times New Roman"/>
                <w:b w:val="0"/>
                <w:bCs w:val="0"/>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w:t>
            </w:r>
          </w:p>
          <w:p w14:paraId="2CFAE235">
            <w:pPr>
              <w:pStyle w:val="2"/>
              <w:spacing w:line="360" w:lineRule="auto"/>
              <w:ind w:firstLine="480" w:firstLineChars="200"/>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项目拟投资2800万元，选址位于</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福清融侨经济技术开发区（</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购置</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均和云谷·福清科技港3</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#厂房）</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作为生产经营场所，厂房面积4188.94平方米（共4层），一层为</w:t>
            </w:r>
            <w:r>
              <w:rPr>
                <w:rFonts w:hint="eastAsia" w:cs="Times New Roman"/>
                <w:color w:val="000000" w:themeColor="text1"/>
                <w:sz w:val="24"/>
                <w:szCs w:val="24"/>
                <w:highlight w:val="none"/>
                <w:u w:val="none"/>
                <w:lang w:val="en-US" w:eastAsia="zh-CN"/>
                <w14:textFill>
                  <w14:solidFill>
                    <w14:schemeClr w14:val="tx1"/>
                  </w14:solidFill>
                </w14:textFill>
              </w:rPr>
              <w:t>电阻炉、</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压铸机及周边辅助设备</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二层为抛光、打磨、钻孔、攻牙等设备</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三层作为原辅材料及成品存放区。计划年加工电脑零配件200万个、汽车及电动车零配件90万个、POS机零配件5万个、其他五金配件5万个。购置电</w:t>
            </w:r>
            <w:r>
              <w:rPr>
                <w:rFonts w:hint="eastAsia" w:cs="Times New Roman"/>
                <w:color w:val="000000" w:themeColor="text1"/>
                <w:sz w:val="24"/>
                <w:szCs w:val="24"/>
                <w:highlight w:val="none"/>
                <w:u w:val="none"/>
                <w:lang w:val="en-US" w:eastAsia="zh-CN"/>
                <w14:textFill>
                  <w14:solidFill>
                    <w14:schemeClr w14:val="tx1"/>
                  </w14:solidFill>
                </w14:textFill>
              </w:rPr>
              <w:t>阻</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炉、压铸机、抛光机、多轴攻牙机、研磨机等相关设备，建设4条五金配件生产线。该项目于2025年10月21日通过了福清市发展和改革局的备案（闽发改备</w:t>
            </w:r>
            <w:r>
              <w:rPr>
                <w:rFonts w:hint="eastAsia" w:cs="Times New Roman"/>
                <w:color w:val="000000" w:themeColor="text1"/>
                <w:sz w:val="24"/>
                <w:szCs w:val="24"/>
                <w:highlight w:val="none"/>
                <w:u w:val="none"/>
                <w:lang w:val="en-US" w:eastAsia="zh-CN"/>
                <w14:textFill>
                  <w14:solidFill>
                    <w14:schemeClr w14:val="tx1"/>
                  </w14:solidFill>
                </w14:textFill>
              </w:rPr>
              <w:t>〔2025〕</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A0603</w:t>
            </w:r>
            <w:r>
              <w:rPr>
                <w:rFonts w:hint="eastAsia" w:cs="Times New Roman"/>
                <w:color w:val="000000" w:themeColor="text1"/>
                <w:sz w:val="24"/>
                <w:szCs w:val="24"/>
                <w:highlight w:val="none"/>
                <w:u w:val="none"/>
                <w:lang w:val="en-US" w:eastAsia="zh-CN"/>
                <w14:textFill>
                  <w14:solidFill>
                    <w14:schemeClr w14:val="tx1"/>
                  </w14:solidFill>
                </w14:textFill>
              </w:rPr>
              <w:t>80</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号，</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详见</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附件</w:t>
            </w:r>
            <w:r>
              <w:rPr>
                <w:rFonts w:hint="eastAsia" w:cs="Times New Roman"/>
                <w:b/>
                <w:bCs/>
                <w:color w:val="000000" w:themeColor="text1"/>
                <w:sz w:val="24"/>
                <w:szCs w:val="24"/>
                <w:highlight w:val="none"/>
                <w:u w:val="none"/>
                <w:lang w:val="en-US" w:eastAsia="zh-CN"/>
                <w14:textFill>
                  <w14:solidFill>
                    <w14:schemeClr w14:val="tx1"/>
                  </w14:solidFill>
                </w14:textFill>
              </w:rPr>
              <w:t>四</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p>
          <w:p w14:paraId="0A611784">
            <w:pPr>
              <w:pStyle w:val="2"/>
              <w:spacing w:line="360" w:lineRule="auto"/>
              <w:ind w:firstLine="480" w:firstLineChars="200"/>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根据《中华人民共和国环境保护法》（2015年）、《中华人民共和国环境影响评价法》（2018年修正）、《建设项目环境保护管理条例》（2017年）以及《建设项目环境影响评价分类管理名录（2021年）》等规定</w:t>
            </w:r>
            <w:r>
              <w:rPr>
                <w:rFonts w:hint="default" w:ascii="Times New Roman" w:hAnsi="Times New Roman" w:eastAsia="宋体" w:cs="Times New Roman"/>
                <w:color w:val="auto"/>
                <w:sz w:val="24"/>
                <w:szCs w:val="24"/>
                <w:highlight w:val="none"/>
                <w:u w:val="none"/>
                <w:lang w:val="en-US" w:eastAsia="zh-CN"/>
              </w:rPr>
              <w:t>，</w:t>
            </w:r>
            <w:r>
              <w:rPr>
                <w:rFonts w:hint="eastAsia" w:cs="Times New Roman"/>
                <w:color w:val="auto"/>
                <w:sz w:val="24"/>
                <w:szCs w:val="24"/>
                <w:highlight w:val="none"/>
                <w:u w:val="none"/>
                <w:lang w:val="en-US" w:eastAsia="zh-CN"/>
              </w:rPr>
              <w:t>电脑零配件、汽车及电动车零配件、POS机零配件、其他五金配件等铝制品制造，涉及</w:t>
            </w:r>
            <w:r>
              <w:rPr>
                <w:rFonts w:hint="eastAsia" w:cs="Times New Roman"/>
                <w:b/>
                <w:bCs/>
                <w:color w:val="auto"/>
                <w:sz w:val="24"/>
                <w:szCs w:val="24"/>
                <w:highlight w:val="none"/>
                <w:u w:val="none"/>
                <w:lang w:val="en-US" w:eastAsia="zh-CN"/>
              </w:rPr>
              <w:t>熔化</w:t>
            </w:r>
            <w:r>
              <w:rPr>
                <w:rFonts w:hint="eastAsia" w:cs="Times New Roman"/>
                <w:color w:val="auto"/>
                <w:sz w:val="24"/>
                <w:szCs w:val="24"/>
                <w:highlight w:val="none"/>
                <w:u w:val="none"/>
                <w:lang w:val="en-US" w:eastAsia="zh-CN"/>
              </w:rPr>
              <w:t>及</w:t>
            </w:r>
            <w:r>
              <w:rPr>
                <w:rFonts w:hint="eastAsia" w:cs="Times New Roman"/>
                <w:b/>
                <w:bCs/>
                <w:color w:val="auto"/>
                <w:sz w:val="24"/>
                <w:szCs w:val="24"/>
                <w:highlight w:val="none"/>
                <w:u w:val="none"/>
                <w:lang w:val="en-US" w:eastAsia="zh-CN"/>
              </w:rPr>
              <w:t>压铸</w:t>
            </w:r>
            <w:r>
              <w:rPr>
                <w:rFonts w:hint="eastAsia" w:cs="Times New Roman"/>
                <w:color w:val="auto"/>
                <w:sz w:val="24"/>
                <w:szCs w:val="24"/>
                <w:highlight w:val="none"/>
                <w:u w:val="none"/>
                <w:lang w:val="en-US" w:eastAsia="zh-CN"/>
              </w:rPr>
              <w:t>工艺。</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属于名录中“三十、金属制品业33—68铸造及其他金属制品制造339—其他（仅分割、焊接、组装的除外）</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”“三十三、汽车制造业 36 汽车零部件及配件制造367 其他（年用非溶剂型低VOCs含量涂料10吨以下的除外）”</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本项目环评类别为环境影响报告表，详见表2-1。为此，</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该公司于2025年9月委托福州朴诚至信环保科技有限公司编制《福建瑞昌新能源科技开发有限公司年加工五金配件300万个项目环</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境影响报告表》（</w:t>
            </w: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委托书详见</w:t>
            </w:r>
            <w:r>
              <w:rPr>
                <w:rFonts w:hint="default" w:ascii="Times New Roman" w:hAnsi="Times New Roman" w:eastAsia="宋体" w:cs="Times New Roman"/>
                <w:b/>
                <w:bCs/>
                <w:color w:val="000000" w:themeColor="text1"/>
                <w:sz w:val="24"/>
                <w:szCs w:val="24"/>
                <w:highlight w:val="none"/>
                <w:u w:val="none"/>
                <w14:textFill>
                  <w14:solidFill>
                    <w14:schemeClr w14:val="tx1"/>
                  </w14:solidFill>
                </w14:textFill>
              </w:rPr>
              <w:t>附件一</w:t>
            </w:r>
            <w:r>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。本环评单位接受委托后，立即派技术人员踏勘现场和收集有关资料，按照</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建设项目环境影响报告表编制技术指南</w:t>
            </w:r>
            <w:r>
              <w:rPr>
                <w:rFonts w:hint="eastAsia" w:cs="Times New Roman"/>
                <w:color w:val="000000" w:themeColor="text1"/>
                <w:sz w:val="24"/>
                <w:szCs w:val="24"/>
                <w:highlight w:val="none"/>
                <w:u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污染影响类</w:t>
            </w:r>
            <w:r>
              <w:rPr>
                <w:rFonts w:hint="eastAsia" w:cs="Times New Roman"/>
                <w:color w:val="000000" w:themeColor="text1"/>
                <w:sz w:val="24"/>
                <w:szCs w:val="24"/>
                <w:highlight w:val="none"/>
                <w:u w:val="none"/>
                <w:lang w:eastAsia="zh-CN"/>
                <w14:textFill>
                  <w14:solidFill>
                    <w14:schemeClr w14:val="tx1"/>
                  </w14:solidFill>
                </w14:textFill>
              </w:rPr>
              <w:t>）（试行）》</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及相关技术规范要求，</w:t>
            </w: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编制了本环境影响报告表，供建设单位上报</w:t>
            </w:r>
            <w:r>
              <w:rPr>
                <w:rFonts w:hint="default" w:ascii="Times New Roman" w:hAnsi="Times New Roman" w:eastAsia="宋体" w:cs="Times New Roman"/>
                <w:color w:val="000000" w:themeColor="text1"/>
                <w:kern w:val="0"/>
                <w:sz w:val="24"/>
                <w:szCs w:val="24"/>
                <w:highlight w:val="none"/>
                <w:u w:val="none"/>
                <w:lang w:eastAsia="zh-CN"/>
                <w14:textFill>
                  <w14:solidFill>
                    <w14:schemeClr w14:val="tx1"/>
                  </w14:solidFill>
                </w14:textFill>
              </w:rPr>
              <w:t>生态环境行政主管部门</w:t>
            </w: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审批。</w:t>
            </w:r>
          </w:p>
          <w:p w14:paraId="336794FC">
            <w:pPr>
              <w:keepNext w:val="0"/>
              <w:keepLines w:val="0"/>
              <w:pageBreakBefore w:val="0"/>
              <w:widowControl w:val="0"/>
              <w:kinsoku/>
              <w:wordWrap/>
              <w:overflowPunct/>
              <w:topLinePunct w:val="0"/>
              <w:autoSpaceDE/>
              <w:autoSpaceDN/>
              <w:bidi w:val="0"/>
              <w:adjustRightInd w:val="0"/>
              <w:snapToGrid w:val="0"/>
              <w:spacing w:before="160" w:beforeLines="50"/>
              <w:jc w:val="center"/>
              <w:textAlignment w:val="auto"/>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t>表2.1-1 建设项目环境影响评价分类管理名录（摘录）</w:t>
            </w:r>
          </w:p>
          <w:tbl>
            <w:tblPr>
              <w:tblStyle w:val="24"/>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5"/>
              <w:gridCol w:w="1430"/>
              <w:gridCol w:w="3387"/>
              <w:gridCol w:w="2398"/>
              <w:gridCol w:w="801"/>
            </w:tblGrid>
            <w:tr w14:paraId="39817D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2" w:type="pct"/>
                  <w:gridSpan w:val="2"/>
                  <w:tcBorders>
                    <w:tl2br w:val="single" w:color="auto" w:sz="2" w:space="0"/>
                  </w:tcBorders>
                  <w:vAlign w:val="center"/>
                </w:tcPr>
                <w:p w14:paraId="57A3001B">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环评类别</w:t>
                  </w:r>
                </w:p>
                <w:p w14:paraId="3940A36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u w:val="none"/>
                      <w:vertAlign w:val="baseline"/>
                      <w:lang w:val="en-US" w:eastAsia="zh-CN" w:bidi="ar-SA"/>
                      <w14:textFill>
                        <w14:solidFill>
                          <w14:schemeClr w14:val="tx1"/>
                        </w14:solidFill>
                      </w14:textFill>
                    </w:rPr>
                    <w:t>项目类别</w:t>
                  </w:r>
                </w:p>
              </w:tc>
              <w:tc>
                <w:tcPr>
                  <w:tcW w:w="1973" w:type="pct"/>
                  <w:tcBorders>
                    <w:tl2br w:val="nil"/>
                    <w:tr2bl w:val="nil"/>
                  </w:tcBorders>
                  <w:vAlign w:val="center"/>
                </w:tcPr>
                <w:p w14:paraId="7EEEEF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报告书</w:t>
                  </w:r>
                </w:p>
              </w:tc>
              <w:tc>
                <w:tcPr>
                  <w:tcW w:w="1397" w:type="pct"/>
                  <w:tcBorders>
                    <w:tl2br w:val="nil"/>
                    <w:tr2bl w:val="nil"/>
                  </w:tcBorders>
                  <w:shd w:val="clear" w:color="auto" w:fill="D7D7D7" w:themeFill="background1" w:themeFillShade="D8"/>
                  <w:vAlign w:val="center"/>
                </w:tcPr>
                <w:p w14:paraId="455C92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报告表</w:t>
                  </w:r>
                </w:p>
              </w:tc>
              <w:tc>
                <w:tcPr>
                  <w:tcW w:w="466" w:type="pct"/>
                  <w:tcBorders>
                    <w:tl2br w:val="nil"/>
                    <w:tr2bl w:val="nil"/>
                  </w:tcBorders>
                  <w:vAlign w:val="center"/>
                </w:tcPr>
                <w:p w14:paraId="4CC9B2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登记表</w:t>
                  </w:r>
                </w:p>
              </w:tc>
            </w:tr>
            <w:tr w14:paraId="1F4EE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000" w:type="pct"/>
                  <w:gridSpan w:val="5"/>
                  <w:tcBorders>
                    <w:tl2br w:val="nil"/>
                    <w:tr2bl w:val="nil"/>
                  </w:tcBorders>
                  <w:shd w:val="clear" w:color="auto" w:fill="D7D7D7" w:themeFill="background1" w:themeFillShade="D8"/>
                  <w:vAlign w:val="center"/>
                </w:tcPr>
                <w:p w14:paraId="7D08F67E">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三十、金属制品业 33</w:t>
                  </w:r>
                </w:p>
              </w:tc>
            </w:tr>
            <w:tr w14:paraId="508583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329" w:type="pct"/>
                  <w:tcBorders>
                    <w:tl2br w:val="nil"/>
                    <w:tr2bl w:val="nil"/>
                  </w:tcBorders>
                  <w:shd w:val="clear" w:color="auto" w:fill="auto"/>
                  <w:vAlign w:val="center"/>
                </w:tcPr>
                <w:p w14:paraId="73D274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68</w:t>
                  </w:r>
                </w:p>
              </w:tc>
              <w:tc>
                <w:tcPr>
                  <w:tcW w:w="833" w:type="pct"/>
                  <w:tcBorders>
                    <w:tl2br w:val="nil"/>
                    <w:tr2bl w:val="nil"/>
                  </w:tcBorders>
                  <w:shd w:val="clear" w:color="auto" w:fill="auto"/>
                  <w:vAlign w:val="center"/>
                </w:tcPr>
                <w:p w14:paraId="774C67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铸造及其他金属制品制造 339</w:t>
                  </w:r>
                </w:p>
              </w:tc>
              <w:tc>
                <w:tcPr>
                  <w:tcW w:w="1973" w:type="pct"/>
                  <w:tcBorders>
                    <w:tl2br w:val="nil"/>
                    <w:tr2bl w:val="nil"/>
                  </w:tcBorders>
                  <w:shd w:val="clear" w:color="auto" w:fill="auto"/>
                  <w:vAlign w:val="center"/>
                </w:tcPr>
                <w:p w14:paraId="645D8A7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黑色金属铸造年产10万吨及以上的；有色金属铸造年产10万吨及以上的</w:t>
                  </w:r>
                </w:p>
              </w:tc>
              <w:tc>
                <w:tcPr>
                  <w:tcW w:w="1397" w:type="pct"/>
                  <w:tcBorders>
                    <w:tl2br w:val="nil"/>
                    <w:tr2bl w:val="nil"/>
                  </w:tcBorders>
                  <w:shd w:val="clear" w:color="auto" w:fill="D7D7D7" w:themeFill="background1" w:themeFillShade="D8"/>
                  <w:vAlign w:val="center"/>
                </w:tcPr>
                <w:p w14:paraId="4D7B57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其他（仅分割、焊接、组装的除外）</w:t>
                  </w:r>
                </w:p>
              </w:tc>
              <w:tc>
                <w:tcPr>
                  <w:tcW w:w="466" w:type="pct"/>
                  <w:tcBorders>
                    <w:tl2br w:val="nil"/>
                    <w:tr2bl w:val="nil"/>
                  </w:tcBorders>
                  <w:shd w:val="clear" w:color="auto" w:fill="auto"/>
                  <w:vAlign w:val="center"/>
                </w:tcPr>
                <w:p w14:paraId="7721F1D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w:t>
                  </w:r>
                </w:p>
              </w:tc>
            </w:tr>
            <w:tr w14:paraId="58CE68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000" w:type="pct"/>
                  <w:gridSpan w:val="5"/>
                  <w:tcBorders>
                    <w:tl2br w:val="nil"/>
                    <w:tr2bl w:val="nil"/>
                  </w:tcBorders>
                  <w:shd w:val="clear" w:color="auto" w:fill="D7D7D7" w:themeFill="background1" w:themeFillShade="D8"/>
                  <w:vAlign w:val="center"/>
                </w:tcPr>
                <w:p w14:paraId="6C60FE93">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三十三、汽车制造业 36</w:t>
                  </w:r>
                </w:p>
              </w:tc>
            </w:tr>
            <w:tr w14:paraId="76CDD2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3" w:hRule="atLeast"/>
              </w:trPr>
              <w:tc>
                <w:tcPr>
                  <w:tcW w:w="329" w:type="pct"/>
                  <w:tcBorders>
                    <w:tl2br w:val="nil"/>
                    <w:tr2bl w:val="nil"/>
                  </w:tcBorders>
                  <w:shd w:val="clear" w:color="auto" w:fill="auto"/>
                  <w:vAlign w:val="center"/>
                </w:tcPr>
                <w:p w14:paraId="197D262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71</w:t>
                  </w:r>
                </w:p>
              </w:tc>
              <w:tc>
                <w:tcPr>
                  <w:tcW w:w="833" w:type="pct"/>
                  <w:tcBorders>
                    <w:tl2br w:val="nil"/>
                    <w:tr2bl w:val="nil"/>
                  </w:tcBorders>
                  <w:shd w:val="clear" w:color="auto" w:fill="auto"/>
                  <w:vAlign w:val="center"/>
                </w:tcPr>
                <w:p w14:paraId="3F0BC8E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汽车零部件及配件制造367</w:t>
                  </w:r>
                </w:p>
              </w:tc>
              <w:tc>
                <w:tcPr>
                  <w:tcW w:w="1973" w:type="pct"/>
                  <w:tcBorders>
                    <w:tl2br w:val="nil"/>
                    <w:tr2bl w:val="nil"/>
                  </w:tcBorders>
                  <w:shd w:val="clear" w:color="auto" w:fill="auto"/>
                  <w:vAlign w:val="center"/>
                </w:tcPr>
                <w:p w14:paraId="17865F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汽车整车制造（仅组装的除外）；汽车用发动机制造（仅组装的除外）；有电镀工艺的；年用溶剂型涂料（含稀释剂）10吨及以上的</w:t>
                  </w:r>
                </w:p>
              </w:tc>
              <w:tc>
                <w:tcPr>
                  <w:tcW w:w="1397" w:type="pct"/>
                  <w:tcBorders>
                    <w:tl2br w:val="nil"/>
                    <w:tr2bl w:val="nil"/>
                  </w:tcBorders>
                  <w:shd w:val="clear" w:color="auto" w:fill="D7D7D7" w:themeFill="background1" w:themeFillShade="D8"/>
                  <w:vAlign w:val="center"/>
                </w:tcPr>
                <w:p w14:paraId="748588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其他（年用非溶剂型低VOCs含量涂料10吨以下的除外）</w:t>
                  </w:r>
                </w:p>
              </w:tc>
              <w:tc>
                <w:tcPr>
                  <w:tcW w:w="466" w:type="pct"/>
                  <w:tcBorders>
                    <w:tl2br w:val="nil"/>
                    <w:tr2bl w:val="nil"/>
                  </w:tcBorders>
                  <w:shd w:val="clear" w:color="auto" w:fill="auto"/>
                  <w:vAlign w:val="center"/>
                </w:tcPr>
                <w:p w14:paraId="0B443D7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w:t>
                  </w:r>
                </w:p>
              </w:tc>
            </w:tr>
          </w:tbl>
          <w:p w14:paraId="78EC04A2">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000000" w:themeColor="text1"/>
                <w:sz w:val="28"/>
                <w:szCs w:val="28"/>
                <w:highlight w:val="none"/>
                <w:u w:val="none"/>
                <w:lang w:val="en-US" w:eastAsia="zh-CN"/>
                <w14:textFill>
                  <w14:solidFill>
                    <w14:schemeClr w14:val="tx1"/>
                  </w14:solidFill>
                </w14:textFill>
              </w:rPr>
            </w:pPr>
            <w:bookmarkStart w:id="21" w:name="_Toc8414"/>
            <w:bookmarkStart w:id="22" w:name="_Toc12846"/>
            <w:r>
              <w:rPr>
                <w:rFonts w:hint="eastAsia" w:ascii="Times New Roman" w:hAnsi="Times New Roman" w:eastAsia="宋体" w:cs="Times New Roman"/>
                <w:color w:val="000000" w:themeColor="text1"/>
                <w:sz w:val="28"/>
                <w:szCs w:val="28"/>
                <w:highlight w:val="none"/>
                <w:u w:val="none"/>
                <w:lang w:val="en-US" w:eastAsia="zh-CN"/>
                <w14:textFill>
                  <w14:solidFill>
                    <w14:schemeClr w14:val="tx1"/>
                  </w14:solidFill>
                </w14:textFill>
              </w:rPr>
              <w:t>2.2工程概况</w:t>
            </w:r>
            <w:bookmarkEnd w:id="21"/>
            <w:bookmarkEnd w:id="22"/>
          </w:p>
          <w:p w14:paraId="3D13756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23" w:name="_Toc9404"/>
            <w:bookmarkStart w:id="24" w:name="_Toc11991"/>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2.2.1 企业基本情况</w:t>
            </w:r>
            <w:bookmarkEnd w:id="23"/>
            <w:bookmarkEnd w:id="24"/>
          </w:p>
          <w:p w14:paraId="2973D389">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建设单位购买</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均和产业发展</w:t>
            </w:r>
            <w:r>
              <w:rPr>
                <w:rFonts w:hint="eastAsia"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福清</w:t>
            </w:r>
            <w:r>
              <w:rPr>
                <w:rFonts w:hint="eastAsia"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有限公司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投资建设的均和云谷·福清科技港</w:t>
            </w:r>
            <w:r>
              <w:rPr>
                <w:rFonts w:hint="eastAsia" w:cs="Times New Roman"/>
                <w:color w:val="000000" w:themeColor="text1"/>
                <w:sz w:val="24"/>
                <w:szCs w:val="24"/>
                <w:highlight w:val="none"/>
                <w:lang w:val="en-US" w:eastAsia="zh-CN"/>
                <w14:textFill>
                  <w14:solidFill>
                    <w14:schemeClr w14:val="tx1"/>
                  </w14:solidFill>
                </w14:textFill>
              </w:rPr>
              <w:t>33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#楼</w:t>
            </w:r>
            <w:r>
              <w:rPr>
                <w:rFonts w:hint="eastAsia" w:cs="Times New Roman"/>
                <w:color w:val="000000" w:themeColor="text1"/>
                <w:sz w:val="24"/>
                <w:szCs w:val="24"/>
                <w:highlight w:val="none"/>
                <w:lang w:val="en-US" w:eastAsia="zh-CN"/>
                <w14:textFill>
                  <w14:solidFill>
                    <w14:schemeClr w14:val="tx1"/>
                  </w14:solidFill>
                </w14:textFill>
              </w:rPr>
              <w:t>1-4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层</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厂房定制合同</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见</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附件</w:t>
            </w:r>
            <w:r>
              <w:rPr>
                <w:rFonts w:hint="eastAsia" w:cs="Times New Roman"/>
                <w:b/>
                <w:bCs/>
                <w:color w:val="000000" w:themeColor="text1"/>
                <w:sz w:val="24"/>
                <w:szCs w:val="24"/>
                <w:highlight w:val="none"/>
                <w:lang w:val="en-US" w:eastAsia="zh-CN"/>
                <w14:textFill>
                  <w14:solidFill>
                    <w14:schemeClr w14:val="tx1"/>
                  </w14:solidFill>
                </w14:textFill>
              </w:rPr>
              <w:t>五</w:t>
            </w:r>
            <w:r>
              <w:rPr>
                <w:rFonts w:hint="eastAsia" w:cs="Times New Roman"/>
                <w:color w:val="000000" w:themeColor="text1"/>
                <w:sz w:val="24"/>
                <w:szCs w:val="24"/>
                <w:highlight w:val="none"/>
                <w:lang w:val="en-US" w:eastAsia="zh-CN"/>
                <w14:textFill>
                  <w14:solidFill>
                    <w14:schemeClr w14:val="tx1"/>
                  </w14:solidFill>
                </w14:textFill>
              </w:rPr>
              <w:t>）（不动产登记信息查询结果详见</w:t>
            </w:r>
            <w:r>
              <w:rPr>
                <w:rFonts w:hint="eastAsia" w:cs="Times New Roman"/>
                <w:b/>
                <w:bCs/>
                <w:color w:val="000000" w:themeColor="text1"/>
                <w:sz w:val="24"/>
                <w:szCs w:val="24"/>
                <w:highlight w:val="none"/>
                <w:lang w:val="en-US" w:eastAsia="zh-CN"/>
                <w14:textFill>
                  <w14:solidFill>
                    <w14:schemeClr w14:val="tx1"/>
                  </w14:solidFill>
                </w14:textFill>
              </w:rPr>
              <w:t>附件六</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本次评价利用</w:t>
            </w:r>
            <w:r>
              <w:rPr>
                <w:rFonts w:hint="eastAsia" w:cs="Times New Roman"/>
                <w:color w:val="000000" w:themeColor="text1"/>
                <w:sz w:val="24"/>
                <w:szCs w:val="24"/>
                <w:highlight w:val="none"/>
                <w:lang w:val="en-US" w:eastAsia="zh-CN"/>
                <w14:textFill>
                  <w14:solidFill>
                    <w14:schemeClr w14:val="tx1"/>
                  </w14:solidFill>
                </w14:textFill>
              </w:rPr>
              <w:t>一层（1200m</w:t>
            </w:r>
            <w:r>
              <w:rPr>
                <w:rFonts w:hint="eastAsia" w:cs="Times New Roman"/>
                <w:color w:val="000000" w:themeColor="text1"/>
                <w:sz w:val="24"/>
                <w:szCs w:val="24"/>
                <w:highlight w:val="none"/>
                <w:vertAlign w:val="superscript"/>
                <w:lang w:val="en-US" w:eastAsia="zh-CN"/>
                <w14:textFill>
                  <w14:solidFill>
                    <w14:schemeClr w14:val="tx1"/>
                  </w14:solidFill>
                </w14:textFill>
              </w:rPr>
              <w:t>2</w:t>
            </w:r>
            <w:r>
              <w:rPr>
                <w:rFonts w:hint="eastAsia" w:cs="Times New Roman"/>
                <w:color w:val="000000" w:themeColor="text1"/>
                <w:sz w:val="24"/>
                <w:szCs w:val="24"/>
                <w:highlight w:val="none"/>
                <w:lang w:val="en-US" w:eastAsia="zh-CN"/>
                <w14:textFill>
                  <w14:solidFill>
                    <w14:schemeClr w14:val="tx1"/>
                  </w14:solidFill>
                </w14:textFill>
              </w:rPr>
              <w:t>）、二层（1200m</w:t>
            </w:r>
            <w:r>
              <w:rPr>
                <w:rFonts w:hint="eastAsia" w:cs="Times New Roman"/>
                <w:color w:val="000000" w:themeColor="text1"/>
                <w:sz w:val="24"/>
                <w:szCs w:val="24"/>
                <w:highlight w:val="none"/>
                <w:vertAlign w:val="superscript"/>
                <w:lang w:val="en-US" w:eastAsia="zh-CN"/>
                <w14:textFill>
                  <w14:solidFill>
                    <w14:schemeClr w14:val="tx1"/>
                  </w14:solidFill>
                </w14:textFill>
              </w:rPr>
              <w:t>2</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作为本项目生产经营场所，</w:t>
            </w:r>
            <w:r>
              <w:rPr>
                <w:rFonts w:hint="eastAsia" w:cs="Times New Roman"/>
                <w:color w:val="000000" w:themeColor="text1"/>
                <w:sz w:val="24"/>
                <w:szCs w:val="24"/>
                <w:highlight w:val="none"/>
                <w:lang w:val="en-US" w:eastAsia="zh-CN"/>
                <w14:textFill>
                  <w14:solidFill>
                    <w14:schemeClr w14:val="tx1"/>
                  </w14:solidFill>
                </w14:textFill>
              </w:rPr>
              <w:t>三层（1200m</w:t>
            </w:r>
            <w:r>
              <w:rPr>
                <w:rFonts w:hint="eastAsia" w:cs="Times New Roman"/>
                <w:color w:val="000000" w:themeColor="text1"/>
                <w:sz w:val="24"/>
                <w:szCs w:val="24"/>
                <w:highlight w:val="none"/>
                <w:vertAlign w:val="superscript"/>
                <w:lang w:val="en-US" w:eastAsia="zh-CN"/>
                <w14:textFill>
                  <w14:solidFill>
                    <w14:schemeClr w14:val="tx1"/>
                  </w14:solidFill>
                </w14:textFill>
              </w:rPr>
              <w:t>2</w:t>
            </w:r>
            <w:r>
              <w:rPr>
                <w:rFonts w:hint="eastAsia" w:cs="Times New Roman"/>
                <w:color w:val="000000" w:themeColor="text1"/>
                <w:sz w:val="24"/>
                <w:szCs w:val="24"/>
                <w:highlight w:val="none"/>
                <w:vertAlign w:val="baseli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作为原辅材料及成品仓库，</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无需分割。</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因此本评价在此简单</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介绍均和云谷·福清科技港项目的</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基本情况。</w:t>
            </w:r>
          </w:p>
          <w:p w14:paraId="43E1B15E">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i w:val="0"/>
                <w:iCs w:val="0"/>
                <w:caps w:val="0"/>
                <w:color w:val="000000" w:themeColor="text1"/>
                <w:spacing w:val="0"/>
                <w:sz w:val="24"/>
                <w:szCs w:val="24"/>
                <w:highlight w:val="none"/>
                <w:shd w:val="clear" w:color="auto" w:fill="FFFFFF"/>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均和云谷·福清科技港项目位于福清融侨经济技术开发区（福州市福清市阳下街道上亭村398号），项目总占地面积95657m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，总建筑面积约153451.80m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分四期建设，主要建设41栋标准厂房、1栋综合楼及相应的配套设施；根据规划，均和云谷·福清科技港建设后拟将厂房外售或者外租给相应的企业进行生产，自身不进行生产；因此，该项目未办理相关环保审批手续，由入驻企业根据实际情况，单独办理环保相关审批手续</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。根据福清融侨经济技术开发区管理委员会出具的“关于协助均和云谷</w:t>
            </w:r>
            <w:r>
              <w:rPr>
                <w:rFonts w:hint="eastAsia" w:ascii="宋体" w:hAnsi="宋体" w:eastAsia="宋体" w:cs="宋体"/>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福清科技港入园企业先行办理环评手续的函”相关内容可知，同意企业办理环评手续</w:t>
            </w:r>
            <w:r>
              <w:rPr>
                <w:rFonts w:hint="eastAsia" w:cs="Times New Roman"/>
                <w:color w:val="000000" w:themeColor="text1"/>
                <w:sz w:val="24"/>
                <w:highlight w:val="none"/>
                <w:lang w:val="en-US" w:eastAsia="zh-CN"/>
                <w14:textFill>
                  <w14:solidFill>
                    <w14:schemeClr w14:val="tx1"/>
                  </w14:solidFill>
                </w14:textFill>
              </w:rPr>
              <w:t>函（</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详见</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附件</w:t>
            </w:r>
            <w:r>
              <w:rPr>
                <w:rFonts w:hint="eastAsia" w:cs="Times New Roman"/>
                <w:b/>
                <w:bCs/>
                <w:color w:val="000000" w:themeColor="text1"/>
                <w:sz w:val="24"/>
                <w:highlight w:val="none"/>
                <w:lang w:val="en-US" w:eastAsia="zh-CN"/>
                <w14:textFill>
                  <w14:solidFill>
                    <w14:schemeClr w14:val="tx1"/>
                  </w14:solidFill>
                </w14:textFill>
              </w:rPr>
              <w:t>七</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p>
          <w:p w14:paraId="53D658D8">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根据现场勘查</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均和云谷·福清科技港内未配套</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生产废水处理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设施、废气环保设施</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固废暂存间</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等可</w:t>
            </w:r>
            <w:r>
              <w:rPr>
                <w:rFonts w:hint="eastAsia" w:cs="Times New Roman"/>
                <w:color w:val="000000" w:themeColor="text1"/>
                <w:sz w:val="24"/>
                <w:szCs w:val="24"/>
                <w:highlight w:val="none"/>
                <w:lang w:eastAsia="zh-CN"/>
                <w14:textFill>
                  <w14:solidFill>
                    <w14:schemeClr w14:val="tx1"/>
                  </w14:solidFill>
                </w14:textFill>
              </w:rPr>
              <w:t>提供</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本项目依托的相关环保设施。</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本项目废气环保设施、固废暂存间等均由本单位自行建设；</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本项目可依托的设施主要为厂区内的现有给水管网、排水管网、供电管网</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给水消防</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及化粪池</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等公用工程设施</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目前均和云谷·福清科技港项目污水管网已经接入市政污水管网，将生活污水统一送往</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福清市融元污水处理厂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集中处理</w:t>
            </w:r>
            <w:r>
              <w:rPr>
                <w:rFonts w:hint="eastAsia" w:cs="Times New Roman"/>
                <w:color w:val="000000" w:themeColor="text1"/>
                <w:sz w:val="24"/>
                <w:szCs w:val="24"/>
                <w:highlight w:val="none"/>
                <w:lang w:val="en-US" w:eastAsia="zh-CN"/>
                <w14:textFill>
                  <w14:solidFill>
                    <w14:schemeClr w14:val="tx1"/>
                  </w14:solidFill>
                </w14:textFill>
              </w:rPr>
              <w:t>（接管证明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详见</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附件</w:t>
            </w:r>
            <w:r>
              <w:rPr>
                <w:rFonts w:hint="eastAsia" w:cs="Times New Roman"/>
                <w:b/>
                <w:bCs/>
                <w:color w:val="000000" w:themeColor="text1"/>
                <w:sz w:val="24"/>
                <w:szCs w:val="24"/>
                <w:highlight w:val="none"/>
                <w:lang w:val="en-US" w:eastAsia="zh-CN"/>
                <w14:textFill>
                  <w14:solidFill>
                    <w14:schemeClr w14:val="tx1"/>
                  </w14:solidFill>
                </w14:textFill>
              </w:rPr>
              <w:t>九</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3E6C3B2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25" w:name="_Toc15596"/>
            <w:bookmarkStart w:id="26" w:name="_Toc29283"/>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项目基本情况</w:t>
            </w:r>
            <w:bookmarkEnd w:id="25"/>
            <w:bookmarkEnd w:id="26"/>
          </w:p>
          <w:p w14:paraId="08698F58">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（1）项目名称：</w:t>
            </w:r>
            <w:r>
              <w:rPr>
                <w:rFonts w:hint="eastAsia" w:cs="Times New Roman"/>
                <w:color w:val="000000" w:themeColor="text1"/>
                <w:sz w:val="24"/>
                <w:szCs w:val="24"/>
                <w:highlight w:val="none"/>
                <w:u w:val="none"/>
                <w:lang w:eastAsia="zh-CN"/>
                <w14:textFill>
                  <w14:solidFill>
                    <w14:schemeClr w14:val="tx1"/>
                  </w14:solidFill>
                </w14:textFill>
              </w:rPr>
              <w:t>福建瑞昌新能源科技开发有限公司年加工五金配件300万个项目</w:t>
            </w:r>
          </w:p>
          <w:p w14:paraId="3C33C5DC">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（2）建设单位：</w:t>
            </w:r>
            <w:r>
              <w:rPr>
                <w:rFonts w:hint="eastAsia" w:cs="Times New Roman"/>
                <w:color w:val="auto"/>
                <w:sz w:val="24"/>
                <w:szCs w:val="24"/>
                <w:highlight w:val="none"/>
                <w:u w:val="none"/>
                <w:lang w:eastAsia="zh-CN"/>
              </w:rPr>
              <w:t>福建瑞昌新能源科技开发有限公司</w:t>
            </w:r>
          </w:p>
          <w:p w14:paraId="1EF06C28">
            <w:pPr>
              <w:keepNext w:val="0"/>
              <w:keepLines w:val="0"/>
              <w:pageBreakBefore w:val="0"/>
              <w:kinsoku/>
              <w:wordWrap/>
              <w:overflowPunct/>
              <w:topLinePunct w:val="0"/>
              <w:autoSpaceDE/>
              <w:autoSpaceDN/>
              <w:bidi w:val="0"/>
              <w:adjustRightInd w:val="0"/>
              <w:snapToGrid w:val="0"/>
              <w:spacing w:line="240" w:lineRule="auto"/>
              <w:ind w:left="0" w:right="0"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auto"/>
                <w:sz w:val="24"/>
                <w:szCs w:val="24"/>
                <w:highlight w:val="none"/>
                <w:lang w:val="en-US" w:eastAsia="zh-CN"/>
              </w:rPr>
              <w:t>（3）建设地点：</w:t>
            </w:r>
            <w:r>
              <w:rPr>
                <w:rFonts w:hint="eastAsia" w:cs="Times New Roman"/>
                <w:color w:val="auto"/>
                <w:sz w:val="24"/>
                <w:szCs w:val="24"/>
                <w:highlight w:val="none"/>
                <w:lang w:eastAsia="zh-CN"/>
              </w:rPr>
              <w:t>福清融侨经济技术开发区（均和云谷·福清科技港33#厂房）</w:t>
            </w:r>
          </w:p>
          <w:p w14:paraId="7E51690C">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（4）建设性质：新建</w:t>
            </w:r>
          </w:p>
          <w:p w14:paraId="448FBD25">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（5）总 投 资：</w:t>
            </w:r>
            <w:r>
              <w:rPr>
                <w:rFonts w:hint="eastAsia" w:cs="Times New Roman"/>
                <w:color w:val="000000" w:themeColor="text1"/>
                <w:sz w:val="24"/>
                <w:szCs w:val="24"/>
                <w:highlight w:val="none"/>
                <w:lang w:val="en-US" w:eastAsia="zh-CN"/>
                <w14:textFill>
                  <w14:solidFill>
                    <w14:schemeClr w14:val="tx1"/>
                  </w14:solidFill>
                </w14:textFill>
              </w:rPr>
              <w:t>2800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万元，其中环保投资</w:t>
            </w:r>
            <w:r>
              <w:rPr>
                <w:rFonts w:hint="eastAsia" w:cs="Times New Roman"/>
                <w:color w:val="000000" w:themeColor="text1"/>
                <w:sz w:val="24"/>
                <w:szCs w:val="24"/>
                <w:highlight w:val="none"/>
                <w:lang w:val="en-US" w:eastAsia="zh-CN"/>
                <w14:textFill>
                  <w14:solidFill>
                    <w14:schemeClr w14:val="tx1"/>
                  </w14:solidFill>
                </w14:textFill>
              </w:rPr>
              <w:t>40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万元</w:t>
            </w:r>
          </w:p>
          <w:p w14:paraId="2C6B6F92">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（6）建设规模：建设</w:t>
            </w:r>
            <w:r>
              <w:rPr>
                <w:rFonts w:hint="eastAsia" w:cs="Times New Roman"/>
                <w:color w:val="000000" w:themeColor="text1"/>
                <w:sz w:val="24"/>
                <w:szCs w:val="24"/>
                <w:highlight w:val="none"/>
                <w:lang w:val="en-US" w:eastAsia="zh-CN"/>
                <w14:textFill>
                  <w14:solidFill>
                    <w14:schemeClr w14:val="tx1"/>
                  </w14:solidFill>
                </w14:textFill>
              </w:rPr>
              <w:t>4条五金配件生产线，年加工五金配件300万个</w:t>
            </w:r>
          </w:p>
          <w:p w14:paraId="69179CA7">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u w:val="none"/>
                <w:vertAlign w:val="superscript"/>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（7）建筑面积：1-4层共</w:t>
            </w:r>
            <w:r>
              <w:rPr>
                <w:rFonts w:hint="eastAsia" w:cs="Times New Roman"/>
                <w:color w:val="000000" w:themeColor="text1"/>
                <w:sz w:val="24"/>
                <w:szCs w:val="24"/>
                <w:highlight w:val="none"/>
                <w:u w:val="none"/>
                <w:lang w:val="en-US" w:eastAsia="zh-CN"/>
                <w14:textFill>
                  <w14:solidFill>
                    <w14:schemeClr w14:val="tx1"/>
                  </w14:solidFill>
                </w14:textFill>
              </w:rPr>
              <w:t>4188.94</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u w:val="none"/>
                <w:vertAlign w:val="superscript"/>
                <w:lang w:val="en-US" w:eastAsia="zh-CN"/>
                <w14:textFill>
                  <w14:solidFill>
                    <w14:schemeClr w14:val="tx1"/>
                  </w14:solidFill>
                </w14:textFill>
              </w:rPr>
              <w:t>2</w:t>
            </w:r>
          </w:p>
          <w:p w14:paraId="63920DA6">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vertAlign w:val="baseline"/>
                <w:lang w:val="en-US" w:eastAsia="zh-CN"/>
                <w14:textFill>
                  <w14:solidFill>
                    <w14:schemeClr w14:val="tx1"/>
                  </w14:solidFill>
                </w14:textFill>
              </w:rPr>
              <w:t>（8）工作制度：年生产300天，</w:t>
            </w:r>
            <w:r>
              <w:rPr>
                <w:rFonts w:hint="eastAsia" w:cs="Times New Roman"/>
                <w:color w:val="000000" w:themeColor="text1"/>
                <w:sz w:val="24"/>
                <w:szCs w:val="24"/>
                <w:highlight w:val="none"/>
                <w:u w:val="none"/>
                <w:vertAlign w:val="baseline"/>
                <w:lang w:val="en-US" w:eastAsia="zh-CN"/>
                <w14:textFill>
                  <w14:solidFill>
                    <w14:schemeClr w14:val="tx1"/>
                  </w14:solidFill>
                </w14:textFill>
              </w:rPr>
              <w:t>单班制</w:t>
            </w:r>
            <w:r>
              <w:rPr>
                <w:rFonts w:hint="eastAsia" w:ascii="Times New Roman" w:hAnsi="Times New Roman" w:eastAsia="宋体" w:cs="Times New Roman"/>
                <w:color w:val="000000" w:themeColor="text1"/>
                <w:sz w:val="24"/>
                <w:szCs w:val="24"/>
                <w:highlight w:val="none"/>
                <w:u w:val="none"/>
                <w:vertAlign w:val="baseline"/>
                <w:lang w:val="en-US" w:eastAsia="zh-CN"/>
                <w14:textFill>
                  <w14:solidFill>
                    <w14:schemeClr w14:val="tx1"/>
                  </w14:solidFill>
                </w14:textFill>
              </w:rPr>
              <w:t>，每班</w:t>
            </w:r>
            <w:r>
              <w:rPr>
                <w:rFonts w:hint="eastAsia" w:cs="Times New Roman"/>
                <w:color w:val="000000" w:themeColor="text1"/>
                <w:sz w:val="24"/>
                <w:szCs w:val="24"/>
                <w:highlight w:val="none"/>
                <w:u w:val="none"/>
                <w:vertAlign w:val="baseline"/>
                <w:lang w:val="en-US" w:eastAsia="zh-CN"/>
                <w14:textFill>
                  <w14:solidFill>
                    <w14:schemeClr w14:val="tx1"/>
                  </w14:solidFill>
                </w14:textFill>
              </w:rPr>
              <w:t>8</w:t>
            </w:r>
            <w:r>
              <w:rPr>
                <w:rFonts w:hint="eastAsia" w:ascii="Times New Roman" w:hAnsi="Times New Roman" w:eastAsia="宋体" w:cs="Times New Roman"/>
                <w:color w:val="000000" w:themeColor="text1"/>
                <w:sz w:val="24"/>
                <w:szCs w:val="24"/>
                <w:highlight w:val="none"/>
                <w:u w:val="none"/>
                <w:vertAlign w:val="baseline"/>
                <w:lang w:val="en-US" w:eastAsia="zh-CN"/>
                <w14:textFill>
                  <w14:solidFill>
                    <w14:schemeClr w14:val="tx1"/>
                  </w14:solidFill>
                </w14:textFill>
              </w:rPr>
              <w:t>小时；</w:t>
            </w:r>
          </w:p>
          <w:p w14:paraId="53A3EADE">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vertAlign w:val="baseline"/>
                <w:lang w:val="en-US" w:eastAsia="zh-CN"/>
                <w14:textFill>
                  <w14:solidFill>
                    <w14:schemeClr w14:val="tx1"/>
                  </w14:solidFill>
                </w14:textFill>
              </w:rPr>
              <w:t>（9）劳动定员：职工30人</w:t>
            </w:r>
          </w:p>
          <w:p w14:paraId="4175C1D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27" w:name="_Toc18032"/>
            <w:bookmarkStart w:id="28" w:name="_Toc18841"/>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w:t>
            </w:r>
            <w:r>
              <w:rPr>
                <w:rFonts w:hint="default" w:cs="Times New Roman"/>
                <w:b/>
                <w:bCs/>
                <w:color w:val="000000" w:themeColor="text1"/>
                <w:sz w:val="24"/>
                <w:szCs w:val="24"/>
                <w:highlight w:val="none"/>
                <w:u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项目工程组成及建设内容</w:t>
            </w:r>
            <w:bookmarkEnd w:id="27"/>
            <w:bookmarkEnd w:id="28"/>
          </w:p>
          <w:p w14:paraId="2AA979CB">
            <w:pPr>
              <w:keepNext w:val="0"/>
              <w:keepLines w:val="0"/>
              <w:pageBreakBefore w:val="0"/>
              <w:kinsoku/>
              <w:wordWrap/>
              <w:overflowPunct/>
              <w:topLinePunct w:val="0"/>
              <w:autoSpaceDE/>
              <w:autoSpaceDN/>
              <w:bidi w:val="0"/>
              <w:adjustRightInd w:val="0"/>
              <w:snapToGrid w:val="0"/>
              <w:spacing w:line="240" w:lineRule="auto"/>
              <w:ind w:left="0" w:right="0" w:firstLine="480" w:firstLineChars="200"/>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项目工程组成及建设内容详见表2.2-1。</w:t>
            </w:r>
          </w:p>
          <w:p w14:paraId="7B90496A">
            <w:pPr>
              <w:keepNext w:val="0"/>
              <w:keepLines w:val="0"/>
              <w:pageBreakBefore w:val="0"/>
              <w:widowControl w:val="0"/>
              <w:kinsoku/>
              <w:wordWrap/>
              <w:overflowPunct/>
              <w:topLinePunct w:val="0"/>
              <w:autoSpaceDE/>
              <w:autoSpaceDN/>
              <w:bidi w:val="0"/>
              <w:adjustRightInd w:val="0"/>
              <w:snapToGrid w:val="0"/>
              <w:spacing w:before="160" w:beforeLines="50" w:line="240" w:lineRule="auto"/>
              <w:ind w:right="0"/>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表2.2-1 项目工程组成及建设内容一览表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1"/>
              <w:gridCol w:w="424"/>
              <w:gridCol w:w="1562"/>
              <w:gridCol w:w="4767"/>
              <w:gridCol w:w="1114"/>
            </w:tblGrid>
            <w:tr w14:paraId="038DEA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414" w:type="pct"/>
                  <w:tcBorders>
                    <w:tl2br w:val="nil"/>
                    <w:tr2bl w:val="nil"/>
                  </w:tcBorders>
                  <w:vAlign w:val="center"/>
                </w:tcPr>
                <w:p w14:paraId="56F86EF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工程类别</w:t>
                  </w:r>
                </w:p>
              </w:tc>
              <w:tc>
                <w:tcPr>
                  <w:tcW w:w="1157" w:type="pct"/>
                  <w:gridSpan w:val="2"/>
                  <w:tcBorders>
                    <w:tl2br w:val="nil"/>
                    <w:tr2bl w:val="nil"/>
                  </w:tcBorders>
                  <w:vAlign w:val="center"/>
                </w:tcPr>
                <w:p w14:paraId="5817625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项目组成</w:t>
                  </w:r>
                </w:p>
              </w:tc>
              <w:tc>
                <w:tcPr>
                  <w:tcW w:w="2778" w:type="pct"/>
                  <w:tcBorders>
                    <w:tl2br w:val="nil"/>
                    <w:tr2bl w:val="nil"/>
                  </w:tcBorders>
                  <w:vAlign w:val="center"/>
                </w:tcPr>
                <w:p w14:paraId="36E0E85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工程规模和内容</w:t>
                  </w:r>
                </w:p>
              </w:tc>
              <w:tc>
                <w:tcPr>
                  <w:tcW w:w="649" w:type="pct"/>
                  <w:tcBorders>
                    <w:tl2br w:val="nil"/>
                    <w:tr2bl w:val="nil"/>
                  </w:tcBorders>
                  <w:vAlign w:val="center"/>
                </w:tcPr>
                <w:p w14:paraId="1D5ED67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备注</w:t>
                  </w:r>
                </w:p>
              </w:tc>
            </w:tr>
            <w:tr w14:paraId="458216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414" w:type="pct"/>
                  <w:vMerge w:val="restart"/>
                  <w:tcBorders>
                    <w:tl2br w:val="nil"/>
                    <w:tr2bl w:val="nil"/>
                  </w:tcBorders>
                  <w:vAlign w:val="center"/>
                </w:tcPr>
                <w:p w14:paraId="0987798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主体工程</w:t>
                  </w:r>
                </w:p>
              </w:tc>
              <w:tc>
                <w:tcPr>
                  <w:tcW w:w="1157" w:type="pct"/>
                  <w:gridSpan w:val="2"/>
                  <w:tcBorders>
                    <w:tl2br w:val="nil"/>
                    <w:tr2bl w:val="nil"/>
                  </w:tcBorders>
                  <w:vAlign w:val="center"/>
                </w:tcPr>
                <w:p w14:paraId="27474FE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一层（前段工序）</w:t>
                  </w:r>
                </w:p>
              </w:tc>
              <w:tc>
                <w:tcPr>
                  <w:tcW w:w="2778" w:type="pct"/>
                  <w:tcBorders>
                    <w:tl2br w:val="nil"/>
                    <w:tr2bl w:val="nil"/>
                  </w:tcBorders>
                  <w:vAlign w:val="center"/>
                </w:tcPr>
                <w:p w14:paraId="4B5088B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购置电阻炉、压铸机及周边辅助设备</w:t>
                  </w:r>
                </w:p>
              </w:tc>
              <w:tc>
                <w:tcPr>
                  <w:tcW w:w="649" w:type="pct"/>
                  <w:tcBorders>
                    <w:tl2br w:val="nil"/>
                    <w:tr2bl w:val="nil"/>
                  </w:tcBorders>
                  <w:vAlign w:val="center"/>
                </w:tcPr>
                <w:p w14:paraId="343A2A1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依托已建厂房</w:t>
                  </w:r>
                </w:p>
              </w:tc>
            </w:tr>
            <w:tr w14:paraId="612622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414" w:type="pct"/>
                  <w:vMerge w:val="continue"/>
                  <w:tcBorders>
                    <w:tl2br w:val="nil"/>
                    <w:tr2bl w:val="nil"/>
                  </w:tcBorders>
                  <w:vAlign w:val="center"/>
                </w:tcPr>
                <w:p w14:paraId="47EC8B5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157" w:type="pct"/>
                  <w:gridSpan w:val="2"/>
                  <w:tcBorders>
                    <w:tl2br w:val="nil"/>
                    <w:tr2bl w:val="nil"/>
                  </w:tcBorders>
                  <w:vAlign w:val="center"/>
                </w:tcPr>
                <w:p w14:paraId="5520A6A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二层（后段工序）</w:t>
                  </w:r>
                </w:p>
              </w:tc>
              <w:tc>
                <w:tcPr>
                  <w:tcW w:w="2778" w:type="pct"/>
                  <w:tcBorders>
                    <w:tl2br w:val="nil"/>
                    <w:tr2bl w:val="nil"/>
                  </w:tcBorders>
                  <w:vAlign w:val="center"/>
                </w:tcPr>
                <w:p w14:paraId="0F0F273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购置抛光机、打磨机、钻孔机、攻牙机等设备，建设4条五金配件生产线</w:t>
                  </w:r>
                </w:p>
              </w:tc>
              <w:tc>
                <w:tcPr>
                  <w:tcW w:w="649" w:type="pct"/>
                  <w:tcBorders>
                    <w:tl2br w:val="nil"/>
                    <w:tr2bl w:val="nil"/>
                  </w:tcBorders>
                  <w:vAlign w:val="center"/>
                </w:tcPr>
                <w:p w14:paraId="4F63EF0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依托已建厂房</w:t>
                  </w:r>
                </w:p>
              </w:tc>
            </w:tr>
            <w:tr w14:paraId="01DC84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414" w:type="pct"/>
                  <w:vMerge w:val="restart"/>
                  <w:tcBorders>
                    <w:tl2br w:val="nil"/>
                    <w:tr2bl w:val="nil"/>
                  </w:tcBorders>
                  <w:vAlign w:val="center"/>
                </w:tcPr>
                <w:p w14:paraId="305CC01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辅助工程</w:t>
                  </w:r>
                </w:p>
              </w:tc>
              <w:tc>
                <w:tcPr>
                  <w:tcW w:w="1157" w:type="pct"/>
                  <w:gridSpan w:val="2"/>
                  <w:tcBorders>
                    <w:tl2br w:val="nil"/>
                    <w:tr2bl w:val="nil"/>
                  </w:tcBorders>
                  <w:vAlign w:val="center"/>
                </w:tcPr>
                <w:p w14:paraId="2B03628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成品区</w:t>
                  </w:r>
                </w:p>
              </w:tc>
              <w:tc>
                <w:tcPr>
                  <w:tcW w:w="2778" w:type="pct"/>
                  <w:tcBorders>
                    <w:tl2br w:val="nil"/>
                    <w:tr2bl w:val="nil"/>
                  </w:tcBorders>
                  <w:vAlign w:val="center"/>
                </w:tcPr>
                <w:p w14:paraId="5C8931F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位于厂房3层西侧，用于成品堆放</w:t>
                  </w:r>
                </w:p>
              </w:tc>
              <w:tc>
                <w:tcPr>
                  <w:tcW w:w="649" w:type="pct"/>
                  <w:vMerge w:val="restart"/>
                  <w:tcBorders>
                    <w:tl2br w:val="nil"/>
                    <w:tr2bl w:val="nil"/>
                  </w:tcBorders>
                  <w:vAlign w:val="center"/>
                </w:tcPr>
                <w:p w14:paraId="7A6B69D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依托已建厂房</w:t>
                  </w:r>
                </w:p>
              </w:tc>
            </w:tr>
            <w:tr w14:paraId="5A1A92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414" w:type="pct"/>
                  <w:vMerge w:val="continue"/>
                  <w:tcBorders>
                    <w:tl2br w:val="nil"/>
                    <w:tr2bl w:val="nil"/>
                  </w:tcBorders>
                  <w:vAlign w:val="center"/>
                </w:tcPr>
                <w:p w14:paraId="758FFAD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157" w:type="pct"/>
                  <w:gridSpan w:val="2"/>
                  <w:tcBorders>
                    <w:tl2br w:val="nil"/>
                    <w:tr2bl w:val="nil"/>
                  </w:tcBorders>
                  <w:vAlign w:val="center"/>
                </w:tcPr>
                <w:p w14:paraId="04E230B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原辅料区</w:t>
                  </w:r>
                </w:p>
              </w:tc>
              <w:tc>
                <w:tcPr>
                  <w:tcW w:w="2778" w:type="pct"/>
                  <w:tcBorders>
                    <w:tl2br w:val="nil"/>
                    <w:tr2bl w:val="nil"/>
                  </w:tcBorders>
                  <w:vAlign w:val="center"/>
                </w:tcPr>
                <w:p w14:paraId="20D813E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位于厂房3层东侧，用于原辅料堆放</w:t>
                  </w:r>
                </w:p>
              </w:tc>
              <w:tc>
                <w:tcPr>
                  <w:tcW w:w="649" w:type="pct"/>
                  <w:vMerge w:val="continue"/>
                  <w:tcBorders>
                    <w:tl2br w:val="nil"/>
                    <w:tr2bl w:val="nil"/>
                  </w:tcBorders>
                  <w:vAlign w:val="center"/>
                </w:tcPr>
                <w:p w14:paraId="701DFCA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14:paraId="62A383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414" w:type="pct"/>
                  <w:vMerge w:val="continue"/>
                  <w:tcBorders>
                    <w:tl2br w:val="nil"/>
                    <w:tr2bl w:val="nil"/>
                  </w:tcBorders>
                  <w:vAlign w:val="center"/>
                </w:tcPr>
                <w:p w14:paraId="04318AE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157" w:type="pct"/>
                  <w:gridSpan w:val="2"/>
                  <w:tcBorders>
                    <w:tl2br w:val="nil"/>
                    <w:tr2bl w:val="nil"/>
                  </w:tcBorders>
                  <w:vAlign w:val="center"/>
                </w:tcPr>
                <w:p w14:paraId="16A3530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冷却塔</w:t>
                  </w:r>
                </w:p>
              </w:tc>
              <w:tc>
                <w:tcPr>
                  <w:tcW w:w="2778" w:type="pct"/>
                  <w:tcBorders>
                    <w:tl2br w:val="nil"/>
                    <w:tr2bl w:val="nil"/>
                  </w:tcBorders>
                  <w:vAlign w:val="center"/>
                </w:tcPr>
                <w:p w14:paraId="2F31B42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一层生产车间外，已取得园区同意</w:t>
                  </w:r>
                </w:p>
              </w:tc>
              <w:tc>
                <w:tcPr>
                  <w:tcW w:w="649" w:type="pct"/>
                  <w:tcBorders>
                    <w:tl2br w:val="nil"/>
                    <w:tr2bl w:val="nil"/>
                  </w:tcBorders>
                  <w:vAlign w:val="center"/>
                </w:tcPr>
                <w:p w14:paraId="289A717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本次新建</w:t>
                  </w:r>
                </w:p>
              </w:tc>
            </w:tr>
            <w:tr w14:paraId="6073CB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414" w:type="pct"/>
                  <w:vMerge w:val="continue"/>
                  <w:tcBorders>
                    <w:tl2br w:val="nil"/>
                    <w:tr2bl w:val="nil"/>
                  </w:tcBorders>
                  <w:vAlign w:val="center"/>
                </w:tcPr>
                <w:p w14:paraId="7025B9E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157" w:type="pct"/>
                  <w:gridSpan w:val="2"/>
                  <w:tcBorders>
                    <w:tl2br w:val="nil"/>
                    <w:tr2bl w:val="nil"/>
                  </w:tcBorders>
                  <w:vAlign w:val="center"/>
                </w:tcPr>
                <w:p w14:paraId="0C32EC9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活性炭吸附装置</w:t>
                  </w:r>
                </w:p>
              </w:tc>
              <w:tc>
                <w:tcPr>
                  <w:tcW w:w="2778" w:type="pct"/>
                  <w:tcBorders>
                    <w:tl2br w:val="nil"/>
                    <w:tr2bl w:val="nil"/>
                  </w:tcBorders>
                  <w:vAlign w:val="center"/>
                </w:tcPr>
                <w:p w14:paraId="0D04DC5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一层生产车间外，已取得园区同意</w:t>
                  </w:r>
                </w:p>
              </w:tc>
              <w:tc>
                <w:tcPr>
                  <w:tcW w:w="649" w:type="pct"/>
                  <w:tcBorders>
                    <w:tl2br w:val="nil"/>
                    <w:tr2bl w:val="nil"/>
                  </w:tcBorders>
                  <w:vAlign w:val="center"/>
                </w:tcPr>
                <w:p w14:paraId="07D16A4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本次新建</w:t>
                  </w:r>
                </w:p>
              </w:tc>
            </w:tr>
            <w:tr w14:paraId="6370E7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414" w:type="pct"/>
                  <w:vMerge w:val="continue"/>
                  <w:tcBorders>
                    <w:tl2br w:val="nil"/>
                    <w:tr2bl w:val="nil"/>
                  </w:tcBorders>
                  <w:vAlign w:val="center"/>
                </w:tcPr>
                <w:p w14:paraId="13A5AF4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157" w:type="pct"/>
                  <w:gridSpan w:val="2"/>
                  <w:tcBorders>
                    <w:tl2br w:val="nil"/>
                    <w:tr2bl w:val="nil"/>
                  </w:tcBorders>
                  <w:vAlign w:val="center"/>
                </w:tcPr>
                <w:p w14:paraId="5CC092B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布袋除尘器</w:t>
                  </w:r>
                </w:p>
              </w:tc>
              <w:tc>
                <w:tcPr>
                  <w:tcW w:w="2778" w:type="pct"/>
                  <w:tcBorders>
                    <w:tl2br w:val="nil"/>
                    <w:tr2bl w:val="nil"/>
                  </w:tcBorders>
                  <w:vAlign w:val="center"/>
                </w:tcPr>
                <w:p w14:paraId="37FF521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一层生产车间外，已取得园区同意</w:t>
                  </w:r>
                </w:p>
              </w:tc>
              <w:tc>
                <w:tcPr>
                  <w:tcW w:w="649" w:type="pct"/>
                  <w:tcBorders>
                    <w:tl2br w:val="nil"/>
                    <w:tr2bl w:val="nil"/>
                  </w:tcBorders>
                  <w:shd w:val="clear" w:color="auto" w:fill="auto"/>
                  <w:vAlign w:val="center"/>
                </w:tcPr>
                <w:p w14:paraId="31EFFC3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本次新建</w:t>
                  </w:r>
                </w:p>
              </w:tc>
            </w:tr>
            <w:tr w14:paraId="1828A2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414" w:type="pct"/>
                  <w:vMerge w:val="continue"/>
                  <w:tcBorders>
                    <w:tl2br w:val="nil"/>
                    <w:tr2bl w:val="nil"/>
                  </w:tcBorders>
                  <w:vAlign w:val="center"/>
                </w:tcPr>
                <w:p w14:paraId="204DA83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157" w:type="pct"/>
                  <w:gridSpan w:val="2"/>
                  <w:tcBorders>
                    <w:tl2br w:val="nil"/>
                    <w:tr2bl w:val="nil"/>
                  </w:tcBorders>
                  <w:vAlign w:val="center"/>
                </w:tcPr>
                <w:p w14:paraId="6402C5E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循环水处理设施</w:t>
                  </w:r>
                </w:p>
              </w:tc>
              <w:tc>
                <w:tcPr>
                  <w:tcW w:w="2778" w:type="pct"/>
                  <w:tcBorders>
                    <w:tl2br w:val="nil"/>
                    <w:tr2bl w:val="nil"/>
                  </w:tcBorders>
                  <w:vAlign w:val="center"/>
                </w:tcPr>
                <w:p w14:paraId="4916B29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一层生产车间外，已取得园区同意</w:t>
                  </w:r>
                </w:p>
              </w:tc>
              <w:tc>
                <w:tcPr>
                  <w:tcW w:w="649" w:type="pct"/>
                  <w:tcBorders>
                    <w:tl2br w:val="nil"/>
                    <w:tr2bl w:val="nil"/>
                  </w:tcBorders>
                  <w:shd w:val="clear" w:color="auto" w:fill="auto"/>
                  <w:vAlign w:val="center"/>
                </w:tcPr>
                <w:p w14:paraId="35B9AED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本次新建</w:t>
                  </w:r>
                </w:p>
              </w:tc>
            </w:tr>
            <w:tr w14:paraId="34E5D0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414" w:type="pct"/>
                  <w:vMerge w:val="continue"/>
                  <w:tcBorders>
                    <w:tl2br w:val="nil"/>
                    <w:tr2bl w:val="nil"/>
                  </w:tcBorders>
                  <w:vAlign w:val="center"/>
                </w:tcPr>
                <w:p w14:paraId="5100496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157" w:type="pct"/>
                  <w:gridSpan w:val="2"/>
                  <w:tcBorders>
                    <w:tl2br w:val="nil"/>
                    <w:tr2bl w:val="nil"/>
                  </w:tcBorders>
                  <w:vAlign w:val="center"/>
                </w:tcPr>
                <w:p w14:paraId="3BC34B0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切削液回收装置</w:t>
                  </w:r>
                </w:p>
              </w:tc>
              <w:tc>
                <w:tcPr>
                  <w:tcW w:w="2778" w:type="pct"/>
                  <w:tcBorders>
                    <w:tl2br w:val="nil"/>
                    <w:tr2bl w:val="nil"/>
                  </w:tcBorders>
                  <w:shd w:val="clear" w:color="auto" w:fill="auto"/>
                  <w:vAlign w:val="center"/>
                </w:tcPr>
                <w:p w14:paraId="3B218D9E">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一层生产车间外，已取得园区同意</w:t>
                  </w:r>
                </w:p>
              </w:tc>
              <w:tc>
                <w:tcPr>
                  <w:tcW w:w="649" w:type="pct"/>
                  <w:tcBorders>
                    <w:tl2br w:val="nil"/>
                    <w:tr2bl w:val="nil"/>
                  </w:tcBorders>
                  <w:shd w:val="clear" w:color="auto" w:fill="auto"/>
                  <w:vAlign w:val="center"/>
                </w:tcPr>
                <w:p w14:paraId="058FDD0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本次新建</w:t>
                  </w:r>
                </w:p>
              </w:tc>
            </w:tr>
            <w:tr w14:paraId="719CBB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14" w:type="pct"/>
                  <w:vMerge w:val="restart"/>
                  <w:tcBorders>
                    <w:tl2br w:val="nil"/>
                    <w:tr2bl w:val="nil"/>
                  </w:tcBorders>
                  <w:vAlign w:val="center"/>
                </w:tcPr>
                <w:p w14:paraId="0426A10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公用工程</w:t>
                  </w:r>
                </w:p>
              </w:tc>
              <w:tc>
                <w:tcPr>
                  <w:tcW w:w="1157" w:type="pct"/>
                  <w:gridSpan w:val="2"/>
                  <w:tcBorders>
                    <w:tl2br w:val="nil"/>
                    <w:tr2bl w:val="nil"/>
                  </w:tcBorders>
                  <w:shd w:val="clear" w:color="auto" w:fill="auto"/>
                  <w:vAlign w:val="center"/>
                </w:tcPr>
                <w:p w14:paraId="49021727">
                  <w:pPr>
                    <w:snapToGrid w:val="0"/>
                    <w:spacing w:line="240" w:lineRule="atLeast"/>
                    <w:jc w:val="center"/>
                    <w:textAlignment w:val="baseline"/>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供水</w:t>
                  </w:r>
                </w:p>
              </w:tc>
              <w:tc>
                <w:tcPr>
                  <w:tcW w:w="2778" w:type="pct"/>
                  <w:tcBorders>
                    <w:tl2br w:val="nil"/>
                    <w:tr2bl w:val="nil"/>
                  </w:tcBorders>
                  <w:vAlign w:val="center"/>
                </w:tcPr>
                <w:p w14:paraId="78DF3DB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项目生产生活用水由市政生活用水管网直接供给</w:t>
                  </w:r>
                </w:p>
              </w:tc>
              <w:tc>
                <w:tcPr>
                  <w:tcW w:w="649" w:type="pct"/>
                  <w:tcBorders>
                    <w:tl2br w:val="nil"/>
                    <w:tr2bl w:val="nil"/>
                  </w:tcBorders>
                  <w:vAlign w:val="center"/>
                </w:tcPr>
                <w:p w14:paraId="2D6E67A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依托现有</w:t>
                  </w:r>
                </w:p>
              </w:tc>
            </w:tr>
            <w:tr w14:paraId="587B91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414" w:type="pct"/>
                  <w:vMerge w:val="continue"/>
                  <w:tcBorders>
                    <w:tl2br w:val="nil"/>
                    <w:tr2bl w:val="nil"/>
                  </w:tcBorders>
                  <w:vAlign w:val="center"/>
                </w:tcPr>
                <w:p w14:paraId="19634C6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157" w:type="pct"/>
                  <w:gridSpan w:val="2"/>
                  <w:tcBorders>
                    <w:tl2br w:val="nil"/>
                    <w:tr2bl w:val="nil"/>
                  </w:tcBorders>
                  <w:shd w:val="clear" w:color="auto" w:fill="auto"/>
                  <w:vAlign w:val="center"/>
                </w:tcPr>
                <w:p w14:paraId="39282D1C">
                  <w:pPr>
                    <w:snapToGrid w:val="0"/>
                    <w:spacing w:line="240" w:lineRule="atLeast"/>
                    <w:jc w:val="center"/>
                    <w:textAlignment w:val="baseline"/>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排水</w:t>
                  </w:r>
                </w:p>
              </w:tc>
              <w:tc>
                <w:tcPr>
                  <w:tcW w:w="2778" w:type="pct"/>
                  <w:tcBorders>
                    <w:tl2br w:val="nil"/>
                    <w:tr2bl w:val="nil"/>
                  </w:tcBorders>
                  <w:vAlign w:val="center"/>
                </w:tcPr>
                <w:p w14:paraId="3C03B73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项目采用“雨污分流、清污分流”，生产过程中</w:t>
                  </w:r>
                  <w:r>
                    <w:rPr>
                      <w:rFonts w:hint="eastAsia" w:cs="Times New Roman"/>
                      <w:color w:val="auto"/>
                      <w:sz w:val="21"/>
                      <w:szCs w:val="21"/>
                      <w:u w:val="none"/>
                      <w:vertAlign w:val="baseline"/>
                      <w:lang w:val="en-US" w:eastAsia="zh-CN"/>
                    </w:rPr>
                    <w:t>生产废水为压铸机间接冷却水经冷却塔冷却后循环使用，产品水洗产生废水、研磨冷却水经循环水处理设备处理后循环使用。因此，本项目无生产废水排放。</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职工生活污水经园区内已建化粪池预处理后，接入市政污水管网，纳入福清融元污水处理厂统一处理，尾水排入龙江。</w:t>
                  </w:r>
                </w:p>
              </w:tc>
              <w:tc>
                <w:tcPr>
                  <w:tcW w:w="649" w:type="pct"/>
                  <w:tcBorders>
                    <w:tl2br w:val="nil"/>
                    <w:tr2bl w:val="nil"/>
                  </w:tcBorders>
                  <w:shd w:val="clear" w:color="auto" w:fill="auto"/>
                  <w:vAlign w:val="center"/>
                </w:tcPr>
                <w:p w14:paraId="2871D72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依托现有</w:t>
                  </w:r>
                </w:p>
              </w:tc>
            </w:tr>
            <w:tr w14:paraId="3AFA4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14" w:type="pct"/>
                  <w:vMerge w:val="continue"/>
                  <w:tcBorders>
                    <w:tl2br w:val="nil"/>
                    <w:tr2bl w:val="nil"/>
                  </w:tcBorders>
                  <w:vAlign w:val="center"/>
                </w:tcPr>
                <w:p w14:paraId="5511B0FE">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157" w:type="pct"/>
                  <w:gridSpan w:val="2"/>
                  <w:tcBorders>
                    <w:tl2br w:val="nil"/>
                    <w:tr2bl w:val="nil"/>
                  </w:tcBorders>
                  <w:shd w:val="clear" w:color="auto" w:fill="auto"/>
                  <w:vAlign w:val="center"/>
                </w:tcPr>
                <w:p w14:paraId="4A041062">
                  <w:pPr>
                    <w:snapToGrid w:val="0"/>
                    <w:spacing w:line="240" w:lineRule="atLeast"/>
                    <w:jc w:val="center"/>
                    <w:textAlignment w:val="baseline"/>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供电</w:t>
                  </w:r>
                </w:p>
              </w:tc>
              <w:tc>
                <w:tcPr>
                  <w:tcW w:w="2778" w:type="pct"/>
                  <w:tcBorders>
                    <w:tl2br w:val="nil"/>
                    <w:tr2bl w:val="nil"/>
                  </w:tcBorders>
                  <w:vAlign w:val="center"/>
                </w:tcPr>
                <w:p w14:paraId="3E02170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接市政供电系统</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依托厂区内现有的供电系统</w:t>
                  </w:r>
                </w:p>
              </w:tc>
              <w:tc>
                <w:tcPr>
                  <w:tcW w:w="649" w:type="pct"/>
                  <w:tcBorders>
                    <w:tl2br w:val="nil"/>
                    <w:tr2bl w:val="nil"/>
                  </w:tcBorders>
                  <w:vAlign w:val="center"/>
                </w:tcPr>
                <w:p w14:paraId="61588D7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依托现有</w:t>
                  </w:r>
                </w:p>
              </w:tc>
            </w:tr>
            <w:tr w14:paraId="26520D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4" w:type="pct"/>
                  <w:vMerge w:val="restart"/>
                  <w:tcBorders>
                    <w:tl2br w:val="nil"/>
                    <w:tr2bl w:val="nil"/>
                  </w:tcBorders>
                  <w:vAlign w:val="center"/>
                </w:tcPr>
                <w:p w14:paraId="625B724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环保工程</w:t>
                  </w:r>
                </w:p>
              </w:tc>
              <w:tc>
                <w:tcPr>
                  <w:tcW w:w="1157" w:type="pct"/>
                  <w:gridSpan w:val="2"/>
                  <w:tcBorders>
                    <w:tl2br w:val="nil"/>
                    <w:tr2bl w:val="nil"/>
                  </w:tcBorders>
                  <w:vAlign w:val="center"/>
                </w:tcPr>
                <w:p w14:paraId="6DFC32D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废水治理</w:t>
                  </w:r>
                </w:p>
              </w:tc>
              <w:tc>
                <w:tcPr>
                  <w:tcW w:w="2778" w:type="pct"/>
                  <w:tcBorders>
                    <w:tl2br w:val="nil"/>
                    <w:tr2bl w:val="nil"/>
                  </w:tcBorders>
                  <w:vAlign w:val="center"/>
                </w:tcPr>
                <w:p w14:paraId="4BFD9C2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auto"/>
                      <w:sz w:val="21"/>
                      <w:szCs w:val="21"/>
                      <w:u w:val="none"/>
                      <w:vertAlign w:val="baseline"/>
                      <w:lang w:val="en-US" w:eastAsia="zh-CN"/>
                    </w:rPr>
                    <w:t>产品水洗产生废水、研磨冷却水经循环水处理设备处理后循环使用。</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职工生活污水经园区内已建化粪池预处理后，接入市政污水管网，纳入福清融元污水处理厂统一处理，尾水排入龙江。</w:t>
                  </w:r>
                </w:p>
              </w:tc>
              <w:tc>
                <w:tcPr>
                  <w:tcW w:w="649" w:type="pct"/>
                  <w:tcBorders>
                    <w:tl2br w:val="nil"/>
                    <w:tr2bl w:val="nil"/>
                  </w:tcBorders>
                  <w:vAlign w:val="center"/>
                </w:tcPr>
                <w:p w14:paraId="73B0101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依托现有化粪池</w:t>
                  </w:r>
                </w:p>
              </w:tc>
            </w:tr>
            <w:tr w14:paraId="065F2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414" w:type="pct"/>
                  <w:vMerge w:val="continue"/>
                  <w:tcBorders>
                    <w:tl2br w:val="nil"/>
                    <w:tr2bl w:val="nil"/>
                  </w:tcBorders>
                  <w:vAlign w:val="center"/>
                </w:tcPr>
                <w:p w14:paraId="389D17F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47" w:type="pct"/>
                  <w:tcBorders>
                    <w:tl2br w:val="nil"/>
                    <w:tr2bl w:val="nil"/>
                  </w:tcBorders>
                  <w:vAlign w:val="center"/>
                </w:tcPr>
                <w:p w14:paraId="046F05D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废气治理</w:t>
                  </w:r>
                </w:p>
              </w:tc>
              <w:tc>
                <w:tcPr>
                  <w:tcW w:w="910" w:type="pct"/>
                  <w:tcBorders>
                    <w:tl2br w:val="nil"/>
                    <w:tr2bl w:val="nil"/>
                  </w:tcBorders>
                  <w:vAlign w:val="center"/>
                </w:tcPr>
                <w:p w14:paraId="707845E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挥发性有机物、颗粒物</w:t>
                  </w:r>
                </w:p>
              </w:tc>
              <w:tc>
                <w:tcPr>
                  <w:tcW w:w="2778" w:type="pct"/>
                  <w:tcBorders>
                    <w:tl2br w:val="nil"/>
                    <w:tr2bl w:val="nil"/>
                  </w:tcBorders>
                  <w:vAlign w:val="center"/>
                </w:tcPr>
                <w:p w14:paraId="0503060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压铸脱模生产废气</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通过集气罩收集后由一套“</w:t>
                  </w:r>
                  <w:r>
                    <w:rPr>
                      <w:rFonts w:hint="eastAsia" w:cs="Times New Roman"/>
                      <w:color w:val="000000" w:themeColor="text1"/>
                      <w:sz w:val="21"/>
                      <w:szCs w:val="21"/>
                      <w:highlight w:val="none"/>
                      <w:vertAlign w:val="baseline"/>
                      <w:lang w:val="en-US" w:eastAsia="zh-CN"/>
                      <w14:textFill>
                        <w14:solidFill>
                          <w14:schemeClr w14:val="tx1"/>
                        </w14:solidFill>
                      </w14:textFill>
                    </w:rPr>
                    <w:t>布袋除尘器+</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活性炭吸附装置”处理后，通过1根15</w:t>
                  </w:r>
                  <w:r>
                    <w:rPr>
                      <w:rFonts w:hint="eastAsia" w:cs="Times New Roman"/>
                      <w:color w:val="000000" w:themeColor="text1"/>
                      <w:sz w:val="21"/>
                      <w:szCs w:val="21"/>
                      <w:highlight w:val="none"/>
                      <w:vertAlign w:val="baseli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排气筒</w:t>
                  </w:r>
                  <w:r>
                    <w:rPr>
                      <w:rFonts w:hint="eastAsia" w:cs="Times New Roman"/>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DA00</w:t>
                  </w:r>
                  <w:r>
                    <w:rPr>
                      <w:rFonts w:hint="eastAsia" w:cs="Times New Roman"/>
                      <w:color w:val="000000" w:themeColor="text1"/>
                      <w:sz w:val="21"/>
                      <w:szCs w:val="21"/>
                      <w:highlight w:val="none"/>
                      <w:vertAlign w:val="baseline"/>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排放</w:t>
                  </w:r>
                </w:p>
              </w:tc>
              <w:tc>
                <w:tcPr>
                  <w:tcW w:w="649" w:type="pct"/>
                  <w:tcBorders>
                    <w:tl2br w:val="nil"/>
                    <w:tr2bl w:val="nil"/>
                  </w:tcBorders>
                  <w:vAlign w:val="center"/>
                </w:tcPr>
                <w:p w14:paraId="1F0301A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本次新建</w:t>
                  </w:r>
                </w:p>
              </w:tc>
            </w:tr>
            <w:tr w14:paraId="0AF02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414" w:type="pct"/>
                  <w:vMerge w:val="continue"/>
                  <w:tcBorders>
                    <w:tl2br w:val="nil"/>
                    <w:tr2bl w:val="nil"/>
                  </w:tcBorders>
                  <w:vAlign w:val="center"/>
                </w:tcPr>
                <w:p w14:paraId="7963969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157" w:type="pct"/>
                  <w:gridSpan w:val="2"/>
                  <w:tcBorders>
                    <w:tl2br w:val="nil"/>
                    <w:tr2bl w:val="nil"/>
                  </w:tcBorders>
                  <w:vAlign w:val="center"/>
                </w:tcPr>
                <w:p w14:paraId="5A44EB0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噪声治理</w:t>
                  </w:r>
                </w:p>
              </w:tc>
              <w:tc>
                <w:tcPr>
                  <w:tcW w:w="2778" w:type="pct"/>
                  <w:tcBorders>
                    <w:tl2br w:val="nil"/>
                    <w:tr2bl w:val="nil"/>
                  </w:tcBorders>
                  <w:vAlign w:val="center"/>
                </w:tcPr>
                <w:p w14:paraId="4109FC7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选用低噪声设备，加强设备的维护管理；对高噪声设备进行基础减振、通过厂房墙体隔</w:t>
                  </w:r>
                </w:p>
              </w:tc>
              <w:tc>
                <w:tcPr>
                  <w:tcW w:w="649" w:type="pct"/>
                  <w:tcBorders>
                    <w:tl2br w:val="nil"/>
                    <w:tr2bl w:val="nil"/>
                  </w:tcBorders>
                  <w:vAlign w:val="center"/>
                </w:tcPr>
                <w:p w14:paraId="5D66AF8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本次新建</w:t>
                  </w:r>
                </w:p>
              </w:tc>
            </w:tr>
            <w:tr w14:paraId="2B0A62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414" w:type="pct"/>
                  <w:vMerge w:val="continue"/>
                  <w:tcBorders>
                    <w:tl2br w:val="nil"/>
                    <w:tr2bl w:val="nil"/>
                  </w:tcBorders>
                  <w:vAlign w:val="center"/>
                </w:tcPr>
                <w:p w14:paraId="0830030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47" w:type="pct"/>
                  <w:vMerge w:val="restart"/>
                  <w:tcBorders>
                    <w:tl2br w:val="nil"/>
                    <w:tr2bl w:val="nil"/>
                  </w:tcBorders>
                  <w:vAlign w:val="center"/>
                </w:tcPr>
                <w:p w14:paraId="151A8A2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固废治理</w:t>
                  </w:r>
                </w:p>
              </w:tc>
              <w:tc>
                <w:tcPr>
                  <w:tcW w:w="910" w:type="pct"/>
                  <w:tcBorders>
                    <w:tl2br w:val="nil"/>
                    <w:tr2bl w:val="nil"/>
                  </w:tcBorders>
                  <w:vAlign w:val="center"/>
                </w:tcPr>
                <w:p w14:paraId="1A0A379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生活垃圾</w:t>
                  </w:r>
                </w:p>
              </w:tc>
              <w:tc>
                <w:tcPr>
                  <w:tcW w:w="2778" w:type="pct"/>
                  <w:tcBorders>
                    <w:tl2br w:val="nil"/>
                    <w:tr2bl w:val="nil"/>
                  </w:tcBorders>
                  <w:vAlign w:val="center"/>
                </w:tcPr>
                <w:p w14:paraId="5BFC86A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GB" w:eastAsia="zh-CN"/>
                      <w14:textFill>
                        <w14:solidFill>
                          <w14:schemeClr w14:val="tx1"/>
                        </w14:solidFill>
                      </w14:textFill>
                    </w:rPr>
                    <w:t>厂区内设置生活垃圾桶，分类收集后委托环卫部门每日清运处置</w:t>
                  </w:r>
                </w:p>
              </w:tc>
              <w:tc>
                <w:tcPr>
                  <w:tcW w:w="649" w:type="pct"/>
                  <w:tcBorders>
                    <w:tl2br w:val="nil"/>
                    <w:tr2bl w:val="nil"/>
                  </w:tcBorders>
                  <w:vAlign w:val="center"/>
                </w:tcPr>
                <w:p w14:paraId="590D428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依托现有</w:t>
                  </w:r>
                </w:p>
              </w:tc>
            </w:tr>
            <w:tr w14:paraId="6932E8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4" w:hRule="atLeast"/>
              </w:trPr>
              <w:tc>
                <w:tcPr>
                  <w:tcW w:w="414" w:type="pct"/>
                  <w:vMerge w:val="continue"/>
                  <w:tcBorders>
                    <w:tl2br w:val="nil"/>
                    <w:tr2bl w:val="nil"/>
                  </w:tcBorders>
                  <w:vAlign w:val="center"/>
                </w:tcPr>
                <w:p w14:paraId="07A92A2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47" w:type="pct"/>
                  <w:vMerge w:val="continue"/>
                  <w:tcBorders>
                    <w:tl2br w:val="nil"/>
                    <w:tr2bl w:val="nil"/>
                  </w:tcBorders>
                  <w:vAlign w:val="center"/>
                </w:tcPr>
                <w:p w14:paraId="4774EEC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910" w:type="pct"/>
                  <w:tcBorders>
                    <w:tl2br w:val="nil"/>
                    <w:tr2bl w:val="nil"/>
                  </w:tcBorders>
                  <w:vAlign w:val="center"/>
                </w:tcPr>
                <w:p w14:paraId="5BC95DEE">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一般固体废物</w:t>
                  </w:r>
                </w:p>
              </w:tc>
              <w:tc>
                <w:tcPr>
                  <w:tcW w:w="2778" w:type="pct"/>
                  <w:tcBorders>
                    <w:tl2br w:val="nil"/>
                    <w:tr2bl w:val="nil"/>
                  </w:tcBorders>
                  <w:vAlign w:val="center"/>
                </w:tcPr>
                <w:p w14:paraId="7471A25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设一般工业固废暂存间，妥善分类收集</w:t>
                  </w:r>
                  <w:r>
                    <w:rPr>
                      <w:rFonts w:hint="eastAsia" w:cs="Times New Roman"/>
                      <w:color w:val="000000" w:themeColor="text1"/>
                      <w:highlight w:val="none"/>
                      <w:lang w:val="en-US" w:eastAsia="zh-CN"/>
                      <w14:textFill>
                        <w14:solidFill>
                          <w14:schemeClr w14:val="tx1"/>
                        </w14:solidFill>
                      </w14:textFill>
                    </w:rPr>
                    <w:t>生产过程产生的一般固体废物</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后出售给回收企业综合利用</w:t>
                  </w:r>
                  <w:r>
                    <w:rPr>
                      <w:rFonts w:hint="eastAsia" w:cs="Times New Roman"/>
                      <w:color w:val="000000" w:themeColor="text1"/>
                      <w:highlight w:val="none"/>
                      <w:lang w:val="en-US" w:eastAsia="zh-CN"/>
                      <w14:textFill>
                        <w14:solidFill>
                          <w14:schemeClr w14:val="tx1"/>
                        </w14:solidFill>
                      </w14:textFill>
                    </w:rPr>
                    <w:t>。生产过程中产生的熔融炉渣（不含油）、不合格产品、边角料等收集后重新进行熔融回用于生产。</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废包装材料：收集后外售给废品回收公司。</w:t>
                  </w:r>
                </w:p>
              </w:tc>
              <w:tc>
                <w:tcPr>
                  <w:tcW w:w="649" w:type="pct"/>
                  <w:tcBorders>
                    <w:tl2br w:val="nil"/>
                    <w:tr2bl w:val="nil"/>
                  </w:tcBorders>
                  <w:vAlign w:val="center"/>
                </w:tcPr>
                <w:p w14:paraId="71CB7D7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本次新建</w:t>
                  </w:r>
                </w:p>
              </w:tc>
            </w:tr>
            <w:tr w14:paraId="1A3BC3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414" w:type="pct"/>
                  <w:vMerge w:val="continue"/>
                  <w:tcBorders>
                    <w:tl2br w:val="nil"/>
                    <w:tr2bl w:val="nil"/>
                  </w:tcBorders>
                  <w:vAlign w:val="center"/>
                </w:tcPr>
                <w:p w14:paraId="1C1DA2D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47" w:type="pct"/>
                  <w:vMerge w:val="continue"/>
                  <w:tcBorders>
                    <w:tl2br w:val="nil"/>
                    <w:tr2bl w:val="nil"/>
                  </w:tcBorders>
                  <w:vAlign w:val="center"/>
                </w:tcPr>
                <w:p w14:paraId="386E6E8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910" w:type="pct"/>
                  <w:tcBorders>
                    <w:tl2br w:val="nil"/>
                    <w:tr2bl w:val="nil"/>
                  </w:tcBorders>
                  <w:vAlign w:val="center"/>
                </w:tcPr>
                <w:p w14:paraId="765B699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危险废物</w:t>
                  </w:r>
                </w:p>
              </w:tc>
              <w:tc>
                <w:tcPr>
                  <w:tcW w:w="2778" w:type="pct"/>
                  <w:tcBorders>
                    <w:tl2br w:val="nil"/>
                    <w:tr2bl w:val="nil"/>
                  </w:tcBorders>
                  <w:vAlign w:val="center"/>
                </w:tcPr>
                <w:p w14:paraId="50A3255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按照规范要求设置一间危险废物贮存</w:t>
                  </w:r>
                  <w:r>
                    <w:rPr>
                      <w:rFonts w:hint="eastAsia" w:cs="Times New Roman"/>
                      <w:color w:val="000000" w:themeColor="text1"/>
                      <w:sz w:val="21"/>
                      <w:szCs w:val="21"/>
                      <w:highlight w:val="none"/>
                      <w:vertAlign w:val="baseline"/>
                      <w:lang w:val="en-US" w:eastAsia="zh-CN"/>
                      <w14:textFill>
                        <w14:solidFill>
                          <w14:schemeClr w14:val="tx1"/>
                        </w14:solidFill>
                      </w14:textFill>
                    </w:rPr>
                    <w:t>间，位于一层生产车间外搭建，已获得园区同意，</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面积约</w:t>
                  </w:r>
                  <w:r>
                    <w:rPr>
                      <w:rFonts w:hint="eastAsia" w:cs="Times New Roman"/>
                      <w:color w:val="000000" w:themeColor="text1"/>
                      <w:sz w:val="21"/>
                      <w:szCs w:val="21"/>
                      <w:highlight w:val="none"/>
                      <w:vertAlign w:val="baseline"/>
                      <w:lang w:val="en-US" w:eastAsia="zh-CN"/>
                      <w14:textFill>
                        <w14:solidFill>
                          <w14:schemeClr w14:val="tx1"/>
                        </w14:solidFill>
                      </w14:textFill>
                    </w:rPr>
                    <w:t>8-10</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cs="Times New Roman"/>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存放</w:t>
                  </w:r>
                  <w:r>
                    <w:rPr>
                      <w:rFonts w:hint="eastAsia" w:cs="Times New Roman"/>
                      <w:color w:val="000000" w:themeColor="text1"/>
                      <w:sz w:val="21"/>
                      <w:szCs w:val="21"/>
                      <w:highlight w:val="none"/>
                      <w:vertAlign w:val="baseline"/>
                      <w:lang w:val="en-US" w:eastAsia="zh-CN"/>
                      <w14:textFill>
                        <w14:solidFill>
                          <w14:schemeClr w14:val="tx1"/>
                        </w14:solidFill>
                      </w14:textFill>
                    </w:rPr>
                    <w:t>水处理设施污泥、熔融炉渣（含油）、脱模剂废包装桶、废切削液、</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废活性炭、</w:t>
                  </w:r>
                  <w:r>
                    <w:rPr>
                      <w:rFonts w:hint="eastAsia" w:cs="Times New Roman"/>
                      <w:color w:val="000000" w:themeColor="text1"/>
                      <w:sz w:val="21"/>
                      <w:szCs w:val="21"/>
                      <w:highlight w:val="none"/>
                      <w:vertAlign w:val="baseline"/>
                      <w:lang w:val="en-US" w:eastAsia="zh-CN"/>
                      <w14:textFill>
                        <w14:solidFill>
                          <w14:schemeClr w14:val="tx1"/>
                        </w14:solidFill>
                      </w14:textFill>
                    </w:rPr>
                    <w:t>废机油及液压油</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等危险废物。贮存间内张贴明显</w:t>
                  </w:r>
                  <w:r>
                    <w:rPr>
                      <w:rFonts w:hint="eastAsia" w:cs="Times New Roman"/>
                      <w:color w:val="000000" w:themeColor="text1"/>
                      <w:sz w:val="21"/>
                      <w:szCs w:val="21"/>
                      <w:highlight w:val="none"/>
                      <w:vertAlign w:val="baseline"/>
                      <w:lang w:val="en-US" w:eastAsia="zh-CN"/>
                      <w14:textFill>
                        <w14:solidFill>
                          <w14:schemeClr w14:val="tx1"/>
                        </w14:solidFill>
                      </w14:textFill>
                    </w:rPr>
                    <w:t>警示标志</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并设置围堰及导流沟，地面刷环氧树脂漆。并签署危废委托</w:t>
                  </w:r>
                  <w:r>
                    <w:rPr>
                      <w:rFonts w:hint="eastAsia" w:cs="Times New Roman"/>
                      <w:color w:val="000000" w:themeColor="text1"/>
                      <w:sz w:val="21"/>
                      <w:szCs w:val="21"/>
                      <w:highlight w:val="none"/>
                      <w:vertAlign w:val="baseline"/>
                      <w:lang w:val="en-US" w:eastAsia="zh-CN"/>
                      <w14:textFill>
                        <w14:solidFill>
                          <w14:schemeClr w14:val="tx1"/>
                        </w14:solidFill>
                      </w14:textFill>
                    </w:rPr>
                    <w:t>协议</w:t>
                  </w:r>
                </w:p>
              </w:tc>
              <w:tc>
                <w:tcPr>
                  <w:tcW w:w="649" w:type="pct"/>
                  <w:tcBorders>
                    <w:tl2br w:val="nil"/>
                    <w:tr2bl w:val="nil"/>
                  </w:tcBorders>
                  <w:vAlign w:val="center"/>
                </w:tcPr>
                <w:p w14:paraId="42DB78B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本次新建</w:t>
                  </w:r>
                </w:p>
              </w:tc>
            </w:tr>
          </w:tbl>
          <w:p w14:paraId="1DA07D1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29" w:name="_Toc24491"/>
            <w:bookmarkStart w:id="30" w:name="_Toc3788"/>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w:t>
            </w:r>
            <w:r>
              <w:rPr>
                <w:rFonts w:hint="default" w:cs="Times New Roman"/>
                <w:b/>
                <w:bCs/>
                <w:color w:val="000000" w:themeColor="text1"/>
                <w:sz w:val="24"/>
                <w:szCs w:val="24"/>
                <w:highlight w:val="none"/>
                <w:u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项目工程组成及建设内容</w:t>
            </w:r>
            <w:bookmarkEnd w:id="29"/>
            <w:bookmarkEnd w:id="30"/>
          </w:p>
          <w:p w14:paraId="7619F16B">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cs="Times New Roman"/>
                <w:b/>
                <w:bCs/>
                <w:color w:val="000000" w:themeColor="text1"/>
                <w:sz w:val="24"/>
                <w:szCs w:val="24"/>
                <w:highlight w:val="none"/>
                <w:u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本项目产品方案详见表2.2-2。</w:t>
            </w:r>
          </w:p>
          <w:p w14:paraId="5B158D61">
            <w:pPr>
              <w:pStyle w:val="22"/>
              <w:keepNext w:val="0"/>
              <w:keepLines w:val="0"/>
              <w:pageBreakBefore w:val="0"/>
              <w:widowControl/>
              <w:kinsoku/>
              <w:wordWrap/>
              <w:overflowPunct/>
              <w:topLinePunct w:val="0"/>
              <w:autoSpaceDE/>
              <w:autoSpaceDN/>
              <w:bidi w:val="0"/>
              <w:adjustRightInd/>
              <w:snapToGrid w:val="0"/>
              <w:spacing w:before="157" w:beforeLines="50" w:after="0" w:line="240" w:lineRule="auto"/>
              <w:ind w:right="0" w:firstLine="0" w:firstLineChars="0"/>
              <w:jc w:val="center"/>
              <w:textAlignment w:val="auto"/>
              <w:rPr>
                <w:rFonts w:hint="default" w:ascii="Times New Roman" w:hAnsi="Times New Roman" w:cs="Times New Roman"/>
                <w:b/>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u w:val="none"/>
                <w:lang w:val="en-US" w:eastAsia="zh-CN"/>
                <w14:textFill>
                  <w14:solidFill>
                    <w14:schemeClr w14:val="tx1"/>
                  </w14:solidFill>
                </w14:textFill>
              </w:rPr>
              <w:t>表2.2-2 项目主要产品方案</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352"/>
              <w:gridCol w:w="2078"/>
              <w:gridCol w:w="1328"/>
              <w:gridCol w:w="1792"/>
              <w:gridCol w:w="1285"/>
            </w:tblGrid>
            <w:tr w14:paraId="3EFA5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433" w:type="pct"/>
                  <w:tcBorders>
                    <w:tl2br w:val="nil"/>
                    <w:tr2bl w:val="nil"/>
                  </w:tcBorders>
                  <w:vAlign w:val="center"/>
                </w:tcPr>
                <w:p w14:paraId="0D3C6F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序号</w:t>
                  </w:r>
                </w:p>
              </w:tc>
              <w:tc>
                <w:tcPr>
                  <w:tcW w:w="1999" w:type="pct"/>
                  <w:gridSpan w:val="2"/>
                  <w:tcBorders>
                    <w:tl2br w:val="nil"/>
                    <w:tr2bl w:val="nil"/>
                  </w:tcBorders>
                  <w:vAlign w:val="center"/>
                </w:tcPr>
                <w:p w14:paraId="2D67144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产品名称</w:t>
                  </w:r>
                </w:p>
              </w:tc>
              <w:tc>
                <w:tcPr>
                  <w:tcW w:w="774" w:type="pct"/>
                  <w:tcBorders>
                    <w:tl2br w:val="nil"/>
                    <w:tr2bl w:val="nil"/>
                  </w:tcBorders>
                  <w:vAlign w:val="center"/>
                </w:tcPr>
                <w:p w14:paraId="33363EE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产品产量</w:t>
                  </w:r>
                </w:p>
              </w:tc>
              <w:tc>
                <w:tcPr>
                  <w:tcW w:w="1044" w:type="pct"/>
                  <w:tcBorders>
                    <w:tl2br w:val="nil"/>
                    <w:tr2bl w:val="nil"/>
                  </w:tcBorders>
                  <w:vAlign w:val="center"/>
                </w:tcPr>
                <w:p w14:paraId="400213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单个产品净重</w:t>
                  </w:r>
                </w:p>
              </w:tc>
              <w:tc>
                <w:tcPr>
                  <w:tcW w:w="748" w:type="pct"/>
                  <w:tcBorders>
                    <w:tl2br w:val="nil"/>
                    <w:tr2bl w:val="nil"/>
                  </w:tcBorders>
                  <w:vAlign w:val="center"/>
                </w:tcPr>
                <w:p w14:paraId="366783D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备注</w:t>
                  </w:r>
                </w:p>
              </w:tc>
            </w:tr>
            <w:tr w14:paraId="1BC21A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433" w:type="pct"/>
                  <w:tcBorders>
                    <w:tl2br w:val="nil"/>
                    <w:tr2bl w:val="nil"/>
                  </w:tcBorders>
                  <w:vAlign w:val="center"/>
                </w:tcPr>
                <w:p w14:paraId="70CA2D9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788" w:type="pct"/>
                  <w:vMerge w:val="restart"/>
                  <w:tcBorders>
                    <w:tl2br w:val="nil"/>
                    <w:tr2bl w:val="nil"/>
                  </w:tcBorders>
                  <w:vAlign w:val="center"/>
                </w:tcPr>
                <w:p w14:paraId="3D95D2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五金配件300万个</w:t>
                  </w:r>
                </w:p>
              </w:tc>
              <w:tc>
                <w:tcPr>
                  <w:tcW w:w="1211" w:type="pct"/>
                  <w:tcBorders>
                    <w:tl2br w:val="nil"/>
                    <w:tr2bl w:val="nil"/>
                  </w:tcBorders>
                  <w:shd w:val="clear" w:color="auto" w:fill="auto"/>
                  <w:vAlign w:val="center"/>
                </w:tcPr>
                <w:p w14:paraId="667B166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电脑零配件</w:t>
                  </w:r>
                </w:p>
              </w:tc>
              <w:tc>
                <w:tcPr>
                  <w:tcW w:w="774" w:type="pct"/>
                  <w:tcBorders>
                    <w:tl2br w:val="nil"/>
                    <w:tr2bl w:val="nil"/>
                  </w:tcBorders>
                  <w:vAlign w:val="center"/>
                </w:tcPr>
                <w:p w14:paraId="294199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200万个</w:t>
                  </w:r>
                </w:p>
              </w:tc>
              <w:tc>
                <w:tcPr>
                  <w:tcW w:w="1044" w:type="pct"/>
                  <w:tcBorders>
                    <w:tl2br w:val="nil"/>
                    <w:tr2bl w:val="nil"/>
                  </w:tcBorders>
                  <w:vAlign w:val="center"/>
                </w:tcPr>
                <w:p w14:paraId="1388BDA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sz w:val="21"/>
                    </w:rPr>
                    <mc:AlternateContent>
                      <mc:Choice Requires="wps">
                        <w:drawing>
                          <wp:anchor distT="0" distB="0" distL="114300" distR="114300" simplePos="0" relativeHeight="251716608" behindDoc="0" locked="0" layoutInCell="1" allowOverlap="1">
                            <wp:simplePos x="0" y="0"/>
                            <wp:positionH relativeFrom="column">
                              <wp:posOffset>239395</wp:posOffset>
                            </wp:positionH>
                            <wp:positionV relativeFrom="paragraph">
                              <wp:posOffset>1905</wp:posOffset>
                            </wp:positionV>
                            <wp:extent cx="614045" cy="1068070"/>
                            <wp:effectExtent l="6350" t="6350" r="8255" b="11430"/>
                            <wp:wrapNone/>
                            <wp:docPr id="232" name="矩形 232"/>
                            <wp:cNvGraphicFramePr/>
                            <a:graphic xmlns:a="http://schemas.openxmlformats.org/drawingml/2006/main">
                              <a:graphicData uri="http://schemas.microsoft.com/office/word/2010/wordprocessingShape">
                                <wps:wsp>
                                  <wps:cNvSpPr/>
                                  <wps:spPr>
                                    <a:xfrm>
                                      <a:off x="0" y="0"/>
                                      <a:ext cx="614045" cy="106807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85pt;margin-top:0.15pt;height:84.1pt;width:48.35pt;z-index:251716608;v-text-anchor:middle;mso-width-relative:page;mso-height-relative:page;" fillcolor="#FFFFFF [3212]" filled="t" stroked="t" coordsize="21600,21600" o:gfxdata="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RRCnrWAAAABwEAAA8AAAAAAAAAAQAgAAAAIgAAAGRycy9kb3ducmV2&#10;LnhtbFBLAQIUABQAAAAIAIdO4kCl+MaAcAIAAPgEAAAOAAAAAAAAAAEAIAAAACUBAABkcnMvZTJv&#10;RG9jLnhtbFBLBQYAAAAABgAGAFkBAAAHBgAAAAA=&#10;">
                            <v:fill on="t" focussize="0,0"/>
                            <v:stroke weight="1pt" color="#FFFFFF [3212]" miterlimit="8" joinstyle="miter"/>
                            <v:imagedata o:title=""/>
                            <o:lock v:ext="edit" aspectratio="f"/>
                          </v:rect>
                        </w:pict>
                      </mc:Fallback>
                    </mc:AlternateContent>
                  </w:r>
                  <w:r>
                    <w:rPr>
                      <w:rFonts w:hint="eastAsia" w:cs="Times New Roman"/>
                      <w:color w:val="000000" w:themeColor="text1"/>
                      <w:sz w:val="21"/>
                      <w:szCs w:val="21"/>
                      <w:highlight w:val="none"/>
                      <w:vertAlign w:val="baseline"/>
                      <w:lang w:val="en-US" w:eastAsia="zh-CN"/>
                      <w14:textFill>
                        <w14:solidFill>
                          <w14:schemeClr w14:val="tx1"/>
                        </w14:solidFill>
                      </w14:textFill>
                    </w:rPr>
                    <w:t>0.2kg</w:t>
                  </w:r>
                </w:p>
              </w:tc>
              <w:tc>
                <w:tcPr>
                  <w:tcW w:w="748" w:type="pct"/>
                  <w:tcBorders>
                    <w:tl2br w:val="nil"/>
                    <w:tr2bl w:val="nil"/>
                  </w:tcBorders>
                  <w:vAlign w:val="center"/>
                </w:tcPr>
                <w:p w14:paraId="667DBA3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铝制品</w:t>
                  </w:r>
                </w:p>
              </w:tc>
            </w:tr>
            <w:tr w14:paraId="23ED62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33" w:type="pct"/>
                  <w:tcBorders>
                    <w:tl2br w:val="nil"/>
                    <w:tr2bl w:val="nil"/>
                  </w:tcBorders>
                  <w:vAlign w:val="center"/>
                </w:tcPr>
                <w:p w14:paraId="245108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bookmarkStart w:id="31" w:name="_Toc30151"/>
                  <w:r>
                    <w:rPr>
                      <w:rFonts w:hint="eastAsia" w:cs="Times New Roman"/>
                      <w:color w:val="000000" w:themeColor="text1"/>
                      <w:sz w:val="21"/>
                      <w:szCs w:val="21"/>
                      <w:highlight w:val="none"/>
                      <w:vertAlign w:val="baseline"/>
                      <w:lang w:val="en-US" w:eastAsia="zh-CN"/>
                      <w14:textFill>
                        <w14:solidFill>
                          <w14:schemeClr w14:val="tx1"/>
                        </w14:solidFill>
                      </w14:textFill>
                    </w:rPr>
                    <w:t>2</w:t>
                  </w:r>
                </w:p>
              </w:tc>
              <w:tc>
                <w:tcPr>
                  <w:tcW w:w="788" w:type="pct"/>
                  <w:vMerge w:val="continue"/>
                  <w:tcBorders>
                    <w:tl2br w:val="nil"/>
                    <w:tr2bl w:val="nil"/>
                  </w:tcBorders>
                  <w:vAlign w:val="center"/>
                </w:tcPr>
                <w:p w14:paraId="3A8C0D2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211" w:type="pct"/>
                  <w:tcBorders>
                    <w:tl2br w:val="nil"/>
                    <w:tr2bl w:val="nil"/>
                  </w:tcBorders>
                  <w:shd w:val="clear" w:color="auto" w:fill="auto"/>
                  <w:vAlign w:val="center"/>
                </w:tcPr>
                <w:p w14:paraId="2FAAB29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汽车电动车零配件</w:t>
                  </w:r>
                </w:p>
              </w:tc>
              <w:tc>
                <w:tcPr>
                  <w:tcW w:w="774" w:type="pct"/>
                  <w:tcBorders>
                    <w:tl2br w:val="nil"/>
                    <w:tr2bl w:val="nil"/>
                  </w:tcBorders>
                  <w:vAlign w:val="center"/>
                </w:tcPr>
                <w:p w14:paraId="454905B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90万个</w:t>
                  </w:r>
                </w:p>
              </w:tc>
              <w:tc>
                <w:tcPr>
                  <w:tcW w:w="1044" w:type="pct"/>
                  <w:tcBorders>
                    <w:tl2br w:val="nil"/>
                    <w:tr2bl w:val="nil"/>
                  </w:tcBorders>
                  <w:vAlign w:val="center"/>
                </w:tcPr>
                <w:p w14:paraId="41DFEA0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0.35kg</w:t>
                  </w:r>
                </w:p>
              </w:tc>
              <w:tc>
                <w:tcPr>
                  <w:tcW w:w="748" w:type="pct"/>
                  <w:tcBorders>
                    <w:tl2br w:val="nil"/>
                    <w:tr2bl w:val="nil"/>
                  </w:tcBorders>
                  <w:vAlign w:val="center"/>
                </w:tcPr>
                <w:p w14:paraId="709FE60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铝制品</w:t>
                  </w:r>
                </w:p>
              </w:tc>
            </w:tr>
            <w:tr w14:paraId="2BE116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433" w:type="pct"/>
                  <w:tcBorders>
                    <w:tl2br w:val="nil"/>
                    <w:tr2bl w:val="nil"/>
                  </w:tcBorders>
                  <w:vAlign w:val="center"/>
                </w:tcPr>
                <w:p w14:paraId="41ADC77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w:t>
                  </w:r>
                </w:p>
              </w:tc>
              <w:tc>
                <w:tcPr>
                  <w:tcW w:w="788" w:type="pct"/>
                  <w:vMerge w:val="continue"/>
                  <w:tcBorders>
                    <w:tl2br w:val="nil"/>
                    <w:tr2bl w:val="nil"/>
                  </w:tcBorders>
                  <w:vAlign w:val="center"/>
                </w:tcPr>
                <w:p w14:paraId="7C563E44">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p>
              </w:tc>
              <w:tc>
                <w:tcPr>
                  <w:tcW w:w="1211" w:type="pct"/>
                  <w:tcBorders>
                    <w:tl2br w:val="nil"/>
                    <w:tr2bl w:val="nil"/>
                  </w:tcBorders>
                  <w:shd w:val="clear" w:color="auto" w:fill="auto"/>
                  <w:vAlign w:val="center"/>
                </w:tcPr>
                <w:p w14:paraId="0CDD1EC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POS机零配件</w:t>
                  </w:r>
                </w:p>
              </w:tc>
              <w:tc>
                <w:tcPr>
                  <w:tcW w:w="774" w:type="pct"/>
                  <w:tcBorders>
                    <w:tl2br w:val="nil"/>
                    <w:tr2bl w:val="nil"/>
                  </w:tcBorders>
                  <w:vAlign w:val="center"/>
                </w:tcPr>
                <w:p w14:paraId="787582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5万个</w:t>
                  </w:r>
                </w:p>
              </w:tc>
              <w:tc>
                <w:tcPr>
                  <w:tcW w:w="1044" w:type="pct"/>
                  <w:tcBorders>
                    <w:tl2br w:val="nil"/>
                    <w:tr2bl w:val="nil"/>
                  </w:tcBorders>
                  <w:vAlign w:val="center"/>
                </w:tcPr>
                <w:p w14:paraId="4DC18CA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0.1kg</w:t>
                  </w:r>
                </w:p>
              </w:tc>
              <w:tc>
                <w:tcPr>
                  <w:tcW w:w="748" w:type="pct"/>
                  <w:tcBorders>
                    <w:tl2br w:val="nil"/>
                    <w:tr2bl w:val="nil"/>
                  </w:tcBorders>
                  <w:vAlign w:val="center"/>
                </w:tcPr>
                <w:p w14:paraId="766A9CA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铝制品</w:t>
                  </w:r>
                </w:p>
              </w:tc>
            </w:tr>
            <w:tr w14:paraId="7B33C4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433" w:type="pct"/>
                  <w:tcBorders>
                    <w:tl2br w:val="nil"/>
                    <w:tr2bl w:val="nil"/>
                  </w:tcBorders>
                  <w:vAlign w:val="center"/>
                </w:tcPr>
                <w:p w14:paraId="753CF42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w:t>
                  </w:r>
                </w:p>
              </w:tc>
              <w:tc>
                <w:tcPr>
                  <w:tcW w:w="788" w:type="pct"/>
                  <w:vMerge w:val="continue"/>
                  <w:tcBorders>
                    <w:tl2br w:val="nil"/>
                    <w:tr2bl w:val="nil"/>
                  </w:tcBorders>
                  <w:vAlign w:val="center"/>
                </w:tcPr>
                <w:p w14:paraId="5E2E4A36">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p>
              </w:tc>
              <w:tc>
                <w:tcPr>
                  <w:tcW w:w="1211" w:type="pct"/>
                  <w:tcBorders>
                    <w:tl2br w:val="nil"/>
                    <w:tr2bl w:val="nil"/>
                  </w:tcBorders>
                  <w:shd w:val="clear" w:color="auto" w:fill="auto"/>
                  <w:vAlign w:val="center"/>
                </w:tcPr>
                <w:p w14:paraId="3D051AE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其他五金配件</w:t>
                  </w:r>
                </w:p>
              </w:tc>
              <w:tc>
                <w:tcPr>
                  <w:tcW w:w="774" w:type="pct"/>
                  <w:tcBorders>
                    <w:tl2br w:val="nil"/>
                    <w:tr2bl w:val="nil"/>
                  </w:tcBorders>
                  <w:vAlign w:val="center"/>
                </w:tcPr>
                <w:p w14:paraId="64510E4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5万个</w:t>
                  </w:r>
                </w:p>
              </w:tc>
              <w:tc>
                <w:tcPr>
                  <w:tcW w:w="1044" w:type="pct"/>
                  <w:tcBorders>
                    <w:tl2br w:val="nil"/>
                    <w:tr2bl w:val="nil"/>
                  </w:tcBorders>
                  <w:vAlign w:val="center"/>
                </w:tcPr>
                <w:p w14:paraId="30FA748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0.25kg</w:t>
                  </w:r>
                </w:p>
              </w:tc>
              <w:tc>
                <w:tcPr>
                  <w:tcW w:w="748" w:type="pct"/>
                  <w:tcBorders>
                    <w:tl2br w:val="nil"/>
                    <w:tr2bl w:val="nil"/>
                  </w:tcBorders>
                  <w:vAlign w:val="center"/>
                </w:tcPr>
                <w:p w14:paraId="75FEB0C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铝制品</w:t>
                  </w:r>
                </w:p>
              </w:tc>
            </w:tr>
          </w:tbl>
          <w:p w14:paraId="4FBF470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32" w:name="_Toc18030"/>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主要生产设备</w:t>
            </w:r>
            <w:bookmarkEnd w:id="31"/>
            <w:bookmarkEnd w:id="32"/>
          </w:p>
          <w:p w14:paraId="7217F010">
            <w:pPr>
              <w:pStyle w:val="2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项目主要生产设备一览表详见表2.2-3。</w:t>
            </w:r>
          </w:p>
          <w:p w14:paraId="69542A72">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表2.2-3 主要生产设备一览表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675"/>
              <w:gridCol w:w="3391"/>
              <w:gridCol w:w="776"/>
              <w:gridCol w:w="2001"/>
            </w:tblGrid>
            <w:tr w14:paraId="539840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428" w:type="pct"/>
                  <w:tcBorders>
                    <w:tl2br w:val="nil"/>
                    <w:tr2bl w:val="nil"/>
                  </w:tcBorders>
                  <w:vAlign w:val="center"/>
                </w:tcPr>
                <w:p w14:paraId="49095439">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序号</w:t>
                  </w:r>
                </w:p>
              </w:tc>
              <w:tc>
                <w:tcPr>
                  <w:tcW w:w="976" w:type="pct"/>
                  <w:tcBorders>
                    <w:tl2br w:val="nil"/>
                    <w:tr2bl w:val="nil"/>
                  </w:tcBorders>
                  <w:vAlign w:val="center"/>
                </w:tcPr>
                <w:p w14:paraId="0EA05F16">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设备名称</w:t>
                  </w:r>
                </w:p>
              </w:tc>
              <w:tc>
                <w:tcPr>
                  <w:tcW w:w="1976" w:type="pct"/>
                  <w:tcBorders>
                    <w:tl2br w:val="nil"/>
                    <w:tr2bl w:val="nil"/>
                  </w:tcBorders>
                  <w:vAlign w:val="center"/>
                </w:tcPr>
                <w:p w14:paraId="621C38AE">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功率/型号</w:t>
                  </w:r>
                </w:p>
              </w:tc>
              <w:tc>
                <w:tcPr>
                  <w:tcW w:w="452" w:type="pct"/>
                  <w:tcBorders>
                    <w:tl2br w:val="nil"/>
                    <w:tr2bl w:val="nil"/>
                  </w:tcBorders>
                  <w:vAlign w:val="center"/>
                </w:tcPr>
                <w:p w14:paraId="117C08DC">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数量</w:t>
                  </w:r>
                </w:p>
              </w:tc>
              <w:tc>
                <w:tcPr>
                  <w:tcW w:w="1166" w:type="pct"/>
                  <w:tcBorders>
                    <w:tl2br w:val="nil"/>
                    <w:tr2bl w:val="nil"/>
                  </w:tcBorders>
                  <w:vAlign w:val="center"/>
                </w:tcPr>
                <w:p w14:paraId="4DD59583">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备注</w:t>
                  </w:r>
                </w:p>
              </w:tc>
            </w:tr>
            <w:tr w14:paraId="5E4CB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428" w:type="pct"/>
                  <w:tcBorders>
                    <w:tl2br w:val="nil"/>
                    <w:tr2bl w:val="nil"/>
                  </w:tcBorders>
                  <w:vAlign w:val="center"/>
                </w:tcPr>
                <w:p w14:paraId="16966013">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c>
                <w:tcPr>
                  <w:tcW w:w="976" w:type="pct"/>
                  <w:tcBorders>
                    <w:tl2br w:val="nil"/>
                    <w:tr2bl w:val="nil"/>
                  </w:tcBorders>
                  <w:shd w:val="clear" w:color="auto" w:fill="auto"/>
                  <w:vAlign w:val="center"/>
                </w:tcPr>
                <w:p w14:paraId="76363C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sz w:val="21"/>
                    </w:rPr>
                    <mc:AlternateContent>
                      <mc:Choice Requires="wps">
                        <w:drawing>
                          <wp:anchor distT="0" distB="0" distL="114300" distR="114300" simplePos="0" relativeHeight="251715584" behindDoc="0" locked="0" layoutInCell="1" allowOverlap="1">
                            <wp:simplePos x="0" y="0"/>
                            <wp:positionH relativeFrom="column">
                              <wp:posOffset>75565</wp:posOffset>
                            </wp:positionH>
                            <wp:positionV relativeFrom="paragraph">
                              <wp:posOffset>45085</wp:posOffset>
                            </wp:positionV>
                            <wp:extent cx="4768215" cy="3925570"/>
                            <wp:effectExtent l="6350" t="6350" r="6985" b="11430"/>
                            <wp:wrapNone/>
                            <wp:docPr id="231" name="矩形 231"/>
                            <wp:cNvGraphicFramePr/>
                            <a:graphic xmlns:a="http://schemas.openxmlformats.org/drawingml/2006/main">
                              <a:graphicData uri="http://schemas.microsoft.com/office/word/2010/wordprocessingShape">
                                <wps:wsp>
                                  <wps:cNvSpPr/>
                                  <wps:spPr>
                                    <a:xfrm>
                                      <a:off x="0" y="0"/>
                                      <a:ext cx="4768215" cy="392557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5pt;margin-top:3.55pt;height:309.1pt;width:375.45pt;z-index:251715584;v-text-anchor:middle;mso-width-relative:page;mso-height-relative:page;" fillcolor="#FFFFFF [3212]" filled="t" stroked="t" coordsize="21600,21600" o:gfxdata="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6Oj7a9YAAAAIAQAADwAAAAAAAAABACAAAAAiAAAAZHJzL2Rvd25yZXYu&#10;eG1sUEsBAhQAFAAAAAgAh07iQJVtOOFvAgAA+QQAAA4AAAAAAAAAAQAgAAAAJQEAAGRycy9lMm9E&#10;b2MueG1sUEsFBgAAAAAGAAYAWQEAAAYGAAAAAA==&#10;">
                            <v:fill on="t" focussize="0,0"/>
                            <v:stroke weight="1pt" color="#FFFFFF [3212]" miterlimit="8" joinstyle="miter"/>
                            <v:imagedata o:title=""/>
                            <o:lock v:ext="edit" aspectratio="f"/>
                          </v:rect>
                        </w:pict>
                      </mc:Fallback>
                    </mc:AlternateContent>
                  </w:r>
                  <w:r>
                    <w:rPr>
                      <w:rFonts w:hint="eastAsia" w:ascii="Times New Roman" w:hAnsi="Times New Roman" w:eastAsia="宋体" w:cs="Times New Roman"/>
                      <w:color w:val="auto"/>
                      <w:sz w:val="21"/>
                      <w:szCs w:val="21"/>
                      <w:highlight w:val="none"/>
                      <w:vertAlign w:val="baseline"/>
                      <w:lang w:val="en-US" w:eastAsia="zh-CN"/>
                    </w:rPr>
                    <w:t>电</w:t>
                  </w:r>
                  <w:r>
                    <w:rPr>
                      <w:rFonts w:hint="eastAsia" w:cs="Times New Roman"/>
                      <w:color w:val="auto"/>
                      <w:sz w:val="21"/>
                      <w:szCs w:val="21"/>
                      <w:highlight w:val="none"/>
                      <w:vertAlign w:val="baseline"/>
                      <w:lang w:val="en-US" w:eastAsia="zh-CN"/>
                    </w:rPr>
                    <w:t>阻</w:t>
                  </w:r>
                  <w:r>
                    <w:rPr>
                      <w:rFonts w:hint="eastAsia" w:ascii="Times New Roman" w:hAnsi="Times New Roman" w:eastAsia="宋体" w:cs="Times New Roman"/>
                      <w:color w:val="auto"/>
                      <w:sz w:val="21"/>
                      <w:szCs w:val="21"/>
                      <w:highlight w:val="none"/>
                      <w:vertAlign w:val="baseline"/>
                      <w:lang w:val="en-US" w:eastAsia="zh-CN"/>
                    </w:rPr>
                    <w:t>炉</w:t>
                  </w:r>
                </w:p>
              </w:tc>
              <w:tc>
                <w:tcPr>
                  <w:tcW w:w="1976" w:type="pct"/>
                  <w:tcBorders>
                    <w:tl2br w:val="nil"/>
                    <w:tr2bl w:val="nil"/>
                  </w:tcBorders>
                  <w:shd w:val="clear" w:color="auto" w:fill="auto"/>
                  <w:vAlign w:val="center"/>
                </w:tcPr>
                <w:p w14:paraId="18CE82C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75</w:t>
                  </w:r>
                  <w:r>
                    <w:rPr>
                      <w:rFonts w:hint="eastAsia" w:cs="Times New Roman"/>
                      <w:color w:val="000000" w:themeColor="text1"/>
                      <w:sz w:val="21"/>
                      <w:szCs w:val="21"/>
                      <w:highlight w:val="none"/>
                      <w:vertAlign w:val="baseline"/>
                      <w:lang w:val="en-US" w:eastAsia="zh-CN"/>
                      <w14:textFill>
                        <w14:solidFill>
                          <w14:schemeClr w14:val="tx1"/>
                        </w14:solidFill>
                      </w14:textFill>
                    </w:rPr>
                    <w:t>kW</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、90</w:t>
                  </w:r>
                  <w:r>
                    <w:rPr>
                      <w:rFonts w:hint="eastAsia" w:cs="Times New Roman"/>
                      <w:color w:val="000000" w:themeColor="text1"/>
                      <w:sz w:val="21"/>
                      <w:szCs w:val="21"/>
                      <w:highlight w:val="none"/>
                      <w:vertAlign w:val="baseline"/>
                      <w:lang w:val="en-US" w:eastAsia="zh-CN"/>
                      <w14:textFill>
                        <w14:solidFill>
                          <w14:schemeClr w14:val="tx1"/>
                        </w14:solidFill>
                      </w14:textFill>
                    </w:rPr>
                    <w:t>kW</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、110</w:t>
                  </w:r>
                  <w:r>
                    <w:rPr>
                      <w:rFonts w:hint="eastAsia" w:cs="Times New Roman"/>
                      <w:color w:val="000000" w:themeColor="text1"/>
                      <w:sz w:val="21"/>
                      <w:szCs w:val="21"/>
                      <w:highlight w:val="none"/>
                      <w:vertAlign w:val="baseline"/>
                      <w:lang w:val="en-US" w:eastAsia="zh-CN"/>
                      <w14:textFill>
                        <w14:solidFill>
                          <w14:schemeClr w14:val="tx1"/>
                        </w14:solidFill>
                      </w14:textFill>
                    </w:rPr>
                    <w:t>kW</w:t>
                  </w:r>
                </w:p>
              </w:tc>
              <w:tc>
                <w:tcPr>
                  <w:tcW w:w="452" w:type="pct"/>
                  <w:tcBorders>
                    <w:tl2br w:val="nil"/>
                    <w:tr2bl w:val="nil"/>
                  </w:tcBorders>
                  <w:shd w:val="clear" w:color="auto" w:fill="auto"/>
                  <w:vAlign w:val="center"/>
                </w:tcPr>
                <w:p w14:paraId="05661D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w:t>
                  </w:r>
                </w:p>
              </w:tc>
              <w:tc>
                <w:tcPr>
                  <w:tcW w:w="1166" w:type="pct"/>
                  <w:vMerge w:val="restart"/>
                  <w:tcBorders>
                    <w:tl2br w:val="nil"/>
                    <w:tr2bl w:val="nil"/>
                  </w:tcBorders>
                  <w:vAlign w:val="center"/>
                </w:tcPr>
                <w:p w14:paraId="14F23A95">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Arial" w:hAnsi="Arial"/>
                      <w:color w:val="000000"/>
                      <w:sz w:val="21"/>
                      <w:szCs w:val="21"/>
                      <w:u w:val="none"/>
                    </w:rPr>
                    <w:t>本项目采用的为压铸机与</w:t>
                  </w:r>
                  <w:r>
                    <w:rPr>
                      <w:rFonts w:hint="eastAsia" w:ascii="Arial" w:hAnsi="Arial"/>
                      <w:color w:val="000000"/>
                      <w:sz w:val="21"/>
                      <w:szCs w:val="21"/>
                      <w:u w:val="none"/>
                      <w:lang w:val="en-US" w:eastAsia="zh-CN"/>
                    </w:rPr>
                    <w:t>电阻</w:t>
                  </w:r>
                  <w:r>
                    <w:rPr>
                      <w:rFonts w:hint="eastAsia" w:ascii="Arial" w:hAnsi="Arial"/>
                      <w:color w:val="000000"/>
                      <w:sz w:val="21"/>
                      <w:szCs w:val="21"/>
                      <w:u w:val="none"/>
                    </w:rPr>
                    <w:t>炉一体机</w:t>
                  </w:r>
                </w:p>
              </w:tc>
            </w:tr>
            <w:tr w14:paraId="47BAF9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428" w:type="pct"/>
                  <w:tcBorders>
                    <w:tl2br w:val="nil"/>
                    <w:tr2bl w:val="nil"/>
                  </w:tcBorders>
                  <w:vAlign w:val="center"/>
                </w:tcPr>
                <w:p w14:paraId="58C12D5D">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2</w:t>
                  </w:r>
                </w:p>
              </w:tc>
              <w:tc>
                <w:tcPr>
                  <w:tcW w:w="976" w:type="pct"/>
                  <w:tcBorders>
                    <w:tl2br w:val="nil"/>
                    <w:tr2bl w:val="nil"/>
                  </w:tcBorders>
                  <w:shd w:val="clear" w:color="auto" w:fill="auto"/>
                  <w:vAlign w:val="center"/>
                </w:tcPr>
                <w:p w14:paraId="65259B1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压铸机</w:t>
                  </w:r>
                </w:p>
              </w:tc>
              <w:tc>
                <w:tcPr>
                  <w:tcW w:w="1976" w:type="pct"/>
                  <w:tcBorders>
                    <w:tl2br w:val="nil"/>
                    <w:tr2bl w:val="nil"/>
                  </w:tcBorders>
                  <w:shd w:val="clear" w:color="auto" w:fill="auto"/>
                  <w:vAlign w:val="center"/>
                </w:tcPr>
                <w:p w14:paraId="13D8B98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15</w:t>
                  </w:r>
                  <w:r>
                    <w:rPr>
                      <w:rFonts w:hint="eastAsia" w:cs="Times New Roman"/>
                      <w:color w:val="000000" w:themeColor="text1"/>
                      <w:sz w:val="21"/>
                      <w:szCs w:val="21"/>
                      <w:highlight w:val="none"/>
                      <w:vertAlign w:val="baseline"/>
                      <w:lang w:val="en-US" w:eastAsia="zh-CN"/>
                      <w14:textFill>
                        <w14:solidFill>
                          <w14:schemeClr w14:val="tx1"/>
                        </w14:solidFill>
                      </w14:textFill>
                    </w:rPr>
                    <w:t>kW</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、18.5</w:t>
                  </w:r>
                  <w:r>
                    <w:rPr>
                      <w:rFonts w:hint="eastAsia" w:cs="Times New Roman"/>
                      <w:color w:val="000000" w:themeColor="text1"/>
                      <w:sz w:val="21"/>
                      <w:szCs w:val="21"/>
                      <w:highlight w:val="none"/>
                      <w:vertAlign w:val="baseline"/>
                      <w:lang w:val="en-US" w:eastAsia="zh-CN"/>
                      <w14:textFill>
                        <w14:solidFill>
                          <w14:schemeClr w14:val="tx1"/>
                        </w14:solidFill>
                      </w14:textFill>
                    </w:rPr>
                    <w:t>kW</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、22</w:t>
                  </w:r>
                  <w:r>
                    <w:rPr>
                      <w:rFonts w:hint="eastAsia" w:cs="Times New Roman"/>
                      <w:color w:val="000000" w:themeColor="text1"/>
                      <w:sz w:val="21"/>
                      <w:szCs w:val="21"/>
                      <w:highlight w:val="none"/>
                      <w:vertAlign w:val="baseline"/>
                      <w:lang w:val="en-US" w:eastAsia="zh-CN"/>
                      <w14:textFill>
                        <w14:solidFill>
                          <w14:schemeClr w14:val="tx1"/>
                        </w14:solidFill>
                      </w14:textFill>
                    </w:rPr>
                    <w:t>kW</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、43.6</w:t>
                  </w:r>
                  <w:r>
                    <w:rPr>
                      <w:rFonts w:hint="eastAsia" w:cs="Times New Roman"/>
                      <w:color w:val="000000" w:themeColor="text1"/>
                      <w:sz w:val="21"/>
                      <w:szCs w:val="21"/>
                      <w:highlight w:val="none"/>
                      <w:vertAlign w:val="baseline"/>
                      <w:lang w:val="en-US" w:eastAsia="zh-CN"/>
                      <w14:textFill>
                        <w14:solidFill>
                          <w14:schemeClr w14:val="tx1"/>
                        </w14:solidFill>
                      </w14:textFill>
                    </w:rPr>
                    <w:t>kW</w:t>
                  </w:r>
                </w:p>
              </w:tc>
              <w:tc>
                <w:tcPr>
                  <w:tcW w:w="452" w:type="pct"/>
                  <w:tcBorders>
                    <w:tl2br w:val="nil"/>
                    <w:tr2bl w:val="nil"/>
                  </w:tcBorders>
                  <w:shd w:val="clear" w:color="auto" w:fill="auto"/>
                  <w:vAlign w:val="center"/>
                </w:tcPr>
                <w:p w14:paraId="6501B50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w:t>
                  </w:r>
                </w:p>
              </w:tc>
              <w:tc>
                <w:tcPr>
                  <w:tcW w:w="1166" w:type="pct"/>
                  <w:vMerge w:val="continue"/>
                  <w:tcBorders>
                    <w:tl2br w:val="nil"/>
                    <w:tr2bl w:val="nil"/>
                  </w:tcBorders>
                  <w:vAlign w:val="center"/>
                </w:tcPr>
                <w:p w14:paraId="351AE1E7">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p>
              </w:tc>
            </w:tr>
            <w:tr w14:paraId="5FDBF7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28" w:type="pct"/>
                  <w:tcBorders>
                    <w:tl2br w:val="nil"/>
                    <w:tr2bl w:val="nil"/>
                  </w:tcBorders>
                  <w:vAlign w:val="center"/>
                </w:tcPr>
                <w:p w14:paraId="1A466478">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3</w:t>
                  </w:r>
                </w:p>
              </w:tc>
              <w:tc>
                <w:tcPr>
                  <w:tcW w:w="976" w:type="pct"/>
                  <w:tcBorders>
                    <w:tl2br w:val="nil"/>
                    <w:tr2bl w:val="nil"/>
                  </w:tcBorders>
                  <w:shd w:val="clear" w:color="auto" w:fill="auto"/>
                  <w:vAlign w:val="center"/>
                </w:tcPr>
                <w:p w14:paraId="4E5FAE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铣床</w:t>
                  </w:r>
                </w:p>
              </w:tc>
              <w:tc>
                <w:tcPr>
                  <w:tcW w:w="1976" w:type="pct"/>
                  <w:tcBorders>
                    <w:tl2br w:val="nil"/>
                    <w:tr2bl w:val="nil"/>
                  </w:tcBorders>
                  <w:shd w:val="clear" w:color="auto" w:fill="auto"/>
                  <w:vAlign w:val="center"/>
                </w:tcPr>
                <w:p w14:paraId="555D6A5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0.75</w:t>
                  </w:r>
                  <w:r>
                    <w:rPr>
                      <w:rFonts w:hint="eastAsia" w:cs="Times New Roman"/>
                      <w:color w:val="000000" w:themeColor="text1"/>
                      <w:sz w:val="21"/>
                      <w:szCs w:val="21"/>
                      <w:highlight w:val="none"/>
                      <w:vertAlign w:val="baseline"/>
                      <w:lang w:val="en-US" w:eastAsia="zh-CN"/>
                      <w14:textFill>
                        <w14:solidFill>
                          <w14:schemeClr w14:val="tx1"/>
                        </w14:solidFill>
                      </w14:textFill>
                    </w:rPr>
                    <w:t>kW</w:t>
                  </w:r>
                </w:p>
              </w:tc>
              <w:tc>
                <w:tcPr>
                  <w:tcW w:w="452" w:type="pct"/>
                  <w:tcBorders>
                    <w:tl2br w:val="nil"/>
                    <w:tr2bl w:val="nil"/>
                  </w:tcBorders>
                  <w:shd w:val="clear" w:color="auto" w:fill="auto"/>
                  <w:vAlign w:val="center"/>
                </w:tcPr>
                <w:p w14:paraId="6A8804F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1166" w:type="pct"/>
                  <w:tcBorders>
                    <w:tl2br w:val="nil"/>
                    <w:tr2bl w:val="nil"/>
                  </w:tcBorders>
                  <w:shd w:val="clear" w:color="auto" w:fill="auto"/>
                  <w:vAlign w:val="center"/>
                </w:tcPr>
                <w:p w14:paraId="5B676006">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u w:val="none"/>
                      <w:vertAlign w:val="baseline"/>
                      <w:lang w:val="en-US" w:eastAsia="zh-CN" w:bidi="ar-SA"/>
                      <w14:textFill>
                        <w14:solidFill>
                          <w14:schemeClr w14:val="tx1"/>
                        </w14:solidFill>
                      </w14:textFill>
                    </w:rPr>
                    <w:t>/</w:t>
                  </w:r>
                </w:p>
              </w:tc>
            </w:tr>
            <w:tr w14:paraId="3BD0D2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28" w:type="pct"/>
                  <w:tcBorders>
                    <w:tl2br w:val="nil"/>
                    <w:tr2bl w:val="nil"/>
                  </w:tcBorders>
                  <w:vAlign w:val="center"/>
                </w:tcPr>
                <w:p w14:paraId="3695875E">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4</w:t>
                  </w:r>
                </w:p>
              </w:tc>
              <w:tc>
                <w:tcPr>
                  <w:tcW w:w="976" w:type="pct"/>
                  <w:tcBorders>
                    <w:tl2br w:val="nil"/>
                    <w:tr2bl w:val="nil"/>
                  </w:tcBorders>
                  <w:shd w:val="clear" w:color="auto" w:fill="auto"/>
                  <w:vAlign w:val="center"/>
                </w:tcPr>
                <w:p w14:paraId="00E5F4B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磨床</w:t>
                  </w:r>
                </w:p>
              </w:tc>
              <w:tc>
                <w:tcPr>
                  <w:tcW w:w="1976" w:type="pct"/>
                  <w:tcBorders>
                    <w:tl2br w:val="nil"/>
                    <w:tr2bl w:val="nil"/>
                  </w:tcBorders>
                  <w:shd w:val="clear" w:color="auto" w:fill="auto"/>
                  <w:vAlign w:val="center"/>
                </w:tcPr>
                <w:p w14:paraId="1C22CB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0.75</w:t>
                  </w:r>
                  <w:r>
                    <w:rPr>
                      <w:rFonts w:hint="eastAsia" w:cs="Times New Roman"/>
                      <w:color w:val="000000" w:themeColor="text1"/>
                      <w:sz w:val="21"/>
                      <w:szCs w:val="21"/>
                      <w:highlight w:val="none"/>
                      <w:vertAlign w:val="baseline"/>
                      <w:lang w:val="en-US" w:eastAsia="zh-CN"/>
                      <w14:textFill>
                        <w14:solidFill>
                          <w14:schemeClr w14:val="tx1"/>
                        </w14:solidFill>
                      </w14:textFill>
                    </w:rPr>
                    <w:t>kW</w:t>
                  </w:r>
                </w:p>
              </w:tc>
              <w:tc>
                <w:tcPr>
                  <w:tcW w:w="452" w:type="pct"/>
                  <w:tcBorders>
                    <w:tl2br w:val="nil"/>
                    <w:tr2bl w:val="nil"/>
                  </w:tcBorders>
                  <w:shd w:val="clear" w:color="auto" w:fill="auto"/>
                  <w:vAlign w:val="center"/>
                </w:tcPr>
                <w:p w14:paraId="76CA4BC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1166" w:type="pct"/>
                  <w:tcBorders>
                    <w:tl2br w:val="nil"/>
                    <w:tr2bl w:val="nil"/>
                  </w:tcBorders>
                  <w:shd w:val="clear" w:color="auto" w:fill="auto"/>
                  <w:vAlign w:val="center"/>
                </w:tcPr>
                <w:p w14:paraId="5AE1AF4B">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u w:val="none"/>
                      <w:vertAlign w:val="baseline"/>
                      <w:lang w:val="en-US" w:eastAsia="zh-CN" w:bidi="ar-SA"/>
                      <w14:textFill>
                        <w14:solidFill>
                          <w14:schemeClr w14:val="tx1"/>
                        </w14:solidFill>
                      </w14:textFill>
                    </w:rPr>
                    <w:t>/</w:t>
                  </w:r>
                </w:p>
              </w:tc>
            </w:tr>
            <w:tr w14:paraId="0E171B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28" w:type="pct"/>
                  <w:tcBorders>
                    <w:tl2br w:val="nil"/>
                    <w:tr2bl w:val="nil"/>
                  </w:tcBorders>
                  <w:vAlign w:val="center"/>
                </w:tcPr>
                <w:p w14:paraId="6BAAF1F8">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5</w:t>
                  </w:r>
                </w:p>
              </w:tc>
              <w:tc>
                <w:tcPr>
                  <w:tcW w:w="976" w:type="pct"/>
                  <w:tcBorders>
                    <w:tl2br w:val="nil"/>
                    <w:tr2bl w:val="nil"/>
                  </w:tcBorders>
                  <w:shd w:val="clear" w:color="auto" w:fill="auto"/>
                  <w:vAlign w:val="center"/>
                </w:tcPr>
                <w:p w14:paraId="7D1FEF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冲床</w:t>
                  </w:r>
                </w:p>
              </w:tc>
              <w:tc>
                <w:tcPr>
                  <w:tcW w:w="1976" w:type="pct"/>
                  <w:tcBorders>
                    <w:tl2br w:val="nil"/>
                    <w:tr2bl w:val="nil"/>
                  </w:tcBorders>
                  <w:shd w:val="clear" w:color="auto" w:fill="auto"/>
                  <w:vAlign w:val="center"/>
                </w:tcPr>
                <w:p w14:paraId="156857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3.5</w:t>
                  </w:r>
                  <w:r>
                    <w:rPr>
                      <w:rFonts w:hint="eastAsia" w:cs="Times New Roman"/>
                      <w:color w:val="000000" w:themeColor="text1"/>
                      <w:sz w:val="21"/>
                      <w:szCs w:val="21"/>
                      <w:highlight w:val="none"/>
                      <w:vertAlign w:val="baseline"/>
                      <w:lang w:val="en-US" w:eastAsia="zh-CN"/>
                      <w14:textFill>
                        <w14:solidFill>
                          <w14:schemeClr w14:val="tx1"/>
                        </w14:solidFill>
                      </w14:textFill>
                    </w:rPr>
                    <w:t>kW</w:t>
                  </w:r>
                </w:p>
              </w:tc>
              <w:tc>
                <w:tcPr>
                  <w:tcW w:w="452" w:type="pct"/>
                  <w:tcBorders>
                    <w:tl2br w:val="nil"/>
                    <w:tr2bl w:val="nil"/>
                  </w:tcBorders>
                  <w:shd w:val="clear" w:color="auto" w:fill="auto"/>
                  <w:vAlign w:val="center"/>
                </w:tcPr>
                <w:p w14:paraId="0FFC46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w:t>
                  </w:r>
                </w:p>
              </w:tc>
              <w:tc>
                <w:tcPr>
                  <w:tcW w:w="1166" w:type="pct"/>
                  <w:tcBorders>
                    <w:tl2br w:val="nil"/>
                    <w:tr2bl w:val="nil"/>
                  </w:tcBorders>
                  <w:shd w:val="clear" w:color="auto" w:fill="auto"/>
                  <w:vAlign w:val="center"/>
                </w:tcPr>
                <w:p w14:paraId="3573D379">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u w:val="none"/>
                      <w:vertAlign w:val="baseline"/>
                      <w:lang w:val="en-US" w:eastAsia="zh-CN" w:bidi="ar-SA"/>
                      <w14:textFill>
                        <w14:solidFill>
                          <w14:schemeClr w14:val="tx1"/>
                        </w14:solidFill>
                      </w14:textFill>
                    </w:rPr>
                    <w:t>/</w:t>
                  </w:r>
                </w:p>
              </w:tc>
            </w:tr>
            <w:tr w14:paraId="53E64F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428" w:type="pct"/>
                  <w:tcBorders>
                    <w:tl2br w:val="nil"/>
                    <w:tr2bl w:val="nil"/>
                  </w:tcBorders>
                  <w:vAlign w:val="center"/>
                </w:tcPr>
                <w:p w14:paraId="41D85BFD">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6</w:t>
                  </w:r>
                </w:p>
              </w:tc>
              <w:tc>
                <w:tcPr>
                  <w:tcW w:w="976" w:type="pct"/>
                  <w:tcBorders>
                    <w:tl2br w:val="nil"/>
                    <w:tr2bl w:val="nil"/>
                  </w:tcBorders>
                  <w:shd w:val="clear" w:color="auto" w:fill="auto"/>
                  <w:vAlign w:val="center"/>
                </w:tcPr>
                <w:p w14:paraId="012B298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抛光机</w:t>
                  </w:r>
                </w:p>
              </w:tc>
              <w:tc>
                <w:tcPr>
                  <w:tcW w:w="1976" w:type="pct"/>
                  <w:tcBorders>
                    <w:tl2br w:val="nil"/>
                    <w:tr2bl w:val="nil"/>
                  </w:tcBorders>
                  <w:shd w:val="clear" w:color="auto" w:fill="auto"/>
                  <w:vAlign w:val="center"/>
                </w:tcPr>
                <w:p w14:paraId="3DEE8ED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5.5</w:t>
                  </w:r>
                  <w:r>
                    <w:rPr>
                      <w:rFonts w:hint="eastAsia" w:cs="Times New Roman"/>
                      <w:color w:val="000000" w:themeColor="text1"/>
                      <w:sz w:val="21"/>
                      <w:szCs w:val="21"/>
                      <w:highlight w:val="none"/>
                      <w:vertAlign w:val="baseline"/>
                      <w:lang w:val="en-US" w:eastAsia="zh-CN"/>
                      <w14:textFill>
                        <w14:solidFill>
                          <w14:schemeClr w14:val="tx1"/>
                        </w14:solidFill>
                      </w14:textFill>
                    </w:rPr>
                    <w:t>kW</w:t>
                  </w:r>
                </w:p>
              </w:tc>
              <w:tc>
                <w:tcPr>
                  <w:tcW w:w="452" w:type="pct"/>
                  <w:tcBorders>
                    <w:tl2br w:val="nil"/>
                    <w:tr2bl w:val="nil"/>
                  </w:tcBorders>
                  <w:shd w:val="clear" w:color="auto" w:fill="auto"/>
                  <w:vAlign w:val="center"/>
                </w:tcPr>
                <w:p w14:paraId="773CE11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w:t>
                  </w:r>
                </w:p>
              </w:tc>
              <w:tc>
                <w:tcPr>
                  <w:tcW w:w="1166" w:type="pct"/>
                  <w:tcBorders>
                    <w:tl2br w:val="nil"/>
                    <w:tr2bl w:val="nil"/>
                  </w:tcBorders>
                  <w:shd w:val="clear" w:color="auto" w:fill="auto"/>
                  <w:vAlign w:val="center"/>
                </w:tcPr>
                <w:p w14:paraId="3E2CC640">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u w:val="none"/>
                      <w:vertAlign w:val="baseline"/>
                      <w:lang w:val="en-US" w:eastAsia="zh-CN" w:bidi="ar-SA"/>
                      <w14:textFill>
                        <w14:solidFill>
                          <w14:schemeClr w14:val="tx1"/>
                        </w14:solidFill>
                      </w14:textFill>
                    </w:rPr>
                    <w:t>/</w:t>
                  </w:r>
                </w:p>
              </w:tc>
            </w:tr>
            <w:tr w14:paraId="786BB5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428" w:type="pct"/>
                  <w:tcBorders>
                    <w:tl2br w:val="nil"/>
                    <w:tr2bl w:val="nil"/>
                  </w:tcBorders>
                  <w:vAlign w:val="center"/>
                </w:tcPr>
                <w:p w14:paraId="5F79FE64">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7</w:t>
                  </w:r>
                </w:p>
              </w:tc>
              <w:tc>
                <w:tcPr>
                  <w:tcW w:w="976" w:type="pct"/>
                  <w:tcBorders>
                    <w:tl2br w:val="nil"/>
                    <w:tr2bl w:val="nil"/>
                  </w:tcBorders>
                  <w:shd w:val="clear" w:color="auto" w:fill="auto"/>
                  <w:vAlign w:val="center"/>
                </w:tcPr>
                <w:p w14:paraId="0A35241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数控机床</w:t>
                  </w:r>
                </w:p>
              </w:tc>
              <w:tc>
                <w:tcPr>
                  <w:tcW w:w="1976" w:type="pct"/>
                  <w:tcBorders>
                    <w:tl2br w:val="nil"/>
                    <w:tr2bl w:val="nil"/>
                  </w:tcBorders>
                  <w:shd w:val="clear" w:color="auto" w:fill="auto"/>
                  <w:vAlign w:val="center"/>
                </w:tcPr>
                <w:p w14:paraId="501B6EF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2.2</w:t>
                  </w:r>
                  <w:r>
                    <w:rPr>
                      <w:rFonts w:hint="eastAsia" w:cs="Times New Roman"/>
                      <w:color w:val="000000" w:themeColor="text1"/>
                      <w:sz w:val="21"/>
                      <w:szCs w:val="21"/>
                      <w:highlight w:val="none"/>
                      <w:vertAlign w:val="baseline"/>
                      <w:lang w:val="en-US" w:eastAsia="zh-CN"/>
                      <w14:textFill>
                        <w14:solidFill>
                          <w14:schemeClr w14:val="tx1"/>
                        </w14:solidFill>
                      </w14:textFill>
                    </w:rPr>
                    <w:t>kW</w:t>
                  </w:r>
                </w:p>
              </w:tc>
              <w:tc>
                <w:tcPr>
                  <w:tcW w:w="452" w:type="pct"/>
                  <w:tcBorders>
                    <w:tl2br w:val="nil"/>
                    <w:tr2bl w:val="nil"/>
                  </w:tcBorders>
                  <w:shd w:val="clear" w:color="auto" w:fill="auto"/>
                  <w:vAlign w:val="center"/>
                </w:tcPr>
                <w:p w14:paraId="2F301F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w:t>
                  </w:r>
                </w:p>
              </w:tc>
              <w:tc>
                <w:tcPr>
                  <w:tcW w:w="1166" w:type="pct"/>
                  <w:tcBorders>
                    <w:tl2br w:val="nil"/>
                    <w:tr2bl w:val="nil"/>
                  </w:tcBorders>
                  <w:shd w:val="clear" w:color="auto" w:fill="auto"/>
                  <w:vAlign w:val="center"/>
                </w:tcPr>
                <w:p w14:paraId="7CDD0B90">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u w:val="none"/>
                      <w:vertAlign w:val="baseline"/>
                      <w:lang w:val="en-US" w:eastAsia="zh-CN" w:bidi="ar-SA"/>
                      <w14:textFill>
                        <w14:solidFill>
                          <w14:schemeClr w14:val="tx1"/>
                        </w14:solidFill>
                      </w14:textFill>
                    </w:rPr>
                    <w:t>/</w:t>
                  </w:r>
                </w:p>
              </w:tc>
            </w:tr>
            <w:tr w14:paraId="59363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428" w:type="pct"/>
                  <w:tcBorders>
                    <w:tl2br w:val="nil"/>
                    <w:tr2bl w:val="nil"/>
                  </w:tcBorders>
                  <w:vAlign w:val="center"/>
                </w:tcPr>
                <w:p w14:paraId="1ECB0679">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8</w:t>
                  </w:r>
                </w:p>
              </w:tc>
              <w:tc>
                <w:tcPr>
                  <w:tcW w:w="976" w:type="pct"/>
                  <w:tcBorders>
                    <w:tl2br w:val="nil"/>
                    <w:tr2bl w:val="nil"/>
                  </w:tcBorders>
                  <w:shd w:val="clear" w:color="auto" w:fill="auto"/>
                  <w:vAlign w:val="center"/>
                </w:tcPr>
                <w:p w14:paraId="20A2B8B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钻床</w:t>
                  </w:r>
                </w:p>
              </w:tc>
              <w:tc>
                <w:tcPr>
                  <w:tcW w:w="1976" w:type="pct"/>
                  <w:tcBorders>
                    <w:tl2br w:val="nil"/>
                    <w:tr2bl w:val="nil"/>
                  </w:tcBorders>
                  <w:shd w:val="clear" w:color="auto" w:fill="auto"/>
                  <w:vAlign w:val="center"/>
                </w:tcPr>
                <w:p w14:paraId="727BCD3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0.55</w:t>
                  </w:r>
                  <w:r>
                    <w:rPr>
                      <w:rFonts w:hint="eastAsia" w:cs="Times New Roman"/>
                      <w:color w:val="000000" w:themeColor="text1"/>
                      <w:sz w:val="21"/>
                      <w:szCs w:val="21"/>
                      <w:highlight w:val="none"/>
                      <w:vertAlign w:val="baseline"/>
                      <w:lang w:val="en-US" w:eastAsia="zh-CN"/>
                      <w14:textFill>
                        <w14:solidFill>
                          <w14:schemeClr w14:val="tx1"/>
                        </w14:solidFill>
                      </w14:textFill>
                    </w:rPr>
                    <w:t>kW</w:t>
                  </w:r>
                </w:p>
              </w:tc>
              <w:tc>
                <w:tcPr>
                  <w:tcW w:w="452" w:type="pct"/>
                  <w:tcBorders>
                    <w:tl2br w:val="nil"/>
                    <w:tr2bl w:val="nil"/>
                  </w:tcBorders>
                  <w:shd w:val="clear" w:color="auto" w:fill="auto"/>
                  <w:vAlign w:val="center"/>
                </w:tcPr>
                <w:p w14:paraId="246B2C5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w:t>
                  </w:r>
                </w:p>
              </w:tc>
              <w:tc>
                <w:tcPr>
                  <w:tcW w:w="1166" w:type="pct"/>
                  <w:tcBorders>
                    <w:tl2br w:val="nil"/>
                    <w:tr2bl w:val="nil"/>
                  </w:tcBorders>
                  <w:shd w:val="clear" w:color="auto" w:fill="auto"/>
                  <w:vAlign w:val="center"/>
                </w:tcPr>
                <w:p w14:paraId="5502076F">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w:t>
                  </w:r>
                </w:p>
              </w:tc>
            </w:tr>
            <w:tr w14:paraId="21AB3E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428" w:type="pct"/>
                </w:tcPr>
                <w:p w14:paraId="5B1F76D6">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9</w:t>
                  </w:r>
                </w:p>
              </w:tc>
              <w:tc>
                <w:tcPr>
                  <w:tcW w:w="976" w:type="pct"/>
                  <w:shd w:val="clear" w:color="auto" w:fill="auto"/>
                  <w:vAlign w:val="center"/>
                </w:tcPr>
                <w:p w14:paraId="72F512B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单攻机</w:t>
                  </w:r>
                </w:p>
              </w:tc>
              <w:tc>
                <w:tcPr>
                  <w:tcW w:w="1976" w:type="pct"/>
                  <w:shd w:val="clear" w:color="auto" w:fill="auto"/>
                  <w:vAlign w:val="center"/>
                </w:tcPr>
                <w:p w14:paraId="50C1B30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1.1</w:t>
                  </w:r>
                  <w:r>
                    <w:rPr>
                      <w:rFonts w:hint="eastAsia" w:cs="Times New Roman"/>
                      <w:color w:val="000000" w:themeColor="text1"/>
                      <w:sz w:val="21"/>
                      <w:szCs w:val="21"/>
                      <w:highlight w:val="none"/>
                      <w:vertAlign w:val="baseline"/>
                      <w:lang w:val="en-US" w:eastAsia="zh-CN"/>
                      <w14:textFill>
                        <w14:solidFill>
                          <w14:schemeClr w14:val="tx1"/>
                        </w14:solidFill>
                      </w14:textFill>
                    </w:rPr>
                    <w:t>kW</w:t>
                  </w:r>
                </w:p>
              </w:tc>
              <w:tc>
                <w:tcPr>
                  <w:tcW w:w="452" w:type="pct"/>
                  <w:shd w:val="clear" w:color="auto" w:fill="auto"/>
                  <w:vAlign w:val="center"/>
                </w:tcPr>
                <w:p w14:paraId="2641C97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1166" w:type="pct"/>
                  <w:shd w:val="clear" w:color="auto" w:fill="auto"/>
                  <w:vAlign w:val="center"/>
                </w:tcPr>
                <w:p w14:paraId="5AF9C023">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w:t>
                  </w:r>
                </w:p>
              </w:tc>
            </w:tr>
            <w:tr w14:paraId="389B3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428" w:type="pct"/>
                </w:tcPr>
                <w:p w14:paraId="2B02961B">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bookmarkStart w:id="33" w:name="_Toc26666"/>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10</w:t>
                  </w:r>
                </w:p>
              </w:tc>
              <w:tc>
                <w:tcPr>
                  <w:tcW w:w="976" w:type="pct"/>
                  <w:shd w:val="clear" w:color="auto" w:fill="auto"/>
                  <w:vAlign w:val="center"/>
                </w:tcPr>
                <w:p w14:paraId="462A792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多轴攻牙机</w:t>
                  </w:r>
                </w:p>
              </w:tc>
              <w:tc>
                <w:tcPr>
                  <w:tcW w:w="1976" w:type="pct"/>
                  <w:shd w:val="clear" w:color="auto" w:fill="auto"/>
                  <w:vAlign w:val="center"/>
                </w:tcPr>
                <w:p w14:paraId="4728CDA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0.75</w:t>
                  </w:r>
                  <w:r>
                    <w:rPr>
                      <w:rFonts w:hint="eastAsia" w:cs="Times New Roman"/>
                      <w:color w:val="000000" w:themeColor="text1"/>
                      <w:sz w:val="21"/>
                      <w:szCs w:val="21"/>
                      <w:highlight w:val="none"/>
                      <w:vertAlign w:val="baseline"/>
                      <w:lang w:val="en-US" w:eastAsia="zh-CN"/>
                      <w14:textFill>
                        <w14:solidFill>
                          <w14:schemeClr w14:val="tx1"/>
                        </w14:solidFill>
                      </w14:textFill>
                    </w:rPr>
                    <w:t>kW</w:t>
                  </w:r>
                </w:p>
              </w:tc>
              <w:tc>
                <w:tcPr>
                  <w:tcW w:w="452" w:type="pct"/>
                  <w:shd w:val="clear" w:color="auto" w:fill="auto"/>
                  <w:vAlign w:val="center"/>
                </w:tcPr>
                <w:p w14:paraId="0140677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w:t>
                  </w:r>
                </w:p>
              </w:tc>
              <w:tc>
                <w:tcPr>
                  <w:tcW w:w="1166" w:type="pct"/>
                </w:tcPr>
                <w:p w14:paraId="1EA9FB5C">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w:t>
                  </w:r>
                </w:p>
              </w:tc>
            </w:tr>
            <w:tr w14:paraId="269D65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428" w:type="pct"/>
                </w:tcPr>
                <w:p w14:paraId="606132D2">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11</w:t>
                  </w:r>
                </w:p>
              </w:tc>
              <w:tc>
                <w:tcPr>
                  <w:tcW w:w="976" w:type="pct"/>
                  <w:shd w:val="clear" w:color="auto" w:fill="auto"/>
                  <w:vAlign w:val="center"/>
                </w:tcPr>
                <w:p w14:paraId="2C7CEF5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烤箱</w:t>
                  </w:r>
                </w:p>
              </w:tc>
              <w:tc>
                <w:tcPr>
                  <w:tcW w:w="1976" w:type="pct"/>
                  <w:shd w:val="clear" w:color="auto" w:fill="auto"/>
                  <w:vAlign w:val="center"/>
                </w:tcPr>
                <w:p w14:paraId="2407E2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40</w:t>
                  </w:r>
                  <w:r>
                    <w:rPr>
                      <w:rFonts w:hint="eastAsia" w:cs="Times New Roman"/>
                      <w:color w:val="000000" w:themeColor="text1"/>
                      <w:sz w:val="21"/>
                      <w:szCs w:val="21"/>
                      <w:highlight w:val="none"/>
                      <w:vertAlign w:val="baseline"/>
                      <w:lang w:val="en-US" w:eastAsia="zh-CN"/>
                      <w14:textFill>
                        <w14:solidFill>
                          <w14:schemeClr w14:val="tx1"/>
                        </w14:solidFill>
                      </w14:textFill>
                    </w:rPr>
                    <w:t>kW</w:t>
                  </w:r>
                </w:p>
              </w:tc>
              <w:tc>
                <w:tcPr>
                  <w:tcW w:w="452" w:type="pct"/>
                  <w:shd w:val="clear" w:color="auto" w:fill="auto"/>
                  <w:vAlign w:val="center"/>
                </w:tcPr>
                <w:p w14:paraId="2D20653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1166" w:type="pct"/>
                </w:tcPr>
                <w:p w14:paraId="259D0290">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w:t>
                  </w:r>
                </w:p>
              </w:tc>
            </w:tr>
            <w:tr w14:paraId="05AC2A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428" w:type="pct"/>
                </w:tcPr>
                <w:p w14:paraId="739E6A55">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12</w:t>
                  </w:r>
                </w:p>
              </w:tc>
              <w:tc>
                <w:tcPr>
                  <w:tcW w:w="976" w:type="pct"/>
                  <w:shd w:val="clear" w:color="auto" w:fill="auto"/>
                  <w:vAlign w:val="center"/>
                </w:tcPr>
                <w:p w14:paraId="5288119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研磨机</w:t>
                  </w:r>
                </w:p>
              </w:tc>
              <w:tc>
                <w:tcPr>
                  <w:tcW w:w="1976" w:type="pct"/>
                  <w:shd w:val="clear" w:color="auto" w:fill="auto"/>
                  <w:vAlign w:val="center"/>
                </w:tcPr>
                <w:p w14:paraId="7A3E71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7.5</w:t>
                  </w:r>
                  <w:r>
                    <w:rPr>
                      <w:rFonts w:hint="eastAsia" w:cs="Times New Roman"/>
                      <w:color w:val="000000" w:themeColor="text1"/>
                      <w:sz w:val="21"/>
                      <w:szCs w:val="21"/>
                      <w:highlight w:val="none"/>
                      <w:vertAlign w:val="baseline"/>
                      <w:lang w:val="en-US" w:eastAsia="zh-CN"/>
                      <w14:textFill>
                        <w14:solidFill>
                          <w14:schemeClr w14:val="tx1"/>
                        </w14:solidFill>
                      </w14:textFill>
                    </w:rPr>
                    <w:t>kW</w:t>
                  </w:r>
                </w:p>
              </w:tc>
              <w:tc>
                <w:tcPr>
                  <w:tcW w:w="452" w:type="pct"/>
                  <w:shd w:val="clear" w:color="auto" w:fill="auto"/>
                  <w:vAlign w:val="center"/>
                </w:tcPr>
                <w:p w14:paraId="4B6129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1166" w:type="pct"/>
                </w:tcPr>
                <w:p w14:paraId="109B3017">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w:t>
                  </w:r>
                </w:p>
              </w:tc>
            </w:tr>
            <w:tr w14:paraId="46858C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428" w:type="pct"/>
                </w:tcPr>
                <w:p w14:paraId="325684A5">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13</w:t>
                  </w:r>
                </w:p>
              </w:tc>
              <w:tc>
                <w:tcPr>
                  <w:tcW w:w="976" w:type="pct"/>
                  <w:shd w:val="clear" w:color="auto" w:fill="auto"/>
                  <w:vAlign w:val="center"/>
                </w:tcPr>
                <w:p w14:paraId="0F81783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清洗线</w:t>
                  </w:r>
                </w:p>
              </w:tc>
              <w:tc>
                <w:tcPr>
                  <w:tcW w:w="1976" w:type="pct"/>
                  <w:shd w:val="clear" w:color="auto" w:fill="auto"/>
                  <w:vAlign w:val="center"/>
                </w:tcPr>
                <w:p w14:paraId="16DACE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452" w:type="pct"/>
                  <w:shd w:val="clear" w:color="auto" w:fill="auto"/>
                  <w:vAlign w:val="center"/>
                </w:tcPr>
                <w:p w14:paraId="5BD36BE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1166" w:type="pct"/>
                </w:tcPr>
                <w:p w14:paraId="13D46F5B">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w:t>
                  </w:r>
                </w:p>
              </w:tc>
            </w:tr>
            <w:tr w14:paraId="5FDE1A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428" w:type="pct"/>
                </w:tcPr>
                <w:p w14:paraId="73B705F0">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14</w:t>
                  </w:r>
                </w:p>
              </w:tc>
              <w:tc>
                <w:tcPr>
                  <w:tcW w:w="976" w:type="pct"/>
                  <w:shd w:val="clear" w:color="auto" w:fill="auto"/>
                  <w:vAlign w:val="center"/>
                </w:tcPr>
                <w:p w14:paraId="5BB74E7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打磨流水线</w:t>
                  </w:r>
                </w:p>
              </w:tc>
              <w:tc>
                <w:tcPr>
                  <w:tcW w:w="1976" w:type="pct"/>
                  <w:shd w:val="clear" w:color="auto" w:fill="auto"/>
                  <w:vAlign w:val="center"/>
                </w:tcPr>
                <w:p w14:paraId="6604B2F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452" w:type="pct"/>
                  <w:shd w:val="clear" w:color="auto" w:fill="auto"/>
                  <w:vAlign w:val="center"/>
                </w:tcPr>
                <w:p w14:paraId="67F51E5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w:t>
                  </w:r>
                </w:p>
              </w:tc>
              <w:tc>
                <w:tcPr>
                  <w:tcW w:w="1166" w:type="pct"/>
                </w:tcPr>
                <w:p w14:paraId="32DA3B69">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w:t>
                  </w:r>
                </w:p>
              </w:tc>
            </w:tr>
            <w:tr w14:paraId="0607FF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428" w:type="pct"/>
                </w:tcPr>
                <w:p w14:paraId="1225B845">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15</w:t>
                  </w:r>
                </w:p>
              </w:tc>
              <w:tc>
                <w:tcPr>
                  <w:tcW w:w="976" w:type="pct"/>
                  <w:shd w:val="clear" w:color="auto" w:fill="auto"/>
                  <w:vAlign w:val="center"/>
                </w:tcPr>
                <w:p w14:paraId="5E86FBC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空压机</w:t>
                  </w:r>
                </w:p>
              </w:tc>
              <w:tc>
                <w:tcPr>
                  <w:tcW w:w="1976" w:type="pct"/>
                  <w:shd w:val="clear" w:color="auto" w:fill="auto"/>
                  <w:vAlign w:val="center"/>
                </w:tcPr>
                <w:p w14:paraId="41A8754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55</w:t>
                  </w:r>
                  <w:r>
                    <w:rPr>
                      <w:rFonts w:hint="eastAsia" w:cs="Times New Roman"/>
                      <w:color w:val="000000" w:themeColor="text1"/>
                      <w:sz w:val="21"/>
                      <w:szCs w:val="21"/>
                      <w:highlight w:val="none"/>
                      <w:vertAlign w:val="baseline"/>
                      <w:lang w:val="en-US" w:eastAsia="zh-CN"/>
                      <w14:textFill>
                        <w14:solidFill>
                          <w14:schemeClr w14:val="tx1"/>
                        </w14:solidFill>
                      </w14:textFill>
                    </w:rPr>
                    <w:t>kW</w:t>
                  </w:r>
                </w:p>
              </w:tc>
              <w:tc>
                <w:tcPr>
                  <w:tcW w:w="452" w:type="pct"/>
                  <w:shd w:val="clear" w:color="auto" w:fill="auto"/>
                  <w:vAlign w:val="center"/>
                </w:tcPr>
                <w:p w14:paraId="260BC91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w:t>
                  </w:r>
                </w:p>
              </w:tc>
              <w:tc>
                <w:tcPr>
                  <w:tcW w:w="1166" w:type="pct"/>
                </w:tcPr>
                <w:p w14:paraId="3C02F5FB">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w:t>
                  </w:r>
                </w:p>
              </w:tc>
            </w:tr>
            <w:tr w14:paraId="0CC5E8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428" w:type="pct"/>
                </w:tcPr>
                <w:p w14:paraId="23914D7F">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16</w:t>
                  </w:r>
                </w:p>
              </w:tc>
              <w:tc>
                <w:tcPr>
                  <w:tcW w:w="976" w:type="pct"/>
                  <w:shd w:val="clear" w:color="auto" w:fill="auto"/>
                  <w:vAlign w:val="center"/>
                </w:tcPr>
                <w:p w14:paraId="1FDE7A4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冷却塔</w:t>
                  </w:r>
                </w:p>
              </w:tc>
              <w:tc>
                <w:tcPr>
                  <w:tcW w:w="1976" w:type="pct"/>
                  <w:shd w:val="clear" w:color="auto" w:fill="auto"/>
                  <w:vAlign w:val="center"/>
                </w:tcPr>
                <w:p w14:paraId="7CFF8B3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452" w:type="pct"/>
                  <w:shd w:val="clear" w:color="auto" w:fill="auto"/>
                  <w:vAlign w:val="center"/>
                </w:tcPr>
                <w:p w14:paraId="38C4139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1166" w:type="pct"/>
                </w:tcPr>
                <w:p w14:paraId="6FC7856E">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w:t>
                  </w:r>
                </w:p>
              </w:tc>
            </w:tr>
            <w:tr w14:paraId="754621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428" w:type="pct"/>
                </w:tcPr>
                <w:p w14:paraId="36299CAF">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17</w:t>
                  </w:r>
                </w:p>
              </w:tc>
              <w:tc>
                <w:tcPr>
                  <w:tcW w:w="976" w:type="pct"/>
                  <w:shd w:val="clear" w:color="auto" w:fill="auto"/>
                  <w:vAlign w:val="center"/>
                </w:tcPr>
                <w:p w14:paraId="7EEE551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行车</w:t>
                  </w:r>
                </w:p>
              </w:tc>
              <w:tc>
                <w:tcPr>
                  <w:tcW w:w="1976" w:type="pct"/>
                  <w:shd w:val="clear" w:color="auto" w:fill="auto"/>
                  <w:vAlign w:val="center"/>
                </w:tcPr>
                <w:p w14:paraId="61DC2DD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15</w:t>
                  </w:r>
                  <w:r>
                    <w:rPr>
                      <w:rFonts w:hint="eastAsia" w:cs="Times New Roman"/>
                      <w:color w:val="000000" w:themeColor="text1"/>
                      <w:sz w:val="21"/>
                      <w:szCs w:val="21"/>
                      <w:highlight w:val="none"/>
                      <w:vertAlign w:val="baseline"/>
                      <w:lang w:val="en-US" w:eastAsia="zh-CN"/>
                      <w14:textFill>
                        <w14:solidFill>
                          <w14:schemeClr w14:val="tx1"/>
                        </w14:solidFill>
                      </w14:textFill>
                    </w:rPr>
                    <w:t>kW</w:t>
                  </w:r>
                </w:p>
              </w:tc>
              <w:tc>
                <w:tcPr>
                  <w:tcW w:w="452" w:type="pct"/>
                  <w:shd w:val="clear" w:color="auto" w:fill="auto"/>
                  <w:vAlign w:val="center"/>
                </w:tcPr>
                <w:p w14:paraId="6E684C2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w:t>
                  </w:r>
                </w:p>
              </w:tc>
              <w:tc>
                <w:tcPr>
                  <w:tcW w:w="1166" w:type="pct"/>
                </w:tcPr>
                <w:p w14:paraId="6E54B164">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w:t>
                  </w:r>
                </w:p>
              </w:tc>
            </w:tr>
          </w:tbl>
          <w:p w14:paraId="105EA21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34" w:name="_Toc28441"/>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项目主要原辅材料</w:t>
            </w:r>
            <w:bookmarkEnd w:id="33"/>
            <w:bookmarkEnd w:id="34"/>
          </w:p>
          <w:p w14:paraId="26AE4486">
            <w:pPr>
              <w:pStyle w:val="2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项目</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的主要原辅材料及用量情况详见表2.2-4。</w:t>
            </w:r>
          </w:p>
          <w:p w14:paraId="1CB80BE6">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表2.2-4 主要原辅材料及用量一览表</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9"/>
              <w:gridCol w:w="1103"/>
              <w:gridCol w:w="1231"/>
              <w:gridCol w:w="2372"/>
              <w:gridCol w:w="1050"/>
              <w:gridCol w:w="668"/>
              <w:gridCol w:w="763"/>
              <w:gridCol w:w="900"/>
            </w:tblGrid>
            <w:tr w14:paraId="2D0808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285" w:type="pct"/>
                  <w:tcBorders>
                    <w:tl2br w:val="nil"/>
                    <w:tr2bl w:val="nil"/>
                  </w:tcBorders>
                  <w:noWrap w:val="0"/>
                  <w:vAlign w:val="center"/>
                </w:tcPr>
                <w:p w14:paraId="42D09C47">
                  <w:pPr>
                    <w:pStyle w:val="15"/>
                    <w:spacing w:line="240" w:lineRule="auto"/>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序号</w:t>
                  </w:r>
                </w:p>
              </w:tc>
              <w:tc>
                <w:tcPr>
                  <w:tcW w:w="643" w:type="pct"/>
                  <w:tcBorders>
                    <w:tl2br w:val="nil"/>
                    <w:tr2bl w:val="nil"/>
                  </w:tcBorders>
                  <w:noWrap w:val="0"/>
                  <w:vAlign w:val="center"/>
                </w:tcPr>
                <w:p w14:paraId="69046BB5">
                  <w:pPr>
                    <w:pStyle w:val="15"/>
                    <w:spacing w:before="120" w:line="240" w:lineRule="auto"/>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原辅材料名称</w:t>
                  </w:r>
                </w:p>
              </w:tc>
              <w:tc>
                <w:tcPr>
                  <w:tcW w:w="717" w:type="pct"/>
                  <w:tcBorders>
                    <w:tl2br w:val="nil"/>
                    <w:tr2bl w:val="nil"/>
                  </w:tcBorders>
                  <w:noWrap w:val="0"/>
                  <w:vAlign w:val="center"/>
                </w:tcPr>
                <w:p w14:paraId="77814026">
                  <w:pPr>
                    <w:pStyle w:val="15"/>
                    <w:spacing w:line="240" w:lineRule="auto"/>
                    <w:jc w:val="center"/>
                    <w:rPr>
                      <w:rFonts w:hint="default" w:ascii="Times New Roman" w:hAnsi="Times New Roman" w:eastAsia="宋体" w:cs="Times New Roman"/>
                      <w:b w:val="0"/>
                      <w:bCs w:val="0"/>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原辅材料</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年</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用量</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t/a</w:t>
                  </w:r>
                </w:p>
              </w:tc>
              <w:tc>
                <w:tcPr>
                  <w:tcW w:w="1382" w:type="pct"/>
                  <w:tcBorders>
                    <w:tl2br w:val="nil"/>
                    <w:tr2bl w:val="nil"/>
                  </w:tcBorders>
                  <w:noWrap w:val="0"/>
                  <w:vAlign w:val="center"/>
                </w:tcPr>
                <w:p w14:paraId="11869307">
                  <w:pPr>
                    <w:pStyle w:val="15"/>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成分占比</w:t>
                  </w:r>
                </w:p>
              </w:tc>
              <w:tc>
                <w:tcPr>
                  <w:tcW w:w="612" w:type="pct"/>
                  <w:tcBorders>
                    <w:tl2br w:val="nil"/>
                    <w:tr2bl w:val="nil"/>
                  </w:tcBorders>
                  <w:noWrap w:val="0"/>
                  <w:vAlign w:val="center"/>
                </w:tcPr>
                <w:p w14:paraId="2576C6D5">
                  <w:pPr>
                    <w:pStyle w:val="15"/>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最大储存量t</w:t>
                  </w:r>
                </w:p>
              </w:tc>
              <w:tc>
                <w:tcPr>
                  <w:tcW w:w="389" w:type="pct"/>
                  <w:tcBorders>
                    <w:tl2br w:val="nil"/>
                    <w:tr2bl w:val="nil"/>
                  </w:tcBorders>
                  <w:noWrap w:val="0"/>
                  <w:vAlign w:val="center"/>
                </w:tcPr>
                <w:p w14:paraId="6288B9B2">
                  <w:pPr>
                    <w:pStyle w:val="15"/>
                    <w:spacing w:line="240" w:lineRule="auto"/>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物理形态</w:t>
                  </w:r>
                </w:p>
              </w:tc>
              <w:tc>
                <w:tcPr>
                  <w:tcW w:w="444" w:type="pct"/>
                  <w:tcBorders>
                    <w:tl2br w:val="nil"/>
                    <w:tr2bl w:val="nil"/>
                  </w:tcBorders>
                  <w:noWrap w:val="0"/>
                  <w:vAlign w:val="center"/>
                </w:tcPr>
                <w:p w14:paraId="211E2DF9">
                  <w:pPr>
                    <w:pStyle w:val="15"/>
                    <w:spacing w:line="240" w:lineRule="auto"/>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包装形式</w:t>
                  </w:r>
                </w:p>
              </w:tc>
              <w:tc>
                <w:tcPr>
                  <w:tcW w:w="524" w:type="pct"/>
                  <w:tcBorders>
                    <w:tl2br w:val="nil"/>
                    <w:tr2bl w:val="nil"/>
                  </w:tcBorders>
                  <w:noWrap w:val="0"/>
                  <w:vAlign w:val="center"/>
                </w:tcPr>
                <w:p w14:paraId="294AA636">
                  <w:pPr>
                    <w:pStyle w:val="15"/>
                    <w:spacing w:line="240" w:lineRule="auto"/>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储存位置</w:t>
                  </w:r>
                </w:p>
              </w:tc>
            </w:tr>
            <w:tr w14:paraId="050AD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8" w:hRule="atLeast"/>
              </w:trPr>
              <w:tc>
                <w:tcPr>
                  <w:tcW w:w="285" w:type="pct"/>
                  <w:tcBorders>
                    <w:tl2br w:val="nil"/>
                    <w:tr2bl w:val="nil"/>
                  </w:tcBorders>
                  <w:noWrap w:val="0"/>
                  <w:vAlign w:val="center"/>
                </w:tcPr>
                <w:p w14:paraId="20B25515">
                  <w:pPr>
                    <w:pStyle w:val="15"/>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w:t>
                  </w:r>
                </w:p>
              </w:tc>
              <w:tc>
                <w:tcPr>
                  <w:tcW w:w="643" w:type="pct"/>
                  <w:tcBorders>
                    <w:tl2br w:val="nil"/>
                    <w:tr2bl w:val="nil"/>
                  </w:tcBorders>
                  <w:shd w:val="clear" w:color="auto" w:fill="auto"/>
                  <w:noWrap w:val="0"/>
                  <w:vAlign w:val="center"/>
                </w:tcPr>
                <w:p w14:paraId="321E3126">
                  <w:pPr>
                    <w:pStyle w:val="15"/>
                    <w:spacing w:before="120"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sz w:val="21"/>
                    </w:rPr>
                    <mc:AlternateContent>
                      <mc:Choice Requires="wps">
                        <w:drawing>
                          <wp:anchor distT="0" distB="0" distL="114300" distR="114300" simplePos="0" relativeHeight="251718656" behindDoc="0" locked="0" layoutInCell="1" allowOverlap="1">
                            <wp:simplePos x="0" y="0"/>
                            <wp:positionH relativeFrom="column">
                              <wp:posOffset>41910</wp:posOffset>
                            </wp:positionH>
                            <wp:positionV relativeFrom="paragraph">
                              <wp:posOffset>56515</wp:posOffset>
                            </wp:positionV>
                            <wp:extent cx="3506470" cy="1567815"/>
                            <wp:effectExtent l="6350" t="6350" r="11430" b="6985"/>
                            <wp:wrapNone/>
                            <wp:docPr id="234" name="矩形 234"/>
                            <wp:cNvGraphicFramePr/>
                            <a:graphic xmlns:a="http://schemas.openxmlformats.org/drawingml/2006/main">
                              <a:graphicData uri="http://schemas.microsoft.com/office/word/2010/wordprocessingShape">
                                <wps:wsp>
                                  <wps:cNvSpPr/>
                                  <wps:spPr>
                                    <a:xfrm>
                                      <a:off x="0" y="0"/>
                                      <a:ext cx="3506470" cy="156781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pt;margin-top:4.45pt;height:123.45pt;width:276.1pt;z-index:251718656;v-text-anchor:middle;mso-width-relative:page;mso-height-relative:page;" fillcolor="#FFFFFF [3212]" filled="t" stroked="t" coordsize="21600,21600" o:gfxdata="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9i1LDVAAAABwEAAA8AAAAAAAAAAQAgAAAAIgAAAGRycy9kb3ducmV2Lnht&#10;bFBLAQIUABQAAAAIAIdO4kApvYGhbgIAAPkEAAAOAAAAAAAAAAEAIAAAACQBAABkcnMvZTJvRG9j&#10;LnhtbFBLBQYAAAAABgAGAFkBAAAEBgAAAAA=&#10;">
                            <v:fill on="t" focussize="0,0"/>
                            <v:stroke weight="1pt" color="#FFFFFF [3212]" miterlimit="8" joinstyle="miter"/>
                            <v:imagedata o:title=""/>
                            <o:lock v:ext="edit" aspectratio="f"/>
                          </v:rect>
                        </w:pict>
                      </mc:Fallback>
                    </mc:AlternateConten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铝锭</w:t>
                  </w:r>
                </w:p>
              </w:tc>
              <w:tc>
                <w:tcPr>
                  <w:tcW w:w="717" w:type="pct"/>
                  <w:tcBorders>
                    <w:tl2br w:val="nil"/>
                    <w:tr2bl w:val="nil"/>
                  </w:tcBorders>
                  <w:noWrap w:val="0"/>
                  <w:vAlign w:val="center"/>
                </w:tcPr>
                <w:p w14:paraId="557413B4">
                  <w:pPr>
                    <w:pStyle w:val="15"/>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730</w:t>
                  </w:r>
                </w:p>
              </w:tc>
              <w:tc>
                <w:tcPr>
                  <w:tcW w:w="1382" w:type="pct"/>
                  <w:tcBorders>
                    <w:tl2br w:val="nil"/>
                    <w:tr2bl w:val="nil"/>
                  </w:tcBorders>
                  <w:noWrap w:val="0"/>
                  <w:vAlign w:val="center"/>
                </w:tcPr>
                <w:p w14:paraId="25DF7865">
                  <w:pPr>
                    <w:pStyle w:val="15"/>
                    <w:spacing w:line="240" w:lineRule="auto"/>
                    <w:jc w:val="center"/>
                    <w:rPr>
                      <w:rFonts w:hint="default"/>
                      <w:lang w:val="en-US" w:eastAsia="zh-CN"/>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Al：85.36%；Si：10.70%；Cu：1.60%；Zn：0.911%；Fe：0.799%；其他微量元素：0.63%</w:t>
                  </w:r>
                </w:p>
              </w:tc>
              <w:tc>
                <w:tcPr>
                  <w:tcW w:w="612" w:type="pct"/>
                  <w:tcBorders>
                    <w:tl2br w:val="nil"/>
                    <w:tr2bl w:val="nil"/>
                  </w:tcBorders>
                  <w:noWrap w:val="0"/>
                  <w:vAlign w:val="center"/>
                </w:tcPr>
                <w:p w14:paraId="770A48AE">
                  <w:pPr>
                    <w:pStyle w:val="15"/>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50</w:t>
                  </w:r>
                </w:p>
              </w:tc>
              <w:tc>
                <w:tcPr>
                  <w:tcW w:w="389" w:type="pct"/>
                  <w:tcBorders>
                    <w:tl2br w:val="nil"/>
                    <w:tr2bl w:val="nil"/>
                  </w:tcBorders>
                  <w:noWrap w:val="0"/>
                  <w:vAlign w:val="center"/>
                </w:tcPr>
                <w:p w14:paraId="02C01D86">
                  <w:pPr>
                    <w:pStyle w:val="15"/>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固体</w:t>
                  </w:r>
                </w:p>
              </w:tc>
              <w:tc>
                <w:tcPr>
                  <w:tcW w:w="444" w:type="pct"/>
                  <w:tcBorders>
                    <w:tl2br w:val="nil"/>
                    <w:tr2bl w:val="nil"/>
                  </w:tcBorders>
                  <w:noWrap w:val="0"/>
                  <w:vAlign w:val="center"/>
                </w:tcPr>
                <w:p w14:paraId="523CDE2F">
                  <w:pPr>
                    <w:pStyle w:val="15"/>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tc>
              <w:tc>
                <w:tcPr>
                  <w:tcW w:w="524" w:type="pct"/>
                  <w:tcBorders>
                    <w:tl2br w:val="nil"/>
                    <w:tr2bl w:val="nil"/>
                  </w:tcBorders>
                  <w:noWrap w:val="0"/>
                  <w:vAlign w:val="center"/>
                </w:tcPr>
                <w:p w14:paraId="1974CF16">
                  <w:pPr>
                    <w:pStyle w:val="15"/>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原料仓库</w:t>
                  </w:r>
                </w:p>
              </w:tc>
            </w:tr>
            <w:tr w14:paraId="36E138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1" w:hRule="atLeast"/>
              </w:trPr>
              <w:tc>
                <w:tcPr>
                  <w:tcW w:w="285" w:type="pct"/>
                  <w:tcBorders>
                    <w:tl2br w:val="nil"/>
                    <w:tr2bl w:val="nil"/>
                  </w:tcBorders>
                  <w:noWrap w:val="0"/>
                  <w:vAlign w:val="center"/>
                </w:tcPr>
                <w:p w14:paraId="7CDBC695">
                  <w:pPr>
                    <w:pStyle w:val="15"/>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2</w:t>
                  </w:r>
                </w:p>
              </w:tc>
              <w:tc>
                <w:tcPr>
                  <w:tcW w:w="643" w:type="pct"/>
                  <w:tcBorders>
                    <w:tl2br w:val="nil"/>
                    <w:tr2bl w:val="nil"/>
                  </w:tcBorders>
                  <w:shd w:val="clear" w:color="auto" w:fill="auto"/>
                  <w:noWrap w:val="0"/>
                  <w:vAlign w:val="center"/>
                </w:tcPr>
                <w:p w14:paraId="41590D35">
                  <w:pPr>
                    <w:pStyle w:val="15"/>
                    <w:spacing w:before="120" w:line="240" w:lineRule="auto"/>
                    <w:jc w:val="center"/>
                    <w:rPr>
                      <w:rFonts w:hint="default" w:ascii="Times New Roman" w:hAnsi="Times New Roman" w:eastAsia="宋体" w:cs="Times New Roman"/>
                      <w:b w:val="0"/>
                      <w:bCs w:val="0"/>
                      <w:color w:val="000000" w:themeColor="text1"/>
                      <w:kern w:val="2"/>
                      <w:sz w:val="21"/>
                      <w:szCs w:val="21"/>
                      <w:highlight w:val="red"/>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水性微乳冷却液</w:t>
                  </w:r>
                </w:p>
              </w:tc>
              <w:tc>
                <w:tcPr>
                  <w:tcW w:w="717" w:type="pct"/>
                  <w:tcBorders>
                    <w:tl2br w:val="nil"/>
                    <w:tr2bl w:val="nil"/>
                  </w:tcBorders>
                  <w:noWrap w:val="0"/>
                  <w:vAlign w:val="center"/>
                </w:tcPr>
                <w:p w14:paraId="0AD3AC6F">
                  <w:pPr>
                    <w:pStyle w:val="15"/>
                    <w:spacing w:line="240" w:lineRule="auto"/>
                    <w:jc w:val="center"/>
                    <w:rPr>
                      <w:rFonts w:hint="default" w:ascii="Times New Roman" w:hAnsi="Times New Roman" w:eastAsia="宋体" w:cs="Times New Roman"/>
                      <w:b w:val="0"/>
                      <w:bCs w:val="0"/>
                      <w:color w:val="000000" w:themeColor="text1"/>
                      <w:sz w:val="21"/>
                      <w:szCs w:val="21"/>
                      <w:highlight w:val="red"/>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0.5</w:t>
                  </w:r>
                </w:p>
              </w:tc>
              <w:tc>
                <w:tcPr>
                  <w:tcW w:w="1382" w:type="pct"/>
                  <w:tcBorders>
                    <w:tl2br w:val="nil"/>
                    <w:tr2bl w:val="nil"/>
                  </w:tcBorders>
                  <w:noWrap w:val="0"/>
                  <w:vAlign w:val="center"/>
                </w:tcPr>
                <w:p w14:paraId="46D41568">
                  <w:pPr>
                    <w:pStyle w:val="15"/>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合成酯：20%；防锈防腐剂15%；抗氧缓蚀剂25%；其他优质原料20%；切削液20%</w:t>
                  </w:r>
                </w:p>
              </w:tc>
              <w:tc>
                <w:tcPr>
                  <w:tcW w:w="612" w:type="pct"/>
                  <w:tcBorders>
                    <w:tl2br w:val="nil"/>
                    <w:tr2bl w:val="nil"/>
                  </w:tcBorders>
                  <w:noWrap w:val="0"/>
                  <w:vAlign w:val="center"/>
                </w:tcPr>
                <w:p w14:paraId="517A8140">
                  <w:pPr>
                    <w:pStyle w:val="15"/>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0.5</w:t>
                  </w:r>
                </w:p>
              </w:tc>
              <w:tc>
                <w:tcPr>
                  <w:tcW w:w="389" w:type="pct"/>
                  <w:tcBorders>
                    <w:tl2br w:val="nil"/>
                    <w:tr2bl w:val="nil"/>
                  </w:tcBorders>
                  <w:noWrap w:val="0"/>
                  <w:vAlign w:val="center"/>
                </w:tcPr>
                <w:p w14:paraId="05172FA2">
                  <w:pPr>
                    <w:pStyle w:val="15"/>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液体</w:t>
                  </w:r>
                </w:p>
              </w:tc>
              <w:tc>
                <w:tcPr>
                  <w:tcW w:w="444" w:type="pct"/>
                  <w:tcBorders>
                    <w:tl2br w:val="nil"/>
                    <w:tr2bl w:val="nil"/>
                  </w:tcBorders>
                  <w:noWrap w:val="0"/>
                  <w:vAlign w:val="center"/>
                </w:tcPr>
                <w:p w14:paraId="10A60BD8">
                  <w:pPr>
                    <w:pStyle w:val="15"/>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桶装</w:t>
                  </w:r>
                </w:p>
              </w:tc>
              <w:tc>
                <w:tcPr>
                  <w:tcW w:w="524" w:type="pct"/>
                  <w:tcBorders>
                    <w:tl2br w:val="nil"/>
                    <w:tr2bl w:val="nil"/>
                  </w:tcBorders>
                  <w:noWrap w:val="0"/>
                  <w:vAlign w:val="center"/>
                </w:tcPr>
                <w:p w14:paraId="57B8C767">
                  <w:pPr>
                    <w:pStyle w:val="15"/>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化学品仓库</w:t>
                  </w:r>
                </w:p>
              </w:tc>
            </w:tr>
            <w:tr w14:paraId="66A3F6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5" w:type="pct"/>
                  <w:tcBorders>
                    <w:tl2br w:val="nil"/>
                    <w:tr2bl w:val="nil"/>
                  </w:tcBorders>
                  <w:shd w:val="clear" w:color="auto" w:fill="auto"/>
                  <w:noWrap w:val="0"/>
                  <w:vAlign w:val="center"/>
                </w:tcPr>
                <w:p w14:paraId="68EDF96A">
                  <w:pPr>
                    <w:pStyle w:val="15"/>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3</w:t>
                  </w:r>
                </w:p>
              </w:tc>
              <w:tc>
                <w:tcPr>
                  <w:tcW w:w="643" w:type="pct"/>
                  <w:tcBorders>
                    <w:tl2br w:val="nil"/>
                    <w:tr2bl w:val="nil"/>
                  </w:tcBorders>
                  <w:shd w:val="clear" w:color="auto" w:fill="auto"/>
                  <w:noWrap w:val="0"/>
                  <w:vAlign w:val="center"/>
                </w:tcPr>
                <w:p w14:paraId="72B177D9">
                  <w:pPr>
                    <w:pStyle w:val="15"/>
                    <w:spacing w:before="120"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压铸脱模剂ZH618</w:t>
                  </w:r>
                </w:p>
              </w:tc>
              <w:tc>
                <w:tcPr>
                  <w:tcW w:w="717" w:type="pct"/>
                  <w:tcBorders>
                    <w:tl2br w:val="nil"/>
                    <w:tr2bl w:val="nil"/>
                  </w:tcBorders>
                  <w:shd w:val="clear" w:color="auto" w:fill="auto"/>
                  <w:noWrap w:val="0"/>
                  <w:vAlign w:val="center"/>
                </w:tcPr>
                <w:p w14:paraId="56924E3D">
                  <w:pPr>
                    <w:pStyle w:val="15"/>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sz w:val="21"/>
                    </w:rPr>
                    <mc:AlternateContent>
                      <mc:Choice Requires="wps">
                        <w:drawing>
                          <wp:anchor distT="0" distB="0" distL="114300" distR="114300" simplePos="0" relativeHeight="251717632" behindDoc="0" locked="0" layoutInCell="1" allowOverlap="1">
                            <wp:simplePos x="0" y="0"/>
                            <wp:positionH relativeFrom="column">
                              <wp:posOffset>20320</wp:posOffset>
                            </wp:positionH>
                            <wp:positionV relativeFrom="paragraph">
                              <wp:posOffset>36195</wp:posOffset>
                            </wp:positionV>
                            <wp:extent cx="2804160" cy="1901190"/>
                            <wp:effectExtent l="6350" t="6350" r="8890" b="16510"/>
                            <wp:wrapNone/>
                            <wp:docPr id="233" name="矩形 233"/>
                            <wp:cNvGraphicFramePr/>
                            <a:graphic xmlns:a="http://schemas.openxmlformats.org/drawingml/2006/main">
                              <a:graphicData uri="http://schemas.microsoft.com/office/word/2010/wordprocessingShape">
                                <wps:wsp>
                                  <wps:cNvSpPr/>
                                  <wps:spPr>
                                    <a:xfrm>
                                      <a:off x="0" y="0"/>
                                      <a:ext cx="2804160" cy="190119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pt;margin-top:2.85pt;height:149.7pt;width:220.8pt;z-index:251717632;v-text-anchor:middle;mso-width-relative:page;mso-height-relative:page;" fillcolor="#FFFFFF [3212]" filled="t" stroked="t" coordsize="21600,21600" o:gfxdata="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G/tp3tYAAAAHAQAADwAAAAAAAAABACAAAAAiAAAAZHJzL2Rvd25yZXYueG1s&#10;UEsBAhQAFAAAAAgAh07iQJDPYedsAgAA+QQAAA4AAAAAAAAAAQAgAAAAJQEAAGRycy9lMm9Eb2Mu&#10;eG1sUEsFBgAAAAAGAAYAWQEAAAMGAAAAAA==&#10;">
                            <v:fill on="t" focussize="0,0"/>
                            <v:stroke weight="1pt" color="#FFFFFF [3212]" miterlimit="8" joinstyle="miter"/>
                            <v:imagedata o:title=""/>
                            <o:lock v:ext="edit" aspectratio="f"/>
                          </v:rect>
                        </w:pict>
                      </mc:Fallback>
                    </mc:AlternateConten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1</w:t>
                  </w:r>
                </w:p>
              </w:tc>
              <w:tc>
                <w:tcPr>
                  <w:tcW w:w="1382" w:type="pct"/>
                  <w:tcBorders>
                    <w:tl2br w:val="nil"/>
                    <w:tr2bl w:val="nil"/>
                  </w:tcBorders>
                  <w:shd w:val="clear" w:color="auto" w:fill="auto"/>
                  <w:noWrap w:val="0"/>
                  <w:vAlign w:val="center"/>
                </w:tcPr>
                <w:p w14:paraId="10E5E2A3">
                  <w:pPr>
                    <w:pStyle w:val="15"/>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可涂装硅酮4-7%；表面活性剂5-7%；光亮剂1%；防锈剂3-5%；乳化油14-20%；高分子合成化合物15-25%</w:t>
                  </w:r>
                </w:p>
              </w:tc>
              <w:tc>
                <w:tcPr>
                  <w:tcW w:w="612" w:type="pct"/>
                  <w:tcBorders>
                    <w:tl2br w:val="nil"/>
                    <w:tr2bl w:val="nil"/>
                  </w:tcBorders>
                  <w:shd w:val="clear" w:color="auto" w:fill="auto"/>
                  <w:noWrap w:val="0"/>
                  <w:vAlign w:val="center"/>
                </w:tcPr>
                <w:p w14:paraId="512B8FA1">
                  <w:pPr>
                    <w:pStyle w:val="15"/>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0.5</w:t>
                  </w:r>
                </w:p>
              </w:tc>
              <w:tc>
                <w:tcPr>
                  <w:tcW w:w="389" w:type="pct"/>
                  <w:tcBorders>
                    <w:tl2br w:val="nil"/>
                    <w:tr2bl w:val="nil"/>
                  </w:tcBorders>
                  <w:shd w:val="clear" w:color="auto" w:fill="auto"/>
                  <w:noWrap w:val="0"/>
                  <w:vAlign w:val="center"/>
                </w:tcPr>
                <w:p w14:paraId="4B29A28C">
                  <w:pPr>
                    <w:pStyle w:val="15"/>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液体</w:t>
                  </w:r>
                </w:p>
              </w:tc>
              <w:tc>
                <w:tcPr>
                  <w:tcW w:w="444" w:type="pct"/>
                  <w:tcBorders>
                    <w:tl2br w:val="nil"/>
                    <w:tr2bl w:val="nil"/>
                  </w:tcBorders>
                  <w:shd w:val="clear" w:color="auto" w:fill="auto"/>
                  <w:noWrap w:val="0"/>
                  <w:vAlign w:val="center"/>
                </w:tcPr>
                <w:p w14:paraId="52006171">
                  <w:pPr>
                    <w:pStyle w:val="15"/>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桶装</w:t>
                  </w:r>
                </w:p>
              </w:tc>
              <w:tc>
                <w:tcPr>
                  <w:tcW w:w="524" w:type="pct"/>
                  <w:tcBorders>
                    <w:tl2br w:val="nil"/>
                    <w:tr2bl w:val="nil"/>
                  </w:tcBorders>
                  <w:shd w:val="clear" w:color="auto" w:fill="auto"/>
                  <w:noWrap w:val="0"/>
                  <w:vAlign w:val="center"/>
                </w:tcPr>
                <w:p w14:paraId="1F60BEB9">
                  <w:pPr>
                    <w:pStyle w:val="15"/>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化学品</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仓库</w:t>
                  </w:r>
                </w:p>
              </w:tc>
            </w:tr>
            <w:tr w14:paraId="2553F1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285" w:type="pct"/>
                  <w:tcBorders>
                    <w:tl2br w:val="nil"/>
                    <w:tr2bl w:val="nil"/>
                  </w:tcBorders>
                  <w:shd w:val="clear" w:color="auto" w:fill="auto"/>
                  <w:noWrap w:val="0"/>
                  <w:vAlign w:val="center"/>
                </w:tcPr>
                <w:p w14:paraId="014BB6BC">
                  <w:pPr>
                    <w:pStyle w:val="15"/>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4</w:t>
                  </w:r>
                </w:p>
              </w:tc>
              <w:tc>
                <w:tcPr>
                  <w:tcW w:w="643" w:type="pct"/>
                  <w:tcBorders>
                    <w:tl2br w:val="nil"/>
                    <w:tr2bl w:val="nil"/>
                  </w:tcBorders>
                  <w:shd w:val="clear" w:color="auto" w:fill="auto"/>
                  <w:noWrap w:val="0"/>
                  <w:vAlign w:val="center"/>
                </w:tcPr>
                <w:p w14:paraId="5080A3EC">
                  <w:pPr>
                    <w:pStyle w:val="15"/>
                    <w:spacing w:before="120"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液压油</w:t>
                  </w:r>
                </w:p>
              </w:tc>
              <w:tc>
                <w:tcPr>
                  <w:tcW w:w="717" w:type="pct"/>
                  <w:tcBorders>
                    <w:tl2br w:val="nil"/>
                    <w:tr2bl w:val="nil"/>
                  </w:tcBorders>
                  <w:shd w:val="clear" w:color="auto" w:fill="auto"/>
                  <w:noWrap w:val="0"/>
                  <w:vAlign w:val="center"/>
                </w:tcPr>
                <w:p w14:paraId="2695BB34">
                  <w:pPr>
                    <w:pStyle w:val="15"/>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0.6</w:t>
                  </w:r>
                </w:p>
              </w:tc>
              <w:tc>
                <w:tcPr>
                  <w:tcW w:w="1382" w:type="pct"/>
                  <w:tcBorders>
                    <w:tl2br w:val="nil"/>
                    <w:tr2bl w:val="nil"/>
                  </w:tcBorders>
                  <w:shd w:val="clear" w:color="auto" w:fill="auto"/>
                  <w:noWrap w:val="0"/>
                  <w:vAlign w:val="center"/>
                </w:tcPr>
                <w:p w14:paraId="4445ED2E">
                  <w:pPr>
                    <w:pStyle w:val="15"/>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tc>
              <w:tc>
                <w:tcPr>
                  <w:tcW w:w="612" w:type="pct"/>
                  <w:tcBorders>
                    <w:tl2br w:val="nil"/>
                    <w:tr2bl w:val="nil"/>
                  </w:tcBorders>
                  <w:shd w:val="clear" w:color="auto" w:fill="auto"/>
                  <w:noWrap w:val="0"/>
                  <w:vAlign w:val="center"/>
                </w:tcPr>
                <w:p w14:paraId="48DE0DE0">
                  <w:pPr>
                    <w:pStyle w:val="15"/>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0.6</w:t>
                  </w:r>
                </w:p>
              </w:tc>
              <w:tc>
                <w:tcPr>
                  <w:tcW w:w="389" w:type="pct"/>
                  <w:tcBorders>
                    <w:tl2br w:val="nil"/>
                    <w:tr2bl w:val="nil"/>
                  </w:tcBorders>
                  <w:shd w:val="clear" w:color="auto" w:fill="auto"/>
                  <w:noWrap w:val="0"/>
                  <w:vAlign w:val="center"/>
                </w:tcPr>
                <w:p w14:paraId="10C64B5F">
                  <w:pPr>
                    <w:pStyle w:val="15"/>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液体</w:t>
                  </w:r>
                </w:p>
              </w:tc>
              <w:tc>
                <w:tcPr>
                  <w:tcW w:w="444" w:type="pct"/>
                  <w:tcBorders>
                    <w:tl2br w:val="nil"/>
                    <w:tr2bl w:val="nil"/>
                  </w:tcBorders>
                  <w:shd w:val="clear" w:color="auto" w:fill="auto"/>
                  <w:noWrap w:val="0"/>
                  <w:vAlign w:val="center"/>
                </w:tcPr>
                <w:p w14:paraId="3F150C84">
                  <w:pPr>
                    <w:pStyle w:val="15"/>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桶装</w:t>
                  </w:r>
                </w:p>
              </w:tc>
              <w:tc>
                <w:tcPr>
                  <w:tcW w:w="524" w:type="pct"/>
                  <w:tcBorders>
                    <w:tl2br w:val="nil"/>
                    <w:tr2bl w:val="nil"/>
                  </w:tcBorders>
                  <w:shd w:val="clear" w:color="auto" w:fill="auto"/>
                  <w:noWrap w:val="0"/>
                  <w:vAlign w:val="center"/>
                </w:tcPr>
                <w:p w14:paraId="48333F70">
                  <w:pPr>
                    <w:pStyle w:val="15"/>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化学品</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仓库</w:t>
                  </w:r>
                </w:p>
              </w:tc>
            </w:tr>
            <w:tr w14:paraId="09E6D7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285" w:type="pct"/>
                  <w:tcBorders>
                    <w:tl2br w:val="nil"/>
                    <w:tr2bl w:val="nil"/>
                  </w:tcBorders>
                  <w:shd w:val="clear" w:color="auto" w:fill="auto"/>
                  <w:noWrap w:val="0"/>
                  <w:vAlign w:val="center"/>
                </w:tcPr>
                <w:p w14:paraId="35FC22B5">
                  <w:pPr>
                    <w:pStyle w:val="15"/>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5</w:t>
                  </w:r>
                </w:p>
              </w:tc>
              <w:tc>
                <w:tcPr>
                  <w:tcW w:w="643" w:type="pct"/>
                  <w:tcBorders>
                    <w:tl2br w:val="nil"/>
                    <w:tr2bl w:val="nil"/>
                  </w:tcBorders>
                  <w:shd w:val="clear" w:color="auto" w:fill="auto"/>
                  <w:noWrap w:val="0"/>
                  <w:vAlign w:val="center"/>
                </w:tcPr>
                <w:p w14:paraId="5A13BD91">
                  <w:pPr>
                    <w:pStyle w:val="15"/>
                    <w:spacing w:before="120" w:line="240" w:lineRule="auto"/>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机油</w:t>
                  </w:r>
                </w:p>
              </w:tc>
              <w:tc>
                <w:tcPr>
                  <w:tcW w:w="717" w:type="pct"/>
                  <w:tcBorders>
                    <w:tl2br w:val="nil"/>
                    <w:tr2bl w:val="nil"/>
                  </w:tcBorders>
                  <w:shd w:val="clear" w:color="auto" w:fill="auto"/>
                  <w:noWrap w:val="0"/>
                  <w:vAlign w:val="center"/>
                </w:tcPr>
                <w:p w14:paraId="0311DDFA">
                  <w:pPr>
                    <w:pStyle w:val="15"/>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0.4</w:t>
                  </w:r>
                </w:p>
              </w:tc>
              <w:tc>
                <w:tcPr>
                  <w:tcW w:w="1382" w:type="pct"/>
                  <w:tcBorders>
                    <w:tl2br w:val="nil"/>
                    <w:tr2bl w:val="nil"/>
                  </w:tcBorders>
                  <w:shd w:val="clear" w:color="auto" w:fill="auto"/>
                  <w:noWrap w:val="0"/>
                  <w:vAlign w:val="center"/>
                </w:tcPr>
                <w:p w14:paraId="22C68DAB">
                  <w:pPr>
                    <w:pStyle w:val="15"/>
                    <w:spacing w:line="240" w:lineRule="auto"/>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tc>
              <w:tc>
                <w:tcPr>
                  <w:tcW w:w="612" w:type="pct"/>
                  <w:tcBorders>
                    <w:tl2br w:val="nil"/>
                    <w:tr2bl w:val="nil"/>
                  </w:tcBorders>
                  <w:shd w:val="clear" w:color="auto" w:fill="auto"/>
                  <w:noWrap w:val="0"/>
                  <w:vAlign w:val="center"/>
                </w:tcPr>
                <w:p w14:paraId="5EE35408">
                  <w:pPr>
                    <w:pStyle w:val="15"/>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0.4</w:t>
                  </w:r>
                </w:p>
              </w:tc>
              <w:tc>
                <w:tcPr>
                  <w:tcW w:w="389" w:type="pct"/>
                  <w:tcBorders>
                    <w:tl2br w:val="nil"/>
                    <w:tr2bl w:val="nil"/>
                  </w:tcBorders>
                  <w:shd w:val="clear" w:color="auto" w:fill="auto"/>
                  <w:noWrap w:val="0"/>
                  <w:vAlign w:val="center"/>
                </w:tcPr>
                <w:p w14:paraId="3D0081C0">
                  <w:pPr>
                    <w:pStyle w:val="15"/>
                    <w:spacing w:line="240" w:lineRule="auto"/>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液体</w:t>
                  </w:r>
                </w:p>
              </w:tc>
              <w:tc>
                <w:tcPr>
                  <w:tcW w:w="444" w:type="pct"/>
                  <w:tcBorders>
                    <w:tl2br w:val="nil"/>
                    <w:tr2bl w:val="nil"/>
                  </w:tcBorders>
                  <w:shd w:val="clear" w:color="auto" w:fill="auto"/>
                  <w:noWrap w:val="0"/>
                  <w:vAlign w:val="center"/>
                </w:tcPr>
                <w:p w14:paraId="5648C16E">
                  <w:pPr>
                    <w:pStyle w:val="15"/>
                    <w:spacing w:line="240" w:lineRule="auto"/>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桶装</w:t>
                  </w:r>
                </w:p>
              </w:tc>
              <w:tc>
                <w:tcPr>
                  <w:tcW w:w="524" w:type="pct"/>
                  <w:tcBorders>
                    <w:tl2br w:val="nil"/>
                    <w:tr2bl w:val="nil"/>
                  </w:tcBorders>
                  <w:shd w:val="clear" w:color="auto" w:fill="auto"/>
                  <w:noWrap w:val="0"/>
                  <w:vAlign w:val="center"/>
                </w:tcPr>
                <w:p w14:paraId="7194EF7A">
                  <w:pPr>
                    <w:pStyle w:val="15"/>
                    <w:spacing w:line="240" w:lineRule="auto"/>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化学品</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仓库</w:t>
                  </w:r>
                </w:p>
              </w:tc>
            </w:tr>
            <w:tr w14:paraId="10E11C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285" w:type="pct"/>
                  <w:tcBorders>
                    <w:tl2br w:val="nil"/>
                    <w:tr2bl w:val="nil"/>
                  </w:tcBorders>
                  <w:noWrap w:val="0"/>
                  <w:vAlign w:val="center"/>
                </w:tcPr>
                <w:p w14:paraId="206379E6">
                  <w:pPr>
                    <w:pStyle w:val="15"/>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6</w:t>
                  </w:r>
                </w:p>
              </w:tc>
              <w:tc>
                <w:tcPr>
                  <w:tcW w:w="643" w:type="pct"/>
                  <w:tcBorders>
                    <w:tl2br w:val="nil"/>
                    <w:tr2bl w:val="nil"/>
                  </w:tcBorders>
                  <w:noWrap w:val="0"/>
                  <w:vAlign w:val="center"/>
                </w:tcPr>
                <w:p w14:paraId="47D459A0">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生产用电</w:t>
                  </w:r>
                </w:p>
              </w:tc>
              <w:tc>
                <w:tcPr>
                  <w:tcW w:w="2100" w:type="pct"/>
                  <w:gridSpan w:val="2"/>
                  <w:tcBorders>
                    <w:tl2br w:val="nil"/>
                    <w:tr2bl w:val="nil"/>
                  </w:tcBorders>
                  <w:noWrap w:val="0"/>
                  <w:vAlign w:val="center"/>
                </w:tcPr>
                <w:p w14:paraId="39820AE1">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96</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万kwh/a</w:t>
                  </w:r>
                </w:p>
              </w:tc>
              <w:tc>
                <w:tcPr>
                  <w:tcW w:w="1971" w:type="pct"/>
                  <w:gridSpan w:val="4"/>
                  <w:tcBorders>
                    <w:tl2br w:val="nil"/>
                    <w:tr2bl w:val="nil"/>
                  </w:tcBorders>
                  <w:noWrap w:val="0"/>
                  <w:vAlign w:val="center"/>
                </w:tcPr>
                <w:p w14:paraId="09220181">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r>
            <w:tr w14:paraId="5878E0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85" w:type="pct"/>
                  <w:tcBorders>
                    <w:tl2br w:val="nil"/>
                    <w:tr2bl w:val="nil"/>
                  </w:tcBorders>
                  <w:noWrap w:val="0"/>
                  <w:vAlign w:val="center"/>
                </w:tcPr>
                <w:p w14:paraId="2AD18181">
                  <w:pPr>
                    <w:pStyle w:val="15"/>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7</w:t>
                  </w:r>
                </w:p>
              </w:tc>
              <w:tc>
                <w:tcPr>
                  <w:tcW w:w="643" w:type="pct"/>
                  <w:tcBorders>
                    <w:tl2br w:val="nil"/>
                    <w:tr2bl w:val="nil"/>
                  </w:tcBorders>
                  <w:noWrap w:val="0"/>
                  <w:vAlign w:val="center"/>
                </w:tcPr>
                <w:p w14:paraId="396DE297">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生产用水</w:t>
                  </w:r>
                </w:p>
              </w:tc>
              <w:tc>
                <w:tcPr>
                  <w:tcW w:w="2100" w:type="pct"/>
                  <w:gridSpan w:val="2"/>
                  <w:tcBorders>
                    <w:tl2br w:val="nil"/>
                    <w:tr2bl w:val="nil"/>
                  </w:tcBorders>
                  <w:noWrap w:val="0"/>
                  <w:vAlign w:val="center"/>
                </w:tcPr>
                <w:p w14:paraId="6BE57EC5">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53</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00t/a</w:t>
                  </w:r>
                </w:p>
              </w:tc>
              <w:tc>
                <w:tcPr>
                  <w:tcW w:w="1971" w:type="pct"/>
                  <w:gridSpan w:val="4"/>
                  <w:tcBorders>
                    <w:tl2br w:val="nil"/>
                    <w:tr2bl w:val="nil"/>
                  </w:tcBorders>
                  <w:noWrap w:val="0"/>
                  <w:vAlign w:val="center"/>
                </w:tcPr>
                <w:p w14:paraId="29255868">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r>
          </w:tbl>
          <w:p w14:paraId="3833A7EA">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表2.2-</w:t>
            </w:r>
            <w:r>
              <w:rPr>
                <w:rFonts w:hint="eastAsia" w:ascii="Times New Roman" w:hAnsi="Times New Roman" w:cs="Times New Roman"/>
                <w:b/>
                <w:bCs/>
                <w:color w:val="000000" w:themeColor="text1"/>
                <w:sz w:val="24"/>
                <w:szCs w:val="24"/>
                <w:highlight w:val="none"/>
                <w:u w:val="none"/>
                <w:lang w:val="en-US" w:eastAsia="zh-CN"/>
                <w14:textFill>
                  <w14:solidFill>
                    <w14:schemeClr w14:val="tx1"/>
                  </w14:solidFill>
                </w14:textFill>
              </w:rPr>
              <w:t>5</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 xml:space="preserve"> 原辅材料</w:t>
            </w:r>
            <w:r>
              <w:rPr>
                <w:rFonts w:hint="eastAsia" w:ascii="Times New Roman" w:hAnsi="Times New Roman" w:cs="Times New Roman"/>
                <w:b/>
                <w:bCs/>
                <w:color w:val="000000" w:themeColor="text1"/>
                <w:sz w:val="24"/>
                <w:szCs w:val="24"/>
                <w:highlight w:val="none"/>
                <w:u w:val="none"/>
                <w:lang w:val="en-US" w:eastAsia="zh-CN"/>
                <w14:textFill>
                  <w14:solidFill>
                    <w14:schemeClr w14:val="tx1"/>
                  </w14:solidFill>
                </w14:textFill>
              </w:rPr>
              <w:t>理化性质表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659"/>
              <w:gridCol w:w="6281"/>
            </w:tblGrid>
            <w:tr w14:paraId="17AEE9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371" w:type="pct"/>
                  <w:tcBorders>
                    <w:tl2br w:val="nil"/>
                    <w:tr2bl w:val="nil"/>
                  </w:tcBorders>
                  <w:vAlign w:val="center"/>
                </w:tcPr>
                <w:p w14:paraId="62C2D0C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序号</w:t>
                  </w:r>
                </w:p>
              </w:tc>
              <w:tc>
                <w:tcPr>
                  <w:tcW w:w="967" w:type="pct"/>
                  <w:tcBorders>
                    <w:tl2br w:val="nil"/>
                    <w:tr2bl w:val="nil"/>
                  </w:tcBorders>
                  <w:vAlign w:val="center"/>
                </w:tcPr>
                <w:p w14:paraId="3175B8E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原辅材料名称</w:t>
                  </w:r>
                </w:p>
              </w:tc>
              <w:tc>
                <w:tcPr>
                  <w:tcW w:w="3661" w:type="pct"/>
                  <w:tcBorders>
                    <w:tl2br w:val="nil"/>
                    <w:tr2bl w:val="nil"/>
                  </w:tcBorders>
                  <w:vAlign w:val="center"/>
                </w:tcPr>
                <w:p w14:paraId="2D80BD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理化性质</w:t>
                  </w:r>
                </w:p>
              </w:tc>
            </w:tr>
            <w:tr w14:paraId="64151B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371" w:type="pct"/>
                  <w:tcBorders>
                    <w:tl2br w:val="nil"/>
                    <w:tr2bl w:val="nil"/>
                  </w:tcBorders>
                  <w:shd w:val="clear" w:color="auto" w:fill="auto"/>
                  <w:vAlign w:val="center"/>
                </w:tcPr>
                <w:p w14:paraId="674F76D3">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w:t>
                  </w:r>
                </w:p>
              </w:tc>
              <w:tc>
                <w:tcPr>
                  <w:tcW w:w="967" w:type="pct"/>
                  <w:tcBorders>
                    <w:tl2br w:val="nil"/>
                    <w:tr2bl w:val="nil"/>
                  </w:tcBorders>
                  <w:shd w:val="clear" w:color="auto" w:fill="auto"/>
                  <w:vAlign w:val="center"/>
                </w:tcPr>
                <w:p w14:paraId="2061DF01">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铝锭</w:t>
                  </w:r>
                </w:p>
              </w:tc>
              <w:tc>
                <w:tcPr>
                  <w:tcW w:w="3661" w:type="pct"/>
                  <w:tcBorders>
                    <w:tl2br w:val="nil"/>
                    <w:tr2bl w:val="nil"/>
                  </w:tcBorders>
                  <w:vAlign w:val="center"/>
                </w:tcPr>
                <w:p w14:paraId="71EBE78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铝锭为银白色金属，具有明亮的金属光泽。新切割的表面光泽度很高，但在空气中会迅速氧化形成一层致密氧化膜而变暗。密度约2.7g/cm</w:t>
                  </w:r>
                  <w:r>
                    <w:rPr>
                      <w:rFonts w:hint="eastAsia" w:cs="Times New Roman"/>
                      <w:color w:val="000000" w:themeColor="text1"/>
                      <w:sz w:val="21"/>
                      <w:szCs w:val="21"/>
                      <w:highlight w:val="none"/>
                      <w:vertAlign w:val="superscript"/>
                      <w:lang w:val="en-US" w:eastAsia="zh-CN"/>
                      <w14:textFill>
                        <w14:solidFill>
                          <w14:schemeClr w14:val="tx1"/>
                        </w14:solidFill>
                      </w14:textFill>
                    </w:rPr>
                    <w:t>3</w:t>
                  </w:r>
                  <w:r>
                    <w:rPr>
                      <w:rFonts w:hint="eastAsia" w:cs="Times New Roman"/>
                      <w:color w:val="000000" w:themeColor="text1"/>
                      <w:sz w:val="21"/>
                      <w:szCs w:val="21"/>
                      <w:highlight w:val="none"/>
                      <w:vertAlign w:val="baseline"/>
                      <w:lang w:val="en-US" w:eastAsia="zh-CN"/>
                      <w14:textFill>
                        <w14:solidFill>
                          <w14:schemeClr w14:val="tx1"/>
                        </w14:solidFill>
                      </w14:textFill>
                    </w:rPr>
                    <w:t>，因此铝及其合金是典型的轻金属材料。熔点在660</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左右，具有良好的导电性。</w:t>
                  </w:r>
                </w:p>
              </w:tc>
            </w:tr>
            <w:tr w14:paraId="3A4D2D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371" w:type="pct"/>
                  <w:tcBorders>
                    <w:tl2br w:val="nil"/>
                    <w:tr2bl w:val="nil"/>
                  </w:tcBorders>
                  <w:shd w:val="clear" w:color="auto" w:fill="auto"/>
                  <w:vAlign w:val="center"/>
                </w:tcPr>
                <w:p w14:paraId="4F2558FF">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2</w:t>
                  </w:r>
                </w:p>
              </w:tc>
              <w:tc>
                <w:tcPr>
                  <w:tcW w:w="967" w:type="pct"/>
                  <w:tcBorders>
                    <w:tl2br w:val="nil"/>
                    <w:tr2bl w:val="nil"/>
                  </w:tcBorders>
                  <w:shd w:val="clear" w:color="auto" w:fill="auto"/>
                  <w:vAlign w:val="center"/>
                </w:tcPr>
                <w:p w14:paraId="2A26BEA6">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水性微乳冷却液</w:t>
                  </w:r>
                </w:p>
              </w:tc>
              <w:tc>
                <w:tcPr>
                  <w:tcW w:w="3661" w:type="pct"/>
                  <w:tcBorders>
                    <w:tl2br w:val="nil"/>
                    <w:tr2bl w:val="nil"/>
                  </w:tcBorders>
                  <w:shd w:val="clear" w:color="auto" w:fill="auto"/>
                  <w:vAlign w:val="center"/>
                </w:tcPr>
                <w:p w14:paraId="7B8426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水性微乳冷却液</w:t>
                  </w:r>
                  <w:r>
                    <w:rPr>
                      <w:rFonts w:hint="eastAsia" w:cs="Times New Roman"/>
                      <w:b w:val="0"/>
                      <w:bCs w:val="0"/>
                      <w:color w:val="000000" w:themeColor="text1"/>
                      <w:sz w:val="21"/>
                      <w:szCs w:val="21"/>
                      <w:highlight w:val="none"/>
                      <w:lang w:val="en-US" w:eastAsia="zh-CN"/>
                      <w14:textFill>
                        <w14:solidFill>
                          <w14:schemeClr w14:val="tx1"/>
                        </w14:solidFill>
                      </w14:textFill>
                    </w:rPr>
                    <w:t>（半合成微乳化切削液）：外观为黄透明液体，原液浓度43-45，密度典型900kg/m</w:t>
                  </w:r>
                  <w:r>
                    <w:rPr>
                      <w:rFonts w:hint="eastAsia" w:cs="Times New Roman"/>
                      <w:color w:val="000000" w:themeColor="text1"/>
                      <w:sz w:val="21"/>
                      <w:szCs w:val="21"/>
                      <w:highlight w:val="none"/>
                      <w:vertAlign w:val="superscript"/>
                      <w:lang w:val="en-US" w:eastAsia="zh-CN"/>
                      <w14:textFill>
                        <w14:solidFill>
                          <w14:schemeClr w14:val="tx1"/>
                        </w14:solidFill>
                      </w14:textFill>
                    </w:rPr>
                    <w:t>3</w:t>
                  </w:r>
                  <w:r>
                    <w:rPr>
                      <w:rFonts w:hint="eastAsia" w:cs="Times New Roman"/>
                      <w:color w:val="000000" w:themeColor="text1"/>
                      <w:sz w:val="21"/>
                      <w:szCs w:val="21"/>
                      <w:highlight w:val="none"/>
                      <w:vertAlign w:val="baseline"/>
                      <w:lang w:val="en-US" w:eastAsia="zh-CN"/>
                      <w14:textFill>
                        <w14:solidFill>
                          <w14:schemeClr w14:val="tx1"/>
                        </w14:solidFill>
                      </w14:textFill>
                    </w:rPr>
                    <w:t>，pH值为9.0-9.5（5%稀释液）。化学性质稳定，应避免极端温度及阳光直晒，为强氧化剂，在正常储存情况下，不会形成危险的分解物。</w:t>
                  </w:r>
                </w:p>
              </w:tc>
            </w:tr>
            <w:tr w14:paraId="32A1CE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371" w:type="pct"/>
                  <w:tcBorders>
                    <w:tl2br w:val="nil"/>
                    <w:tr2bl w:val="nil"/>
                  </w:tcBorders>
                  <w:shd w:val="clear" w:color="auto" w:fill="auto"/>
                  <w:vAlign w:val="center"/>
                </w:tcPr>
                <w:p w14:paraId="751EFF84">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3</w:t>
                  </w:r>
                </w:p>
              </w:tc>
              <w:tc>
                <w:tcPr>
                  <w:tcW w:w="967" w:type="pct"/>
                  <w:tcBorders>
                    <w:tl2br w:val="nil"/>
                    <w:tr2bl w:val="nil"/>
                  </w:tcBorders>
                  <w:shd w:val="clear" w:color="auto" w:fill="auto"/>
                  <w:vAlign w:val="center"/>
                </w:tcPr>
                <w:p w14:paraId="7CC92877">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压铸脱模剂ZH618</w:t>
                  </w:r>
                </w:p>
              </w:tc>
              <w:tc>
                <w:tcPr>
                  <w:tcW w:w="3661" w:type="pct"/>
                  <w:tcBorders>
                    <w:tl2br w:val="nil"/>
                    <w:tr2bl w:val="nil"/>
                  </w:tcBorders>
                  <w:shd w:val="clear" w:color="auto" w:fill="auto"/>
                  <w:vAlign w:val="center"/>
                </w:tcPr>
                <w:p w14:paraId="76F5EA1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外观为乳白色液体，密度在20℃时约0.97-1.0g/m</w:t>
                  </w:r>
                  <w:r>
                    <w:rPr>
                      <w:rFonts w:hint="eastAsia" w:cs="Times New Roman"/>
                      <w:color w:val="000000" w:themeColor="text1"/>
                      <w:sz w:val="21"/>
                      <w:szCs w:val="21"/>
                      <w:highlight w:val="none"/>
                      <w:vertAlign w:val="superscript"/>
                      <w:lang w:val="en-US" w:eastAsia="zh-CN"/>
                      <w14:textFill>
                        <w14:solidFill>
                          <w14:schemeClr w14:val="tx1"/>
                        </w14:solidFill>
                      </w14:textFill>
                    </w:rPr>
                    <w:t>3</w:t>
                  </w:r>
                  <w:r>
                    <w:rPr>
                      <w:rFonts w:hint="eastAsia" w:cs="Times New Roman"/>
                      <w:color w:val="000000" w:themeColor="text1"/>
                      <w:sz w:val="21"/>
                      <w:szCs w:val="21"/>
                      <w:highlight w:val="none"/>
                      <w:vertAlign w:val="baseline"/>
                      <w:lang w:val="en-US" w:eastAsia="zh-CN"/>
                      <w14:textFill>
                        <w14:solidFill>
                          <w14:schemeClr w14:val="tx1"/>
                        </w14:solidFill>
                      </w14:textFill>
                    </w:rPr>
                    <w:t>之间。呈弱碱性（pH7.0-7.5）无闪点，无限混溶于水。高温下不易分解，具有良好的润滑作用，冷却性良好废气量少。无腐蚀性。无燃烧成分，不燃。</w:t>
                  </w:r>
                </w:p>
              </w:tc>
            </w:tr>
            <w:tr w14:paraId="1F4437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371" w:type="pct"/>
                  <w:tcBorders>
                    <w:tl2br w:val="nil"/>
                    <w:tr2bl w:val="nil"/>
                  </w:tcBorders>
                  <w:shd w:val="clear" w:color="auto" w:fill="auto"/>
                  <w:vAlign w:val="center"/>
                </w:tcPr>
                <w:p w14:paraId="0A69418C">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4</w:t>
                  </w:r>
                </w:p>
              </w:tc>
              <w:tc>
                <w:tcPr>
                  <w:tcW w:w="967" w:type="pct"/>
                  <w:tcBorders>
                    <w:tl2br w:val="nil"/>
                    <w:tr2bl w:val="nil"/>
                  </w:tcBorders>
                  <w:shd w:val="clear" w:color="auto" w:fill="auto"/>
                  <w:vAlign w:val="center"/>
                </w:tcPr>
                <w:p w14:paraId="7D9D231F">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液压油、润滑油</w:t>
                  </w:r>
                </w:p>
              </w:tc>
              <w:tc>
                <w:tcPr>
                  <w:tcW w:w="3661" w:type="pct"/>
                  <w:tcBorders>
                    <w:tl2br w:val="nil"/>
                    <w:tr2bl w:val="nil"/>
                  </w:tcBorders>
                  <w:shd w:val="clear" w:color="auto" w:fill="auto"/>
                  <w:vAlign w:val="center"/>
                </w:tcPr>
                <w:p w14:paraId="6BD2B38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新的液压油、润滑油通常呈淡黄色，清澈透明。带有轻度矿物油味，密度通常在0.85-0.9g/m</w:t>
                  </w:r>
                  <w:r>
                    <w:rPr>
                      <w:rFonts w:hint="eastAsia" w:cs="Times New Roman"/>
                      <w:color w:val="000000" w:themeColor="text1"/>
                      <w:sz w:val="21"/>
                      <w:szCs w:val="21"/>
                      <w:highlight w:val="none"/>
                      <w:vertAlign w:val="superscript"/>
                      <w:lang w:val="en-US" w:eastAsia="zh-CN"/>
                      <w14:textFill>
                        <w14:solidFill>
                          <w14:schemeClr w14:val="tx1"/>
                        </w14:solidFill>
                      </w14:textFill>
                    </w:rPr>
                    <w:t>3</w:t>
                  </w:r>
                  <w:r>
                    <w:rPr>
                      <w:rFonts w:hint="eastAsia" w:cs="Times New Roman"/>
                      <w:color w:val="000000" w:themeColor="text1"/>
                      <w:sz w:val="21"/>
                      <w:szCs w:val="21"/>
                      <w:highlight w:val="none"/>
                      <w:vertAlign w:val="baseline"/>
                      <w:lang w:val="en-US" w:eastAsia="zh-CN"/>
                      <w14:textFill>
                        <w14:solidFill>
                          <w14:schemeClr w14:val="tx1"/>
                        </w14:solidFill>
                      </w14:textFill>
                    </w:rPr>
                    <w:t>之间。在金属摩擦（如泵、马达、油缸）之间形成强韧的油膜，防止金属直接接触，减少磨损。在与水接触并混合后，能迅速分离的能力。</w:t>
                  </w:r>
                </w:p>
              </w:tc>
            </w:tr>
          </w:tbl>
          <w:p w14:paraId="206ECAC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35" w:name="_Toc16723"/>
            <w:bookmarkStart w:id="36" w:name="_Toc31186"/>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2.2.7项目水平衡</w:t>
            </w:r>
            <w:bookmarkEnd w:id="35"/>
            <w:bookmarkEnd w:id="36"/>
          </w:p>
          <w:p w14:paraId="0F2359DB">
            <w:pPr>
              <w:pStyle w:val="39"/>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b w:val="0"/>
                <w:bCs/>
                <w:color w:val="000000" w:themeColor="text1"/>
                <w:sz w:val="24"/>
                <w:highlight w:val="none"/>
                <w14:textFill>
                  <w14:solidFill>
                    <w14:schemeClr w14:val="tx1"/>
                  </w14:solidFill>
                </w14:textFill>
              </w:rPr>
            </w:pPr>
            <w:bookmarkStart w:id="37" w:name="_Toc81"/>
            <w:r>
              <w:rPr>
                <w:rFonts w:hint="eastAsia"/>
                <w:b w:val="0"/>
                <w:bCs/>
                <w:color w:val="000000" w:themeColor="text1"/>
                <w:sz w:val="24"/>
                <w:highlight w:val="none"/>
                <w14:textFill>
                  <w14:solidFill>
                    <w14:schemeClr w14:val="tx1"/>
                  </w14:solidFill>
                </w14:textFill>
              </w:rPr>
              <w:t>（1）生活污水</w:t>
            </w:r>
            <w:bookmarkEnd w:id="37"/>
          </w:p>
          <w:p w14:paraId="5565F663">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color w:val="000000" w:themeColor="text1"/>
                <w:kern w:val="0"/>
                <w:sz w:val="24"/>
                <w:highlight w:val="none"/>
                <w:lang w:bidi="ar"/>
                <w14:textFill>
                  <w14:solidFill>
                    <w14:schemeClr w14:val="tx1"/>
                  </w14:solidFill>
                </w14:textFill>
              </w:rPr>
            </w:pPr>
            <w:r>
              <w:rPr>
                <w:rFonts w:hint="eastAsia"/>
                <w:color w:val="000000" w:themeColor="text1"/>
                <w:sz w:val="24"/>
                <w:highlight w:val="none"/>
                <w14:textFill>
                  <w14:solidFill>
                    <w14:schemeClr w14:val="tx1"/>
                  </w14:solidFill>
                </w14:textFill>
              </w:rPr>
              <w:t>根据</w:t>
            </w:r>
            <w:r>
              <w:rPr>
                <w:color w:val="000000" w:themeColor="text1"/>
                <w:sz w:val="24"/>
                <w:highlight w:val="none"/>
                <w14:textFill>
                  <w14:solidFill>
                    <w14:schemeClr w14:val="tx1"/>
                  </w14:solidFill>
                </w14:textFill>
              </w:rPr>
              <w:t>《建筑给水排水设计标准》</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GB50015-2019</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，本项目</w:t>
            </w:r>
            <w:r>
              <w:rPr>
                <w:rFonts w:hint="eastAsia"/>
                <w:color w:val="000000" w:themeColor="text1"/>
                <w:sz w:val="24"/>
                <w:highlight w:val="none"/>
                <w14:textFill>
                  <w14:solidFill>
                    <w14:schemeClr w14:val="tx1"/>
                  </w14:solidFill>
                </w14:textFill>
              </w:rPr>
              <w:t>不</w:t>
            </w:r>
            <w:r>
              <w:rPr>
                <w:color w:val="000000" w:themeColor="text1"/>
                <w:sz w:val="24"/>
                <w:highlight w:val="none"/>
                <w14:textFill>
                  <w14:solidFill>
                    <w14:schemeClr w14:val="tx1"/>
                  </w14:solidFill>
                </w14:textFill>
              </w:rPr>
              <w:t>住宿员工用水量按</w:t>
            </w:r>
            <w:r>
              <w:rPr>
                <w:rFonts w:hint="eastAsia"/>
                <w:color w:val="000000" w:themeColor="text1"/>
                <w:sz w:val="24"/>
                <w:highlight w:val="none"/>
                <w14:textFill>
                  <w14:solidFill>
                    <w14:schemeClr w14:val="tx1"/>
                  </w14:solidFill>
                </w14:textFill>
              </w:rPr>
              <w:t>50</w:t>
            </w:r>
            <w:r>
              <w:rPr>
                <w:color w:val="000000" w:themeColor="text1"/>
                <w:sz w:val="24"/>
                <w:highlight w:val="none"/>
                <w14:textFill>
                  <w14:solidFill>
                    <w14:schemeClr w14:val="tx1"/>
                  </w14:solidFill>
                </w14:textFill>
              </w:rPr>
              <w:t>L/人·d计</w:t>
            </w:r>
            <w:r>
              <w:rPr>
                <w:color w:val="000000" w:themeColor="text1"/>
                <w:kern w:val="0"/>
                <w:sz w:val="24"/>
                <w:highlight w:val="none"/>
                <w:lang w:bidi="ar"/>
                <w14:textFill>
                  <w14:solidFill>
                    <w14:schemeClr w14:val="tx1"/>
                  </w14:solidFill>
                </w14:textFill>
              </w:rPr>
              <w:t>，项目职工人数</w:t>
            </w:r>
            <w:r>
              <w:rPr>
                <w:rFonts w:hint="eastAsia"/>
                <w:color w:val="000000" w:themeColor="text1"/>
                <w:kern w:val="0"/>
                <w:sz w:val="24"/>
                <w:highlight w:val="none"/>
                <w:lang w:val="en-US" w:eastAsia="zh-CN" w:bidi="ar"/>
                <w14:textFill>
                  <w14:solidFill>
                    <w14:schemeClr w14:val="tx1"/>
                  </w14:solidFill>
                </w14:textFill>
              </w:rPr>
              <w:t>30</w:t>
            </w:r>
            <w:r>
              <w:rPr>
                <w:color w:val="000000" w:themeColor="text1"/>
                <w:kern w:val="0"/>
                <w:sz w:val="24"/>
                <w:highlight w:val="none"/>
                <w:lang w:bidi="ar"/>
                <w14:textFill>
                  <w14:solidFill>
                    <w14:schemeClr w14:val="tx1"/>
                  </w14:solidFill>
                </w14:textFill>
              </w:rPr>
              <w:t>人，均不住厂，则生活用水量约</w:t>
            </w:r>
            <w:r>
              <w:rPr>
                <w:rFonts w:hint="eastAsia"/>
                <w:color w:val="000000" w:themeColor="text1"/>
                <w:kern w:val="0"/>
                <w:sz w:val="24"/>
                <w:highlight w:val="none"/>
                <w:lang w:val="en-US" w:eastAsia="zh-CN" w:bidi="ar"/>
                <w14:textFill>
                  <w14:solidFill>
                    <w14:schemeClr w14:val="tx1"/>
                  </w14:solidFill>
                </w14:textFill>
              </w:rPr>
              <w:t>1.5</w:t>
            </w:r>
            <w:r>
              <w:rPr>
                <w:color w:val="000000" w:themeColor="text1"/>
                <w:kern w:val="0"/>
                <w:sz w:val="24"/>
                <w:highlight w:val="none"/>
                <w:lang w:bidi="ar"/>
                <w14:textFill>
                  <w14:solidFill>
                    <w14:schemeClr w14:val="tx1"/>
                  </w14:solidFill>
                </w14:textFill>
              </w:rPr>
              <w:t>t/d</w:t>
            </w:r>
            <w:r>
              <w:rPr>
                <w:rFonts w:hint="eastAsia"/>
                <w:color w:val="000000" w:themeColor="text1"/>
                <w:kern w:val="0"/>
                <w:sz w:val="24"/>
                <w:highlight w:val="none"/>
                <w:lang w:eastAsia="zh-CN" w:bidi="ar"/>
                <w14:textFill>
                  <w14:solidFill>
                    <w14:schemeClr w14:val="tx1"/>
                  </w14:solidFill>
                </w14:textFill>
              </w:rPr>
              <w:t>，</w:t>
            </w:r>
            <w:r>
              <w:rPr>
                <w:color w:val="000000" w:themeColor="text1"/>
                <w:kern w:val="0"/>
                <w:sz w:val="24"/>
                <w:highlight w:val="none"/>
                <w:lang w:bidi="ar"/>
                <w14:textFill>
                  <w14:solidFill>
                    <w14:schemeClr w14:val="tx1"/>
                  </w14:solidFill>
                </w14:textFill>
              </w:rPr>
              <w:t>（</w:t>
            </w:r>
            <w:r>
              <w:rPr>
                <w:rFonts w:hint="eastAsia"/>
                <w:color w:val="000000" w:themeColor="text1"/>
                <w:kern w:val="0"/>
                <w:sz w:val="24"/>
                <w:highlight w:val="none"/>
                <w:lang w:val="en-US" w:eastAsia="zh-CN" w:bidi="ar"/>
                <w14:textFill>
                  <w14:solidFill>
                    <w14:schemeClr w14:val="tx1"/>
                  </w14:solidFill>
                </w14:textFill>
              </w:rPr>
              <w:t>450</w:t>
            </w:r>
            <w:r>
              <w:rPr>
                <w:color w:val="000000" w:themeColor="text1"/>
                <w:kern w:val="0"/>
                <w:sz w:val="24"/>
                <w:highlight w:val="none"/>
                <w:lang w:bidi="ar"/>
                <w14:textFill>
                  <w14:solidFill>
                    <w14:schemeClr w14:val="tx1"/>
                  </w14:solidFill>
                </w14:textFill>
              </w:rPr>
              <w:t>t/a），项目废水排放系数按照0.8计算，则废水产生量为</w:t>
            </w:r>
            <w:r>
              <w:rPr>
                <w:rFonts w:hint="eastAsia"/>
                <w:color w:val="000000" w:themeColor="text1"/>
                <w:kern w:val="0"/>
                <w:sz w:val="24"/>
                <w:highlight w:val="none"/>
                <w:lang w:val="en-US" w:eastAsia="zh-CN" w:bidi="ar"/>
                <w14:textFill>
                  <w14:solidFill>
                    <w14:schemeClr w14:val="tx1"/>
                  </w14:solidFill>
                </w14:textFill>
              </w:rPr>
              <w:t>1.2</w:t>
            </w:r>
            <w:r>
              <w:rPr>
                <w:color w:val="000000" w:themeColor="text1"/>
                <w:kern w:val="0"/>
                <w:sz w:val="24"/>
                <w:highlight w:val="none"/>
                <w:lang w:bidi="ar"/>
                <w14:textFill>
                  <w14:solidFill>
                    <w14:schemeClr w14:val="tx1"/>
                  </w14:solidFill>
                </w14:textFill>
              </w:rPr>
              <w:t>t/d（</w:t>
            </w:r>
            <w:r>
              <w:rPr>
                <w:rFonts w:hint="eastAsia"/>
                <w:color w:val="000000" w:themeColor="text1"/>
                <w:kern w:val="0"/>
                <w:sz w:val="24"/>
                <w:highlight w:val="none"/>
                <w:lang w:val="en-US" w:eastAsia="zh-CN" w:bidi="ar"/>
                <w14:textFill>
                  <w14:solidFill>
                    <w14:schemeClr w14:val="tx1"/>
                  </w14:solidFill>
                </w14:textFill>
              </w:rPr>
              <w:t>360</w:t>
            </w:r>
            <w:r>
              <w:rPr>
                <w:color w:val="000000" w:themeColor="text1"/>
                <w:kern w:val="0"/>
                <w:sz w:val="24"/>
                <w:highlight w:val="none"/>
                <w:lang w:bidi="ar"/>
                <w14:textFill>
                  <w14:solidFill>
                    <w14:schemeClr w14:val="tx1"/>
                  </w14:solidFill>
                </w14:textFill>
              </w:rPr>
              <w:t>t/a）</w:t>
            </w:r>
            <w:r>
              <w:rPr>
                <w:rFonts w:hint="eastAsia"/>
                <w:color w:val="000000" w:themeColor="text1"/>
                <w:kern w:val="0"/>
                <w:sz w:val="24"/>
                <w:highlight w:val="none"/>
                <w:lang w:eastAsia="zh-CN" w:bidi="ar"/>
                <w14:textFill>
                  <w14:solidFill>
                    <w14:schemeClr w14:val="tx1"/>
                  </w14:solidFill>
                </w14:textFill>
              </w:rPr>
              <w:t>，</w:t>
            </w:r>
            <w:r>
              <w:rPr>
                <w:rFonts w:hint="eastAsia"/>
                <w:color w:val="000000" w:themeColor="text1"/>
                <w:kern w:val="0"/>
                <w:sz w:val="24"/>
                <w:highlight w:val="none"/>
                <w:lang w:val="en-US" w:eastAsia="zh-CN" w:bidi="ar"/>
                <w14:textFill>
                  <w14:solidFill>
                    <w14:schemeClr w14:val="tx1"/>
                  </w14:solidFill>
                </w14:textFill>
              </w:rPr>
              <w:t>生活污水依托厂内已建的化粪池处理后进入市政污水管网纳入</w:t>
            </w:r>
            <w:r>
              <w:rPr>
                <w:rFonts w:hint="eastAsia"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福清市融元污水处理厂</w:t>
            </w:r>
            <w:r>
              <w:rPr>
                <w:rFonts w:hint="eastAsia"/>
                <w:color w:val="000000" w:themeColor="text1"/>
                <w:kern w:val="0"/>
                <w:sz w:val="24"/>
                <w:highlight w:val="none"/>
                <w:lang w:val="en-US" w:eastAsia="zh-CN" w:bidi="ar"/>
                <w14:textFill>
                  <w14:solidFill>
                    <w14:schemeClr w14:val="tx1"/>
                  </w14:solidFill>
                </w14:textFill>
              </w:rPr>
              <w:t>集中处理</w:t>
            </w:r>
            <w:r>
              <w:rPr>
                <w:rFonts w:hint="eastAsia"/>
                <w:color w:val="000000" w:themeColor="text1"/>
                <w:kern w:val="0"/>
                <w:sz w:val="24"/>
                <w:highlight w:val="none"/>
                <w:lang w:bidi="ar"/>
                <w14:textFill>
                  <w14:solidFill>
                    <w14:schemeClr w14:val="tx1"/>
                  </w14:solidFill>
                </w14:textFill>
              </w:rPr>
              <w:t>。</w:t>
            </w:r>
          </w:p>
          <w:p w14:paraId="17E1DCBC">
            <w:pPr>
              <w:pStyle w:val="39"/>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b w:val="0"/>
                <w:bCs/>
                <w:color w:val="000000" w:themeColor="text1"/>
                <w:sz w:val="24"/>
                <w:highlight w:val="none"/>
                <w14:textFill>
                  <w14:solidFill>
                    <w14:schemeClr w14:val="tx1"/>
                  </w14:solidFill>
                </w14:textFill>
              </w:rPr>
            </w:pPr>
            <w:bookmarkStart w:id="38" w:name="_Toc27624"/>
            <w:r>
              <w:rPr>
                <w:rFonts w:hint="eastAsia"/>
                <w:b w:val="0"/>
                <w:bCs/>
                <w:color w:val="000000" w:themeColor="text1"/>
                <w:sz w:val="24"/>
                <w:highlight w:val="none"/>
                <w14:textFill>
                  <w14:solidFill>
                    <w14:schemeClr w14:val="tx1"/>
                  </w14:solidFill>
                </w14:textFill>
              </w:rPr>
              <w:t>（2）</w:t>
            </w:r>
            <w:r>
              <w:rPr>
                <w:rFonts w:hint="eastAsia"/>
                <w:b w:val="0"/>
                <w:bCs/>
                <w:color w:val="000000" w:themeColor="text1"/>
                <w:sz w:val="24"/>
                <w:highlight w:val="none"/>
                <w:lang w:val="en-US" w:eastAsia="zh-CN"/>
                <w14:textFill>
                  <w14:solidFill>
                    <w14:schemeClr w14:val="tx1"/>
                  </w14:solidFill>
                </w14:textFill>
              </w:rPr>
              <w:t>压铸成型</w:t>
            </w:r>
            <w:r>
              <w:rPr>
                <w:rFonts w:hint="eastAsia"/>
                <w:b w:val="0"/>
                <w:bCs/>
                <w:color w:val="000000" w:themeColor="text1"/>
                <w:sz w:val="24"/>
                <w:highlight w:val="none"/>
                <w14:textFill>
                  <w14:solidFill>
                    <w14:schemeClr w14:val="tx1"/>
                  </w14:solidFill>
                </w14:textFill>
              </w:rPr>
              <w:t>冷却水</w:t>
            </w:r>
            <w:bookmarkEnd w:id="38"/>
          </w:p>
          <w:p w14:paraId="28C0DFA1">
            <w:pPr>
              <w:pStyle w:val="40"/>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color w:val="000000" w:themeColor="text1"/>
                <w:sz w:val="24"/>
                <w:szCs w:val="24"/>
                <w:highlight w:val="none"/>
                <w14:textFill>
                  <w14:solidFill>
                    <w14:schemeClr w14:val="tx1"/>
                  </w14:solidFill>
                </w14:textFill>
              </w:rPr>
            </w:pPr>
            <w:r>
              <w:rPr>
                <w:color w:val="000000" w:themeColor="text1"/>
                <w:sz w:val="24"/>
                <w:highlight w:val="none"/>
                <w14:textFill>
                  <w14:solidFill>
                    <w14:schemeClr w14:val="tx1"/>
                  </w14:solidFill>
                </w14:textFill>
              </w:rPr>
              <w:t>本项目拟设1台冷却塔，</w:t>
            </w:r>
            <w:r>
              <w:rPr>
                <w:rFonts w:hint="eastAsia"/>
                <w:color w:val="000000" w:themeColor="text1"/>
                <w:sz w:val="24"/>
                <w:highlight w:val="none"/>
                <w14:textFill>
                  <w14:solidFill>
                    <w14:schemeClr w14:val="tx1"/>
                  </w14:solidFill>
                </w14:textFill>
              </w:rPr>
              <w:t>主要供给项目</w:t>
            </w:r>
            <w:r>
              <w:rPr>
                <w:rFonts w:hint="eastAsia"/>
                <w:color w:val="000000" w:themeColor="text1"/>
                <w:sz w:val="24"/>
                <w:highlight w:val="none"/>
                <w:lang w:val="en-US" w:eastAsia="zh-CN"/>
                <w14:textFill>
                  <w14:solidFill>
                    <w14:schemeClr w14:val="tx1"/>
                  </w14:solidFill>
                </w14:textFill>
              </w:rPr>
              <w:t>压铸成型工序进行冷却</w:t>
            </w:r>
            <w:r>
              <w:rPr>
                <w:rFonts w:hint="eastAsia"/>
                <w:color w:val="000000" w:themeColor="text1"/>
                <w:sz w:val="24"/>
                <w:highlight w:val="none"/>
                <w14:textFill>
                  <w14:solidFill>
                    <w14:schemeClr w14:val="tx1"/>
                  </w14:solidFill>
                </w14:textFill>
              </w:rPr>
              <w:t>，通过设备安装循环管道进行冷却，</w:t>
            </w:r>
            <w:r>
              <w:rPr>
                <w:color w:val="000000" w:themeColor="text1"/>
                <w:sz w:val="24"/>
                <w:highlight w:val="none"/>
                <w14:textFill>
                  <w14:solidFill>
                    <w14:schemeClr w14:val="tx1"/>
                  </w14:solidFill>
                </w14:textFill>
              </w:rPr>
              <w:t>为间接冷却方式，</w:t>
            </w:r>
            <w:r>
              <w:rPr>
                <w:rFonts w:hint="eastAsia"/>
                <w:color w:val="000000" w:themeColor="text1"/>
                <w:sz w:val="24"/>
                <w:highlight w:val="none"/>
                <w14:textFill>
                  <w14:solidFill>
                    <w14:schemeClr w14:val="tx1"/>
                  </w14:solidFill>
                </w14:textFill>
              </w:rPr>
              <w:t>项目</w:t>
            </w:r>
            <w:r>
              <w:rPr>
                <w:color w:val="000000" w:themeColor="text1"/>
                <w:sz w:val="24"/>
                <w:highlight w:val="none"/>
                <w14:textFill>
                  <w14:solidFill>
                    <w14:schemeClr w14:val="tx1"/>
                  </w14:solidFill>
                </w14:textFill>
              </w:rPr>
              <w:t>冷却塔循环水循环使用，不外排</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本项目冷却塔</w:t>
            </w:r>
            <w:r>
              <w:rPr>
                <w:rFonts w:hint="eastAsia"/>
                <w:color w:val="000000" w:themeColor="text1"/>
                <w:sz w:val="24"/>
                <w:highlight w:val="none"/>
                <w:lang w:val="en-US" w:eastAsia="zh-CN"/>
                <w14:textFill>
                  <w14:solidFill>
                    <w14:schemeClr w14:val="tx1"/>
                  </w14:solidFill>
                </w14:textFill>
              </w:rPr>
              <w:t>容量</w:t>
            </w:r>
            <w:r>
              <w:rPr>
                <w:rFonts w:hint="eastAsia"/>
                <w:color w:val="000000" w:themeColor="text1"/>
                <w:sz w:val="24"/>
                <w:highlight w:val="none"/>
                <w14:textFill>
                  <w14:solidFill>
                    <w14:schemeClr w14:val="tx1"/>
                  </w14:solidFill>
                </w14:textFill>
              </w:rPr>
              <w:t>为</w:t>
            </w:r>
            <w:r>
              <w:rPr>
                <w:rFonts w:hint="eastAsia"/>
                <w:color w:val="000000" w:themeColor="text1"/>
                <w:sz w:val="24"/>
                <w:highlight w:val="none"/>
                <w:lang w:val="en-US" w:eastAsia="zh-CN"/>
                <w14:textFill>
                  <w14:solidFill>
                    <w14:schemeClr w14:val="tx1"/>
                  </w14:solidFill>
                </w14:textFill>
              </w:rPr>
              <w:t>80</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设计流量40m</w:t>
            </w:r>
            <w:r>
              <w:rPr>
                <w:rFonts w:hint="eastAsia"/>
                <w:color w:val="000000" w:themeColor="text1"/>
                <w:sz w:val="24"/>
                <w:highlight w:val="none"/>
                <w:vertAlign w:val="superscript"/>
                <w:lang w:val="en-US" w:eastAsia="zh-CN"/>
                <w14:textFill>
                  <w14:solidFill>
                    <w14:schemeClr w14:val="tx1"/>
                  </w14:solidFill>
                </w14:textFill>
              </w:rPr>
              <w:t>3</w:t>
            </w:r>
            <w:r>
              <w:rPr>
                <w:rFonts w:hint="eastAsia"/>
                <w:color w:val="000000" w:themeColor="text1"/>
                <w:sz w:val="24"/>
                <w:highlight w:val="none"/>
                <w:lang w:val="en-US" w:eastAsia="zh-CN"/>
                <w14:textFill>
                  <w14:solidFill>
                    <w14:schemeClr w14:val="tx1"/>
                  </w14:solidFill>
                </w14:textFill>
              </w:rPr>
              <w:t>/h。</w:t>
            </w:r>
            <w:r>
              <w:rPr>
                <w:rFonts w:hint="eastAsia"/>
                <w:color w:val="000000" w:themeColor="text1"/>
                <w:sz w:val="24"/>
                <w:szCs w:val="24"/>
                <w:highlight w:val="none"/>
                <w14:textFill>
                  <w14:solidFill>
                    <w14:schemeClr w14:val="tx1"/>
                  </w14:solidFill>
                </w14:textFill>
              </w:rPr>
              <w:t>年运行时长为</w:t>
            </w:r>
            <w:r>
              <w:rPr>
                <w:rFonts w:hint="eastAsia"/>
                <w:color w:val="000000" w:themeColor="text1"/>
                <w:sz w:val="24"/>
                <w:szCs w:val="24"/>
                <w:highlight w:val="none"/>
                <w:lang w:val="en-US" w:eastAsia="zh-CN"/>
                <w14:textFill>
                  <w14:solidFill>
                    <w14:schemeClr w14:val="tx1"/>
                  </w14:solidFill>
                </w14:textFill>
              </w:rPr>
              <w:t>2400</w:t>
            </w:r>
            <w:r>
              <w:rPr>
                <w:rFonts w:hint="eastAsia"/>
                <w:color w:val="000000" w:themeColor="text1"/>
                <w:sz w:val="24"/>
                <w:szCs w:val="24"/>
                <w:highlight w:val="none"/>
                <w14:textFill>
                  <w14:solidFill>
                    <w14:schemeClr w14:val="tx1"/>
                  </w14:solidFill>
                </w14:textFill>
              </w:rPr>
              <w:t>h，参考《工业循环水冷却设计规范》（GB/T50102—2014）中相关设计规范计算补水量，冷却塔风吹损失水率为0.15%，冷却塔蒸发损失水率为2%，则冷却塔补水量约为循环水量的2.15％，</w:t>
            </w:r>
            <w:r>
              <w:rPr>
                <w:color w:val="000000" w:themeColor="text1"/>
                <w:sz w:val="24"/>
                <w:szCs w:val="24"/>
                <w:highlight w:val="none"/>
                <w14:textFill>
                  <w14:solidFill>
                    <w14:schemeClr w14:val="tx1"/>
                  </w14:solidFill>
                </w14:textFill>
              </w:rPr>
              <w:t>则</w:t>
            </w:r>
            <w:r>
              <w:rPr>
                <w:rFonts w:hint="eastAsia"/>
                <w:color w:val="000000" w:themeColor="text1"/>
                <w:sz w:val="24"/>
                <w:szCs w:val="24"/>
                <w:highlight w:val="none"/>
                <w:lang w:val="en-US" w:eastAsia="zh-CN"/>
                <w14:textFill>
                  <w14:solidFill>
                    <w14:schemeClr w14:val="tx1"/>
                  </w14:solidFill>
                </w14:textFill>
              </w:rPr>
              <w:t>需</w:t>
            </w:r>
            <w:r>
              <w:rPr>
                <w:color w:val="000000" w:themeColor="text1"/>
                <w:sz w:val="24"/>
                <w:szCs w:val="24"/>
                <w:highlight w:val="none"/>
                <w14:textFill>
                  <w14:solidFill>
                    <w14:schemeClr w14:val="tx1"/>
                  </w14:solidFill>
                </w14:textFill>
              </w:rPr>
              <w:t>补充新鲜水量约</w:t>
            </w:r>
            <w:r>
              <w:rPr>
                <w:rFonts w:hint="eastAsia"/>
                <w:color w:val="000000" w:themeColor="text1"/>
                <w:sz w:val="24"/>
                <w:szCs w:val="24"/>
                <w:highlight w:val="none"/>
                <w:lang w:val="en-US" w:eastAsia="zh-CN"/>
                <w14:textFill>
                  <w14:solidFill>
                    <w14:schemeClr w14:val="tx1"/>
                  </w14:solidFill>
                </w14:textFill>
              </w:rPr>
              <w:t>6.88</w:t>
            </w:r>
            <w:r>
              <w:rPr>
                <w:rFonts w:hint="eastAsia"/>
                <w:color w:val="000000" w:themeColor="text1"/>
                <w:sz w:val="24"/>
                <w:szCs w:val="24"/>
                <w:highlight w:val="none"/>
                <w14:textFill>
                  <w14:solidFill>
                    <w14:schemeClr w14:val="tx1"/>
                  </w14:solidFill>
                </w14:textFill>
              </w:rPr>
              <w:t>t/d</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2064</w:t>
            </w:r>
            <w:r>
              <w:rPr>
                <w:color w:val="000000" w:themeColor="text1"/>
                <w:sz w:val="24"/>
                <w:szCs w:val="24"/>
                <w:highlight w:val="none"/>
                <w14:textFill>
                  <w14:solidFill>
                    <w14:schemeClr w14:val="tx1"/>
                  </w14:solidFill>
                </w14:textFill>
              </w:rPr>
              <w:t>t/a</w:t>
            </w:r>
            <w:r>
              <w:rPr>
                <w:rFonts w:hint="eastAsia"/>
                <w:color w:val="000000" w:themeColor="text1"/>
                <w:sz w:val="24"/>
                <w:szCs w:val="24"/>
                <w:highlight w:val="none"/>
                <w:lang w:eastAsia="zh-CN"/>
                <w14:textFill>
                  <w14:solidFill>
                    <w14:schemeClr w14:val="tx1"/>
                  </w14:solidFill>
                </w14:textFill>
              </w:rPr>
              <w:t>）</w:t>
            </w:r>
            <w:r>
              <w:rPr>
                <w:color w:val="000000" w:themeColor="text1"/>
                <w:sz w:val="24"/>
                <w:szCs w:val="24"/>
                <w:highlight w:val="none"/>
                <w14:textFill>
                  <w14:solidFill>
                    <w14:schemeClr w14:val="tx1"/>
                  </w14:solidFill>
                </w14:textFill>
              </w:rPr>
              <w:t>。</w:t>
            </w:r>
          </w:p>
          <w:p w14:paraId="6634CE78">
            <w:pPr>
              <w:pStyle w:val="39"/>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color w:val="000000" w:themeColor="text1"/>
                <w:sz w:val="24"/>
                <w:highlight w:val="none"/>
                <w:lang w:val="en-US" w:eastAsia="zh-CN"/>
                <w14:textFill>
                  <w14:solidFill>
                    <w14:schemeClr w14:val="tx1"/>
                  </w14:solidFill>
                </w14:textFill>
              </w:rPr>
            </w:pPr>
            <w:r>
              <w:rPr>
                <w:rFonts w:hint="eastAsia"/>
                <w:b w:val="0"/>
                <w:bCs/>
                <w:color w:val="000000" w:themeColor="text1"/>
                <w:sz w:val="24"/>
                <w:highlight w:val="none"/>
                <w:lang w:val="en-US" w:eastAsia="zh-CN"/>
                <w14:textFill>
                  <w14:solidFill>
                    <w14:schemeClr w14:val="tx1"/>
                  </w14:solidFill>
                </w14:textFill>
              </w:rPr>
              <w:t>（3）产品水洗用水</w:t>
            </w:r>
          </w:p>
          <w:p w14:paraId="65F8BD8A">
            <w:pPr>
              <w:pStyle w:val="40"/>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生产的部分产品在进行钻孔、攻牙等机加工后需要对产品进行清洗去除表面的铝渣或铝粉。根据业主提供资料，本项目仅对部分工件进行清洗。用水量约为0.2t/d，清洗池的水经水循环处理设施处理后回用于产品水洗工序，处理时产生0.02t/d（6t/a）的用水损耗，定期补充新鲜用水。</w:t>
            </w:r>
          </w:p>
          <w:p w14:paraId="5B862591">
            <w:pPr>
              <w:pStyle w:val="40"/>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（3）研磨工序冷却水</w:t>
            </w:r>
          </w:p>
          <w:p w14:paraId="1E0E0227">
            <w:pPr>
              <w:pStyle w:val="40"/>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本项目研磨工序冷却水，经水循环处理设施处理后循环使用不外排，需每天补充新鲜水量0.05t/d（15t/a）</w:t>
            </w:r>
          </w:p>
          <w:p w14:paraId="218CDDEB">
            <w:pPr>
              <w:pStyle w:val="39"/>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pPr>
            <w:bookmarkStart w:id="39" w:name="_Toc11791"/>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项目水平衡图详见图2.1-1。</w:t>
            </w:r>
            <w:bookmarkEnd w:id="39"/>
          </w:p>
          <w:p w14:paraId="202B0E56">
            <w:pPr>
              <w:pStyle w:val="39"/>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drawing>
                <wp:inline distT="0" distB="0" distL="114300" distR="114300">
                  <wp:extent cx="5477510" cy="3332480"/>
                  <wp:effectExtent l="0" t="0" r="8890" b="1270"/>
                  <wp:docPr id="38" name="F360BE8B-6686-4F3D-AEAF-501FE73E4058-1" descr="大松水平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360BE8B-6686-4F3D-AEAF-501FE73E4058-1" descr="大松水平衡(1)"/>
                          <pic:cNvPicPr>
                            <a:picLocks noChangeAspect="1"/>
                          </pic:cNvPicPr>
                        </pic:nvPicPr>
                        <pic:blipFill>
                          <a:blip r:embed="rId18"/>
                          <a:stretch>
                            <a:fillRect/>
                          </a:stretch>
                        </pic:blipFill>
                        <pic:spPr>
                          <a:xfrm>
                            <a:off x="0" y="0"/>
                            <a:ext cx="5477510" cy="3332480"/>
                          </a:xfrm>
                          <a:prstGeom prst="rect">
                            <a:avLst/>
                          </a:prstGeom>
                        </pic:spPr>
                      </pic:pic>
                    </a:graphicData>
                  </a:graphic>
                </wp:inline>
              </w:drawing>
            </w:r>
          </w:p>
          <w:p w14:paraId="18171B8D">
            <w:pPr>
              <w:pStyle w:val="39"/>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bookmarkStart w:id="40" w:name="_Toc7512"/>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图2.1-1 项目水平衡图（单位：t/d）</w:t>
            </w:r>
            <w:bookmarkEnd w:id="40"/>
          </w:p>
          <w:p w14:paraId="4BE4046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41" w:name="_Toc13719"/>
            <w:bookmarkStart w:id="42" w:name="_Toc29992"/>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2.2.8项目平面布置合理性分析</w:t>
            </w:r>
            <w:bookmarkEnd w:id="41"/>
            <w:bookmarkEnd w:id="42"/>
          </w:p>
          <w:p w14:paraId="00AD403E">
            <w:pPr>
              <w:spacing w:line="360" w:lineRule="auto"/>
              <w:ind w:firstLine="480" w:firstLineChars="200"/>
              <w:rPr>
                <w:color w:val="000000" w:themeColor="text1"/>
                <w:sz w:val="24"/>
                <w:highlight w:val="none"/>
                <w14:textFill>
                  <w14:solidFill>
                    <w14:schemeClr w14:val="tx1"/>
                  </w14:solidFill>
                </w14:textFill>
              </w:rPr>
            </w:pPr>
            <w:r>
              <w:rPr>
                <w:rFonts w:hint="eastAsia" w:cs="Times New Roman"/>
                <w:color w:val="000000" w:themeColor="text1"/>
                <w:sz w:val="24"/>
                <w:szCs w:val="24"/>
                <w:highlight w:val="none"/>
                <w:u w:val="none"/>
                <w:lang w:val="en-US" w:eastAsia="zh-CN"/>
                <w14:textFill>
                  <w14:solidFill>
                    <w14:schemeClr w14:val="tx1"/>
                  </w14:solidFill>
                </w14:textFill>
              </w:rPr>
              <w:t>一层为电阻炉、压铸机及周边辅助设备；二层为抛光、打磨、钻孔、攻牙等设备；三层为原材料及成品存放区。</w:t>
            </w:r>
            <w:r>
              <w:rPr>
                <w:color w:val="000000" w:themeColor="text1"/>
                <w:sz w:val="24"/>
                <w:highlight w:val="none"/>
                <w14:textFill>
                  <w14:solidFill>
                    <w14:schemeClr w14:val="tx1"/>
                  </w14:solidFill>
                </w14:textFill>
              </w:rPr>
              <w:t>此平面布置方案功能划分相对清晰，各</w:t>
            </w:r>
            <w:r>
              <w:rPr>
                <w:rFonts w:hint="eastAsia"/>
                <w:color w:val="000000" w:themeColor="text1"/>
                <w:sz w:val="24"/>
                <w:highlight w:val="none"/>
                <w:lang w:eastAsia="zh-CN"/>
                <w14:textFill>
                  <w14:solidFill>
                    <w14:schemeClr w14:val="tx1"/>
                  </w14:solidFill>
                </w14:textFill>
              </w:rPr>
              <w:t>区域</w:t>
            </w:r>
            <w:r>
              <w:rPr>
                <w:color w:val="000000" w:themeColor="text1"/>
                <w:sz w:val="24"/>
                <w:highlight w:val="none"/>
                <w14:textFill>
                  <w14:solidFill>
                    <w14:schemeClr w14:val="tx1"/>
                  </w14:solidFill>
                </w14:textFill>
              </w:rPr>
              <w:t>之间物流顺畅，运输距离较短，有利于生产布置。在满足生产条件要求的前提下，充分利用厂区空间进行设备布置，布局紧凑，生产流程比较流畅，布局基本合理。</w:t>
            </w:r>
            <w:r>
              <w:rPr>
                <w:rFonts w:hint="eastAsia"/>
                <w:color w:val="000000" w:themeColor="text1"/>
                <w:sz w:val="24"/>
                <w:highlight w:val="none"/>
                <w:lang w:val="en-US" w:eastAsia="zh-CN"/>
                <w14:textFill>
                  <w14:solidFill>
                    <w14:schemeClr w14:val="tx1"/>
                  </w14:solidFill>
                </w14:textFill>
              </w:rPr>
              <w:t>项目</w:t>
            </w:r>
            <w:r>
              <w:rPr>
                <w:color w:val="000000" w:themeColor="text1"/>
                <w:sz w:val="24"/>
                <w:highlight w:val="none"/>
                <w14:textFill>
                  <w14:solidFill>
                    <w14:schemeClr w14:val="tx1"/>
                  </w14:solidFill>
                </w14:textFill>
              </w:rPr>
              <w:t>平面布置图详见</w:t>
            </w:r>
            <w:r>
              <w:rPr>
                <w:b/>
                <w:bCs/>
                <w:color w:val="000000" w:themeColor="text1"/>
                <w:sz w:val="24"/>
                <w:highlight w:val="none"/>
                <w14:textFill>
                  <w14:solidFill>
                    <w14:schemeClr w14:val="tx1"/>
                  </w14:solidFill>
                </w14:textFill>
              </w:rPr>
              <w:t>附图</w:t>
            </w:r>
            <w:r>
              <w:rPr>
                <w:rFonts w:hint="eastAsia"/>
                <w:b/>
                <w:bCs/>
                <w:color w:val="000000" w:themeColor="text1"/>
                <w:sz w:val="24"/>
                <w:highlight w:val="none"/>
                <w:lang w:val="en-US" w:eastAsia="zh-CN"/>
                <w14:textFill>
                  <w14:solidFill>
                    <w14:schemeClr w14:val="tx1"/>
                  </w14:solidFill>
                </w14:textFill>
              </w:rPr>
              <w:t>六</w:t>
            </w:r>
            <w:r>
              <w:rPr>
                <w:color w:val="000000" w:themeColor="text1"/>
                <w:sz w:val="24"/>
                <w:highlight w:val="none"/>
                <w14:textFill>
                  <w14:solidFill>
                    <w14:schemeClr w14:val="tx1"/>
                  </w14:solidFill>
                </w14:textFill>
              </w:rPr>
              <w:t>。</w:t>
            </w:r>
          </w:p>
          <w:p w14:paraId="7B733D5F">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14:textFill>
                  <w14:solidFill>
                    <w14:schemeClr w14:val="tx1"/>
                  </w14:solidFill>
                </w14:textFill>
              </w:rPr>
              <w:t>当地</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常年主导风向为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东北侧</w:t>
            </w:r>
            <w:r>
              <w:rPr>
                <w:rFonts w:hint="default" w:ascii="Times New Roman" w:hAnsi="Times New Roman" w:eastAsia="宋体" w:cs="Times New Roman"/>
                <w:color w:val="000000" w:themeColor="text1"/>
                <w:sz w:val="24"/>
                <w:szCs w:val="24"/>
                <w:highlight w:val="none"/>
                <w14:textFill>
                  <w14:solidFill>
                    <w14:schemeClr w14:val="tx1"/>
                  </w14:solidFill>
                </w14:textFill>
              </w:rPr>
              <w:t>，说明其下风向</w:t>
            </w:r>
            <w:r>
              <w:rPr>
                <w:rFonts w:hint="eastAsia"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西南侧</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受污染</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的概率</w:t>
            </w:r>
            <w:r>
              <w:rPr>
                <w:rFonts w:hint="default" w:ascii="Times New Roman" w:hAnsi="Times New Roman" w:eastAsia="宋体" w:cs="Times New Roman"/>
                <w:color w:val="000000" w:themeColor="text1"/>
                <w:sz w:val="24"/>
                <w:szCs w:val="24"/>
                <w:highlight w:val="none"/>
                <w14:textFill>
                  <w14:solidFill>
                    <w14:schemeClr w14:val="tx1"/>
                  </w14:solidFill>
                </w14:textFill>
              </w:rPr>
              <w:t>最高</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拟</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将</w:t>
            </w:r>
            <w:r>
              <w:rPr>
                <w:rFonts w:hint="eastAsia" w:cs="Times New Roman"/>
                <w:color w:val="000000" w:themeColor="text1"/>
                <w:sz w:val="24"/>
                <w:szCs w:val="24"/>
                <w:highlight w:val="none"/>
                <w:lang w:val="en-US" w:eastAsia="zh-CN"/>
                <w14:textFill>
                  <w14:solidFill>
                    <w14:schemeClr w14:val="tx1"/>
                  </w14:solidFill>
                </w14:textFill>
              </w:rPr>
              <w:t>生产</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废气</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排气筒设置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在厂房</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屋顶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北侧区域</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，排放口朝内</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不位于</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常年主导风向</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上风向，</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拟将危险废物暂存场所设置于</w:t>
            </w:r>
            <w:r>
              <w:rPr>
                <w:rFonts w:hint="eastAsia" w:cs="Times New Roman"/>
                <w:color w:val="000000" w:themeColor="text1"/>
                <w:sz w:val="24"/>
                <w:szCs w:val="24"/>
                <w:highlight w:val="none"/>
                <w:lang w:val="en-US" w:eastAsia="zh-CN"/>
                <w14:textFill>
                  <w14:solidFill>
                    <w14:schemeClr w14:val="tx1"/>
                  </w14:solidFill>
                </w14:textFill>
              </w:rPr>
              <w:t>项目一层车间外搭建危险危废贮存间</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，方便危险废物的分类收集，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可以</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得到有效的</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处理处置，可避免造成二次污染；项目</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设备噪声经</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基础减振、厂房墙体隔声等综合降噪措施后，可实现噪声达标排放。</w:t>
            </w:r>
            <w:r>
              <w:rPr>
                <w:rFonts w:hint="default" w:ascii="Times New Roman" w:hAnsi="Times New Roman" w:eastAsia="宋体" w:cs="Times New Roman"/>
                <w:color w:val="000000" w:themeColor="text1"/>
                <w:sz w:val="24"/>
                <w:szCs w:val="24"/>
                <w:highlight w:val="none"/>
                <w14:textFill>
                  <w14:solidFill>
                    <w14:schemeClr w14:val="tx1"/>
                  </w14:solidFill>
                </w14:textFill>
              </w:rPr>
              <w:t>从环境影响的角度看，</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项目环保设施平面布置基本合理。</w:t>
            </w:r>
          </w:p>
          <w:p w14:paraId="368077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综上所述，本项目的布置基本合理。</w:t>
            </w:r>
          </w:p>
        </w:tc>
      </w:tr>
      <w:tr w14:paraId="7A0CA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0" w:hRule="atLeast"/>
        </w:trPr>
        <w:tc>
          <w:tcPr>
            <w:tcW w:w="261" w:type="pct"/>
            <w:vAlign w:val="center"/>
          </w:tcPr>
          <w:p w14:paraId="39C968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sz w:val="24"/>
                <w:szCs w:val="24"/>
                <w:vertAlign w:val="baseline"/>
                <w:lang w:eastAsia="zh-CN"/>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工艺流程和产排污环节</w:t>
            </w:r>
          </w:p>
        </w:tc>
        <w:tc>
          <w:tcPr>
            <w:tcW w:w="4738" w:type="pct"/>
            <w:vAlign w:val="top"/>
          </w:tcPr>
          <w:p w14:paraId="30F389D5">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cs="Times New Roman"/>
                <w:color w:val="000000" w:themeColor="text1"/>
                <w:sz w:val="28"/>
                <w:szCs w:val="28"/>
                <w:u w:val="none"/>
                <w:lang w:val="en-US" w:eastAsia="zh-CN"/>
                <w14:textFill>
                  <w14:solidFill>
                    <w14:schemeClr w14:val="tx1"/>
                  </w14:solidFill>
                </w14:textFill>
              </w:rPr>
            </w:pPr>
            <w:bookmarkStart w:id="43" w:name="_Toc27795"/>
            <w:bookmarkStart w:id="44" w:name="_Toc28289"/>
            <w:r>
              <w:rPr>
                <w:rFonts w:hint="eastAsia" w:ascii="Times New Roman" w:hAnsi="Times New Roman" w:eastAsia="宋体" w:cs="Times New Roman"/>
                <w:color w:val="000000" w:themeColor="text1"/>
                <w:sz w:val="28"/>
                <w:szCs w:val="28"/>
                <w:u w:val="none"/>
                <w:lang w:val="en-US" w:eastAsia="zh-CN"/>
                <w14:textFill>
                  <w14:solidFill>
                    <w14:schemeClr w14:val="tx1"/>
                  </w14:solidFill>
                </w14:textFill>
              </w:rPr>
              <w:t>2.3</w:t>
            </w:r>
            <w:r>
              <w:rPr>
                <w:rFonts w:hint="eastAsia" w:ascii="Times New Roman" w:hAnsi="Times New Roman" w:cs="Times New Roman"/>
                <w:color w:val="000000" w:themeColor="text1"/>
                <w:sz w:val="28"/>
                <w:szCs w:val="28"/>
                <w:u w:val="none"/>
                <w:lang w:val="en-US" w:eastAsia="zh-CN"/>
                <w14:textFill>
                  <w14:solidFill>
                    <w14:schemeClr w14:val="tx1"/>
                  </w14:solidFill>
                </w14:textFill>
              </w:rPr>
              <w:t>项目</w:t>
            </w:r>
            <w:r>
              <w:rPr>
                <w:rFonts w:hint="eastAsia" w:ascii="Times New Roman" w:hAnsi="Times New Roman" w:eastAsia="宋体" w:cs="Times New Roman"/>
                <w:color w:val="000000" w:themeColor="text1"/>
                <w:sz w:val="28"/>
                <w:szCs w:val="28"/>
                <w:u w:val="none"/>
                <w:lang w:val="en-US" w:eastAsia="zh-CN"/>
                <w14:textFill>
                  <w14:solidFill>
                    <w14:schemeClr w14:val="tx1"/>
                  </w14:solidFill>
                </w14:textFill>
              </w:rPr>
              <w:t>生产工艺</w:t>
            </w:r>
            <w:r>
              <w:rPr>
                <w:rFonts w:hint="eastAsia" w:ascii="Times New Roman" w:hAnsi="Times New Roman" w:cs="Times New Roman"/>
                <w:color w:val="000000" w:themeColor="text1"/>
                <w:sz w:val="28"/>
                <w:szCs w:val="28"/>
                <w:u w:val="none"/>
                <w:lang w:val="en-US" w:eastAsia="zh-CN"/>
                <w14:textFill>
                  <w14:solidFill>
                    <w14:schemeClr w14:val="tx1"/>
                  </w14:solidFill>
                </w14:textFill>
              </w:rPr>
              <w:t>流程及产污环节</w:t>
            </w:r>
            <w:bookmarkEnd w:id="43"/>
            <w:bookmarkEnd w:id="44"/>
          </w:p>
          <w:p w14:paraId="51F1530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pPr>
            <w:bookmarkStart w:id="45" w:name="_Toc22081"/>
            <w:bookmarkStart w:id="46" w:name="_Toc966"/>
            <w:r>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t>2.3.1项目工艺流程及工艺介绍</w:t>
            </w:r>
            <w:bookmarkEnd w:id="45"/>
            <w:bookmarkEnd w:id="46"/>
          </w:p>
          <w:p w14:paraId="244044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五金</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配件</w:t>
            </w:r>
            <w:r>
              <w:rPr>
                <w:rFonts w:hint="eastAsia" w:cs="Times New Roman"/>
                <w:color w:val="000000" w:themeColor="text1"/>
                <w:sz w:val="24"/>
                <w:szCs w:val="24"/>
                <w:highlight w:val="none"/>
                <w:lang w:val="en-US" w:eastAsia="zh-CN"/>
                <w14:textFill>
                  <w14:solidFill>
                    <w14:schemeClr w14:val="tx1"/>
                  </w14:solidFill>
                </w14:textFill>
              </w:rPr>
              <w:t>生产工艺流程及产污环节详见图2.3-1。</w:t>
            </w:r>
          </w:p>
          <w:p w14:paraId="466F563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bCs w:val="0"/>
                <w:color w:val="000000" w:themeColor="text1"/>
                <w:sz w:val="24"/>
                <w:szCs w:val="24"/>
                <w:highlight w:val="yellow"/>
                <w:lang w:val="en-US" w:eastAsia="zh-CN"/>
                <w14:textFill>
                  <w14:solidFill>
                    <w14:schemeClr w14:val="tx1"/>
                  </w14:solidFill>
                </w14:textFill>
              </w:rPr>
            </w:pPr>
            <w:r>
              <w:rPr>
                <w:sz w:val="21"/>
              </w:rPr>
              <mc:AlternateContent>
                <mc:Choice Requires="wps">
                  <w:drawing>
                    <wp:anchor distT="0" distB="0" distL="114300" distR="114300" simplePos="0" relativeHeight="251719680" behindDoc="0" locked="0" layoutInCell="1" allowOverlap="1">
                      <wp:simplePos x="0" y="0"/>
                      <wp:positionH relativeFrom="column">
                        <wp:posOffset>27940</wp:posOffset>
                      </wp:positionH>
                      <wp:positionV relativeFrom="paragraph">
                        <wp:posOffset>49530</wp:posOffset>
                      </wp:positionV>
                      <wp:extent cx="5412105" cy="3091180"/>
                      <wp:effectExtent l="6350" t="6350" r="10795" b="7620"/>
                      <wp:wrapNone/>
                      <wp:docPr id="235" name="矩形 235"/>
                      <wp:cNvGraphicFramePr/>
                      <a:graphic xmlns:a="http://schemas.openxmlformats.org/drawingml/2006/main">
                        <a:graphicData uri="http://schemas.microsoft.com/office/word/2010/wordprocessingShape">
                          <wps:wsp>
                            <wps:cNvSpPr/>
                            <wps:spPr>
                              <a:xfrm>
                                <a:off x="0" y="0"/>
                                <a:ext cx="5412105" cy="309118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pt;margin-top:3.9pt;height:243.4pt;width:426.15pt;z-index:251719680;v-text-anchor:middle;mso-width-relative:page;mso-height-relative:page;" fillcolor="#FFFFFF [3212]" filled="t" stroked="t" coordsize="21600,21600" o:gfxdata="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HLayZ1QAAAAcBAAAPAAAAAAAAAAEAIAAAACIAAABkcnMvZG93bnJldi54&#10;bWxQSwECFAAUAAAACACHTuJAL20sqm8CAAD5BAAADgAAAAAAAAABACAAAAAkAQAAZHJzL2Uyb0Rv&#10;Yy54bWxQSwUGAAAAAAYABgBZAQAABQYAAAAA&#10;">
                      <v:fill on="t" focussize="0,0"/>
                      <v:stroke weight="1pt" color="#FFFFFF [3212]" miterlimit="8" joinstyle="miter"/>
                      <v:imagedata o:title=""/>
                      <o:lock v:ext="edit" aspectratio="f"/>
                    </v:rect>
                  </w:pict>
                </mc:Fallback>
              </mc:AlternateContent>
            </w:r>
            <w:r>
              <w:rPr>
                <w:rFonts w:hint="default"/>
                <w:b/>
                <w:bCs/>
                <w:sz w:val="28"/>
                <w:szCs w:val="28"/>
                <w:lang w:val="en-US" w:eastAsia="zh-CN"/>
              </w:rPr>
              <w:drawing>
                <wp:inline distT="0" distB="0" distL="114300" distR="114300">
                  <wp:extent cx="5448300" cy="3142615"/>
                  <wp:effectExtent l="0" t="0" r="0" b="635"/>
                  <wp:docPr id="1" name="F360BE8B-6686-4F3D-AEAF-501FE73E4058-2" descr="C:/Users/AA/AppData/Local/Temp/瑞昌工艺流程图(2).png瑞昌工艺流程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360BE8B-6686-4F3D-AEAF-501FE73E4058-2" descr="C:/Users/AA/AppData/Local/Temp/瑞昌工艺流程图(2).png瑞昌工艺流程图(2)"/>
                          <pic:cNvPicPr>
                            <a:picLocks noChangeAspect="1"/>
                          </pic:cNvPicPr>
                        </pic:nvPicPr>
                        <pic:blipFill>
                          <a:blip r:embed="rId19"/>
                          <a:stretch>
                            <a:fillRect/>
                          </a:stretch>
                        </pic:blipFill>
                        <pic:spPr>
                          <a:xfrm>
                            <a:off x="0" y="0"/>
                            <a:ext cx="5448300" cy="3142615"/>
                          </a:xfrm>
                          <a:prstGeom prst="rect">
                            <a:avLst/>
                          </a:prstGeom>
                        </pic:spPr>
                      </pic:pic>
                    </a:graphicData>
                  </a:graphic>
                </wp:inline>
              </w:drawing>
            </w:r>
          </w:p>
          <w:p w14:paraId="68FBFC1F">
            <w:pPr>
              <w:pStyle w:val="39"/>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bookmarkStart w:id="47" w:name="_Toc5034"/>
            <w:r>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 xml:space="preserve">图2.3-1 </w:t>
            </w:r>
            <w:r>
              <w:rPr>
                <w:rFonts w:hint="eastAsia" w:cs="Times New Roman"/>
                <w:b/>
                <w:bCs w:val="0"/>
                <w:color w:val="000000" w:themeColor="text1"/>
                <w:sz w:val="24"/>
                <w:szCs w:val="24"/>
                <w:highlight w:val="none"/>
                <w:lang w:val="en-US" w:eastAsia="zh-CN"/>
                <w14:textFill>
                  <w14:solidFill>
                    <w14:schemeClr w14:val="tx1"/>
                  </w14:solidFill>
                </w14:textFill>
              </w:rPr>
              <w:t>五金</w:t>
            </w:r>
            <w:r>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配件生产工艺流程图</w:t>
            </w:r>
            <w:bookmarkEnd w:id="47"/>
          </w:p>
          <w:p w14:paraId="4ACFC915">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工艺说明：</w:t>
            </w:r>
          </w:p>
          <w:p w14:paraId="2951C623">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default"/>
                <w:bCs/>
                <w:color w:val="auto"/>
                <w:sz w:val="24"/>
                <w:lang w:val="en-US" w:eastAsia="zh-CN"/>
              </w:rPr>
            </w:pPr>
            <w:r>
              <w:rPr>
                <w:sz w:val="21"/>
              </w:rPr>
              <mc:AlternateContent>
                <mc:Choice Requires="wps">
                  <w:drawing>
                    <wp:anchor distT="0" distB="0" distL="114300" distR="114300" simplePos="0" relativeHeight="251720704" behindDoc="0" locked="0" layoutInCell="1" allowOverlap="1">
                      <wp:simplePos x="0" y="0"/>
                      <wp:positionH relativeFrom="column">
                        <wp:posOffset>4445</wp:posOffset>
                      </wp:positionH>
                      <wp:positionV relativeFrom="paragraph">
                        <wp:posOffset>8890</wp:posOffset>
                      </wp:positionV>
                      <wp:extent cx="5507355" cy="8115935"/>
                      <wp:effectExtent l="6350" t="6350" r="10795" b="12065"/>
                      <wp:wrapNone/>
                      <wp:docPr id="236" name="矩形 236"/>
                      <wp:cNvGraphicFramePr/>
                      <a:graphic xmlns:a="http://schemas.openxmlformats.org/drawingml/2006/main">
                        <a:graphicData uri="http://schemas.microsoft.com/office/word/2010/wordprocessingShape">
                          <wps:wsp>
                            <wps:cNvSpPr/>
                            <wps:spPr>
                              <a:xfrm>
                                <a:off x="0" y="0"/>
                                <a:ext cx="5507355" cy="811593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35pt;margin-top:0.7pt;height:639.05pt;width:433.65pt;z-index:251720704;v-text-anchor:middle;mso-width-relative:page;mso-height-relative:page;" fillcolor="#FFFFFF [3212]" filled="t" stroked="t" coordsize="21600,21600" o:gfxdata="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47LoZdYAAAAHAQAADwAAAAAAAAABACAAAAAiAAAAZHJzL2Rvd25yZXYu&#10;eG1sUEsBAhQAFAAAAAgAh07iQNqCcqtvAgAA+QQAAA4AAAAAAAAAAQAgAAAAJQEAAGRycy9lMm9E&#10;b2MueG1sUEsFBgAAAAAGAAYAWQEAAAYGAAAAAA==&#10;">
                      <v:fill on="t" focussize="0,0"/>
                      <v:stroke weight="1pt" color="#FFFFFF [3212]" miterlimit="8" joinstyle="miter"/>
                      <v:imagedata o:title=""/>
                      <o:lock v:ext="edit" aspectratio="f"/>
                    </v:rect>
                  </w:pict>
                </mc:Fallback>
              </mc:AlternateConten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①熔融：</w:t>
            </w:r>
            <w:r>
              <w:rPr>
                <w:rFonts w:hint="eastAsia"/>
                <w:bCs/>
                <w:color w:val="auto"/>
                <w:sz w:val="24"/>
                <w:lang w:val="en-US" w:eastAsia="zh-CN"/>
              </w:rPr>
              <w:t>熔融是通过对物质加热，使物质从固态变成液态的一种物理变化过程。本项目将外购的铝锭投入电阻炉中加热至熔化温度（720℃），并维持炉温720℃，进入保温阶段。本段工艺过程中会产生熔化烟尘，主要污染物为颗粒物，经收集后由布袋除尘器处理后达标排放。由于电阻炉为电加热，因此不产生SO</w:t>
            </w:r>
            <w:r>
              <w:rPr>
                <w:rFonts w:hint="eastAsia"/>
                <w:bCs/>
                <w:color w:val="auto"/>
                <w:sz w:val="24"/>
                <w:vertAlign w:val="subscript"/>
                <w:lang w:val="en-US" w:eastAsia="zh-CN"/>
              </w:rPr>
              <w:t>2</w:t>
            </w:r>
            <w:r>
              <w:rPr>
                <w:rFonts w:hint="eastAsia"/>
                <w:bCs/>
                <w:color w:val="auto"/>
                <w:sz w:val="24"/>
                <w:lang w:val="en-US" w:eastAsia="zh-CN"/>
              </w:rPr>
              <w:t>和NOx。同时熔炉中产生的铝液表面漂浮炉渣，需定期人工清理。所清理的炉渣（未沾染油）属于一般固体废物，利用价值较高，收集后重新熔融进行回用。沾染油的部分炉渣属于危险废物，暂存于危险废物贮存间，定期委托有资质的单位进行处置。</w:t>
            </w:r>
          </w:p>
          <w:p w14:paraId="403B018C">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default" w:ascii="Times New Roman" w:hAnsi="Times New Roman" w:eastAsia="宋体" w:cs="Times New Roman"/>
                <w:color w:val="auto"/>
                <w:sz w:val="24"/>
                <w:szCs w:val="24"/>
                <w:lang w:val="en-US" w:eastAsia="zh-CN"/>
              </w:rPr>
            </w:pPr>
            <w:r>
              <w:rPr>
                <w:rFonts w:hint="eastAsia"/>
                <w:bCs/>
                <w:color w:val="auto"/>
                <w:sz w:val="24"/>
                <w:lang w:val="en-US" w:eastAsia="zh-CN"/>
              </w:rPr>
              <w:t>②压铸成型：</w:t>
            </w:r>
            <w:r>
              <w:rPr>
                <w:rFonts w:hint="default" w:ascii="Times New Roman" w:hAnsi="Times New Roman" w:eastAsia="宋体" w:cs="Times New Roman"/>
                <w:color w:val="auto"/>
                <w:sz w:val="24"/>
                <w:szCs w:val="24"/>
                <w:lang w:val="en-US" w:eastAsia="zh-CN"/>
              </w:rPr>
              <w:t>通过机械手铝水勺将熔化炉中保温的铝液浇注进入压铸机，该过程会产生浇注烟尘，主要污染物为颗粒物。压铸前，模具需要</w:t>
            </w:r>
            <w:r>
              <w:rPr>
                <w:rFonts w:hint="eastAsia" w:ascii="Times New Roman" w:hAnsi="Times New Roman" w:cs="Times New Roman"/>
                <w:color w:val="auto"/>
                <w:sz w:val="24"/>
                <w:szCs w:val="24"/>
                <w:lang w:val="en-US" w:eastAsia="zh-CN"/>
              </w:rPr>
              <w:t>喷涂</w:t>
            </w:r>
            <w:r>
              <w:rPr>
                <w:rFonts w:hint="default" w:ascii="Times New Roman" w:hAnsi="Times New Roman" w:eastAsia="宋体" w:cs="Times New Roman"/>
                <w:color w:val="auto"/>
                <w:sz w:val="24"/>
                <w:szCs w:val="24"/>
                <w:lang w:val="en-US" w:eastAsia="zh-CN"/>
              </w:rPr>
              <w:t>脱模剂，起到快速脱模及降温的作用，之后压铸机再以较高的压力和较快的速度将铝液注射进入模具中，经过循环冷却水间接接触冷却后开模即得到压铸件。</w:t>
            </w:r>
            <w:r>
              <w:rPr>
                <w:rFonts w:hint="eastAsia" w:ascii="Times New Roman" w:hAnsi="Times New Roman" w:cs="Times New Roman"/>
                <w:color w:val="auto"/>
                <w:sz w:val="24"/>
                <w:szCs w:val="24"/>
                <w:lang w:val="en-US" w:eastAsia="zh-CN"/>
              </w:rPr>
              <w:t>根据更换不同的压铸模型，使用不同产品的生产。</w:t>
            </w:r>
            <w:r>
              <w:rPr>
                <w:rFonts w:hint="default" w:ascii="Times New Roman" w:hAnsi="Times New Roman" w:eastAsia="宋体" w:cs="Times New Roman"/>
                <w:color w:val="auto"/>
                <w:sz w:val="24"/>
                <w:szCs w:val="24"/>
                <w:lang w:val="en-US" w:eastAsia="zh-CN"/>
              </w:rPr>
              <w:t>压铸过程中脱模剂受热后会形成</w:t>
            </w:r>
            <w:r>
              <w:rPr>
                <w:rFonts w:hint="eastAsia" w:ascii="Times New Roman" w:hAnsi="Times New Roman" w:eastAsia="宋体" w:cs="Times New Roman"/>
                <w:color w:val="auto"/>
                <w:sz w:val="24"/>
                <w:szCs w:val="24"/>
                <w:lang w:val="en-US" w:eastAsia="zh-CN"/>
              </w:rPr>
              <w:t>挥发性有机物</w:t>
            </w:r>
            <w:r>
              <w:rPr>
                <w:rFonts w:hint="default" w:ascii="Times New Roman" w:hAnsi="Times New Roman" w:eastAsia="宋体" w:cs="Times New Roman"/>
                <w:color w:val="auto"/>
                <w:sz w:val="24"/>
                <w:szCs w:val="24"/>
                <w:lang w:val="en-US" w:eastAsia="zh-CN"/>
              </w:rPr>
              <w:t>，并在脱模时会释放，同时换热冷却时会产生冷却水。</w:t>
            </w:r>
            <w:r>
              <w:rPr>
                <w:rFonts w:hint="eastAsia" w:ascii="Times New Roman" w:hAnsi="Times New Roman" w:eastAsia="宋体" w:cs="Times New Roman"/>
                <w:color w:val="auto"/>
                <w:sz w:val="24"/>
                <w:szCs w:val="24"/>
                <w:lang w:val="en-US" w:eastAsia="zh-CN"/>
              </w:rPr>
              <w:t>采用活性炭吸附装置处理后达标排放。</w:t>
            </w:r>
          </w:p>
          <w:p w14:paraId="4B9B395B">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③抛光、研磨、去毛边：</w:t>
            </w:r>
            <w:r>
              <w:rPr>
                <w:rFonts w:hint="eastAsia" w:ascii="Times New Roman" w:hAnsi="Times New Roman" w:cs="Times New Roman"/>
                <w:color w:val="auto"/>
                <w:sz w:val="24"/>
                <w:szCs w:val="24"/>
                <w:lang w:val="en-US" w:eastAsia="zh-CN"/>
              </w:rPr>
              <w:t>经过压铸后的铝铸件</w:t>
            </w:r>
            <w:r>
              <w:rPr>
                <w:rFonts w:hint="eastAsia" w:ascii="Times New Roman" w:hAnsi="Times New Roman" w:eastAsia="宋体" w:cs="Times New Roman"/>
                <w:color w:val="auto"/>
                <w:sz w:val="24"/>
                <w:szCs w:val="24"/>
                <w:lang w:val="en-US" w:eastAsia="zh-CN"/>
              </w:rPr>
              <w:t>采用相应的打磨抛光设备及人工抛光对半成品进行打磨去毛边。该工序会产生打磨抛光粉尘，主要为少量金属</w:t>
            </w:r>
            <w:r>
              <w:rPr>
                <w:rFonts w:hint="eastAsia" w:ascii="Times New Roman" w:hAnsi="Times New Roman" w:cs="Times New Roman"/>
                <w:color w:val="auto"/>
                <w:sz w:val="24"/>
                <w:szCs w:val="24"/>
                <w:lang w:val="en-US" w:eastAsia="zh-CN"/>
              </w:rPr>
              <w:t>粉尘</w:t>
            </w:r>
            <w:r>
              <w:rPr>
                <w:rFonts w:hint="eastAsia" w:ascii="Times New Roman" w:hAnsi="Times New Roman" w:eastAsia="宋体" w:cs="Times New Roman"/>
                <w:color w:val="auto"/>
                <w:sz w:val="24"/>
                <w:szCs w:val="24"/>
                <w:lang w:val="en-US" w:eastAsia="zh-CN"/>
              </w:rPr>
              <w:t>。</w:t>
            </w:r>
            <w:r>
              <w:rPr>
                <w:rFonts w:hint="default" w:ascii="Times New Roman" w:hAnsi="Times New Roman" w:cs="Times New Roman" w:eastAsiaTheme="minorEastAsia"/>
                <w:bCs/>
                <w:color w:val="auto"/>
                <w:lang w:eastAsia="zh-CN"/>
              </w:rPr>
              <w:t>由于</w:t>
            </w:r>
            <w:r>
              <w:rPr>
                <w:rFonts w:hint="eastAsia" w:ascii="Times New Roman" w:hAnsi="Times New Roman" w:cs="Times New Roman" w:eastAsiaTheme="minorEastAsia"/>
                <w:bCs/>
                <w:color w:val="auto"/>
                <w:lang w:val="en-US" w:eastAsia="zh-CN"/>
              </w:rPr>
              <w:t>生产设备均</w:t>
            </w:r>
            <w:r>
              <w:rPr>
                <w:rFonts w:hint="default" w:ascii="Times New Roman" w:hAnsi="Times New Roman" w:cs="Times New Roman" w:eastAsiaTheme="minorEastAsia"/>
                <w:bCs/>
                <w:color w:val="auto"/>
                <w:lang w:eastAsia="zh-CN"/>
              </w:rPr>
              <w:t>在密闭空间</w:t>
            </w:r>
            <w:r>
              <w:rPr>
                <w:rFonts w:hint="eastAsia" w:ascii="Times New Roman" w:hAnsi="Times New Roman" w:cs="Times New Roman" w:eastAsiaTheme="minorEastAsia"/>
                <w:bCs/>
                <w:color w:val="auto"/>
                <w:lang w:val="en-US" w:eastAsia="zh-CN"/>
              </w:rPr>
              <w:t>内</w:t>
            </w:r>
            <w:r>
              <w:rPr>
                <w:rFonts w:hint="default" w:ascii="Times New Roman" w:hAnsi="Times New Roman" w:cs="Times New Roman" w:eastAsiaTheme="minorEastAsia"/>
                <w:bCs/>
                <w:color w:val="auto"/>
                <w:lang w:eastAsia="zh-CN"/>
              </w:rPr>
              <w:t>进行，产生的金属粉尘由于比重大，会沉降设备周围，定期清扫作为一般固废外售物资回收单位。</w:t>
            </w:r>
            <w:r>
              <w:rPr>
                <w:rFonts w:hint="eastAsia" w:ascii="Times New Roman" w:hAnsi="Times New Roman" w:eastAsia="宋体" w:cs="Times New Roman"/>
                <w:color w:val="auto"/>
                <w:sz w:val="24"/>
                <w:szCs w:val="24"/>
                <w:lang w:val="en-US" w:eastAsia="zh-CN"/>
              </w:rPr>
              <w:t>研磨过程中需加入少量水进行冷却，所产生的含金属颗粒的冷却水经水循环处理设施处理后循环使用不外排</w:t>
            </w:r>
            <w:r>
              <w:rPr>
                <w:rFonts w:hint="eastAsia" w:ascii="Times New Roman" w:hAnsi="Times New Roman" w:cs="Times New Roman"/>
                <w:color w:val="auto"/>
                <w:sz w:val="24"/>
                <w:szCs w:val="24"/>
                <w:lang w:val="en-US" w:eastAsia="zh-CN"/>
              </w:rPr>
              <w:t>，循环水处理设施产生污泥定期清理收集于危险废物贮存间，委托有资质的单位处置</w:t>
            </w:r>
            <w:r>
              <w:rPr>
                <w:rFonts w:hint="eastAsia" w:ascii="Times New Roman" w:hAnsi="Times New Roman" w:eastAsia="宋体" w:cs="Times New Roman"/>
                <w:color w:val="auto"/>
                <w:sz w:val="24"/>
                <w:szCs w:val="24"/>
                <w:lang w:val="en-US" w:eastAsia="zh-CN"/>
              </w:rPr>
              <w:t>。</w:t>
            </w:r>
          </w:p>
          <w:p w14:paraId="112873E4">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④冲压、</w:t>
            </w:r>
            <w:r>
              <w:rPr>
                <w:rFonts w:hint="eastAsia" w:ascii="Times New Roman" w:hAnsi="Times New Roman" w:cs="Times New Roman"/>
                <w:color w:val="auto"/>
                <w:sz w:val="24"/>
                <w:szCs w:val="24"/>
                <w:lang w:val="en-US" w:eastAsia="zh-CN"/>
              </w:rPr>
              <w:t>钻孔</w:t>
            </w:r>
            <w:r>
              <w:rPr>
                <w:rFonts w:hint="eastAsia" w:ascii="Times New Roman" w:hAnsi="Times New Roman" w:eastAsia="宋体" w:cs="Times New Roman"/>
                <w:color w:val="auto"/>
                <w:sz w:val="24"/>
                <w:szCs w:val="24"/>
                <w:lang w:val="en-US" w:eastAsia="zh-CN"/>
              </w:rPr>
              <w:t>、攻牙、数控机床：根据所需加工的产品方案对半成品进行机加工，加工过程会产生少量金属废屑，收集与危险废物贮存间内定期委托有资质的单位进行处理</w:t>
            </w:r>
            <w:r>
              <w:rPr>
                <w:rFonts w:hint="eastAsia" w:ascii="Times New Roman" w:hAnsi="Times New Roman" w:cs="Times New Roman"/>
                <w:color w:val="auto"/>
                <w:sz w:val="24"/>
                <w:szCs w:val="24"/>
                <w:lang w:val="en-US" w:eastAsia="zh-CN"/>
              </w:rPr>
              <w:t>，攻牙机、多轴攻牙机、数控机床加工过程中需使用切削液进行润滑与降温，所产生的废切削液经切削液回收装置处理后循环使用，定期清理切削液中的沉降金属屑，收集于危险废物贮存间，委托有资质的单位处置</w:t>
            </w:r>
            <w:r>
              <w:rPr>
                <w:rFonts w:hint="eastAsia" w:ascii="Times New Roman" w:hAnsi="Times New Roman" w:eastAsia="宋体" w:cs="Times New Roman"/>
                <w:color w:val="auto"/>
                <w:sz w:val="24"/>
                <w:szCs w:val="24"/>
                <w:lang w:val="en-US" w:eastAsia="zh-CN"/>
              </w:rPr>
              <w:t>。</w:t>
            </w:r>
          </w:p>
          <w:p w14:paraId="587FDC04">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⑤水洗、烘干：经过机加工的部分半成品表面会残留少量的金属屑及金属粉末，需进行水洗、烘干。将带有金属屑及金属粉末的半成品放入水洗槽内进行清洗，清洗后烘干（电烘箱）。此过程仅产生清洗废水，通过循环水处理设施处理后循环使</w:t>
            </w:r>
            <w:r>
              <w:rPr>
                <w:sz w:val="21"/>
              </w:rPr>
              <mc:AlternateContent>
                <mc:Choice Requires="wps">
                  <w:drawing>
                    <wp:anchor distT="0" distB="0" distL="114300" distR="114300" simplePos="0" relativeHeight="251721728" behindDoc="0" locked="0" layoutInCell="1" allowOverlap="1">
                      <wp:simplePos x="0" y="0"/>
                      <wp:positionH relativeFrom="column">
                        <wp:posOffset>-19685</wp:posOffset>
                      </wp:positionH>
                      <wp:positionV relativeFrom="paragraph">
                        <wp:posOffset>13970</wp:posOffset>
                      </wp:positionV>
                      <wp:extent cx="5459095" cy="2746375"/>
                      <wp:effectExtent l="6350" t="6350" r="20955" b="9525"/>
                      <wp:wrapNone/>
                      <wp:docPr id="237" name="矩形 237"/>
                      <wp:cNvGraphicFramePr/>
                      <a:graphic xmlns:a="http://schemas.openxmlformats.org/drawingml/2006/main">
                        <a:graphicData uri="http://schemas.microsoft.com/office/word/2010/wordprocessingShape">
                          <wps:wsp>
                            <wps:cNvSpPr/>
                            <wps:spPr>
                              <a:xfrm>
                                <a:off x="0" y="0"/>
                                <a:ext cx="5459095" cy="274637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5pt;margin-top:1.1pt;height:216.25pt;width:429.85pt;z-index:251721728;v-text-anchor:middle;mso-width-relative:page;mso-height-relative:page;" fillcolor="#FFFFFF [3212]" filled="t" stroked="t" coordsize="21600,21600" o:gfxdata="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OBdunXXAAAACAEAAA8AAAAAAAAAAQAgAAAAIgAAAGRycy9kb3ducmV2&#10;LnhtbFBLAQIUABQAAAAIAIdO4kCi41nObwIAAPkEAAAOAAAAAAAAAAEAIAAAACYBAABkcnMvZTJv&#10;RG9jLnhtbFBLBQYAAAAABgAGAFkBAAAHBgAAAAA=&#10;">
                      <v:fill on="t" focussize="0,0"/>
                      <v:stroke weight="1pt" color="#FFFFFF [3212]" miterlimit="8" joinstyle="miter"/>
                      <v:imagedata o:title=""/>
                      <o:lock v:ext="edit" aspectratio="f"/>
                    </v:rect>
                  </w:pict>
                </mc:Fallback>
              </mc:AlternateContent>
            </w:r>
            <w:r>
              <w:rPr>
                <w:rFonts w:hint="eastAsia" w:ascii="Times New Roman" w:hAnsi="Times New Roman" w:eastAsia="宋体" w:cs="Times New Roman"/>
                <w:color w:val="auto"/>
                <w:sz w:val="24"/>
                <w:szCs w:val="24"/>
                <w:lang w:val="en-US" w:eastAsia="zh-CN"/>
              </w:rPr>
              <w:t>用不外排</w:t>
            </w:r>
            <w:r>
              <w:rPr>
                <w:rFonts w:hint="eastAsia" w:ascii="Times New Roman" w:hAnsi="Times New Roman" w:cs="Times New Roman"/>
                <w:color w:val="auto"/>
                <w:sz w:val="24"/>
                <w:szCs w:val="24"/>
                <w:lang w:val="en-US" w:eastAsia="zh-CN"/>
              </w:rPr>
              <w:t>，循环水处理设施产生污泥定期清理收集于危险废物贮存间，委托有资质的单位处置</w:t>
            </w:r>
            <w:r>
              <w:rPr>
                <w:rFonts w:hint="eastAsia" w:ascii="Times New Roman" w:hAnsi="Times New Roman" w:eastAsia="宋体" w:cs="Times New Roman"/>
                <w:color w:val="auto"/>
                <w:sz w:val="24"/>
                <w:szCs w:val="24"/>
                <w:lang w:val="en-US" w:eastAsia="zh-CN"/>
              </w:rPr>
              <w:t>。烘干过程主要为金属工件表面水分在高温下分解成水蒸气，因此金属工件在烘干过</w:t>
            </w:r>
            <w:r>
              <w:rPr>
                <w:rFonts w:hint="eastAsia" w:ascii="Times New Roman" w:hAnsi="Times New Roman" w:cs="Times New Roman"/>
                <w:color w:val="auto"/>
                <w:sz w:val="24"/>
                <w:szCs w:val="24"/>
                <w:lang w:val="en-US" w:eastAsia="zh-CN"/>
              </w:rPr>
              <w:t>程中</w:t>
            </w:r>
            <w:r>
              <w:rPr>
                <w:rFonts w:hint="eastAsia" w:ascii="Times New Roman" w:hAnsi="Times New Roman" w:eastAsia="宋体" w:cs="Times New Roman"/>
                <w:color w:val="auto"/>
                <w:sz w:val="24"/>
                <w:szCs w:val="24"/>
                <w:lang w:val="en-US" w:eastAsia="zh-CN"/>
              </w:rPr>
              <w:t>不产生废物污染。</w:t>
            </w:r>
          </w:p>
          <w:p w14:paraId="281BCDB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⑥喷塑：根据产品实际情况要求，部分产品需要进行喷塑。本项目喷塑工艺在其他厂区内进行，不属于本次评价范围内。因此本报告不</w:t>
            </w:r>
            <w:r>
              <w:rPr>
                <w:rFonts w:hint="eastAsia" w:ascii="Times New Roman" w:hAnsi="Times New Roman" w:cs="Times New Roman"/>
                <w:color w:val="auto"/>
                <w:sz w:val="24"/>
                <w:szCs w:val="24"/>
                <w:lang w:val="en-US" w:eastAsia="zh-CN"/>
              </w:rPr>
              <w:t>作</w:t>
            </w:r>
            <w:r>
              <w:rPr>
                <w:rFonts w:hint="eastAsia" w:ascii="Times New Roman" w:hAnsi="Times New Roman" w:eastAsia="宋体" w:cs="Times New Roman"/>
                <w:color w:val="auto"/>
                <w:sz w:val="24"/>
                <w:szCs w:val="24"/>
                <w:lang w:val="en-US" w:eastAsia="zh-CN"/>
              </w:rPr>
              <w:t>分析。</w:t>
            </w:r>
          </w:p>
          <w:p w14:paraId="6488D139">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⑦检验入库：检验合格产品存放于成品仓库。不合格产品收集后</w:t>
            </w:r>
            <w:r>
              <w:rPr>
                <w:rFonts w:hint="eastAsia" w:cs="Times New Roman"/>
                <w:color w:val="000000" w:themeColor="text1"/>
                <w:kern w:val="2"/>
                <w:sz w:val="21"/>
                <w:szCs w:val="21"/>
                <w:highlight w:val="none"/>
                <w:vertAlign w:val="baseline"/>
                <w:lang w:val="en-US" w:eastAsia="zh-CN" w:bidi="ar-SA"/>
                <w14:textFill>
                  <w14:solidFill>
                    <w14:schemeClr w14:val="tx1"/>
                  </w14:solidFill>
                </w14:textFill>
              </w:rPr>
              <w:t>重</w:t>
            </w:r>
            <w:r>
              <w:rPr>
                <w:rFonts w:hint="eastAsia" w:ascii="Times New Roman" w:hAnsi="Times New Roman" w:eastAsia="宋体" w:cs="Times New Roman"/>
                <w:color w:val="auto"/>
                <w:sz w:val="24"/>
                <w:szCs w:val="24"/>
                <w:lang w:val="en-US" w:eastAsia="zh-CN"/>
              </w:rPr>
              <w:t>新回到电阻炉熔化加工。</w:t>
            </w:r>
          </w:p>
          <w:p w14:paraId="2D3E54EC">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本项目共设置4条生产线（数控机床、钻床、打磨流水线），分别对应四种产品。各产品除压铸时使用的模具不同以外，其他工艺流程均一致。</w:t>
            </w:r>
          </w:p>
          <w:p w14:paraId="3631869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000000" w:themeColor="text1"/>
                <w:sz w:val="24"/>
                <w:szCs w:val="24"/>
                <w:u w:val="none"/>
                <w:lang w:val="en-US" w:eastAsia="zh-CN"/>
                <w14:textFill>
                  <w14:solidFill>
                    <w14:schemeClr w14:val="tx1"/>
                  </w14:solidFill>
                </w14:textFill>
              </w:rPr>
            </w:pPr>
            <w:bookmarkStart w:id="48" w:name="_Toc20308"/>
            <w:bookmarkStart w:id="49" w:name="_Toc13788"/>
            <w:r>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t>2.3.2产污环节分析</w:t>
            </w:r>
            <w:bookmarkEnd w:id="48"/>
            <w:bookmarkEnd w:id="49"/>
          </w:p>
          <w:p w14:paraId="517A1315">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left="0" w:right="0" w:firstLine="420"/>
              <w:textAlignment w:val="auto"/>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项目产污环节分析情况一览表详见表2.3-1</w:t>
            </w:r>
            <w:r>
              <w:rPr>
                <w:rFonts w:hint="eastAsia" w:ascii="Times New Roman" w:hAnsi="Times New Roman" w:cs="Times New Roman"/>
                <w:b w:val="0"/>
                <w:bCs w:val="0"/>
                <w:color w:val="000000" w:themeColor="text1"/>
                <w:kern w:val="0"/>
                <w:sz w:val="24"/>
                <w:szCs w:val="24"/>
                <w:highlight w:val="none"/>
                <w:u w:val="none"/>
                <w:lang w:val="en-US" w:eastAsia="zh-CN" w:bidi="ar-SA"/>
                <w14:textFill>
                  <w14:solidFill>
                    <w14:schemeClr w14:val="tx1"/>
                  </w14:solidFill>
                </w14:textFill>
              </w:rPr>
              <w:t>。</w:t>
            </w:r>
          </w:p>
          <w:p w14:paraId="7CD675F0">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t>表2.3-1 项目产污环节分析一览表</w:t>
            </w:r>
          </w:p>
          <w:tbl>
            <w:tblPr>
              <w:tblStyle w:val="24"/>
              <w:tblW w:w="4994"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4"/>
              <w:gridCol w:w="424"/>
              <w:gridCol w:w="1393"/>
              <w:gridCol w:w="1455"/>
              <w:gridCol w:w="645"/>
              <w:gridCol w:w="4230"/>
            </w:tblGrid>
            <w:tr w14:paraId="560A44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7" w:type="pct"/>
                  <w:tcBorders>
                    <w:tl2br w:val="nil"/>
                    <w:tr2bl w:val="nil"/>
                  </w:tcBorders>
                  <w:vAlign w:val="center"/>
                </w:tcPr>
                <w:p w14:paraId="75F20DB6">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序号</w:t>
                  </w:r>
                </w:p>
              </w:tc>
              <w:tc>
                <w:tcPr>
                  <w:tcW w:w="247" w:type="pct"/>
                  <w:tcBorders>
                    <w:tl2br w:val="nil"/>
                    <w:tr2bl w:val="nil"/>
                  </w:tcBorders>
                  <w:vAlign w:val="center"/>
                </w:tcPr>
                <w:p w14:paraId="3A59386A">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类别</w:t>
                  </w:r>
                </w:p>
              </w:tc>
              <w:tc>
                <w:tcPr>
                  <w:tcW w:w="812" w:type="pct"/>
                  <w:tcBorders>
                    <w:tl2br w:val="nil"/>
                    <w:tr2bl w:val="nil"/>
                  </w:tcBorders>
                  <w:vAlign w:val="center"/>
                </w:tcPr>
                <w:p w14:paraId="5B291F1A">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污染源/污染工段</w:t>
                  </w:r>
                </w:p>
              </w:tc>
              <w:tc>
                <w:tcPr>
                  <w:tcW w:w="848" w:type="pct"/>
                  <w:tcBorders>
                    <w:tl2br w:val="nil"/>
                    <w:tr2bl w:val="nil"/>
                  </w:tcBorders>
                  <w:vAlign w:val="center"/>
                </w:tcPr>
                <w:p w14:paraId="14AB82E6">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主要污染物</w:t>
                  </w:r>
                </w:p>
              </w:tc>
              <w:tc>
                <w:tcPr>
                  <w:tcW w:w="376" w:type="pct"/>
                  <w:tcBorders>
                    <w:tl2br w:val="nil"/>
                    <w:tr2bl w:val="nil"/>
                  </w:tcBorders>
                  <w:vAlign w:val="center"/>
                </w:tcPr>
                <w:p w14:paraId="4F81847D">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排放周期</w:t>
                  </w:r>
                </w:p>
              </w:tc>
              <w:tc>
                <w:tcPr>
                  <w:tcW w:w="2467" w:type="pct"/>
                  <w:tcBorders>
                    <w:tl2br w:val="nil"/>
                    <w:tr2bl w:val="nil"/>
                  </w:tcBorders>
                  <w:vAlign w:val="center"/>
                </w:tcPr>
                <w:p w14:paraId="68C3C449">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环保措施</w:t>
                  </w:r>
                </w:p>
              </w:tc>
            </w:tr>
            <w:tr w14:paraId="109D9E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7" w:type="pct"/>
                  <w:vMerge w:val="restart"/>
                  <w:tcBorders>
                    <w:tl2br w:val="nil"/>
                    <w:tr2bl w:val="nil"/>
                  </w:tcBorders>
                  <w:vAlign w:val="center"/>
                </w:tcPr>
                <w:p w14:paraId="49A3FDC1">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1</w:t>
                  </w:r>
                </w:p>
              </w:tc>
              <w:tc>
                <w:tcPr>
                  <w:tcW w:w="247" w:type="pct"/>
                  <w:vMerge w:val="restart"/>
                  <w:tcBorders>
                    <w:tl2br w:val="nil"/>
                    <w:tr2bl w:val="nil"/>
                  </w:tcBorders>
                  <w:vAlign w:val="center"/>
                </w:tcPr>
                <w:p w14:paraId="61FBDD72">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废水</w:t>
                  </w:r>
                </w:p>
              </w:tc>
              <w:tc>
                <w:tcPr>
                  <w:tcW w:w="812" w:type="pct"/>
                  <w:tcBorders>
                    <w:tl2br w:val="nil"/>
                    <w:tr2bl w:val="nil"/>
                  </w:tcBorders>
                  <w:vAlign w:val="center"/>
                </w:tcPr>
                <w:p w14:paraId="0FAD4610">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压铸脱模工序冷却水</w:t>
                  </w:r>
                </w:p>
              </w:tc>
              <w:tc>
                <w:tcPr>
                  <w:tcW w:w="848" w:type="pct"/>
                  <w:tcBorders>
                    <w:tl2br w:val="nil"/>
                    <w:tr2bl w:val="nil"/>
                  </w:tcBorders>
                  <w:vAlign w:val="center"/>
                </w:tcPr>
                <w:p w14:paraId="5CE4F9D4">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w:t>
                  </w:r>
                </w:p>
              </w:tc>
              <w:tc>
                <w:tcPr>
                  <w:tcW w:w="376" w:type="pct"/>
                  <w:tcBorders>
                    <w:tl2br w:val="nil"/>
                    <w:tr2bl w:val="nil"/>
                  </w:tcBorders>
                  <w:vAlign w:val="center"/>
                </w:tcPr>
                <w:p w14:paraId="2264524F">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2467" w:type="pct"/>
                  <w:tcBorders>
                    <w:tl2br w:val="nil"/>
                    <w:tr2bl w:val="nil"/>
                  </w:tcBorders>
                  <w:vAlign w:val="center"/>
                </w:tcPr>
                <w:p w14:paraId="7C9FADA8">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冷却水循环使用不外排，定期补充新鲜用水</w:t>
                  </w:r>
                </w:p>
              </w:tc>
            </w:tr>
            <w:tr w14:paraId="28AE2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247" w:type="pct"/>
                  <w:vMerge w:val="continue"/>
                  <w:tcBorders>
                    <w:tl2br w:val="nil"/>
                    <w:tr2bl w:val="nil"/>
                  </w:tcBorders>
                  <w:vAlign w:val="center"/>
                </w:tcPr>
                <w:p w14:paraId="7B62848A">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247" w:type="pct"/>
                  <w:vMerge w:val="continue"/>
                  <w:tcBorders>
                    <w:tl2br w:val="nil"/>
                    <w:tr2bl w:val="nil"/>
                  </w:tcBorders>
                  <w:vAlign w:val="center"/>
                </w:tcPr>
                <w:p w14:paraId="6D312184">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812" w:type="pct"/>
                  <w:tcBorders>
                    <w:tl2br w:val="nil"/>
                    <w:tr2bl w:val="nil"/>
                  </w:tcBorders>
                  <w:vAlign w:val="center"/>
                </w:tcPr>
                <w:p w14:paraId="0C39F952">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研磨工序冷却水</w:t>
                  </w:r>
                </w:p>
              </w:tc>
              <w:tc>
                <w:tcPr>
                  <w:tcW w:w="848" w:type="pct"/>
                  <w:vMerge w:val="restart"/>
                  <w:tcBorders>
                    <w:tl2br w:val="nil"/>
                    <w:tr2bl w:val="nil"/>
                  </w:tcBorders>
                  <w:vAlign w:val="center"/>
                </w:tcPr>
                <w:p w14:paraId="26025EA9">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pH、COD、BOD</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5</w:t>
                  </w:r>
                  <w:r>
                    <w:rPr>
                      <w:rFonts w:hint="default" w:ascii="Times New Roman" w:hAnsi="Times New Roman" w:eastAsia="宋体" w:cs="Times New Roman"/>
                      <w:bCs/>
                      <w:color w:val="000000" w:themeColor="text1"/>
                      <w:sz w:val="21"/>
                      <w:szCs w:val="21"/>
                      <w14:textFill>
                        <w14:solidFill>
                          <w14:schemeClr w14:val="tx1"/>
                        </w14:solidFill>
                      </w14:textFill>
                    </w:rPr>
                    <w:t>、SS、NH</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-N</w:t>
                  </w:r>
                </w:p>
              </w:tc>
              <w:tc>
                <w:tcPr>
                  <w:tcW w:w="376" w:type="pct"/>
                  <w:vMerge w:val="restart"/>
                  <w:tcBorders>
                    <w:tl2br w:val="nil"/>
                    <w:tr2bl w:val="nil"/>
                  </w:tcBorders>
                  <w:vAlign w:val="center"/>
                </w:tcPr>
                <w:p w14:paraId="58E66639">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2467" w:type="pct"/>
                  <w:vMerge w:val="restart"/>
                  <w:tcBorders>
                    <w:tl2br w:val="nil"/>
                    <w:tr2bl w:val="nil"/>
                  </w:tcBorders>
                  <w:vAlign w:val="center"/>
                </w:tcPr>
                <w:p w14:paraId="7D186B64">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经循环水处理系统处理后回用于生产工艺，循环使用不外排。定期补充新鲜用水</w:t>
                  </w:r>
                </w:p>
              </w:tc>
            </w:tr>
            <w:tr w14:paraId="65E0ED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47" w:type="pct"/>
                  <w:vMerge w:val="continue"/>
                  <w:tcBorders>
                    <w:tl2br w:val="nil"/>
                    <w:tr2bl w:val="nil"/>
                  </w:tcBorders>
                  <w:vAlign w:val="center"/>
                </w:tcPr>
                <w:p w14:paraId="497B20E1">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247" w:type="pct"/>
                  <w:vMerge w:val="continue"/>
                  <w:tcBorders>
                    <w:tl2br w:val="nil"/>
                    <w:tr2bl w:val="nil"/>
                  </w:tcBorders>
                  <w:vAlign w:val="center"/>
                </w:tcPr>
                <w:p w14:paraId="42532607">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812" w:type="pct"/>
                  <w:tcBorders>
                    <w:tl2br w:val="nil"/>
                    <w:tr2bl w:val="nil"/>
                  </w:tcBorders>
                  <w:vAlign w:val="center"/>
                </w:tcPr>
                <w:p w14:paraId="7B20B7DC">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半成品水洗废水</w:t>
                  </w:r>
                </w:p>
              </w:tc>
              <w:tc>
                <w:tcPr>
                  <w:tcW w:w="848" w:type="pct"/>
                  <w:vMerge w:val="continue"/>
                  <w:tcBorders>
                    <w:tl2br w:val="nil"/>
                    <w:tr2bl w:val="nil"/>
                  </w:tcBorders>
                  <w:vAlign w:val="center"/>
                </w:tcPr>
                <w:p w14:paraId="6D70C596">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376" w:type="pct"/>
                  <w:vMerge w:val="continue"/>
                  <w:tcBorders>
                    <w:tl2br w:val="nil"/>
                    <w:tr2bl w:val="nil"/>
                  </w:tcBorders>
                  <w:vAlign w:val="center"/>
                </w:tcPr>
                <w:p w14:paraId="13B887D9">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2467" w:type="pct"/>
                  <w:vMerge w:val="continue"/>
                  <w:tcBorders>
                    <w:tl2br w:val="nil"/>
                    <w:tr2bl w:val="nil"/>
                  </w:tcBorders>
                  <w:vAlign w:val="center"/>
                </w:tcPr>
                <w:p w14:paraId="6F85DC51">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r>
            <w:tr w14:paraId="6B167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47" w:type="pct"/>
                  <w:vMerge w:val="continue"/>
                  <w:tcBorders>
                    <w:tl2br w:val="nil"/>
                    <w:tr2bl w:val="nil"/>
                  </w:tcBorders>
                  <w:vAlign w:val="center"/>
                </w:tcPr>
                <w:p w14:paraId="67A505F9">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247" w:type="pct"/>
                  <w:vMerge w:val="continue"/>
                  <w:tcBorders>
                    <w:tl2br w:val="nil"/>
                    <w:tr2bl w:val="nil"/>
                  </w:tcBorders>
                  <w:vAlign w:val="center"/>
                </w:tcPr>
                <w:p w14:paraId="41E6E93F">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812" w:type="pct"/>
                  <w:tcBorders>
                    <w:tl2br w:val="nil"/>
                    <w:tr2bl w:val="nil"/>
                  </w:tcBorders>
                  <w:vAlign w:val="center"/>
                </w:tcPr>
                <w:p w14:paraId="751EF570">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生活用水</w:t>
                  </w:r>
                </w:p>
              </w:tc>
              <w:tc>
                <w:tcPr>
                  <w:tcW w:w="848" w:type="pct"/>
                  <w:tcBorders>
                    <w:tl2br w:val="nil"/>
                    <w:tr2bl w:val="nil"/>
                  </w:tcBorders>
                  <w:vAlign w:val="center"/>
                </w:tcPr>
                <w:p w14:paraId="1E20D286">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pH、COD、BOD</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5</w:t>
                  </w:r>
                  <w:r>
                    <w:rPr>
                      <w:rFonts w:hint="default" w:ascii="Times New Roman" w:hAnsi="Times New Roman" w:eastAsia="宋体" w:cs="Times New Roman"/>
                      <w:bCs/>
                      <w:color w:val="000000" w:themeColor="text1"/>
                      <w:sz w:val="21"/>
                      <w:szCs w:val="21"/>
                      <w14:textFill>
                        <w14:solidFill>
                          <w14:schemeClr w14:val="tx1"/>
                        </w14:solidFill>
                      </w14:textFill>
                    </w:rPr>
                    <w:t>、SS、NH</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-N</w:t>
                  </w:r>
                </w:p>
              </w:tc>
              <w:tc>
                <w:tcPr>
                  <w:tcW w:w="376" w:type="pct"/>
                  <w:tcBorders>
                    <w:tl2br w:val="nil"/>
                    <w:tr2bl w:val="nil"/>
                  </w:tcBorders>
                  <w:vAlign w:val="center"/>
                </w:tcPr>
                <w:p w14:paraId="64EB9308">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间歇</w:t>
                  </w:r>
                </w:p>
              </w:tc>
              <w:tc>
                <w:tcPr>
                  <w:tcW w:w="2467" w:type="pct"/>
                  <w:tcBorders>
                    <w:tl2br w:val="nil"/>
                    <w:tr2bl w:val="nil"/>
                  </w:tcBorders>
                  <w:vAlign w:val="center"/>
                </w:tcPr>
                <w:p w14:paraId="636D28D8">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经化粪池预处理后接入市政污水管网排入福清市融元污水处理厂集中处理</w:t>
                  </w:r>
                </w:p>
              </w:tc>
            </w:tr>
            <w:tr w14:paraId="6EC58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247" w:type="pct"/>
                  <w:vMerge w:val="restart"/>
                  <w:tcBorders>
                    <w:tl2br w:val="nil"/>
                    <w:tr2bl w:val="nil"/>
                  </w:tcBorders>
                  <w:vAlign w:val="center"/>
                </w:tcPr>
                <w:p w14:paraId="11301E1D">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2</w:t>
                  </w:r>
                </w:p>
              </w:tc>
              <w:tc>
                <w:tcPr>
                  <w:tcW w:w="247" w:type="pct"/>
                  <w:vMerge w:val="restart"/>
                  <w:tcBorders>
                    <w:tl2br w:val="nil"/>
                    <w:tr2bl w:val="nil"/>
                  </w:tcBorders>
                  <w:vAlign w:val="center"/>
                </w:tcPr>
                <w:p w14:paraId="6019F0B8">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废气</w:t>
                  </w:r>
                </w:p>
              </w:tc>
              <w:tc>
                <w:tcPr>
                  <w:tcW w:w="812" w:type="pct"/>
                  <w:tcBorders>
                    <w:tl2br w:val="nil"/>
                    <w:tr2bl w:val="nil"/>
                  </w:tcBorders>
                  <w:shd w:val="clear" w:color="auto" w:fill="auto"/>
                  <w:vAlign w:val="center"/>
                </w:tcPr>
                <w:p w14:paraId="6C02BF78">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熔融废气</w:t>
                  </w:r>
                </w:p>
              </w:tc>
              <w:tc>
                <w:tcPr>
                  <w:tcW w:w="848" w:type="pct"/>
                  <w:tcBorders>
                    <w:tl2br w:val="nil"/>
                    <w:tr2bl w:val="nil"/>
                  </w:tcBorders>
                  <w:shd w:val="clear" w:color="auto" w:fill="auto"/>
                  <w:vAlign w:val="center"/>
                </w:tcPr>
                <w:p w14:paraId="61F15354">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颗粒物</w:t>
                  </w:r>
                </w:p>
              </w:tc>
              <w:tc>
                <w:tcPr>
                  <w:tcW w:w="376" w:type="pct"/>
                  <w:tcBorders>
                    <w:tl2br w:val="nil"/>
                    <w:tr2bl w:val="nil"/>
                  </w:tcBorders>
                  <w:shd w:val="clear" w:color="auto" w:fill="auto"/>
                  <w:vAlign w:val="center"/>
                </w:tcPr>
                <w:p w14:paraId="1833E6C7">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连续</w:t>
                  </w:r>
                </w:p>
              </w:tc>
              <w:tc>
                <w:tcPr>
                  <w:tcW w:w="2467" w:type="pct"/>
                  <w:vMerge w:val="restart"/>
                  <w:tcBorders>
                    <w:tl2br w:val="nil"/>
                    <w:tr2bl w:val="nil"/>
                  </w:tcBorders>
                  <w:shd w:val="clear" w:color="auto" w:fill="auto"/>
                  <w:vAlign w:val="center"/>
                </w:tcPr>
                <w:p w14:paraId="765A7770">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熔炉、压铸脱模产生废气通过</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“集气罩收集+</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布袋除尘器+活性炭吸附装置</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处理后，通过1根15m高排气筒（DA001）排放</w:t>
                  </w:r>
                </w:p>
              </w:tc>
            </w:tr>
            <w:tr w14:paraId="4CFF0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247" w:type="pct"/>
                  <w:vMerge w:val="continue"/>
                  <w:tcBorders>
                    <w:tl2br w:val="nil"/>
                    <w:tr2bl w:val="nil"/>
                  </w:tcBorders>
                  <w:vAlign w:val="center"/>
                </w:tcPr>
                <w:p w14:paraId="6FA28D64">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247" w:type="pct"/>
                  <w:vMerge w:val="continue"/>
                  <w:tcBorders>
                    <w:tl2br w:val="nil"/>
                    <w:tr2bl w:val="nil"/>
                  </w:tcBorders>
                  <w:vAlign w:val="center"/>
                </w:tcPr>
                <w:p w14:paraId="574F2616">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812" w:type="pct"/>
                  <w:tcBorders>
                    <w:tl2br w:val="nil"/>
                    <w:tr2bl w:val="nil"/>
                  </w:tcBorders>
                  <w:shd w:val="clear" w:color="auto" w:fill="auto"/>
                  <w:vAlign w:val="center"/>
                </w:tcPr>
                <w:p w14:paraId="400EB339">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压铸脱模废气</w:t>
                  </w:r>
                </w:p>
              </w:tc>
              <w:tc>
                <w:tcPr>
                  <w:tcW w:w="848" w:type="pct"/>
                  <w:tcBorders>
                    <w:tl2br w:val="nil"/>
                    <w:tr2bl w:val="nil"/>
                  </w:tcBorders>
                  <w:shd w:val="clear" w:color="auto" w:fill="auto"/>
                  <w:vAlign w:val="center"/>
                </w:tcPr>
                <w:p w14:paraId="27D0989D">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颗粒物、挥发性有机物</w:t>
                  </w:r>
                </w:p>
              </w:tc>
              <w:tc>
                <w:tcPr>
                  <w:tcW w:w="376" w:type="pct"/>
                  <w:tcBorders>
                    <w:tl2br w:val="nil"/>
                    <w:tr2bl w:val="nil"/>
                  </w:tcBorders>
                  <w:shd w:val="clear" w:color="auto" w:fill="auto"/>
                  <w:vAlign w:val="center"/>
                </w:tcPr>
                <w:p w14:paraId="194C0B5B">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连续</w:t>
                  </w:r>
                </w:p>
              </w:tc>
              <w:tc>
                <w:tcPr>
                  <w:tcW w:w="2467" w:type="pct"/>
                  <w:vMerge w:val="continue"/>
                  <w:tcBorders>
                    <w:tl2br w:val="nil"/>
                    <w:tr2bl w:val="nil"/>
                  </w:tcBorders>
                  <w:shd w:val="clear" w:color="auto" w:fill="auto"/>
                  <w:vAlign w:val="center"/>
                </w:tcPr>
                <w:p w14:paraId="79D5A164">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14:paraId="1BB10C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47" w:type="pct"/>
                  <w:vMerge w:val="restart"/>
                  <w:tcBorders>
                    <w:tl2br w:val="nil"/>
                    <w:tr2bl w:val="nil"/>
                  </w:tcBorders>
                  <w:vAlign w:val="center"/>
                </w:tcPr>
                <w:p w14:paraId="0EAF5A90">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3</w:t>
                  </w:r>
                </w:p>
              </w:tc>
              <w:tc>
                <w:tcPr>
                  <w:tcW w:w="247" w:type="pct"/>
                  <w:vMerge w:val="restart"/>
                  <w:tcBorders>
                    <w:tl2br w:val="nil"/>
                    <w:tr2bl w:val="nil"/>
                  </w:tcBorders>
                  <w:vAlign w:val="center"/>
                </w:tcPr>
                <w:p w14:paraId="6A8D872E">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固废</w:t>
                  </w:r>
                </w:p>
              </w:tc>
              <w:tc>
                <w:tcPr>
                  <w:tcW w:w="812" w:type="pct"/>
                  <w:tcBorders>
                    <w:tl2br w:val="nil"/>
                    <w:tr2bl w:val="nil"/>
                  </w:tcBorders>
                  <w:shd w:val="clear" w:color="auto" w:fill="auto"/>
                  <w:vAlign w:val="center"/>
                </w:tcPr>
                <w:p w14:paraId="563AE5D2">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生活垃圾</w:t>
                  </w:r>
                </w:p>
              </w:tc>
              <w:tc>
                <w:tcPr>
                  <w:tcW w:w="848" w:type="pct"/>
                  <w:tcBorders>
                    <w:tl2br w:val="nil"/>
                    <w:tr2bl w:val="nil"/>
                  </w:tcBorders>
                  <w:shd w:val="clear" w:color="auto" w:fill="auto"/>
                  <w:vAlign w:val="center"/>
                </w:tcPr>
                <w:p w14:paraId="4C745425">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纸屑、塑料袋等</w:t>
                  </w:r>
                </w:p>
              </w:tc>
              <w:tc>
                <w:tcPr>
                  <w:tcW w:w="376" w:type="pct"/>
                  <w:tcBorders>
                    <w:tl2br w:val="nil"/>
                    <w:tr2bl w:val="nil"/>
                  </w:tcBorders>
                  <w:shd w:val="clear" w:color="auto" w:fill="auto"/>
                  <w:vAlign w:val="center"/>
                </w:tcPr>
                <w:p w14:paraId="086CE02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间歇</w:t>
                  </w:r>
                </w:p>
              </w:tc>
              <w:tc>
                <w:tcPr>
                  <w:tcW w:w="2467" w:type="pct"/>
                  <w:tcBorders>
                    <w:tl2br w:val="nil"/>
                    <w:tr2bl w:val="nil"/>
                  </w:tcBorders>
                  <w:shd w:val="clear" w:color="auto" w:fill="auto"/>
                  <w:vAlign w:val="center"/>
                </w:tcPr>
                <w:p w14:paraId="1262240A">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GB" w:eastAsia="zh-CN"/>
                      <w14:textFill>
                        <w14:solidFill>
                          <w14:schemeClr w14:val="tx1"/>
                        </w14:solidFill>
                      </w14:textFill>
                    </w:rPr>
                    <w:t>厂区内设置生活垃圾桶，分类收集后委托环卫部门每日清运处置</w:t>
                  </w:r>
                </w:p>
              </w:tc>
            </w:tr>
            <w:tr w14:paraId="564E57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247" w:type="pct"/>
                  <w:vMerge w:val="continue"/>
                  <w:tcBorders>
                    <w:tl2br w:val="nil"/>
                    <w:tr2bl w:val="nil"/>
                  </w:tcBorders>
                  <w:vAlign w:val="center"/>
                </w:tcPr>
                <w:p w14:paraId="296F39C7">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247" w:type="pct"/>
                  <w:vMerge w:val="continue"/>
                  <w:tcBorders>
                    <w:tl2br w:val="nil"/>
                    <w:tr2bl w:val="nil"/>
                  </w:tcBorders>
                  <w:vAlign w:val="center"/>
                </w:tcPr>
                <w:p w14:paraId="3AD10242">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812" w:type="pct"/>
                  <w:vMerge w:val="restart"/>
                  <w:tcBorders>
                    <w:tl2br w:val="nil"/>
                    <w:tr2bl w:val="nil"/>
                  </w:tcBorders>
                  <w:shd w:val="clear" w:color="auto" w:fill="auto"/>
                  <w:vAlign w:val="center"/>
                </w:tcPr>
                <w:p w14:paraId="1DDC341C">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生产工序</w:t>
                  </w:r>
                </w:p>
              </w:tc>
              <w:tc>
                <w:tcPr>
                  <w:tcW w:w="848" w:type="pct"/>
                  <w:tcBorders>
                    <w:tl2br w:val="nil"/>
                    <w:tr2bl w:val="nil"/>
                  </w:tcBorders>
                  <w:shd w:val="clear" w:color="auto" w:fill="auto"/>
                  <w:vAlign w:val="center"/>
                </w:tcPr>
                <w:p w14:paraId="31B4E26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金属</w:t>
                  </w:r>
                  <w:r>
                    <w:rPr>
                      <w:rFonts w:hint="eastAsia" w:cs="Times New Roman"/>
                      <w:bCs/>
                      <w:color w:val="000000" w:themeColor="text1"/>
                      <w:sz w:val="21"/>
                      <w:szCs w:val="21"/>
                      <w:lang w:val="en-US" w:eastAsia="zh-CN"/>
                      <w14:textFill>
                        <w14:solidFill>
                          <w14:schemeClr w14:val="tx1"/>
                        </w14:solidFill>
                      </w14:textFill>
                    </w:rPr>
                    <w:t>粉尘</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、废包装材料</w:t>
                  </w:r>
                </w:p>
              </w:tc>
              <w:tc>
                <w:tcPr>
                  <w:tcW w:w="376" w:type="pct"/>
                  <w:tcBorders>
                    <w:tl2br w:val="nil"/>
                    <w:tr2bl w:val="nil"/>
                  </w:tcBorders>
                  <w:shd w:val="clear" w:color="auto" w:fill="auto"/>
                  <w:vAlign w:val="center"/>
                </w:tcPr>
                <w:p w14:paraId="71A8FCB4">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间歇</w:t>
                  </w:r>
                </w:p>
              </w:tc>
              <w:tc>
                <w:tcPr>
                  <w:tcW w:w="2467" w:type="pct"/>
                  <w:tcBorders>
                    <w:tl2br w:val="nil"/>
                    <w:tr2bl w:val="nil"/>
                  </w:tcBorders>
                  <w:shd w:val="clear" w:color="auto" w:fill="auto"/>
                  <w:vAlign w:val="center"/>
                </w:tcPr>
                <w:p w14:paraId="57AE0586">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lang w:val="en-GB"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产生的金属粉尘比重大，会沉降设备周围，定期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进行</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清扫。妥善分类收集</w:t>
                  </w:r>
                  <w:r>
                    <w:rPr>
                      <w:rFonts w:hint="eastAsia" w:cs="Times New Roman"/>
                      <w:color w:val="000000" w:themeColor="text1"/>
                      <w:sz w:val="21"/>
                      <w:szCs w:val="21"/>
                      <w:lang w:val="en-US" w:eastAsia="zh-CN"/>
                      <w14:textFill>
                        <w14:solidFill>
                          <w14:schemeClr w14:val="tx1"/>
                        </w14:solidFill>
                      </w14:textFill>
                    </w:rPr>
                    <w:t>于一般固废贮存间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出售给回收企业综合利用</w:t>
                  </w:r>
                </w:p>
              </w:tc>
            </w:tr>
            <w:tr w14:paraId="7FA3EF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247" w:type="pct"/>
                  <w:vMerge w:val="continue"/>
                  <w:tcBorders>
                    <w:tl2br w:val="nil"/>
                    <w:tr2bl w:val="nil"/>
                  </w:tcBorders>
                  <w:vAlign w:val="center"/>
                </w:tcPr>
                <w:p w14:paraId="6F0A8D93">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247" w:type="pct"/>
                  <w:vMerge w:val="continue"/>
                  <w:tcBorders>
                    <w:tl2br w:val="nil"/>
                    <w:tr2bl w:val="nil"/>
                  </w:tcBorders>
                  <w:vAlign w:val="center"/>
                </w:tcPr>
                <w:p w14:paraId="72071EB4">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812" w:type="pct"/>
                  <w:vMerge w:val="continue"/>
                  <w:tcBorders>
                    <w:tl2br w:val="nil"/>
                    <w:tr2bl w:val="nil"/>
                  </w:tcBorders>
                  <w:shd w:val="clear" w:color="auto" w:fill="auto"/>
                  <w:vAlign w:val="center"/>
                </w:tcPr>
                <w:p w14:paraId="25FD080D">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848" w:type="pct"/>
                  <w:tcBorders>
                    <w:tl2br w:val="nil"/>
                    <w:tr2bl w:val="nil"/>
                  </w:tcBorders>
                  <w:shd w:val="clear" w:color="auto" w:fill="auto"/>
                  <w:vAlign w:val="center"/>
                </w:tcPr>
                <w:p w14:paraId="1777AC7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金属废屑、</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废边角料、熔融炉渣（未沾染油）</w:t>
                  </w:r>
                </w:p>
              </w:tc>
              <w:tc>
                <w:tcPr>
                  <w:tcW w:w="376" w:type="pct"/>
                  <w:tcBorders>
                    <w:tl2br w:val="nil"/>
                    <w:tr2bl w:val="nil"/>
                  </w:tcBorders>
                  <w:shd w:val="clear" w:color="auto" w:fill="auto"/>
                  <w:vAlign w:val="center"/>
                </w:tcPr>
                <w:p w14:paraId="309A907A">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间歇</w:t>
                  </w:r>
                </w:p>
              </w:tc>
              <w:tc>
                <w:tcPr>
                  <w:tcW w:w="2467" w:type="pct"/>
                  <w:tcBorders>
                    <w:tl2br w:val="nil"/>
                    <w:tr2bl w:val="nil"/>
                  </w:tcBorders>
                  <w:shd w:val="clear" w:color="auto" w:fill="auto"/>
                  <w:vAlign w:val="center"/>
                </w:tcPr>
                <w:p w14:paraId="371BF4D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属于一般固体废物，利用价值较高，收集后重新熔融进行回用。</w:t>
                  </w:r>
                </w:p>
              </w:tc>
            </w:tr>
            <w:tr w14:paraId="04920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7" w:type="pct"/>
                  <w:vMerge w:val="continue"/>
                  <w:vAlign w:val="center"/>
                </w:tcPr>
                <w:p w14:paraId="0ED43BE4">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247" w:type="pct"/>
                  <w:vMerge w:val="continue"/>
                  <w:vAlign w:val="center"/>
                </w:tcPr>
                <w:p w14:paraId="1F7F72C6">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812" w:type="pct"/>
                  <w:shd w:val="clear" w:color="auto" w:fill="auto"/>
                  <w:vAlign w:val="center"/>
                </w:tcPr>
                <w:p w14:paraId="251BEC8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产品检验</w:t>
                  </w:r>
                </w:p>
              </w:tc>
              <w:tc>
                <w:tcPr>
                  <w:tcW w:w="848" w:type="pct"/>
                  <w:shd w:val="clear" w:color="auto" w:fill="auto"/>
                  <w:vAlign w:val="center"/>
                </w:tcPr>
                <w:p w14:paraId="4DDFF304">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不合格产品</w:t>
                  </w:r>
                </w:p>
              </w:tc>
              <w:tc>
                <w:tcPr>
                  <w:tcW w:w="376" w:type="pct"/>
                  <w:shd w:val="clear" w:color="auto" w:fill="auto"/>
                  <w:vAlign w:val="center"/>
                </w:tcPr>
                <w:p w14:paraId="085890C6">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间歇</w:t>
                  </w:r>
                </w:p>
              </w:tc>
              <w:tc>
                <w:tcPr>
                  <w:tcW w:w="2467" w:type="pct"/>
                  <w:shd w:val="clear" w:color="auto" w:fill="auto"/>
                  <w:vAlign w:val="center"/>
                </w:tcPr>
                <w:p w14:paraId="4E00ED75">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生产过程所产生的不合格产品</w:t>
                  </w:r>
                  <w:r>
                    <w:rPr>
                      <w:rFonts w:hint="eastAsia" w:cs="Times New Roman"/>
                      <w:color w:val="000000" w:themeColor="text1"/>
                      <w:kern w:val="2"/>
                      <w:sz w:val="21"/>
                      <w:szCs w:val="21"/>
                      <w:highlight w:val="none"/>
                      <w:vertAlign w:val="baseline"/>
                      <w:lang w:val="en-US" w:eastAsia="zh-CN" w:bidi="ar-SA"/>
                      <w14:textFill>
                        <w14:solidFill>
                          <w14:schemeClr w14:val="tx1"/>
                        </w14:solidFill>
                      </w14:textFill>
                    </w:rPr>
                    <w:t>，重新回到电阻炉熔化加工</w:t>
                  </w:r>
                </w:p>
              </w:tc>
            </w:tr>
            <w:tr w14:paraId="48C509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47" w:type="pct"/>
                  <w:vMerge w:val="continue"/>
                  <w:vAlign w:val="center"/>
                </w:tcPr>
                <w:p w14:paraId="024CAF8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47" w:type="pct"/>
                  <w:vMerge w:val="continue"/>
                  <w:vAlign w:val="center"/>
                </w:tcPr>
                <w:p w14:paraId="6E89E45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12" w:type="pct"/>
                  <w:shd w:val="clear" w:color="auto" w:fill="auto"/>
                  <w:vAlign w:val="center"/>
                </w:tcPr>
                <w:p w14:paraId="10671DE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废气处理</w:t>
                  </w:r>
                </w:p>
              </w:tc>
              <w:tc>
                <w:tcPr>
                  <w:tcW w:w="848" w:type="pct"/>
                  <w:shd w:val="clear" w:color="auto" w:fill="auto"/>
                  <w:vAlign w:val="center"/>
                </w:tcPr>
                <w:p w14:paraId="5947D46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布袋除尘器收集的粉尘及废布袋</w:t>
                  </w:r>
                </w:p>
              </w:tc>
              <w:tc>
                <w:tcPr>
                  <w:tcW w:w="376" w:type="pct"/>
                  <w:shd w:val="clear" w:color="auto" w:fill="auto"/>
                  <w:vAlign w:val="center"/>
                </w:tcPr>
                <w:p w14:paraId="028CF74B">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连续</w:t>
                  </w:r>
                </w:p>
              </w:tc>
              <w:tc>
                <w:tcPr>
                  <w:tcW w:w="2467" w:type="pct"/>
                  <w:shd w:val="clear" w:color="auto" w:fill="auto"/>
                  <w:vAlign w:val="center"/>
                </w:tcPr>
                <w:p w14:paraId="4F3A456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收集粉尘主要为废金属颗粒物委托环卫部门定期处置，废布袋外售回收企业综合利用</w:t>
                  </w:r>
                </w:p>
              </w:tc>
            </w:tr>
            <w:tr w14:paraId="19C9B6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47" w:type="pct"/>
                  <w:vMerge w:val="continue"/>
                  <w:vAlign w:val="center"/>
                </w:tcPr>
                <w:p w14:paraId="23A6CEBA">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247" w:type="pct"/>
                  <w:vMerge w:val="continue"/>
                  <w:vAlign w:val="center"/>
                </w:tcPr>
                <w:p w14:paraId="2C37DCCF">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812" w:type="pct"/>
                  <w:vMerge w:val="restart"/>
                  <w:shd w:val="clear" w:color="auto" w:fill="auto"/>
                  <w:vAlign w:val="center"/>
                </w:tcPr>
                <w:p w14:paraId="4DDBD5F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生产工序</w:t>
                  </w:r>
                </w:p>
              </w:tc>
              <w:tc>
                <w:tcPr>
                  <w:tcW w:w="848" w:type="pct"/>
                  <w:shd w:val="clear" w:color="auto" w:fill="auto"/>
                  <w:vAlign w:val="center"/>
                </w:tcPr>
                <w:p w14:paraId="73713AD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废切削液</w:t>
                  </w:r>
                  <w:r>
                    <w:rPr>
                      <w:rFonts w:hint="eastAsia" w:cs="Times New Roman"/>
                      <w:color w:val="000000" w:themeColor="text1"/>
                      <w:kern w:val="2"/>
                      <w:sz w:val="21"/>
                      <w:szCs w:val="21"/>
                      <w:highlight w:val="none"/>
                      <w:vertAlign w:val="baseline"/>
                      <w:lang w:val="en-US" w:eastAsia="zh-CN" w:bidi="ar-SA"/>
                      <w14:textFill>
                        <w14:solidFill>
                          <w14:schemeClr w14:val="tx1"/>
                        </w14:solidFill>
                      </w14:textFill>
                    </w:rPr>
                    <w:t>及金属渣</w:t>
                  </w:r>
                </w:p>
              </w:tc>
              <w:tc>
                <w:tcPr>
                  <w:tcW w:w="376" w:type="pct"/>
                  <w:vMerge w:val="restart"/>
                  <w:shd w:val="clear" w:color="auto" w:fill="auto"/>
                  <w:vAlign w:val="center"/>
                </w:tcPr>
                <w:p w14:paraId="497898C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间歇</w:t>
                  </w:r>
                </w:p>
              </w:tc>
              <w:tc>
                <w:tcPr>
                  <w:tcW w:w="2467" w:type="pct"/>
                  <w:vMerge w:val="restart"/>
                  <w:shd w:val="clear" w:color="auto" w:fill="auto"/>
                  <w:vAlign w:val="center"/>
                </w:tcPr>
                <w:p w14:paraId="1CE63A6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按照规范要求设置一间危险废物贮存库，面积约</w:t>
                  </w:r>
                  <w:r>
                    <w:rPr>
                      <w:rFonts w:hint="eastAsia" w:cs="Times New Roman"/>
                      <w:color w:val="000000" w:themeColor="text1"/>
                      <w:sz w:val="21"/>
                      <w:szCs w:val="21"/>
                      <w:highlight w:val="none"/>
                      <w:vertAlign w:val="baseline"/>
                      <w:lang w:val="en-US" w:eastAsia="zh-CN"/>
                      <w14:textFill>
                        <w14:solidFill>
                          <w14:schemeClr w14:val="tx1"/>
                        </w14:solidFill>
                      </w14:textFill>
                    </w:rPr>
                    <w:t>8-10</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，存放废活性炭、废机油等危险废物。贮存间内张贴明显警示标志并设置围堰及导流沟，地面刷环氧树脂漆。并与有资质的单位签署危废委托协调</w:t>
                  </w:r>
                </w:p>
              </w:tc>
            </w:tr>
            <w:tr w14:paraId="7E4DB5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247" w:type="pct"/>
                  <w:vMerge w:val="continue"/>
                  <w:vAlign w:val="center"/>
                </w:tcPr>
                <w:p w14:paraId="4EB59322">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247" w:type="pct"/>
                  <w:vMerge w:val="continue"/>
                  <w:vAlign w:val="center"/>
                </w:tcPr>
                <w:p w14:paraId="63B0C8E0">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812" w:type="pct"/>
                  <w:vMerge w:val="continue"/>
                  <w:shd w:val="clear" w:color="auto" w:fill="auto"/>
                  <w:vAlign w:val="center"/>
                </w:tcPr>
                <w:p w14:paraId="50562095">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p>
              </w:tc>
              <w:tc>
                <w:tcPr>
                  <w:tcW w:w="848" w:type="pct"/>
                  <w:shd w:val="clear" w:color="auto" w:fill="auto"/>
                  <w:vAlign w:val="center"/>
                </w:tcPr>
                <w:p w14:paraId="3942895E">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熔融炉渣（沾染油）</w:t>
                  </w:r>
                </w:p>
              </w:tc>
              <w:tc>
                <w:tcPr>
                  <w:tcW w:w="376" w:type="pct"/>
                  <w:vMerge w:val="continue"/>
                  <w:shd w:val="clear" w:color="auto" w:fill="auto"/>
                  <w:vAlign w:val="center"/>
                </w:tcPr>
                <w:p w14:paraId="3F59D32B">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2467" w:type="pct"/>
                  <w:vMerge w:val="continue"/>
                  <w:shd w:val="clear" w:color="auto" w:fill="auto"/>
                  <w:vAlign w:val="center"/>
                </w:tcPr>
                <w:p w14:paraId="1DDC1DF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14:paraId="4244FB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247" w:type="pct"/>
                  <w:vMerge w:val="continue"/>
                  <w:vAlign w:val="center"/>
                </w:tcPr>
                <w:p w14:paraId="01011FDF">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247" w:type="pct"/>
                  <w:vMerge w:val="continue"/>
                  <w:vAlign w:val="center"/>
                </w:tcPr>
                <w:p w14:paraId="3162EB86">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812" w:type="pct"/>
                  <w:vMerge w:val="continue"/>
                  <w:shd w:val="clear" w:color="auto" w:fill="auto"/>
                  <w:vAlign w:val="center"/>
                </w:tcPr>
                <w:p w14:paraId="3F9E74D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p>
              </w:tc>
              <w:tc>
                <w:tcPr>
                  <w:tcW w:w="848" w:type="pct"/>
                  <w:shd w:val="clear" w:color="auto" w:fill="auto"/>
                  <w:vAlign w:val="center"/>
                </w:tcPr>
                <w:p w14:paraId="368585B1">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压铸脱模剂废包装桶</w:t>
                  </w:r>
                </w:p>
              </w:tc>
              <w:tc>
                <w:tcPr>
                  <w:tcW w:w="376" w:type="pct"/>
                  <w:vMerge w:val="continue"/>
                  <w:shd w:val="clear" w:color="auto" w:fill="auto"/>
                  <w:vAlign w:val="center"/>
                </w:tcPr>
                <w:p w14:paraId="7C329075">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2467" w:type="pct"/>
                  <w:vMerge w:val="continue"/>
                  <w:shd w:val="clear" w:color="auto" w:fill="auto"/>
                  <w:vAlign w:val="center"/>
                </w:tcPr>
                <w:p w14:paraId="104B7B1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14:paraId="4C5BF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47" w:type="pct"/>
                  <w:vMerge w:val="continue"/>
                  <w:vAlign w:val="center"/>
                </w:tcPr>
                <w:p w14:paraId="72F6A10E">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247" w:type="pct"/>
                  <w:vMerge w:val="continue"/>
                  <w:vAlign w:val="center"/>
                </w:tcPr>
                <w:p w14:paraId="1F25D07E">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812" w:type="pct"/>
                  <w:shd w:val="clear" w:color="auto" w:fill="auto"/>
                  <w:vAlign w:val="center"/>
                </w:tcPr>
                <w:p w14:paraId="2189AA4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废气处理</w:t>
                  </w:r>
                </w:p>
              </w:tc>
              <w:tc>
                <w:tcPr>
                  <w:tcW w:w="848" w:type="pct"/>
                  <w:shd w:val="clear" w:color="auto" w:fill="auto"/>
                  <w:vAlign w:val="center"/>
                </w:tcPr>
                <w:p w14:paraId="5D4923A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废活性炭</w:t>
                  </w:r>
                </w:p>
              </w:tc>
              <w:tc>
                <w:tcPr>
                  <w:tcW w:w="376" w:type="pct"/>
                  <w:vMerge w:val="continue"/>
                  <w:shd w:val="clear" w:color="auto" w:fill="auto"/>
                  <w:vAlign w:val="center"/>
                </w:tcPr>
                <w:p w14:paraId="7A885A8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2467" w:type="pct"/>
                  <w:vMerge w:val="continue"/>
                  <w:shd w:val="clear" w:color="auto" w:fill="auto"/>
                  <w:vAlign w:val="center"/>
                </w:tcPr>
                <w:p w14:paraId="5E68B95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14:paraId="7E51F1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247" w:type="pct"/>
                  <w:vMerge w:val="continue"/>
                  <w:vAlign w:val="center"/>
                </w:tcPr>
                <w:p w14:paraId="10C68506">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47" w:type="pct"/>
                  <w:vMerge w:val="continue"/>
                  <w:vAlign w:val="center"/>
                </w:tcPr>
                <w:p w14:paraId="6166EBDB">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12" w:type="pct"/>
                  <w:shd w:val="clear" w:color="auto" w:fill="auto"/>
                  <w:vAlign w:val="center"/>
                </w:tcPr>
                <w:p w14:paraId="60F55FA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设备维护</w:t>
                  </w:r>
                </w:p>
              </w:tc>
              <w:tc>
                <w:tcPr>
                  <w:tcW w:w="848" w:type="pct"/>
                  <w:shd w:val="clear" w:color="auto" w:fill="auto"/>
                  <w:vAlign w:val="center"/>
                </w:tcPr>
                <w:p w14:paraId="743A769B">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废机油、废液压油</w:t>
                  </w:r>
                </w:p>
              </w:tc>
              <w:tc>
                <w:tcPr>
                  <w:tcW w:w="376" w:type="pct"/>
                  <w:vMerge w:val="continue"/>
                  <w:shd w:val="clear" w:color="auto" w:fill="auto"/>
                  <w:vAlign w:val="center"/>
                </w:tcPr>
                <w:p w14:paraId="15E3E4B1">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p>
              </w:tc>
              <w:tc>
                <w:tcPr>
                  <w:tcW w:w="2467" w:type="pct"/>
                  <w:vMerge w:val="continue"/>
                  <w:shd w:val="clear" w:color="auto" w:fill="auto"/>
                  <w:vAlign w:val="center"/>
                </w:tcPr>
                <w:p w14:paraId="139B14AE">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p>
              </w:tc>
            </w:tr>
            <w:tr w14:paraId="5DD198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247" w:type="pct"/>
                  <w:vMerge w:val="continue"/>
                  <w:vAlign w:val="center"/>
                </w:tcPr>
                <w:p w14:paraId="2A3FD87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47" w:type="pct"/>
                  <w:vMerge w:val="continue"/>
                  <w:vAlign w:val="center"/>
                </w:tcPr>
                <w:p w14:paraId="430FFB9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12" w:type="pct"/>
                  <w:shd w:val="clear" w:color="auto" w:fill="auto"/>
                  <w:vAlign w:val="center"/>
                </w:tcPr>
                <w:p w14:paraId="505220B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循环水处理设施</w:t>
                  </w:r>
                </w:p>
              </w:tc>
              <w:tc>
                <w:tcPr>
                  <w:tcW w:w="848" w:type="pct"/>
                  <w:shd w:val="clear" w:color="auto" w:fill="auto"/>
                  <w:vAlign w:val="center"/>
                </w:tcPr>
                <w:p w14:paraId="14E5281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污泥</w:t>
                  </w:r>
                </w:p>
              </w:tc>
              <w:tc>
                <w:tcPr>
                  <w:tcW w:w="376" w:type="pct"/>
                  <w:vMerge w:val="continue"/>
                  <w:shd w:val="clear" w:color="auto" w:fill="auto"/>
                  <w:vAlign w:val="center"/>
                </w:tcPr>
                <w:p w14:paraId="1315426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p>
              </w:tc>
              <w:tc>
                <w:tcPr>
                  <w:tcW w:w="2467" w:type="pct"/>
                  <w:vMerge w:val="continue"/>
                  <w:shd w:val="clear" w:color="auto" w:fill="auto"/>
                  <w:vAlign w:val="center"/>
                </w:tcPr>
                <w:p w14:paraId="5B533F8B">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p>
              </w:tc>
            </w:tr>
            <w:tr w14:paraId="6244F7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247" w:type="pct"/>
                  <w:vAlign w:val="center"/>
                </w:tcPr>
                <w:p w14:paraId="3D907765">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4</w:t>
                  </w:r>
                </w:p>
              </w:tc>
              <w:tc>
                <w:tcPr>
                  <w:tcW w:w="247" w:type="pct"/>
                  <w:vAlign w:val="center"/>
                </w:tcPr>
                <w:p w14:paraId="3844B736">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噪声</w:t>
                  </w:r>
                </w:p>
              </w:tc>
              <w:tc>
                <w:tcPr>
                  <w:tcW w:w="812" w:type="pct"/>
                  <w:shd w:val="clear" w:color="auto" w:fill="auto"/>
                  <w:vAlign w:val="center"/>
                </w:tcPr>
                <w:p w14:paraId="57E1846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生产设备</w:t>
                  </w:r>
                </w:p>
              </w:tc>
              <w:tc>
                <w:tcPr>
                  <w:tcW w:w="848" w:type="pct"/>
                  <w:shd w:val="clear" w:color="auto" w:fill="auto"/>
                  <w:vAlign w:val="center"/>
                </w:tcPr>
                <w:p w14:paraId="6162408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Leq</w:t>
                  </w:r>
                </w:p>
              </w:tc>
              <w:tc>
                <w:tcPr>
                  <w:tcW w:w="376" w:type="pct"/>
                  <w:shd w:val="clear" w:color="auto" w:fill="auto"/>
                  <w:vAlign w:val="center"/>
                </w:tcPr>
                <w:p w14:paraId="487A580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连续</w:t>
                  </w:r>
                </w:p>
              </w:tc>
              <w:tc>
                <w:tcPr>
                  <w:tcW w:w="2467" w:type="pct"/>
                  <w:shd w:val="clear" w:color="auto" w:fill="auto"/>
                  <w:vAlign w:val="center"/>
                </w:tcPr>
                <w:p w14:paraId="34538EC4">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厂房隔声、设备基础减振等综合降噪措施</w:t>
                  </w:r>
                </w:p>
              </w:tc>
            </w:tr>
          </w:tbl>
          <w:p w14:paraId="30D39F72">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right="0"/>
              <w:textAlignment w:val="auto"/>
              <w:rPr>
                <w:rFonts w:hint="default"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pPr>
          </w:p>
        </w:tc>
      </w:tr>
      <w:tr w14:paraId="78728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 w:type="pct"/>
            <w:vAlign w:val="center"/>
          </w:tcPr>
          <w:p w14:paraId="35D504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sz w:val="24"/>
                <w:szCs w:val="24"/>
                <w:vertAlign w:val="baseline"/>
                <w:lang w:eastAsia="zh-CN"/>
                <w14:textFill>
                  <w14:solidFill>
                    <w14:schemeClr w14:val="tx1"/>
                  </w14:solidFill>
                </w14:textFill>
              </w:rPr>
            </w:pPr>
            <w:r>
              <w:rPr>
                <w:rFonts w:ascii="Times New Roman" w:hAnsi="Times New Roman"/>
                <w:bCs/>
                <w:color w:val="000000" w:themeColor="text1"/>
                <w:kern w:val="2"/>
                <w:sz w:val="24"/>
                <w:szCs w:val="24"/>
                <w14:textFill>
                  <w14:solidFill>
                    <w14:schemeClr w14:val="tx1"/>
                  </w14:solidFill>
                </w14:textFill>
              </w:rPr>
              <w:t>与项目有关的原有环境污染问题</w:t>
            </w:r>
          </w:p>
        </w:tc>
        <w:tc>
          <w:tcPr>
            <w:tcW w:w="4738" w:type="pct"/>
            <w:vAlign w:val="center"/>
          </w:tcPr>
          <w:p w14:paraId="1DDC7779">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left="0" w:right="0" w:firstLine="420"/>
              <w:textAlignment w:val="auto"/>
              <w:rPr>
                <w:rFonts w:hint="default" w:ascii="Times New Roman" w:hAnsi="Times New Roman" w:cs="Times New Roman"/>
                <w:b w:val="0"/>
                <w:bCs w:val="0"/>
                <w:color w:val="000000" w:themeColor="text1"/>
                <w:sz w:val="24"/>
                <w:szCs w:val="24"/>
                <w:vertAlign w:val="baseline"/>
                <w:lang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新建项目，购置已建厂房进行生产，不涉及项目有关的原有环境污染问题</w:t>
            </w:r>
          </w:p>
        </w:tc>
      </w:tr>
    </w:tbl>
    <w:p w14:paraId="354DADD8">
      <w:pPr>
        <w:rPr>
          <w:rFonts w:hint="default" w:ascii="Times New Roman" w:hAnsi="Times New Roman" w:eastAsia="黑体" w:cs="Times New Roman"/>
          <w:snapToGrid w:val="0"/>
          <w:color w:val="auto"/>
          <w:sz w:val="30"/>
          <w:szCs w:val="30"/>
          <w:u w:val="none"/>
        </w:rPr>
      </w:pPr>
      <w:bookmarkStart w:id="50" w:name="_Toc7756"/>
      <w:r>
        <w:rPr>
          <w:rFonts w:hint="default" w:ascii="Times New Roman" w:hAnsi="Times New Roman" w:eastAsia="黑体" w:cs="Times New Roman"/>
          <w:snapToGrid w:val="0"/>
          <w:color w:val="000000" w:themeColor="text1"/>
          <w:sz w:val="30"/>
          <w:szCs w:val="30"/>
          <w:u w:val="none"/>
          <w14:textFill>
            <w14:solidFill>
              <w14:schemeClr w14:val="tx1"/>
            </w14:solidFill>
          </w14:textFill>
        </w:rPr>
        <w:br w:type="page"/>
      </w:r>
    </w:p>
    <w:p w14:paraId="5B565178">
      <w:pPr>
        <w:pStyle w:val="2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pPr>
      <w:bookmarkStart w:id="51" w:name="_Toc29722"/>
      <w:bookmarkStart w:id="52" w:name="_Toc4083"/>
      <w:r>
        <w:rPr>
          <w:rFonts w:hint="default" w:ascii="Times New Roman" w:hAnsi="Times New Roman" w:eastAsia="黑体" w:cs="Times New Roman"/>
          <w:snapToGrid w:val="0"/>
          <w:color w:val="auto"/>
          <w:sz w:val="30"/>
          <w:szCs w:val="30"/>
          <w:u w:val="none"/>
          <w:lang w:val="en-US" w:eastAsia="zh-CN"/>
        </w:rPr>
        <w:t>三、区域环境质量现状、环境保护目标及评价标准</w:t>
      </w:r>
      <w:bookmarkEnd w:id="50"/>
      <w:bookmarkEnd w:id="51"/>
      <w:bookmarkEnd w:id="52"/>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749"/>
      </w:tblGrid>
      <w:tr w14:paraId="34E8C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8" w:hRule="atLeast"/>
        </w:trPr>
        <w:tc>
          <w:tcPr>
            <w:tcW w:w="456" w:type="dxa"/>
            <w:vAlign w:val="center"/>
          </w:tcPr>
          <w:p w14:paraId="021708E8">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kern w:val="2"/>
                <w:sz w:val="24"/>
                <w:szCs w:val="24"/>
              </w:rPr>
            </w:pPr>
            <w:r>
              <w:rPr>
                <w:rFonts w:ascii="Times New Roman" w:hAnsi="Times New Roman" w:eastAsia="宋体" w:cs="Times New Roman"/>
                <w:bCs/>
                <w:kern w:val="2"/>
                <w:sz w:val="24"/>
                <w:szCs w:val="24"/>
              </w:rPr>
              <w:t>区域</w:t>
            </w:r>
          </w:p>
          <w:p w14:paraId="39DE063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kern w:val="2"/>
                <w:sz w:val="24"/>
                <w:szCs w:val="24"/>
              </w:rPr>
            </w:pPr>
            <w:r>
              <w:rPr>
                <w:rFonts w:ascii="Times New Roman" w:hAnsi="Times New Roman" w:eastAsia="宋体" w:cs="Times New Roman"/>
                <w:bCs/>
                <w:kern w:val="2"/>
                <w:sz w:val="24"/>
                <w:szCs w:val="24"/>
              </w:rPr>
              <w:t>环境</w:t>
            </w:r>
          </w:p>
          <w:p w14:paraId="647E765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kern w:val="2"/>
                <w:sz w:val="24"/>
                <w:szCs w:val="24"/>
              </w:rPr>
            </w:pPr>
            <w:r>
              <w:rPr>
                <w:rFonts w:ascii="Times New Roman" w:hAnsi="Times New Roman" w:eastAsia="宋体" w:cs="Times New Roman"/>
                <w:bCs/>
                <w:kern w:val="2"/>
                <w:sz w:val="24"/>
                <w:szCs w:val="24"/>
              </w:rPr>
              <w:t>质量</w:t>
            </w:r>
          </w:p>
          <w:p w14:paraId="71F55191">
            <w:pPr>
              <w:keepNext w:val="0"/>
              <w:keepLines w:val="0"/>
              <w:pageBreakBefore w:val="0"/>
              <w:widowControl w:val="0"/>
              <w:kinsoku/>
              <w:wordWrap/>
              <w:overflowPunct/>
              <w:topLinePunct w:val="0"/>
              <w:autoSpaceDE/>
              <w:autoSpaceDN/>
              <w:bidi w:val="0"/>
              <w:adjustRightInd/>
              <w:snapToGrid/>
              <w:jc w:val="center"/>
              <w:textAlignment w:val="auto"/>
              <w:rPr>
                <w:rFonts w:hint="eastAsia"/>
                <w:vertAlign w:val="baseline"/>
                <w:lang w:eastAsia="zh-CN"/>
              </w:rPr>
            </w:pPr>
            <w:r>
              <w:rPr>
                <w:rFonts w:ascii="Times New Roman" w:hAnsi="Times New Roman" w:eastAsia="宋体" w:cs="Times New Roman"/>
                <w:bCs/>
                <w:kern w:val="2"/>
                <w:sz w:val="24"/>
                <w:szCs w:val="24"/>
              </w:rPr>
              <w:t>现状</w:t>
            </w:r>
          </w:p>
        </w:tc>
        <w:tc>
          <w:tcPr>
            <w:tcW w:w="8749" w:type="dxa"/>
          </w:tcPr>
          <w:p w14:paraId="4F2DB76B">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53" w:name="_Toc32076"/>
            <w:bookmarkStart w:id="54" w:name="_Toc8193"/>
            <w:r>
              <w:rPr>
                <w:rFonts w:hint="eastAsia" w:ascii="Times New Roman" w:hAnsi="Times New Roman" w:eastAsia="宋体" w:cs="Times New Roman"/>
                <w:color w:val="auto"/>
                <w:sz w:val="28"/>
                <w:szCs w:val="28"/>
                <w:u w:val="none"/>
                <w:lang w:val="en-US" w:eastAsia="zh-CN"/>
              </w:rPr>
              <w:t>3.1大气环境质量现状</w:t>
            </w:r>
            <w:bookmarkEnd w:id="53"/>
            <w:bookmarkEnd w:id="54"/>
          </w:p>
          <w:p w14:paraId="0F23A53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55" w:name="_Toc4517"/>
            <w:bookmarkStart w:id="56" w:name="_Toc14786"/>
            <w:r>
              <w:rPr>
                <w:rFonts w:hint="eastAsia" w:ascii="Times New Roman" w:hAnsi="Times New Roman" w:eastAsia="宋体" w:cs="Times New Roman"/>
                <w:b/>
                <w:bCs/>
                <w:color w:val="auto"/>
                <w:sz w:val="24"/>
                <w:szCs w:val="24"/>
                <w:u w:val="none"/>
                <w:lang w:val="en-US" w:eastAsia="zh-CN"/>
              </w:rPr>
              <w:t>3.1.1环境空气质量功能区划</w:t>
            </w:r>
            <w:bookmarkEnd w:id="55"/>
            <w:bookmarkEnd w:id="56"/>
          </w:p>
          <w:p w14:paraId="1AC459EC">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left="0" w:right="0" w:firstLine="420"/>
              <w:textAlignment w:val="auto"/>
              <w:rPr>
                <w:rFonts w:hint="eastAsia" w:ascii="Times New Roman" w:hAnsi="Times New Roman" w:eastAsia="宋体" w:cs="Times New Roman"/>
                <w:b w:val="0"/>
                <w:bCs w:val="0"/>
                <w:color w:val="auto"/>
                <w:kern w:val="0"/>
                <w:sz w:val="24"/>
                <w:szCs w:val="24"/>
                <w:highlight w:val="none"/>
                <w:u w:val="none"/>
                <w:lang w:val="en-US" w:eastAsia="zh-CN" w:bidi="ar-SA"/>
              </w:rPr>
            </w:pPr>
            <w:bookmarkStart w:id="57" w:name="_Toc339964236"/>
            <w:bookmarkStart w:id="58" w:name="_Toc338850492"/>
            <w:r>
              <w:rPr>
                <w:rFonts w:hint="default" w:ascii="Times New Roman" w:hAnsi="Times New Roman" w:eastAsia="宋体" w:cs="Times New Roman"/>
                <w:b w:val="0"/>
                <w:bCs w:val="0"/>
                <w:color w:val="auto"/>
                <w:kern w:val="0"/>
                <w:sz w:val="24"/>
                <w:szCs w:val="24"/>
                <w:highlight w:val="none"/>
                <w:u w:val="none"/>
                <w:lang w:val="en-US" w:eastAsia="zh-CN" w:bidi="ar-SA"/>
              </w:rPr>
              <w:t>根据福州市人民政府榕政综</w:t>
            </w:r>
            <w:r>
              <w:rPr>
                <w:rFonts w:hint="eastAsia" w:ascii="Times New Roman" w:hAnsi="Times New Roman" w:eastAsia="宋体" w:cs="Times New Roman"/>
                <w:b w:val="0"/>
                <w:bCs w:val="0"/>
                <w:color w:val="auto"/>
                <w:kern w:val="0"/>
                <w:sz w:val="24"/>
                <w:szCs w:val="24"/>
                <w:highlight w:val="none"/>
                <w:u w:val="none"/>
                <w:lang w:val="en-US" w:eastAsia="zh-CN" w:bidi="ar-SA"/>
              </w:rPr>
              <w:t>〔2014〕30号</w:t>
            </w:r>
            <w:r>
              <w:rPr>
                <w:rFonts w:hint="default" w:ascii="Times New Roman" w:hAnsi="Times New Roman" w:eastAsia="宋体" w:cs="Times New Roman"/>
                <w:b w:val="0"/>
                <w:bCs w:val="0"/>
                <w:color w:val="auto"/>
                <w:kern w:val="0"/>
                <w:sz w:val="24"/>
                <w:szCs w:val="24"/>
                <w:highlight w:val="none"/>
                <w:u w:val="none"/>
                <w:lang w:val="en-US" w:eastAsia="zh-CN" w:bidi="ar-SA"/>
              </w:rPr>
              <w:t>文件正式批准实施《福州市环境空气质量功能区划</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报批稿</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》的规定，项目所在区域环境空气功能规划为二类区，环境空气质量执行《环境空气质量标准》</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GB3095-2012</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及其修改单中的二级标准。项目</w:t>
            </w:r>
            <w:r>
              <w:rPr>
                <w:rFonts w:hint="eastAsia" w:ascii="Times New Roman" w:hAnsi="Times New Roman" w:eastAsia="宋体" w:cs="Times New Roman"/>
                <w:b w:val="0"/>
                <w:bCs w:val="0"/>
                <w:color w:val="auto"/>
                <w:kern w:val="0"/>
                <w:sz w:val="24"/>
                <w:szCs w:val="24"/>
                <w:highlight w:val="none"/>
                <w:u w:val="none"/>
                <w:lang w:val="en-US" w:eastAsia="zh-CN" w:bidi="ar-SA"/>
              </w:rPr>
              <w:t>其他污染因子</w:t>
            </w:r>
            <w:r>
              <w:rPr>
                <w:rFonts w:hint="default" w:ascii="Times New Roman" w:hAnsi="Times New Roman" w:eastAsia="宋体" w:cs="Times New Roman"/>
                <w:b w:val="0"/>
                <w:bCs w:val="0"/>
                <w:color w:val="auto"/>
                <w:kern w:val="0"/>
                <w:sz w:val="24"/>
                <w:szCs w:val="24"/>
                <w:highlight w:val="none"/>
                <w:u w:val="none"/>
                <w:lang w:val="en-US" w:eastAsia="zh-CN" w:bidi="ar-SA"/>
              </w:rPr>
              <w:t>非甲烷总烃参照执行《大气污染物综合排放标准详解》</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国家</w:t>
            </w:r>
            <w:r>
              <w:rPr>
                <w:rFonts w:hint="eastAsia" w:ascii="Times New Roman" w:hAnsi="Times New Roman" w:eastAsia="宋体" w:cs="Times New Roman"/>
                <w:b w:val="0"/>
                <w:bCs w:val="0"/>
                <w:color w:val="auto"/>
                <w:kern w:val="0"/>
                <w:sz w:val="24"/>
                <w:szCs w:val="24"/>
                <w:highlight w:val="none"/>
                <w:u w:val="none"/>
                <w:lang w:val="en-US" w:eastAsia="zh-CN" w:bidi="ar-SA"/>
              </w:rPr>
              <w:t>生态环境局</w:t>
            </w:r>
            <w:r>
              <w:rPr>
                <w:rFonts w:hint="default" w:ascii="Times New Roman" w:hAnsi="Times New Roman" w:eastAsia="宋体" w:cs="Times New Roman"/>
                <w:b w:val="0"/>
                <w:bCs w:val="0"/>
                <w:color w:val="auto"/>
                <w:kern w:val="0"/>
                <w:sz w:val="24"/>
                <w:szCs w:val="24"/>
                <w:highlight w:val="none"/>
                <w:u w:val="none"/>
                <w:lang w:val="en-US" w:eastAsia="zh-CN" w:bidi="ar-SA"/>
              </w:rPr>
              <w:t>科技标准司</w:t>
            </w:r>
            <w:r>
              <w:rPr>
                <w:rFonts w:hint="eastAsia" w:ascii="Times New Roman" w:hAnsi="Times New Roman" w:eastAsia="宋体" w:cs="Times New Roman"/>
                <w:b w:val="0"/>
                <w:bCs w:val="0"/>
                <w:color w:val="auto"/>
                <w:kern w:val="0"/>
                <w:sz w:val="24"/>
                <w:szCs w:val="24"/>
                <w:highlight w:val="none"/>
                <w:u w:val="none"/>
                <w:lang w:val="en-US" w:eastAsia="zh-CN" w:bidi="ar-SA"/>
              </w:rPr>
              <w:t>，1996年8月</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中规定的标准限值，具体详见表3.1-1。</w:t>
            </w:r>
            <w:bookmarkEnd w:id="57"/>
            <w:bookmarkEnd w:id="58"/>
          </w:p>
          <w:p w14:paraId="2FFA32A8">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表3.1-1 项目环境空气标准一览表</w:t>
            </w:r>
          </w:p>
          <w:tbl>
            <w:tblPr>
              <w:tblStyle w:val="23"/>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632"/>
              <w:gridCol w:w="2033"/>
              <w:gridCol w:w="1589"/>
              <w:gridCol w:w="3279"/>
            </w:tblGrid>
            <w:tr w14:paraId="55B095F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618" w:hRule="atLeast"/>
                <w:jc w:val="center"/>
              </w:trPr>
              <w:tc>
                <w:tcPr>
                  <w:tcW w:w="956" w:type="pct"/>
                  <w:noWrap w:val="0"/>
                  <w:vAlign w:val="center"/>
                </w:tcPr>
                <w:p w14:paraId="051763A5">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污染物名称</w:t>
                  </w:r>
                </w:p>
              </w:tc>
              <w:tc>
                <w:tcPr>
                  <w:tcW w:w="1191" w:type="pct"/>
                  <w:noWrap w:val="0"/>
                  <w:vAlign w:val="center"/>
                </w:tcPr>
                <w:p w14:paraId="1B63E81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取值时间</w:t>
                  </w:r>
                </w:p>
              </w:tc>
              <w:tc>
                <w:tcPr>
                  <w:tcW w:w="931" w:type="pct"/>
                  <w:noWrap w:val="0"/>
                  <w:vAlign w:val="center"/>
                </w:tcPr>
                <w:p w14:paraId="0D48D5F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浓度限值</w:t>
                  </w:r>
                </w:p>
              </w:tc>
              <w:tc>
                <w:tcPr>
                  <w:tcW w:w="1920" w:type="pct"/>
                  <w:noWrap w:val="0"/>
                  <w:vAlign w:val="center"/>
                </w:tcPr>
                <w:p w14:paraId="17BA828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标准来源</w:t>
                  </w:r>
                </w:p>
              </w:tc>
            </w:tr>
            <w:tr w14:paraId="1F9224B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68" w:hRule="atLeast"/>
                <w:jc w:val="center"/>
              </w:trPr>
              <w:tc>
                <w:tcPr>
                  <w:tcW w:w="956" w:type="pct"/>
                  <w:vMerge w:val="restart"/>
                  <w:noWrap w:val="0"/>
                  <w:vAlign w:val="center"/>
                </w:tcPr>
                <w:p w14:paraId="17D0D35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1191" w:type="pct"/>
                  <w:noWrap w:val="0"/>
                  <w:vAlign w:val="center"/>
                </w:tcPr>
                <w:p w14:paraId="5369CC47">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931" w:type="pct"/>
                  <w:noWrap w:val="0"/>
                  <w:vAlign w:val="center"/>
                </w:tcPr>
                <w:p w14:paraId="3A5A04EC">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70μg/m</w:t>
                  </w:r>
                  <w:r>
                    <w:rPr>
                      <w:rFonts w:hint="default" w:ascii="Times New Roman" w:hAnsi="Times New Roman" w:eastAsia="宋体" w:cs="Times New Roman"/>
                      <w:color w:val="auto"/>
                      <w:sz w:val="21"/>
                      <w:szCs w:val="21"/>
                      <w:vertAlign w:val="superscript"/>
                    </w:rPr>
                    <w:t>3</w:t>
                  </w:r>
                </w:p>
              </w:tc>
              <w:tc>
                <w:tcPr>
                  <w:tcW w:w="1920" w:type="pct"/>
                  <w:vMerge w:val="restart"/>
                  <w:noWrap w:val="0"/>
                  <w:vAlign w:val="center"/>
                </w:tcPr>
                <w:p w14:paraId="2B34A07E">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GB309</w:t>
                  </w:r>
                  <w:r>
                    <w:rPr>
                      <w:rFonts w:hint="default" w:ascii="Times New Roman" w:hAnsi="Times New Roman" w:eastAsia="宋体" w:cs="Times New Roman"/>
                      <w:color w:val="auto"/>
                      <w:sz w:val="21"/>
                      <w:szCs w:val="21"/>
                      <w:lang w:eastAsia="zh-CN"/>
                    </w:rPr>
                    <w:t>6-2</w:t>
                  </w:r>
                  <w:r>
                    <w:rPr>
                      <w:rFonts w:hint="default" w:ascii="Times New Roman" w:hAnsi="Times New Roman" w:eastAsia="宋体" w:cs="Times New Roman"/>
                      <w:color w:val="auto"/>
                      <w:sz w:val="21"/>
                      <w:szCs w:val="21"/>
                    </w:rPr>
                    <w:t>012</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及其修改单中的二级标准</w:t>
                  </w:r>
                </w:p>
              </w:tc>
            </w:tr>
            <w:tr w14:paraId="4646495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35" w:hRule="atLeast"/>
                <w:jc w:val="center"/>
              </w:trPr>
              <w:tc>
                <w:tcPr>
                  <w:tcW w:w="956" w:type="pct"/>
                  <w:vMerge w:val="continue"/>
                  <w:noWrap w:val="0"/>
                  <w:vAlign w:val="center"/>
                </w:tcPr>
                <w:p w14:paraId="0087F55A">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91" w:type="pct"/>
                  <w:noWrap w:val="0"/>
                  <w:vAlign w:val="center"/>
                </w:tcPr>
                <w:p w14:paraId="51D2096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931" w:type="pct"/>
                  <w:noWrap w:val="0"/>
                  <w:vAlign w:val="center"/>
                </w:tcPr>
                <w:p w14:paraId="0C21FEF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66B1C5F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3091102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85" w:hRule="atLeast"/>
                <w:jc w:val="center"/>
              </w:trPr>
              <w:tc>
                <w:tcPr>
                  <w:tcW w:w="956" w:type="pct"/>
                  <w:vMerge w:val="restart"/>
                  <w:noWrap w:val="0"/>
                  <w:vAlign w:val="center"/>
                </w:tcPr>
                <w:p w14:paraId="78B37F50">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p>
              </w:tc>
              <w:tc>
                <w:tcPr>
                  <w:tcW w:w="1191" w:type="pct"/>
                  <w:noWrap w:val="0"/>
                  <w:vAlign w:val="center"/>
                </w:tcPr>
                <w:p w14:paraId="4EA38CFA">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931" w:type="pct"/>
                  <w:noWrap w:val="0"/>
                  <w:vAlign w:val="center"/>
                </w:tcPr>
                <w:p w14:paraId="5B37634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7398D7B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2891942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52" w:hRule="atLeast"/>
                <w:jc w:val="center"/>
              </w:trPr>
              <w:tc>
                <w:tcPr>
                  <w:tcW w:w="956" w:type="pct"/>
                  <w:vMerge w:val="continue"/>
                  <w:noWrap w:val="0"/>
                  <w:vAlign w:val="center"/>
                </w:tcPr>
                <w:p w14:paraId="417FA41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91" w:type="pct"/>
                  <w:noWrap w:val="0"/>
                  <w:vAlign w:val="center"/>
                </w:tcPr>
                <w:p w14:paraId="27754D3B">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931" w:type="pct"/>
                  <w:noWrap w:val="0"/>
                  <w:vAlign w:val="center"/>
                </w:tcPr>
                <w:p w14:paraId="15F8FDBB">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635CAC6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2FFD13C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02" w:hRule="atLeast"/>
                <w:jc w:val="center"/>
              </w:trPr>
              <w:tc>
                <w:tcPr>
                  <w:tcW w:w="956" w:type="pct"/>
                  <w:vMerge w:val="restart"/>
                  <w:noWrap w:val="0"/>
                  <w:vAlign w:val="center"/>
                </w:tcPr>
                <w:p w14:paraId="6B637337">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1191" w:type="pct"/>
                  <w:noWrap w:val="0"/>
                  <w:vAlign w:val="center"/>
                </w:tcPr>
                <w:p w14:paraId="6B3AA737">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931" w:type="pct"/>
                  <w:noWrap w:val="0"/>
                  <w:vAlign w:val="center"/>
                </w:tcPr>
                <w:p w14:paraId="71898EA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4189660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2306C9F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52" w:hRule="atLeast"/>
                <w:jc w:val="center"/>
              </w:trPr>
              <w:tc>
                <w:tcPr>
                  <w:tcW w:w="956" w:type="pct"/>
                  <w:vMerge w:val="continue"/>
                  <w:noWrap w:val="0"/>
                  <w:vAlign w:val="center"/>
                </w:tcPr>
                <w:p w14:paraId="7B2FC1B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91" w:type="pct"/>
                  <w:noWrap w:val="0"/>
                  <w:vAlign w:val="center"/>
                </w:tcPr>
                <w:p w14:paraId="5DD55646">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931" w:type="pct"/>
                  <w:noWrap w:val="0"/>
                  <w:vAlign w:val="center"/>
                </w:tcPr>
                <w:p w14:paraId="22883365">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59E22D5B">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4FC7D7F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35" w:hRule="atLeast"/>
                <w:jc w:val="center"/>
              </w:trPr>
              <w:tc>
                <w:tcPr>
                  <w:tcW w:w="956" w:type="pct"/>
                  <w:vMerge w:val="continue"/>
                  <w:noWrap w:val="0"/>
                  <w:vAlign w:val="center"/>
                </w:tcPr>
                <w:p w14:paraId="664D25BF">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91" w:type="pct"/>
                  <w:noWrap w:val="0"/>
                  <w:vAlign w:val="center"/>
                </w:tcPr>
                <w:p w14:paraId="0A42B75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931" w:type="pct"/>
                  <w:noWrap w:val="0"/>
                  <w:vAlign w:val="center"/>
                </w:tcPr>
                <w:p w14:paraId="36AE8FAB">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3AD287E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0796E0B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02" w:hRule="atLeast"/>
                <w:jc w:val="center"/>
              </w:trPr>
              <w:tc>
                <w:tcPr>
                  <w:tcW w:w="956" w:type="pct"/>
                  <w:vMerge w:val="restart"/>
                  <w:noWrap w:val="0"/>
                  <w:vAlign w:val="center"/>
                </w:tcPr>
                <w:p w14:paraId="4C9956E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1191" w:type="pct"/>
                  <w:noWrap w:val="0"/>
                  <w:vAlign w:val="center"/>
                </w:tcPr>
                <w:p w14:paraId="36D0D465">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931" w:type="pct"/>
                  <w:noWrap w:val="0"/>
                  <w:vAlign w:val="center"/>
                </w:tcPr>
                <w:p w14:paraId="76066D0E">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159D7E99">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031DDBE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02" w:hRule="atLeast"/>
                <w:jc w:val="center"/>
              </w:trPr>
              <w:tc>
                <w:tcPr>
                  <w:tcW w:w="956" w:type="pct"/>
                  <w:vMerge w:val="continue"/>
                  <w:noWrap w:val="0"/>
                  <w:vAlign w:val="center"/>
                </w:tcPr>
                <w:p w14:paraId="6E2A489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91" w:type="pct"/>
                  <w:noWrap w:val="0"/>
                  <w:vAlign w:val="center"/>
                </w:tcPr>
                <w:p w14:paraId="22058DD2">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931" w:type="pct"/>
                  <w:noWrap w:val="0"/>
                  <w:vAlign w:val="center"/>
                </w:tcPr>
                <w:p w14:paraId="67E08E1C">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3286BEEC">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077A5D1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85" w:hRule="atLeast"/>
                <w:jc w:val="center"/>
              </w:trPr>
              <w:tc>
                <w:tcPr>
                  <w:tcW w:w="956" w:type="pct"/>
                  <w:vMerge w:val="continue"/>
                  <w:noWrap w:val="0"/>
                  <w:vAlign w:val="center"/>
                </w:tcPr>
                <w:p w14:paraId="4DB1103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91" w:type="pct"/>
                  <w:noWrap w:val="0"/>
                  <w:vAlign w:val="center"/>
                </w:tcPr>
                <w:p w14:paraId="0560EE4E">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931" w:type="pct"/>
                  <w:noWrap w:val="0"/>
                  <w:vAlign w:val="center"/>
                </w:tcPr>
                <w:p w14:paraId="6216B64D">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4A93AC1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6ADDDAA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52" w:hRule="atLeast"/>
                <w:jc w:val="center"/>
              </w:trPr>
              <w:tc>
                <w:tcPr>
                  <w:tcW w:w="956" w:type="pct"/>
                  <w:vMerge w:val="restart"/>
                  <w:noWrap w:val="0"/>
                  <w:vAlign w:val="center"/>
                </w:tcPr>
                <w:p w14:paraId="0B1D0209">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CO</w:t>
                  </w:r>
                </w:p>
              </w:tc>
              <w:tc>
                <w:tcPr>
                  <w:tcW w:w="1191" w:type="pct"/>
                  <w:noWrap w:val="0"/>
                  <w:vAlign w:val="center"/>
                </w:tcPr>
                <w:p w14:paraId="0CF18B0F">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931" w:type="pct"/>
                  <w:noWrap w:val="0"/>
                  <w:vAlign w:val="center"/>
                </w:tcPr>
                <w:p w14:paraId="6AEC3E79">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4mg/m</w:t>
                  </w:r>
                  <w:r>
                    <w:rPr>
                      <w:rFonts w:hint="default" w:ascii="Times New Roman" w:hAnsi="Times New Roman" w:eastAsia="宋体" w:cs="Times New Roman"/>
                      <w:color w:val="auto"/>
                      <w:sz w:val="21"/>
                      <w:szCs w:val="21"/>
                      <w:vertAlign w:val="superscript"/>
                      <w:lang w:bidi="ar"/>
                    </w:rPr>
                    <w:t>3</w:t>
                  </w:r>
                </w:p>
              </w:tc>
              <w:tc>
                <w:tcPr>
                  <w:tcW w:w="1920" w:type="pct"/>
                  <w:vMerge w:val="continue"/>
                  <w:noWrap w:val="0"/>
                  <w:vAlign w:val="center"/>
                </w:tcPr>
                <w:p w14:paraId="6D191F11">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7784C93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35" w:hRule="atLeast"/>
                <w:jc w:val="center"/>
              </w:trPr>
              <w:tc>
                <w:tcPr>
                  <w:tcW w:w="956" w:type="pct"/>
                  <w:vMerge w:val="continue"/>
                  <w:noWrap w:val="0"/>
                  <w:vAlign w:val="center"/>
                </w:tcPr>
                <w:p w14:paraId="6BF1A948">
                  <w:pPr>
                    <w:keepNext w:val="0"/>
                    <w:keepLines w:val="0"/>
                    <w:pageBreakBefore w:val="0"/>
                    <w:widowControl w:val="0"/>
                    <w:kinsoku/>
                    <w:wordWrap/>
                    <w:overflowPunct/>
                    <w:topLinePunct w:val="0"/>
                    <w:autoSpaceDE/>
                    <w:bidi w:val="0"/>
                    <w:adjustRightInd w:val="0"/>
                    <w:snapToGrid w:val="0"/>
                    <w:spacing w:line="340" w:lineRule="atLeast"/>
                    <w:rPr>
                      <w:rFonts w:hint="default" w:ascii="Times New Roman" w:hAnsi="Times New Roman" w:eastAsia="宋体" w:cs="Times New Roman"/>
                      <w:color w:val="auto"/>
                      <w:sz w:val="21"/>
                      <w:szCs w:val="21"/>
                    </w:rPr>
                  </w:pPr>
                </w:p>
              </w:tc>
              <w:tc>
                <w:tcPr>
                  <w:tcW w:w="1191" w:type="pct"/>
                  <w:noWrap w:val="0"/>
                  <w:vAlign w:val="center"/>
                </w:tcPr>
                <w:p w14:paraId="6E895052">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1小时平均</w:t>
                  </w:r>
                </w:p>
              </w:tc>
              <w:tc>
                <w:tcPr>
                  <w:tcW w:w="931" w:type="pct"/>
                  <w:noWrap w:val="0"/>
                  <w:vAlign w:val="center"/>
                </w:tcPr>
                <w:p w14:paraId="6E6F279C">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10mg/m</w:t>
                  </w:r>
                  <w:r>
                    <w:rPr>
                      <w:rFonts w:hint="default" w:ascii="Times New Roman" w:hAnsi="Times New Roman" w:eastAsia="宋体" w:cs="Times New Roman"/>
                      <w:color w:val="auto"/>
                      <w:sz w:val="21"/>
                      <w:szCs w:val="21"/>
                      <w:vertAlign w:val="superscript"/>
                      <w:lang w:bidi="ar"/>
                    </w:rPr>
                    <w:t>3</w:t>
                  </w:r>
                </w:p>
              </w:tc>
              <w:tc>
                <w:tcPr>
                  <w:tcW w:w="1920" w:type="pct"/>
                  <w:vMerge w:val="continue"/>
                  <w:noWrap w:val="0"/>
                  <w:vAlign w:val="center"/>
                </w:tcPr>
                <w:p w14:paraId="36B6810D">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6F5DDA5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51" w:hRule="atLeast"/>
                <w:jc w:val="center"/>
              </w:trPr>
              <w:tc>
                <w:tcPr>
                  <w:tcW w:w="956" w:type="pct"/>
                  <w:vMerge w:val="restart"/>
                  <w:noWrap w:val="0"/>
                  <w:vAlign w:val="center"/>
                </w:tcPr>
                <w:p w14:paraId="4EE852C9">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O</w:t>
                  </w:r>
                  <w:r>
                    <w:rPr>
                      <w:rFonts w:hint="default" w:ascii="Times New Roman" w:hAnsi="Times New Roman" w:eastAsia="宋体" w:cs="Times New Roman"/>
                      <w:color w:val="auto"/>
                      <w:sz w:val="21"/>
                      <w:szCs w:val="21"/>
                      <w:vertAlign w:val="subscript"/>
                      <w:lang w:bidi="ar"/>
                    </w:rPr>
                    <w:t>3</w:t>
                  </w:r>
                </w:p>
              </w:tc>
              <w:tc>
                <w:tcPr>
                  <w:tcW w:w="1191" w:type="pct"/>
                  <w:noWrap w:val="0"/>
                  <w:vAlign w:val="center"/>
                </w:tcPr>
                <w:p w14:paraId="40973549">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日最大8小时平均</w:t>
                  </w:r>
                </w:p>
              </w:tc>
              <w:tc>
                <w:tcPr>
                  <w:tcW w:w="931" w:type="pct"/>
                  <w:noWrap w:val="0"/>
                  <w:vAlign w:val="center"/>
                </w:tcPr>
                <w:p w14:paraId="6F8934A7">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160</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2381B866">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775046C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69" w:hRule="atLeast"/>
                <w:jc w:val="center"/>
              </w:trPr>
              <w:tc>
                <w:tcPr>
                  <w:tcW w:w="956" w:type="pct"/>
                  <w:vMerge w:val="continue"/>
                  <w:noWrap w:val="0"/>
                  <w:vAlign w:val="center"/>
                </w:tcPr>
                <w:p w14:paraId="29E97A3B">
                  <w:pPr>
                    <w:keepNext w:val="0"/>
                    <w:keepLines w:val="0"/>
                    <w:pageBreakBefore w:val="0"/>
                    <w:widowControl w:val="0"/>
                    <w:kinsoku/>
                    <w:wordWrap/>
                    <w:overflowPunct/>
                    <w:topLinePunct w:val="0"/>
                    <w:autoSpaceDE/>
                    <w:bidi w:val="0"/>
                    <w:adjustRightInd w:val="0"/>
                    <w:snapToGrid w:val="0"/>
                    <w:spacing w:line="340" w:lineRule="atLeast"/>
                    <w:rPr>
                      <w:rFonts w:hint="default" w:ascii="Times New Roman" w:hAnsi="Times New Roman" w:eastAsia="宋体" w:cs="Times New Roman"/>
                      <w:color w:val="auto"/>
                      <w:sz w:val="21"/>
                      <w:szCs w:val="21"/>
                    </w:rPr>
                  </w:pPr>
                </w:p>
              </w:tc>
              <w:tc>
                <w:tcPr>
                  <w:tcW w:w="1191" w:type="pct"/>
                  <w:noWrap w:val="0"/>
                  <w:vAlign w:val="center"/>
                </w:tcPr>
                <w:p w14:paraId="366276BB">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1小时平均</w:t>
                  </w:r>
                </w:p>
              </w:tc>
              <w:tc>
                <w:tcPr>
                  <w:tcW w:w="931" w:type="pct"/>
                  <w:noWrap w:val="0"/>
                  <w:vAlign w:val="center"/>
                </w:tcPr>
                <w:p w14:paraId="2B272982">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200</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0D243AD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6B677EF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56" w:type="pct"/>
                  <w:noWrap w:val="0"/>
                  <w:vAlign w:val="center"/>
                </w:tcPr>
                <w:p w14:paraId="74B58C17">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w:t>
                  </w:r>
                </w:p>
              </w:tc>
              <w:tc>
                <w:tcPr>
                  <w:tcW w:w="1191" w:type="pct"/>
                  <w:noWrap w:val="0"/>
                  <w:vAlign w:val="center"/>
                </w:tcPr>
                <w:p w14:paraId="6AF439BA">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1小时均值</w:t>
                  </w:r>
                </w:p>
              </w:tc>
              <w:tc>
                <w:tcPr>
                  <w:tcW w:w="931" w:type="pct"/>
                  <w:noWrap w:val="0"/>
                  <w:vAlign w:val="center"/>
                </w:tcPr>
                <w:p w14:paraId="623908B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2.0mg/m</w:t>
                  </w:r>
                  <w:r>
                    <w:rPr>
                      <w:rFonts w:hint="default" w:ascii="Times New Roman" w:hAnsi="Times New Roman" w:eastAsia="宋体" w:cs="Times New Roman"/>
                      <w:color w:val="auto"/>
                      <w:sz w:val="21"/>
                      <w:szCs w:val="21"/>
                      <w:vertAlign w:val="superscript"/>
                    </w:rPr>
                    <w:t>3</w:t>
                  </w:r>
                </w:p>
              </w:tc>
              <w:tc>
                <w:tcPr>
                  <w:tcW w:w="1920" w:type="pct"/>
                  <w:noWrap w:val="0"/>
                  <w:vAlign w:val="center"/>
                </w:tcPr>
                <w:p w14:paraId="521DCD46">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kern w:val="2"/>
                      <w:sz w:val="21"/>
                      <w:szCs w:val="21"/>
                      <w:lang w:val="en-US" w:eastAsia="zh-CN" w:bidi="ar-SA"/>
                    </w:rPr>
                  </w:pPr>
                  <w:r>
                    <w:rPr>
                      <w:rFonts w:hint="eastAsia"/>
                    </w:rPr>
                    <w:t>《大气污染物综合排放标准详解》</w:t>
                  </w:r>
                  <w:r>
                    <w:rPr>
                      <w:rFonts w:hint="eastAsia"/>
                      <w:lang w:eastAsia="zh-CN"/>
                    </w:rPr>
                    <w:t>（</w:t>
                  </w:r>
                  <w:r>
                    <w:t>GB 16297-1996</w:t>
                  </w:r>
                  <w:r>
                    <w:rPr>
                      <w:rFonts w:hint="eastAsia"/>
                      <w:lang w:eastAsia="zh-CN"/>
                    </w:rPr>
                    <w:t>）</w:t>
                  </w:r>
                  <w:r>
                    <w:rPr>
                      <w:rFonts w:hint="eastAsia"/>
                    </w:rPr>
                    <w:t>中的环境背景浓度取值</w:t>
                  </w:r>
                </w:p>
              </w:tc>
            </w:tr>
          </w:tbl>
          <w:p w14:paraId="1AEC688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59" w:name="_Toc4013"/>
            <w:bookmarkStart w:id="60" w:name="_Toc4542"/>
            <w:r>
              <w:rPr>
                <w:rFonts w:hint="default" w:ascii="Times New Roman" w:hAnsi="Times New Roman" w:eastAsia="宋体" w:cs="Times New Roman"/>
                <w:b/>
                <w:bCs/>
                <w:color w:val="auto"/>
                <w:sz w:val="24"/>
                <w:szCs w:val="24"/>
                <w:u w:val="none"/>
                <w:lang w:val="en-US" w:eastAsia="zh-CN"/>
              </w:rPr>
              <w:t>3.1.2环境空气质量现状</w:t>
            </w:r>
            <w:bookmarkEnd w:id="59"/>
            <w:bookmarkEnd w:id="60"/>
          </w:p>
          <w:p w14:paraId="1D82374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常规</w:t>
            </w:r>
            <w:r>
              <w:rPr>
                <w:rFonts w:hint="default" w:ascii="Times New Roman" w:hAnsi="Times New Roman" w:eastAsia="宋体" w:cs="Times New Roman"/>
                <w:color w:val="auto"/>
                <w:sz w:val="24"/>
                <w:szCs w:val="24"/>
              </w:rPr>
              <w:t>污染因子</w:t>
            </w:r>
          </w:p>
          <w:p w14:paraId="21001848">
            <w:pPr>
              <w:keepLines w:val="0"/>
              <w:pageBreakBefore w:val="0"/>
              <w:widowControl w:val="0"/>
              <w:tabs>
                <w:tab w:val="left" w:pos="840"/>
              </w:tabs>
              <w:kinsoku/>
              <w:wordWrap/>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rPr>
              <w:t>①环境质量现状：</w:t>
            </w:r>
            <w:r>
              <w:rPr>
                <w:rFonts w:hint="default" w:ascii="Times New Roman" w:hAnsi="Times New Roman" w:eastAsia="宋体" w:cs="Times New Roman"/>
                <w:color w:val="auto"/>
                <w:kern w:val="0"/>
                <w:sz w:val="24"/>
                <w:szCs w:val="24"/>
              </w:rPr>
              <w:t>按《环境影响评价技术导则大气环境》</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HJ2.2-2018</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要求，城市环境空气质量达标情况评价指标为SO</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、NO</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、PM</w:t>
            </w:r>
            <w:r>
              <w:rPr>
                <w:rFonts w:hint="default" w:ascii="Times New Roman" w:hAnsi="Times New Roman" w:eastAsia="宋体" w:cs="Times New Roman"/>
                <w:color w:val="auto"/>
                <w:kern w:val="0"/>
                <w:sz w:val="24"/>
                <w:szCs w:val="24"/>
                <w:vertAlign w:val="subscript"/>
              </w:rPr>
              <w:t>10</w:t>
            </w:r>
            <w:r>
              <w:rPr>
                <w:rFonts w:hint="default" w:ascii="Times New Roman" w:hAnsi="Times New Roman" w:eastAsia="宋体" w:cs="Times New Roman"/>
                <w:color w:val="auto"/>
                <w:kern w:val="0"/>
                <w:sz w:val="24"/>
                <w:szCs w:val="24"/>
              </w:rPr>
              <w:t>、PM</w:t>
            </w:r>
            <w:r>
              <w:rPr>
                <w:rFonts w:hint="default" w:ascii="Times New Roman" w:hAnsi="Times New Roman" w:eastAsia="宋体" w:cs="Times New Roman"/>
                <w:color w:val="auto"/>
                <w:kern w:val="0"/>
                <w:sz w:val="24"/>
                <w:szCs w:val="24"/>
                <w:vertAlign w:val="subscript"/>
              </w:rPr>
              <w:t>2.5</w:t>
            </w:r>
            <w:r>
              <w:rPr>
                <w:rFonts w:hint="default" w:ascii="Times New Roman" w:hAnsi="Times New Roman" w:eastAsia="宋体" w:cs="Times New Roman"/>
                <w:color w:val="auto"/>
                <w:kern w:val="0"/>
                <w:sz w:val="24"/>
                <w:szCs w:val="24"/>
              </w:rPr>
              <w:t>、CO和O</w:t>
            </w:r>
            <w:r>
              <w:rPr>
                <w:rFonts w:hint="default" w:ascii="Times New Roman" w:hAnsi="Times New Roman" w:eastAsia="宋体" w:cs="Times New Roman"/>
                <w:color w:val="auto"/>
                <w:kern w:val="0"/>
                <w:sz w:val="24"/>
                <w:szCs w:val="24"/>
                <w:vertAlign w:val="subscript"/>
              </w:rPr>
              <w:t>3</w:t>
            </w:r>
            <w:r>
              <w:rPr>
                <w:rFonts w:hint="default" w:ascii="Times New Roman" w:hAnsi="Times New Roman" w:eastAsia="宋体" w:cs="Times New Roman"/>
                <w:color w:val="auto"/>
                <w:kern w:val="0"/>
                <w:sz w:val="24"/>
                <w:szCs w:val="24"/>
              </w:rPr>
              <w:t>，六项污染物全部达标即为城市环境空气质量达标。项目所在区域达标判定，优先采用国家或地方生态环境主管部门公开公布的评价基准年环境质量公告或环境质量报告中的数据或结论。</w:t>
            </w:r>
          </w:p>
          <w:p w14:paraId="6318F058">
            <w:pPr>
              <w:pStyle w:val="43"/>
              <w:keepLines w:val="0"/>
              <w:pageBreakBefore w:val="0"/>
              <w:widowControl w:val="0"/>
              <w:kinsoku/>
              <w:wordWrap/>
              <w:topLinePunct w:val="0"/>
              <w:autoSpaceDE/>
              <w:autoSpaceDN/>
              <w:bidi w:val="0"/>
              <w:ind w:firstLine="480"/>
              <w:textAlignment w:val="auto"/>
              <w:outlineLvl w:val="9"/>
              <w:rPr>
                <w:rFonts w:cs="Times New Roman"/>
                <w:color w:val="auto"/>
                <w:highlight w:val="none"/>
              </w:rPr>
            </w:pPr>
            <w:r>
              <w:rPr>
                <w:rFonts w:hint="default" w:ascii="Times New Roman" w:hAnsi="Times New Roman" w:eastAsia="宋体" w:cs="Times New Roman"/>
                <w:color w:val="auto"/>
                <w:kern w:val="0"/>
                <w:sz w:val="24"/>
                <w:szCs w:val="24"/>
                <w:lang w:val="en-US" w:eastAsia="zh-CN"/>
              </w:rPr>
              <w:t>本次评价</w:t>
            </w:r>
            <w:r>
              <w:rPr>
                <w:rFonts w:hint="default" w:ascii="Times New Roman" w:hAnsi="Times New Roman" w:eastAsia="宋体" w:cs="Times New Roman"/>
                <w:color w:val="auto"/>
                <w:kern w:val="0"/>
                <w:sz w:val="24"/>
                <w:szCs w:val="24"/>
              </w:rPr>
              <w:t>根据</w:t>
            </w:r>
            <w:r>
              <w:rPr>
                <w:rFonts w:cs="Times New Roman"/>
                <w:color w:val="auto"/>
                <w:highlight w:val="none"/>
              </w:rPr>
              <w:t>福建省生态环境厅发布的</w:t>
            </w:r>
            <w:r>
              <w:rPr>
                <w:rFonts w:hint="eastAsia" w:cs="Times New Roman"/>
                <w:color w:val="auto"/>
                <w:highlight w:val="none"/>
              </w:rPr>
              <w:t>“2024年12月福建省城市环境空气质量状况”</w:t>
            </w:r>
            <w:r>
              <w:rPr>
                <w:rFonts w:cs="Times New Roman"/>
                <w:color w:val="auto"/>
                <w:highlight w:val="none"/>
              </w:rPr>
              <w:t>（</w:t>
            </w:r>
            <w:r>
              <w:rPr>
                <w:rFonts w:hint="eastAsia" w:cs="Times New Roman"/>
                <w:color w:val="auto"/>
                <w:highlight w:val="none"/>
              </w:rPr>
              <w:t>https://sthjt.fujian.gov.cn/zwgk/sjfb/hjsj/zlph/202502/t20250208_6712419.htm</w:t>
            </w:r>
            <w:r>
              <w:rPr>
                <w:rFonts w:cs="Times New Roman"/>
                <w:color w:val="auto"/>
                <w:highlight w:val="none"/>
              </w:rPr>
              <w:t>）</w:t>
            </w:r>
            <w:r>
              <w:rPr>
                <w:rFonts w:hint="eastAsia" w:cs="Times New Roman"/>
                <w:color w:val="auto"/>
                <w:highlight w:val="none"/>
              </w:rPr>
              <w:t>显示：</w:t>
            </w:r>
            <w:r>
              <w:rPr>
                <w:rFonts w:hint="eastAsia" w:cs="Times New Roman"/>
                <w:color w:val="auto"/>
                <w:kern w:val="0"/>
                <w:sz w:val="24"/>
                <w:szCs w:val="24"/>
                <w:lang w:val="en-US" w:eastAsia="zh-CN"/>
              </w:rPr>
              <w:t>2024年1-12月，</w:t>
            </w:r>
            <w:r>
              <w:rPr>
                <w:rFonts w:cs="Times New Roman"/>
                <w:color w:val="auto"/>
                <w:highlight w:val="none"/>
              </w:rPr>
              <w:t>福州市环境空气质量综合指数</w:t>
            </w:r>
            <w:r>
              <w:rPr>
                <w:rFonts w:hint="eastAsia" w:cs="Times New Roman"/>
                <w:color w:val="auto"/>
                <w:highlight w:val="none"/>
                <w:lang w:val="en-US" w:eastAsia="zh-CN"/>
              </w:rPr>
              <w:t>2.40</w:t>
            </w:r>
            <w:r>
              <w:rPr>
                <w:rFonts w:cs="Times New Roman"/>
                <w:color w:val="auto"/>
                <w:highlight w:val="none"/>
              </w:rPr>
              <w:t>，达标天数比例在</w:t>
            </w:r>
            <w:r>
              <w:rPr>
                <w:rFonts w:hint="eastAsia" w:cs="Times New Roman"/>
                <w:color w:val="auto"/>
                <w:highlight w:val="none"/>
                <w:lang w:val="en-US" w:eastAsia="zh-CN"/>
              </w:rPr>
              <w:t>98.1</w:t>
            </w:r>
            <w:r>
              <w:rPr>
                <w:rFonts w:cs="Times New Roman"/>
                <w:color w:val="auto"/>
                <w:highlight w:val="none"/>
              </w:rPr>
              <w:t>%，各污染物平均浓度均优于《环境空气质量标准》（GB 3095-2012）中二级标准限值，</w:t>
            </w:r>
            <w:r>
              <w:rPr>
                <w:rFonts w:hint="eastAsia" w:cs="Times New Roman"/>
                <w:color w:val="auto"/>
                <w:highlight w:val="none"/>
              </w:rPr>
              <w:t>福清市</w:t>
            </w:r>
            <w:r>
              <w:rPr>
                <w:rFonts w:cs="Times New Roman"/>
                <w:color w:val="auto"/>
                <w:highlight w:val="none"/>
              </w:rPr>
              <w:t>环境空气质量综合指数</w:t>
            </w:r>
            <w:r>
              <w:rPr>
                <w:rFonts w:hint="eastAsia" w:cs="Times New Roman"/>
                <w:color w:val="auto"/>
                <w:highlight w:val="none"/>
                <w:lang w:val="en-US" w:eastAsia="zh-CN"/>
              </w:rPr>
              <w:t>2.17</w:t>
            </w:r>
            <w:r>
              <w:rPr>
                <w:rFonts w:cs="Times New Roman"/>
                <w:color w:val="auto"/>
                <w:highlight w:val="none"/>
              </w:rPr>
              <w:t>，达标天数比例在</w:t>
            </w:r>
            <w:r>
              <w:rPr>
                <w:rFonts w:hint="eastAsia" w:cs="Times New Roman"/>
                <w:color w:val="auto"/>
                <w:highlight w:val="none"/>
              </w:rPr>
              <w:t>9</w:t>
            </w:r>
            <w:r>
              <w:rPr>
                <w:rFonts w:hint="eastAsia" w:cs="Times New Roman"/>
                <w:color w:val="auto"/>
                <w:highlight w:val="none"/>
                <w:lang w:val="en-US" w:eastAsia="zh-CN"/>
              </w:rPr>
              <w:t>9.7</w:t>
            </w:r>
            <w:r>
              <w:rPr>
                <w:rFonts w:cs="Times New Roman"/>
                <w:color w:val="auto"/>
                <w:highlight w:val="none"/>
              </w:rPr>
              <w:t>%，因此</w:t>
            </w:r>
            <w:r>
              <w:rPr>
                <w:rFonts w:hint="eastAsia" w:cs="Times New Roman"/>
                <w:color w:val="auto"/>
                <w:highlight w:val="none"/>
              </w:rPr>
              <w:t>福清市</w:t>
            </w:r>
            <w:r>
              <w:rPr>
                <w:rFonts w:cs="Times New Roman"/>
                <w:color w:val="auto"/>
                <w:highlight w:val="none"/>
              </w:rPr>
              <w:t>属于达标区</w:t>
            </w:r>
            <w:r>
              <w:rPr>
                <w:rFonts w:hint="eastAsia" w:cs="Times New Roman"/>
                <w:color w:val="auto"/>
                <w:highlight w:val="none"/>
              </w:rPr>
              <w:t>，</w:t>
            </w:r>
            <w:r>
              <w:rPr>
                <w:rFonts w:cs="Times New Roman"/>
                <w:color w:val="auto"/>
                <w:highlight w:val="none"/>
              </w:rPr>
              <w:t>详见图3.1-1</w:t>
            </w:r>
            <w:r>
              <w:rPr>
                <w:rFonts w:hint="eastAsia" w:cs="Times New Roman"/>
                <w:color w:val="auto"/>
                <w:highlight w:val="none"/>
              </w:rPr>
              <w:t>和图3.1-2</w:t>
            </w:r>
            <w:r>
              <w:rPr>
                <w:rFonts w:cs="Times New Roman"/>
                <w:color w:val="auto"/>
                <w:highlight w:val="none"/>
              </w:rPr>
              <w:t>。</w:t>
            </w:r>
          </w:p>
          <w:p w14:paraId="37901496">
            <w:pPr>
              <w:keepLines w:val="0"/>
              <w:pageBreakBefore w:val="0"/>
              <w:widowControl w:val="0"/>
              <w:tabs>
                <w:tab w:val="left" w:pos="840"/>
              </w:tabs>
              <w:kinsoku/>
              <w:wordWrap/>
              <w:topLinePunct w:val="0"/>
              <w:autoSpaceDE/>
              <w:autoSpaceDN/>
              <w:bidi w:val="0"/>
              <w:adjustRightInd/>
              <w:spacing w:line="240" w:lineRule="auto"/>
              <w:ind w:left="0" w:firstLine="0"/>
              <w:textAlignment w:val="auto"/>
              <w:outlineLvl w:val="9"/>
              <w:rPr>
                <w:rFonts w:hint="eastAsia" w:ascii="Times New Roman" w:hAnsi="Times New Roman" w:eastAsia="宋体" w:cs="Times New Roman"/>
                <w:b/>
                <w:bCs w:val="0"/>
                <w:color w:val="auto"/>
                <w:sz w:val="24"/>
                <w:szCs w:val="24"/>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275590</wp:posOffset>
                      </wp:positionH>
                      <wp:positionV relativeFrom="paragraph">
                        <wp:posOffset>1718945</wp:posOffset>
                      </wp:positionV>
                      <wp:extent cx="5067300" cy="238125"/>
                      <wp:effectExtent l="13970" t="13970" r="24130" b="14605"/>
                      <wp:wrapNone/>
                      <wp:docPr id="176" name="矩形 176"/>
                      <wp:cNvGraphicFramePr/>
                      <a:graphic xmlns:a="http://schemas.openxmlformats.org/drawingml/2006/main">
                        <a:graphicData uri="http://schemas.microsoft.com/office/word/2010/wordprocessingShape">
                          <wps:wsp>
                            <wps:cNvSpPr/>
                            <wps:spPr>
                              <a:xfrm>
                                <a:off x="1464945" y="6966585"/>
                                <a:ext cx="5067300" cy="238125"/>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7pt;margin-top:135.35pt;height:18.75pt;width:399pt;z-index:251666432;v-text-anchor:middle;mso-width-relative:page;mso-height-relative:page;" filled="f" stroked="t" coordsize="21600,21600" o:gfxdata="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Pch9sdkAAAAKAQAADwAAAAAAAAABACAAAAAi&#10;AAAAZHJzL2Rvd25yZXYueG1sUEsBAhQAFAAAAAgAh07iQARMjuZ7AgAA2wQAAA4AAAAAAAAAAQAg&#10;AAAAKAEAAGRycy9lMm9Eb2MueG1sUEsFBgAAAAAGAAYAWQEAABUGAAAAAA==&#10;">
                      <v:fill on="f" focussize="0,0"/>
                      <v:stroke weight="2.25pt" color="#FF0000 [2404]" miterlimit="8" joinstyle="miter"/>
                      <v:imagedata o:title=""/>
                      <o:lock v:ext="edit" aspectratio="f"/>
                    </v:rect>
                  </w:pict>
                </mc:Fallback>
              </mc:AlternateContent>
            </w:r>
            <w:r>
              <w:rPr>
                <w:color w:val="auto"/>
                <w:highlight w:val="none"/>
              </w:rPr>
              <w:drawing>
                <wp:anchor distT="0" distB="0" distL="114300" distR="114300" simplePos="0" relativeHeight="251665408" behindDoc="0" locked="0" layoutInCell="1" allowOverlap="1">
                  <wp:simplePos x="0" y="0"/>
                  <wp:positionH relativeFrom="column">
                    <wp:posOffset>635</wp:posOffset>
                  </wp:positionH>
                  <wp:positionV relativeFrom="paragraph">
                    <wp:posOffset>363855</wp:posOffset>
                  </wp:positionV>
                  <wp:extent cx="5462905" cy="3629660"/>
                  <wp:effectExtent l="0" t="0" r="4445" b="8890"/>
                  <wp:wrapNone/>
                  <wp:docPr id="1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
                          <pic:cNvPicPr>
                            <a:picLocks noChangeAspect="1"/>
                          </pic:cNvPicPr>
                        </pic:nvPicPr>
                        <pic:blipFill>
                          <a:blip r:embed="rId20"/>
                          <a:stretch>
                            <a:fillRect/>
                          </a:stretch>
                        </pic:blipFill>
                        <pic:spPr>
                          <a:xfrm>
                            <a:off x="0" y="0"/>
                            <a:ext cx="5462905" cy="3629660"/>
                          </a:xfrm>
                          <a:prstGeom prst="rect">
                            <a:avLst/>
                          </a:prstGeom>
                          <a:noFill/>
                          <a:ln>
                            <a:noFill/>
                          </a:ln>
                        </pic:spPr>
                      </pic:pic>
                    </a:graphicData>
                  </a:graphic>
                </wp:anchor>
              </w:drawing>
            </w:r>
            <w:r>
              <w:drawing>
                <wp:inline distT="0" distB="0" distL="114300" distR="114300">
                  <wp:extent cx="5466080" cy="3946525"/>
                  <wp:effectExtent l="0" t="0" r="1270" b="158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1"/>
                          <a:stretch>
                            <a:fillRect/>
                          </a:stretch>
                        </pic:blipFill>
                        <pic:spPr>
                          <a:xfrm>
                            <a:off x="0" y="0"/>
                            <a:ext cx="5466080" cy="3946525"/>
                          </a:xfrm>
                          <a:prstGeom prst="rect">
                            <a:avLst/>
                          </a:prstGeom>
                          <a:noFill/>
                          <a:ln>
                            <a:noFill/>
                          </a:ln>
                        </pic:spPr>
                      </pic:pic>
                    </a:graphicData>
                  </a:graphic>
                </wp:inline>
              </w:drawing>
            </w:r>
            <w:bookmarkStart w:id="61" w:name="_Toc17982"/>
          </w:p>
          <w:p w14:paraId="3974FB12">
            <w:pPr>
              <w:pStyle w:val="39"/>
              <w:keepNext w:val="0"/>
              <w:keepLines w:val="0"/>
              <w:pageBreakBefore w:val="0"/>
              <w:widowControl w:val="0"/>
              <w:kinsoku/>
              <w:wordWrap/>
              <w:overflowPunct/>
              <w:topLinePunct w:val="0"/>
              <w:autoSpaceDE/>
              <w:autoSpaceDN/>
              <w:bidi w:val="0"/>
              <w:adjustRightInd/>
              <w:snapToGrid/>
              <w:spacing w:after="157" w:afterLines="50" w:line="240" w:lineRule="auto"/>
              <w:ind w:left="0" w:firstLine="0"/>
              <w:jc w:val="center"/>
              <w:textAlignment w:val="auto"/>
              <w:outlineLvl w:val="9"/>
              <w:rPr>
                <w:sz w:val="21"/>
              </w:rPr>
            </w:pPr>
            <w:r>
              <w:rPr>
                <w:rFonts w:hint="eastAsia" w:ascii="Times New Roman" w:hAnsi="Times New Roman" w:eastAsia="宋体" w:cs="Times New Roman"/>
                <w:b/>
                <w:bCs w:val="0"/>
                <w:color w:val="auto"/>
                <w:sz w:val="24"/>
                <w:szCs w:val="24"/>
                <w:lang w:val="en-US" w:eastAsia="zh-CN"/>
              </w:rPr>
              <w:t>图3.1-1 202</w:t>
            </w:r>
            <w:r>
              <w:rPr>
                <w:rFonts w:hint="eastAsia" w:cs="Times New Roman"/>
                <w:b/>
                <w:bCs w:val="0"/>
                <w:color w:val="auto"/>
                <w:sz w:val="24"/>
                <w:szCs w:val="24"/>
                <w:lang w:val="en-US" w:eastAsia="zh-CN"/>
              </w:rPr>
              <w:t>4</w:t>
            </w:r>
            <w:r>
              <w:rPr>
                <w:rFonts w:hint="eastAsia" w:ascii="Times New Roman" w:hAnsi="Times New Roman" w:eastAsia="宋体" w:cs="Times New Roman"/>
                <w:b/>
                <w:bCs w:val="0"/>
                <w:color w:val="auto"/>
                <w:sz w:val="24"/>
                <w:szCs w:val="24"/>
                <w:lang w:val="en-US" w:eastAsia="zh-CN"/>
              </w:rPr>
              <w:t>年1-</w:t>
            </w:r>
            <w:r>
              <w:rPr>
                <w:rFonts w:hint="eastAsia" w:cs="Times New Roman"/>
                <w:b/>
                <w:bCs w:val="0"/>
                <w:color w:val="auto"/>
                <w:sz w:val="24"/>
                <w:szCs w:val="24"/>
                <w:lang w:val="en-US" w:eastAsia="zh-CN"/>
              </w:rPr>
              <w:t>12</w:t>
            </w:r>
            <w:r>
              <w:rPr>
                <w:rFonts w:hint="eastAsia" w:ascii="Times New Roman" w:hAnsi="Times New Roman" w:eastAsia="宋体" w:cs="Times New Roman"/>
                <w:b/>
                <w:bCs w:val="0"/>
                <w:color w:val="auto"/>
                <w:sz w:val="24"/>
                <w:szCs w:val="24"/>
                <w:lang w:val="en-US" w:eastAsia="zh-CN"/>
              </w:rPr>
              <w:t>月设区城市环境空气质量状况截图</w:t>
            </w:r>
            <w:bookmarkEnd w:id="61"/>
            <w:bookmarkStart w:id="62" w:name="_Toc16830"/>
            <w:r>
              <w:rPr>
                <w:sz w:val="21"/>
              </w:rPr>
              <mc:AlternateContent>
                <mc:Choice Requires="wps">
                  <w:drawing>
                    <wp:anchor distT="0" distB="0" distL="114300" distR="114300" simplePos="0" relativeHeight="251668480" behindDoc="0" locked="0" layoutInCell="1" allowOverlap="1">
                      <wp:simplePos x="0" y="0"/>
                      <wp:positionH relativeFrom="column">
                        <wp:posOffset>961390</wp:posOffset>
                      </wp:positionH>
                      <wp:positionV relativeFrom="paragraph">
                        <wp:posOffset>2030095</wp:posOffset>
                      </wp:positionV>
                      <wp:extent cx="4419600" cy="266700"/>
                      <wp:effectExtent l="14605" t="13970" r="23495" b="24130"/>
                      <wp:wrapNone/>
                      <wp:docPr id="178" name="矩形 178"/>
                      <wp:cNvGraphicFramePr/>
                      <a:graphic xmlns:a="http://schemas.openxmlformats.org/drawingml/2006/main">
                        <a:graphicData uri="http://schemas.microsoft.com/office/word/2010/wordprocessingShape">
                          <wps:wsp>
                            <wps:cNvSpPr/>
                            <wps:spPr>
                              <a:xfrm>
                                <a:off x="2141220" y="3329940"/>
                                <a:ext cx="4419600" cy="266700"/>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7pt;margin-top:159.85pt;height:21pt;width:348pt;z-index:251668480;v-text-anchor:middle;mso-width-relative:page;mso-height-relative:page;" filled="f" stroked="t" coordsize="21600,21600" o:gfxdata="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k+ggPZAAAACwEAAA8AAAAAAAAAAQAgAAAAIgAA&#10;AGRycy9kb3ducmV2LnhtbFBLAQIUABQAAAAIAIdO4kBy0VPIeQIAANsEAAAOAAAAAAAAAAEAIAAA&#10;ACgBAABkcnMvZTJvRG9jLnhtbFBLBQYAAAAABgAGAFkBAAATBgAAAAA=&#10;">
                      <v:fill on="f" focussize="0,0"/>
                      <v:stroke weight="2.25pt" color="#FF0000 [2404]" miterlimit="8" joinstyle="miter"/>
                      <v:imagedata o:title=""/>
                      <o:lock v:ext="edit" aspectratio="f"/>
                    </v:rect>
                  </w:pict>
                </mc:Fallback>
              </mc:AlternateContent>
            </w:r>
            <w:bookmarkEnd w:id="62"/>
            <w:bookmarkStart w:id="63" w:name="_Toc24363"/>
          </w:p>
          <w:p w14:paraId="5E2A5677">
            <w:pPr>
              <w:pStyle w:val="39"/>
              <w:keepNext w:val="0"/>
              <w:keepLines w:val="0"/>
              <w:pageBreakBefore w:val="0"/>
              <w:widowControl w:val="0"/>
              <w:kinsoku/>
              <w:wordWrap/>
              <w:overflowPunct/>
              <w:topLinePunct w:val="0"/>
              <w:autoSpaceDE/>
              <w:autoSpaceDN/>
              <w:bidi w:val="0"/>
              <w:adjustRightInd/>
              <w:snapToGrid/>
              <w:spacing w:after="157" w:afterLines="50" w:line="240" w:lineRule="auto"/>
              <w:ind w:left="0" w:firstLine="0"/>
              <w:jc w:val="center"/>
              <w:textAlignment w:val="auto"/>
              <w:outlineLvl w:val="9"/>
              <w:rPr>
                <w:rFonts w:hint="default" w:ascii="Times New Roman" w:hAnsi="Times New Roman" w:eastAsia="宋体" w:cs="Times New Roman"/>
                <w:b/>
                <w:bCs w:val="0"/>
                <w:color w:val="auto"/>
                <w:sz w:val="24"/>
                <w:szCs w:val="24"/>
                <w:lang w:val="en-US"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965200</wp:posOffset>
                      </wp:positionH>
                      <wp:positionV relativeFrom="paragraph">
                        <wp:posOffset>1484630</wp:posOffset>
                      </wp:positionV>
                      <wp:extent cx="4374515" cy="238125"/>
                      <wp:effectExtent l="13970" t="13970" r="31115" b="14605"/>
                      <wp:wrapNone/>
                      <wp:docPr id="52" name="矩形 52"/>
                      <wp:cNvGraphicFramePr/>
                      <a:graphic xmlns:a="http://schemas.openxmlformats.org/drawingml/2006/main">
                        <a:graphicData uri="http://schemas.microsoft.com/office/word/2010/wordprocessingShape">
                          <wps:wsp>
                            <wps:cNvSpPr/>
                            <wps:spPr>
                              <a:xfrm>
                                <a:off x="0" y="0"/>
                                <a:ext cx="4374515" cy="238125"/>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pt;margin-top:116.9pt;height:18.75pt;width:344.45pt;z-index:251669504;v-text-anchor:middle;mso-width-relative:page;mso-height-relative:page;" filled="f" stroked="t" coordsize="21600,21600" o:gfxdata="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rA+sqNkAAAALAQAADwAAAAAAAAABACAAAAAiAAAAZHJzL2Rvd25yZXYu&#10;eG1sUEsBAhQAFAAAAAgAh07iQKCFh/xsAgAAzQQAAA4AAAAAAAAAAQAgAAAAKAEAAGRycy9lMm9E&#10;b2MueG1sUEsFBgAAAAAGAAYAWQEAAAYGAAAAAA==&#10;">
                      <v:fill on="f" focussize="0,0"/>
                      <v:stroke weight="2.25pt" color="#FF0000 [2404]" miterlimit="8" joinstyle="miter"/>
                      <v:imagedata o:title=""/>
                      <o:lock v:ext="edit" aspectratio="f"/>
                    </v:rect>
                  </w:pict>
                </mc:Fallback>
              </mc:AlternateContent>
            </w:r>
            <w:r>
              <w:rPr>
                <w:color w:val="auto"/>
                <w:highlight w:val="none"/>
              </w:rPr>
              <w:drawing>
                <wp:anchor distT="0" distB="0" distL="114300" distR="114300" simplePos="0" relativeHeight="251667456" behindDoc="0" locked="0" layoutInCell="1" allowOverlap="1">
                  <wp:simplePos x="0" y="0"/>
                  <wp:positionH relativeFrom="column">
                    <wp:posOffset>95885</wp:posOffset>
                  </wp:positionH>
                  <wp:positionV relativeFrom="paragraph">
                    <wp:posOffset>36830</wp:posOffset>
                  </wp:positionV>
                  <wp:extent cx="5289550" cy="2591435"/>
                  <wp:effectExtent l="0" t="0" r="6350" b="18415"/>
                  <wp:wrapTopAndBottom/>
                  <wp:docPr id="1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3"/>
                          <pic:cNvPicPr>
                            <a:picLocks noChangeAspect="1"/>
                          </pic:cNvPicPr>
                        </pic:nvPicPr>
                        <pic:blipFill>
                          <a:blip r:embed="rId22"/>
                          <a:stretch>
                            <a:fillRect/>
                          </a:stretch>
                        </pic:blipFill>
                        <pic:spPr>
                          <a:xfrm>
                            <a:off x="0" y="0"/>
                            <a:ext cx="5289550" cy="2591435"/>
                          </a:xfrm>
                          <a:prstGeom prst="rect">
                            <a:avLst/>
                          </a:prstGeom>
                          <a:noFill/>
                          <a:ln>
                            <a:noFill/>
                          </a:ln>
                        </pic:spPr>
                      </pic:pic>
                    </a:graphicData>
                  </a:graphic>
                </wp:anchor>
              </w:drawing>
            </w:r>
            <w:r>
              <w:rPr>
                <w:rFonts w:hint="eastAsia" w:ascii="Times New Roman" w:hAnsi="Times New Roman" w:eastAsia="宋体" w:cs="Times New Roman"/>
                <w:b/>
                <w:bCs w:val="0"/>
                <w:color w:val="auto"/>
                <w:sz w:val="24"/>
                <w:szCs w:val="24"/>
                <w:lang w:val="en-US" w:eastAsia="zh-CN"/>
              </w:rPr>
              <w:t>图3.1-2 202</w:t>
            </w:r>
            <w:r>
              <w:rPr>
                <w:rFonts w:hint="eastAsia" w:cs="Times New Roman"/>
                <w:b/>
                <w:bCs w:val="0"/>
                <w:color w:val="auto"/>
                <w:sz w:val="24"/>
                <w:szCs w:val="24"/>
                <w:lang w:val="en-US" w:eastAsia="zh-CN"/>
              </w:rPr>
              <w:t>4</w:t>
            </w:r>
            <w:r>
              <w:rPr>
                <w:rFonts w:hint="eastAsia" w:ascii="Times New Roman" w:hAnsi="Times New Roman" w:eastAsia="宋体" w:cs="Times New Roman"/>
                <w:b/>
                <w:bCs w:val="0"/>
                <w:color w:val="auto"/>
                <w:sz w:val="24"/>
                <w:szCs w:val="24"/>
                <w:lang w:val="en-US" w:eastAsia="zh-CN"/>
              </w:rPr>
              <w:t>年1-</w:t>
            </w:r>
            <w:r>
              <w:rPr>
                <w:rFonts w:hint="eastAsia" w:cs="Times New Roman"/>
                <w:b/>
                <w:bCs w:val="0"/>
                <w:color w:val="auto"/>
                <w:sz w:val="24"/>
                <w:szCs w:val="24"/>
                <w:lang w:val="en-US" w:eastAsia="zh-CN"/>
              </w:rPr>
              <w:t>12</w:t>
            </w:r>
            <w:r>
              <w:rPr>
                <w:rFonts w:hint="eastAsia" w:ascii="Times New Roman" w:hAnsi="Times New Roman" w:eastAsia="宋体" w:cs="Times New Roman"/>
                <w:b/>
                <w:bCs w:val="0"/>
                <w:color w:val="auto"/>
                <w:sz w:val="24"/>
                <w:szCs w:val="24"/>
                <w:lang w:val="en-US" w:eastAsia="zh-CN"/>
              </w:rPr>
              <w:t>月县级城市环境空气质量状况截图</w:t>
            </w:r>
            <w:bookmarkEnd w:id="63"/>
          </w:p>
          <w:p w14:paraId="48ECA894">
            <w:pPr>
              <w:keepLines w:val="0"/>
              <w:pageBreakBefore w:val="0"/>
              <w:widowControl w:val="0"/>
              <w:kinsoku/>
              <w:wordWrap/>
              <w:topLinePunct w:val="0"/>
              <w:autoSpaceDE/>
              <w:autoSpaceDN/>
              <w:bidi w:val="0"/>
              <w:spacing w:line="360" w:lineRule="auto"/>
              <w:ind w:firstLine="480"/>
              <w:textAlignment w:val="auto"/>
              <w:outlineLvl w:val="9"/>
              <w:rPr>
                <w:rFonts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②引用</w:t>
            </w:r>
            <w:r>
              <w:rPr>
                <w:rFonts w:ascii="Times New Roman" w:hAnsi="Times New Roman" w:eastAsia="宋体" w:cs="Times New Roman"/>
                <w:color w:val="auto"/>
                <w:kern w:val="2"/>
                <w:sz w:val="24"/>
                <w:szCs w:val="24"/>
                <w:highlight w:val="none"/>
                <w:lang w:val="en-US" w:eastAsia="zh-CN" w:bidi="ar-SA"/>
              </w:rPr>
              <w:t>数据有效性分析</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根据《建设项目环境影响报告表编制技术指南（污染影响类）（试行）》（环办环评〔2020〕33号）的要求</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w:t>
            </w:r>
          </w:p>
          <w:p w14:paraId="1732ABA6">
            <w:pPr>
              <w:keepLines w:val="0"/>
              <w:pageBreakBefore w:val="0"/>
              <w:widowControl w:val="0"/>
              <w:kinsoku/>
              <w:wordWrap/>
              <w:topLinePunct w:val="0"/>
              <w:autoSpaceDE/>
              <w:autoSpaceDN/>
              <w:bidi w:val="0"/>
              <w:spacing w:line="336" w:lineRule="auto"/>
              <w:ind w:firstLine="480"/>
              <w:textAlignment w:val="auto"/>
              <w:outlineLvl w:val="9"/>
              <w:rPr>
                <w:rFonts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本次评价选取福建省生态环境厅发布的关于202</w:t>
            </w:r>
            <w:r>
              <w:rPr>
                <w:rFonts w:hint="eastAsia" w:cs="Times New Roman"/>
                <w:color w:val="auto"/>
                <w:kern w:val="2"/>
                <w:sz w:val="24"/>
                <w:szCs w:val="24"/>
                <w:highlight w:val="none"/>
                <w:lang w:val="en-US" w:eastAsia="zh-CN" w:bidi="ar-SA"/>
              </w:rPr>
              <w:t>4</w:t>
            </w:r>
            <w:r>
              <w:rPr>
                <w:rFonts w:hint="eastAsia" w:ascii="Times New Roman" w:hAnsi="Times New Roman" w:eastAsia="宋体" w:cs="Times New Roman"/>
                <w:color w:val="auto"/>
                <w:kern w:val="2"/>
                <w:sz w:val="24"/>
                <w:szCs w:val="24"/>
                <w:highlight w:val="none"/>
                <w:lang w:val="en-US" w:eastAsia="zh-CN" w:bidi="ar-SA"/>
              </w:rPr>
              <w:t>年1-</w:t>
            </w:r>
            <w:r>
              <w:rPr>
                <w:rFonts w:hint="eastAsia" w:cs="Times New Roman"/>
                <w:color w:val="auto"/>
                <w:kern w:val="2"/>
                <w:sz w:val="24"/>
                <w:szCs w:val="24"/>
                <w:highlight w:val="none"/>
                <w:lang w:val="en-US" w:eastAsia="zh-CN" w:bidi="ar-SA"/>
              </w:rPr>
              <w:t>12</w:t>
            </w:r>
            <w:r>
              <w:rPr>
                <w:rFonts w:hint="eastAsia" w:ascii="Times New Roman" w:hAnsi="Times New Roman" w:eastAsia="宋体" w:cs="Times New Roman"/>
                <w:color w:val="auto"/>
                <w:kern w:val="2"/>
                <w:sz w:val="24"/>
                <w:szCs w:val="24"/>
                <w:highlight w:val="none"/>
                <w:lang w:val="en-US" w:eastAsia="zh-CN" w:bidi="ar-SA"/>
              </w:rPr>
              <w:t>月设区城市环境空气质量状况</w:t>
            </w:r>
            <w:r>
              <w:rPr>
                <w:rFonts w:ascii="Times New Roman" w:hAnsi="Times New Roman" w:eastAsia="宋体" w:cs="Times New Roman"/>
                <w:color w:val="auto"/>
                <w:kern w:val="2"/>
                <w:sz w:val="24"/>
                <w:szCs w:val="24"/>
                <w:highlight w:val="none"/>
                <w:lang w:val="en-US" w:eastAsia="zh-CN" w:bidi="ar-SA"/>
              </w:rPr>
              <w:t>，符合《建设项目环境影响报告表编制技术指南（污染影响类）（试行）》（环办环评〔2020〕33号）的要求。</w:t>
            </w:r>
          </w:p>
          <w:p w14:paraId="1E2BF292">
            <w:pPr>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outlineLvl w:val="9"/>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lang w:val="en-US" w:eastAsia="zh-CN"/>
              </w:rPr>
              <w:t>（2）其他</w:t>
            </w:r>
            <w:r>
              <w:rPr>
                <w:rFonts w:hint="eastAsia" w:ascii="Times New Roman" w:hAnsi="Times New Roman" w:eastAsia="宋体" w:cs="Times New Roman"/>
                <w:color w:val="auto"/>
                <w:kern w:val="0"/>
                <w:sz w:val="24"/>
              </w:rPr>
              <w:t>污染因子</w:t>
            </w:r>
          </w:p>
          <w:p w14:paraId="7E196359">
            <w:pPr>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①</w:t>
            </w:r>
            <w:r>
              <w:rPr>
                <w:rFonts w:hint="eastAsia" w:cs="Times New Roman"/>
                <w:color w:val="auto"/>
                <w:kern w:val="0"/>
                <w:sz w:val="24"/>
                <w:lang w:val="en-US" w:eastAsia="zh-CN"/>
              </w:rPr>
              <w:t>颗粒物</w:t>
            </w:r>
          </w:p>
          <w:p w14:paraId="226DAF40">
            <w:pPr>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outlineLvl w:val="9"/>
              <w:rPr>
                <w:rFonts w:hint="eastAsia"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根据环境影响评价网</w:t>
            </w:r>
            <w:r>
              <w:rPr>
                <w:rFonts w:hint="eastAsia" w:cs="Times New Roman"/>
                <w:color w:val="auto"/>
                <w:kern w:val="0"/>
                <w:sz w:val="24"/>
                <w:lang w:val="en-US" w:eastAsia="zh-CN"/>
              </w:rPr>
              <w:t>（</w:t>
            </w:r>
            <w:r>
              <w:rPr>
                <w:rFonts w:hint="default" w:ascii="Times New Roman" w:hAnsi="Times New Roman" w:eastAsia="宋体" w:cs="Times New Roman"/>
                <w:color w:val="auto"/>
                <w:kern w:val="0"/>
                <w:sz w:val="24"/>
                <w:lang w:val="zh-CN" w:eastAsia="zh-CN"/>
              </w:rPr>
              <w:t>生态环境部环</w:t>
            </w:r>
            <w:r>
              <w:rPr>
                <w:rFonts w:hint="default" w:ascii="Times New Roman" w:hAnsi="Times New Roman" w:eastAsia="宋体" w:cs="Times New Roman"/>
                <w:color w:val="auto"/>
                <w:sz w:val="24"/>
                <w:szCs w:val="22"/>
                <w:highlight w:val="none"/>
                <w:lang w:val="zh-CN" w:eastAsia="zh-CN"/>
              </w:rPr>
              <w:t>境工程评估中心</w:t>
            </w:r>
            <w:r>
              <w:rPr>
                <w:rFonts w:hint="eastAsia"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en-US" w:eastAsia="zh-CN"/>
              </w:rPr>
              <w:t>关于</w:t>
            </w:r>
            <w:r>
              <w:rPr>
                <w:rFonts w:hint="default" w:ascii="Times New Roman" w:hAnsi="Times New Roman" w:eastAsia="宋体" w:cs="Times New Roman"/>
                <w:color w:val="auto"/>
                <w:sz w:val="24"/>
                <w:szCs w:val="22"/>
                <w:highlight w:val="none"/>
                <w:lang w:val="zh-CN" w:eastAsia="zh-CN"/>
              </w:rPr>
              <w:t>《建设项目环境影响报告表》内容、格式及编制技术指南常见问题解答：</w:t>
            </w:r>
            <w:r>
              <w:rPr>
                <w:rFonts w:hint="eastAsia"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en-US" w:eastAsia="zh-CN"/>
              </w:rPr>
              <w:t>技术指南中提到</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排放国家、地方环境空气质量标准中有标准限值要求的特征污染物</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，其中环境空气质量标准指《环境空气质量标准》</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GB3095</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和地方的环境空气质量标准，不包括《环境影响评价技术导则 大气环境》</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HJ2.2-2018</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附录D、《大气污染物综合排放标准详解》等导则或参考资料。排放的特征污染物需要在国家、地方环境空气质量标准中有限值要求才涉及现状监测</w:t>
            </w:r>
            <w:r>
              <w:rPr>
                <w:rFonts w:hint="eastAsia" w:cs="Times New Roman"/>
                <w:color w:val="auto"/>
                <w:sz w:val="24"/>
                <w:szCs w:val="22"/>
                <w:highlight w:val="none"/>
                <w:lang w:val="en-US" w:eastAsia="zh-CN"/>
              </w:rPr>
              <w:t>且</w:t>
            </w:r>
            <w:r>
              <w:rPr>
                <w:rFonts w:hint="default" w:ascii="Times New Roman" w:hAnsi="Times New Roman" w:eastAsia="宋体" w:cs="Times New Roman"/>
                <w:color w:val="auto"/>
                <w:sz w:val="24"/>
                <w:szCs w:val="22"/>
                <w:highlight w:val="none"/>
                <w:lang w:val="en-US" w:eastAsia="zh-CN"/>
              </w:rPr>
              <w:t>优先引用现有监测数据</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w:t>
            </w:r>
          </w:p>
          <w:p w14:paraId="3920FC4E">
            <w:pPr>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outlineLvl w:val="9"/>
              <w:rPr>
                <w:rFonts w:hint="eastAsia" w:cs="Times New Roman"/>
                <w:color w:val="auto"/>
                <w:kern w:val="0"/>
                <w:sz w:val="24"/>
                <w:lang w:val="en-US" w:eastAsia="zh-CN"/>
              </w:rPr>
            </w:pPr>
            <w:r>
              <w:rPr>
                <w:rFonts w:hint="eastAsia" w:cs="Times New Roman"/>
                <w:color w:val="auto"/>
                <w:kern w:val="0"/>
                <w:sz w:val="24"/>
                <w:lang w:val="en-US" w:eastAsia="zh-CN"/>
              </w:rPr>
              <w:t>根据建设项目区域环境情况，结合本项目的特征因子，确定本项目大气环境现状调查特征因子为颗粒物，本评价引用《****项目环境影响评价报告表》中于****年**月委托******对项目周边最近敏感点“下田村”空气环境现状进行监测《******现状监测》中的数据。（检测报告</w:t>
            </w:r>
            <w:r>
              <w:rPr>
                <w:rFonts w:hint="eastAsia" w:cs="Times New Roman"/>
                <w:b/>
                <w:bCs/>
                <w:color w:val="auto"/>
                <w:kern w:val="0"/>
                <w:sz w:val="24"/>
                <w:highlight w:val="none"/>
                <w:lang w:val="en-US" w:eastAsia="zh-CN"/>
              </w:rPr>
              <w:t>详见附件十五</w:t>
            </w:r>
            <w:r>
              <w:rPr>
                <w:rFonts w:hint="eastAsia" w:cs="Times New Roman"/>
                <w:color w:val="auto"/>
                <w:kern w:val="0"/>
                <w:sz w:val="24"/>
                <w:lang w:val="en-US" w:eastAsia="zh-CN"/>
              </w:rPr>
              <w:t>），监测点下田村距本项目</w:t>
            </w:r>
            <w:r>
              <w:rPr>
                <w:rFonts w:hint="default" w:cs="Times New Roman"/>
                <w:color w:val="auto"/>
                <w:kern w:val="0"/>
                <w:sz w:val="24"/>
                <w:lang w:val="en-US" w:eastAsia="zh-CN"/>
              </w:rPr>
              <w:t>西南侧约</w:t>
            </w:r>
            <w:r>
              <w:rPr>
                <w:rFonts w:hint="eastAsia" w:cs="Times New Roman"/>
                <w:color w:val="auto"/>
                <w:kern w:val="0"/>
                <w:sz w:val="24"/>
                <w:lang w:val="en-US" w:eastAsia="zh-CN"/>
              </w:rPr>
              <w:t>287</w:t>
            </w:r>
            <w:r>
              <w:rPr>
                <w:rFonts w:hint="default" w:cs="Times New Roman"/>
                <w:color w:val="auto"/>
                <w:kern w:val="0"/>
                <w:sz w:val="24"/>
                <w:lang w:val="en-US" w:eastAsia="zh-CN"/>
              </w:rPr>
              <w:t>m</w:t>
            </w:r>
            <w:r>
              <w:rPr>
                <w:rFonts w:hint="eastAsia" w:cs="Times New Roman"/>
                <w:color w:val="auto"/>
                <w:kern w:val="0"/>
                <w:sz w:val="24"/>
                <w:lang w:val="en-US" w:eastAsia="zh-CN"/>
              </w:rPr>
              <w:t>处。</w:t>
            </w:r>
          </w:p>
          <w:p w14:paraId="5E3DE811">
            <w:pPr>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outlineLvl w:val="9"/>
              <w:rPr>
                <w:rFonts w:hint="default" w:cs="Times New Roman"/>
                <w:color w:val="auto"/>
                <w:kern w:val="0"/>
                <w:sz w:val="24"/>
                <w:lang w:val="en-US" w:eastAsia="zh-CN"/>
              </w:rPr>
            </w:pPr>
            <w:r>
              <w:rPr>
                <w:rFonts w:hint="eastAsia" w:cs="Times New Roman"/>
                <w:color w:val="auto"/>
                <w:kern w:val="0"/>
                <w:sz w:val="24"/>
                <w:lang w:val="en-US" w:eastAsia="zh-CN"/>
              </w:rPr>
              <w:t>引用监测评价结果详见表3.1-2，监测点位于本项目位置关系图详见图3.1-3。</w:t>
            </w:r>
          </w:p>
          <w:p w14:paraId="09BE76B7">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表3.1-2 大气环境质量现状监测结果一览表</w:t>
            </w:r>
          </w:p>
          <w:tbl>
            <w:tblPr>
              <w:tblStyle w:val="24"/>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1736"/>
              <w:gridCol w:w="3623"/>
              <w:gridCol w:w="1256"/>
              <w:gridCol w:w="884"/>
            </w:tblGrid>
            <w:tr w14:paraId="177B1D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4" w:type="pct"/>
                  <w:tcBorders>
                    <w:tl2br w:val="nil"/>
                    <w:tr2bl w:val="nil"/>
                  </w:tcBorders>
                  <w:vAlign w:val="center"/>
                </w:tcPr>
                <w:p w14:paraId="03245EA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default" w:ascii="Times New Roman" w:hAnsi="Times New Roman" w:cs="Times New Roman"/>
                      <w:b w:val="0"/>
                      <w:bCs w:val="0"/>
                      <w:color w:val="auto"/>
                      <w:sz w:val="24"/>
                      <w:szCs w:val="24"/>
                      <w:u w:val="none"/>
                      <w:vertAlign w:val="baseline"/>
                      <w:lang w:val="en-US" w:eastAsia="zh-CN"/>
                    </w:rPr>
                    <w:t>采样监测点位</w:t>
                  </w:r>
                </w:p>
              </w:tc>
              <w:tc>
                <w:tcPr>
                  <w:tcW w:w="1017" w:type="pct"/>
                  <w:tcBorders>
                    <w:tl2br w:val="nil"/>
                    <w:tr2bl w:val="nil"/>
                  </w:tcBorders>
                  <w:vAlign w:val="center"/>
                </w:tcPr>
                <w:p w14:paraId="65EC150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default" w:ascii="Times New Roman" w:hAnsi="Times New Roman" w:cs="Times New Roman"/>
                      <w:b w:val="0"/>
                      <w:bCs w:val="0"/>
                      <w:color w:val="auto"/>
                      <w:sz w:val="24"/>
                      <w:szCs w:val="24"/>
                      <w:u w:val="none"/>
                      <w:vertAlign w:val="baseline"/>
                      <w:lang w:val="en-US" w:eastAsia="zh-CN"/>
                    </w:rPr>
                    <w:t>监测项目</w:t>
                  </w:r>
                </w:p>
              </w:tc>
              <w:tc>
                <w:tcPr>
                  <w:tcW w:w="2123" w:type="pct"/>
                  <w:tcBorders>
                    <w:tl2br w:val="nil"/>
                    <w:tr2bl w:val="nil"/>
                  </w:tcBorders>
                  <w:vAlign w:val="center"/>
                </w:tcPr>
                <w:p w14:paraId="706283C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default" w:ascii="Times New Roman" w:hAnsi="Times New Roman" w:cs="Times New Roman"/>
                      <w:b w:val="0"/>
                      <w:bCs w:val="0"/>
                      <w:color w:val="auto"/>
                      <w:sz w:val="24"/>
                      <w:szCs w:val="24"/>
                      <w:u w:val="none"/>
                      <w:vertAlign w:val="baseline"/>
                      <w:lang w:val="en-US" w:eastAsia="zh-CN"/>
                    </w:rPr>
                    <w:t>采样日期</w:t>
                  </w:r>
                </w:p>
              </w:tc>
              <w:tc>
                <w:tcPr>
                  <w:tcW w:w="736" w:type="pct"/>
                  <w:tcBorders>
                    <w:tl2br w:val="nil"/>
                    <w:tr2bl w:val="nil"/>
                  </w:tcBorders>
                  <w:vAlign w:val="center"/>
                </w:tcPr>
                <w:p w14:paraId="4C893DF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default" w:ascii="Times New Roman" w:hAnsi="Times New Roman" w:cs="Times New Roman"/>
                      <w:b w:val="0"/>
                      <w:bCs w:val="0"/>
                      <w:color w:val="auto"/>
                      <w:sz w:val="24"/>
                      <w:szCs w:val="24"/>
                      <w:u w:val="none"/>
                      <w:vertAlign w:val="baseline"/>
                      <w:lang w:val="en-US" w:eastAsia="zh-CN"/>
                    </w:rPr>
                    <w:t>监测结果</w:t>
                  </w:r>
                </w:p>
              </w:tc>
              <w:tc>
                <w:tcPr>
                  <w:tcW w:w="518" w:type="pct"/>
                  <w:tcBorders>
                    <w:tl2br w:val="nil"/>
                    <w:tr2bl w:val="nil"/>
                  </w:tcBorders>
                  <w:vAlign w:val="center"/>
                </w:tcPr>
                <w:p w14:paraId="39B4D69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default" w:ascii="Times New Roman" w:hAnsi="Times New Roman" w:cs="Times New Roman"/>
                      <w:b w:val="0"/>
                      <w:bCs w:val="0"/>
                      <w:color w:val="auto"/>
                      <w:sz w:val="24"/>
                      <w:szCs w:val="24"/>
                      <w:u w:val="none"/>
                      <w:vertAlign w:val="baseline"/>
                      <w:lang w:val="en-US" w:eastAsia="zh-CN"/>
                    </w:rPr>
                    <w:t>单位</w:t>
                  </w:r>
                </w:p>
              </w:tc>
            </w:tr>
            <w:tr w14:paraId="573AA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4" w:type="pct"/>
                  <w:vMerge w:val="restart"/>
                  <w:tcBorders>
                    <w:tl2br w:val="nil"/>
                    <w:tr2bl w:val="nil"/>
                  </w:tcBorders>
                  <w:vAlign w:val="center"/>
                </w:tcPr>
                <w:p w14:paraId="1EBA49D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eastAsia" w:ascii="Times New Roman" w:hAnsi="Times New Roman" w:cs="Times New Roman"/>
                      <w:b w:val="0"/>
                      <w:bCs w:val="0"/>
                      <w:color w:val="auto"/>
                      <w:sz w:val="24"/>
                      <w:szCs w:val="24"/>
                      <w:u w:val="none"/>
                      <w:vertAlign w:val="baseline"/>
                      <w:lang w:val="en-US" w:eastAsia="zh-CN"/>
                    </w:rPr>
                    <w:t>下田村</w:t>
                  </w:r>
                </w:p>
              </w:tc>
              <w:tc>
                <w:tcPr>
                  <w:tcW w:w="1017" w:type="pct"/>
                  <w:vMerge w:val="restart"/>
                  <w:tcBorders>
                    <w:tl2br w:val="nil"/>
                    <w:tr2bl w:val="nil"/>
                  </w:tcBorders>
                  <w:vAlign w:val="center"/>
                </w:tcPr>
                <w:p w14:paraId="2D66D66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b w:val="0"/>
                      <w:bCs w:val="0"/>
                      <w:color w:val="auto"/>
                      <w:sz w:val="24"/>
                      <w:szCs w:val="24"/>
                      <w:u w:val="none"/>
                      <w:vertAlign w:val="baseline"/>
                      <w:lang w:val="en-US" w:eastAsia="zh-CN"/>
                    </w:rPr>
                  </w:pPr>
                  <w:r>
                    <w:rPr>
                      <w:rFonts w:hint="eastAsia" w:ascii="Times New Roman" w:hAnsi="Times New Roman" w:cs="Times New Roman"/>
                      <w:b w:val="0"/>
                      <w:bCs w:val="0"/>
                      <w:color w:val="auto"/>
                      <w:sz w:val="24"/>
                      <w:szCs w:val="24"/>
                      <w:u w:val="none"/>
                      <w:vertAlign w:val="baseline"/>
                      <w:lang w:val="en-US" w:eastAsia="zh-CN"/>
                    </w:rPr>
                    <w:t>总悬浮颗粒物</w:t>
                  </w:r>
                </w:p>
                <w:p w14:paraId="3D7809E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sz w:val="24"/>
                      <w:szCs w:val="24"/>
                      <w:u w:val="none"/>
                      <w:vertAlign w:val="baseline"/>
                      <w:lang w:val="en-US" w:eastAsia="zh-CN"/>
                    </w:rPr>
                  </w:pP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TSP</w:t>
                  </w:r>
                  <w:r>
                    <w:rPr>
                      <w:rFonts w:hint="eastAsia" w:cs="Times New Roman"/>
                      <w:b w:val="0"/>
                      <w:bCs w:val="0"/>
                      <w:color w:val="auto"/>
                      <w:sz w:val="24"/>
                      <w:szCs w:val="24"/>
                      <w:u w:val="none"/>
                      <w:vertAlign w:val="baseline"/>
                      <w:lang w:val="en-US" w:eastAsia="zh-CN"/>
                    </w:rPr>
                    <w:t>)</w:t>
                  </w:r>
                </w:p>
              </w:tc>
              <w:tc>
                <w:tcPr>
                  <w:tcW w:w="2123" w:type="pct"/>
                  <w:tcBorders>
                    <w:tl2br w:val="nil"/>
                    <w:tr2bl w:val="nil"/>
                  </w:tcBorders>
                  <w:vAlign w:val="center"/>
                </w:tcPr>
                <w:p w14:paraId="33E2D1E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年</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月</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日-</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月</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日</w:t>
                  </w:r>
                </w:p>
              </w:tc>
              <w:tc>
                <w:tcPr>
                  <w:tcW w:w="736" w:type="pct"/>
                  <w:tcBorders>
                    <w:tl2br w:val="nil"/>
                    <w:tr2bl w:val="nil"/>
                  </w:tcBorders>
                  <w:vAlign w:val="center"/>
                </w:tcPr>
                <w:p w14:paraId="0CECBD0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eastAsia" w:cs="Times New Roman"/>
                      <w:b w:val="0"/>
                      <w:bCs w:val="0"/>
                      <w:color w:val="auto"/>
                      <w:sz w:val="24"/>
                      <w:szCs w:val="24"/>
                      <w:u w:val="none"/>
                      <w:vertAlign w:val="baseline"/>
                      <w:lang w:val="en-US" w:eastAsia="zh-CN"/>
                    </w:rPr>
                    <w:t>****</w:t>
                  </w:r>
                </w:p>
              </w:tc>
              <w:tc>
                <w:tcPr>
                  <w:tcW w:w="518" w:type="pct"/>
                  <w:vMerge w:val="restart"/>
                  <w:tcBorders>
                    <w:tl2br w:val="nil"/>
                    <w:tr2bl w:val="nil"/>
                  </w:tcBorders>
                  <w:vAlign w:val="center"/>
                </w:tcPr>
                <w:p w14:paraId="5F78A34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eastAsia" w:ascii="Times New Roman" w:hAnsi="Times New Roman" w:cs="Times New Roman"/>
                      <w:b w:val="0"/>
                      <w:bCs w:val="0"/>
                      <w:color w:val="auto"/>
                      <w:sz w:val="24"/>
                      <w:szCs w:val="24"/>
                      <w:u w:val="none"/>
                      <w:vertAlign w:val="baseline"/>
                      <w:lang w:val="en-US" w:eastAsia="zh-CN"/>
                    </w:rPr>
                    <w:t>mg/m</w:t>
                  </w:r>
                  <w:r>
                    <w:rPr>
                      <w:rFonts w:hint="eastAsia" w:ascii="Times New Roman" w:hAnsi="Times New Roman" w:cs="Times New Roman"/>
                      <w:b w:val="0"/>
                      <w:bCs w:val="0"/>
                      <w:color w:val="auto"/>
                      <w:sz w:val="24"/>
                      <w:szCs w:val="24"/>
                      <w:u w:val="none"/>
                      <w:vertAlign w:val="superscript"/>
                      <w:lang w:val="en-US" w:eastAsia="zh-CN"/>
                    </w:rPr>
                    <w:t>3</w:t>
                  </w:r>
                </w:p>
              </w:tc>
            </w:tr>
            <w:tr w14:paraId="00155C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4" w:type="pct"/>
                  <w:vMerge w:val="continue"/>
                  <w:tcBorders>
                    <w:tl2br w:val="nil"/>
                    <w:tr2bl w:val="nil"/>
                  </w:tcBorders>
                  <w:vAlign w:val="center"/>
                </w:tcPr>
                <w:p w14:paraId="7CB5143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b w:val="0"/>
                      <w:bCs w:val="0"/>
                      <w:color w:val="auto"/>
                      <w:sz w:val="24"/>
                      <w:szCs w:val="24"/>
                      <w:u w:val="none"/>
                      <w:vertAlign w:val="baseline"/>
                      <w:lang w:val="en-US" w:eastAsia="zh-CN"/>
                    </w:rPr>
                  </w:pPr>
                </w:p>
              </w:tc>
              <w:tc>
                <w:tcPr>
                  <w:tcW w:w="1017" w:type="pct"/>
                  <w:vMerge w:val="continue"/>
                  <w:tcBorders>
                    <w:tl2br w:val="nil"/>
                    <w:tr2bl w:val="nil"/>
                  </w:tcBorders>
                  <w:vAlign w:val="center"/>
                </w:tcPr>
                <w:p w14:paraId="6EDE738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b w:val="0"/>
                      <w:bCs w:val="0"/>
                      <w:color w:val="auto"/>
                      <w:sz w:val="24"/>
                      <w:szCs w:val="24"/>
                      <w:u w:val="none"/>
                      <w:vertAlign w:val="baseline"/>
                      <w:lang w:val="en-US" w:eastAsia="zh-CN"/>
                    </w:rPr>
                  </w:pPr>
                </w:p>
              </w:tc>
              <w:tc>
                <w:tcPr>
                  <w:tcW w:w="2123" w:type="pct"/>
                  <w:tcBorders>
                    <w:tl2br w:val="nil"/>
                    <w:tr2bl w:val="nil"/>
                  </w:tcBorders>
                  <w:vAlign w:val="center"/>
                </w:tcPr>
                <w:p w14:paraId="199571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年</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月</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日-</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月</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日</w:t>
                  </w:r>
                </w:p>
              </w:tc>
              <w:tc>
                <w:tcPr>
                  <w:tcW w:w="736" w:type="pct"/>
                  <w:tcBorders>
                    <w:tl2br w:val="nil"/>
                    <w:tr2bl w:val="nil"/>
                  </w:tcBorders>
                  <w:vAlign w:val="center"/>
                </w:tcPr>
                <w:p w14:paraId="4B2CAD5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eastAsia" w:cs="Times New Roman"/>
                      <w:b w:val="0"/>
                      <w:bCs w:val="0"/>
                      <w:color w:val="auto"/>
                      <w:sz w:val="24"/>
                      <w:szCs w:val="24"/>
                      <w:u w:val="none"/>
                      <w:vertAlign w:val="baseline"/>
                      <w:lang w:val="en-US" w:eastAsia="zh-CN"/>
                    </w:rPr>
                    <w:t>****</w:t>
                  </w:r>
                </w:p>
              </w:tc>
              <w:tc>
                <w:tcPr>
                  <w:tcW w:w="518" w:type="pct"/>
                  <w:vMerge w:val="continue"/>
                  <w:tcBorders>
                    <w:tl2br w:val="nil"/>
                    <w:tr2bl w:val="nil"/>
                  </w:tcBorders>
                  <w:vAlign w:val="center"/>
                </w:tcPr>
                <w:p w14:paraId="6F85721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p>
              </w:tc>
            </w:tr>
            <w:tr w14:paraId="39D4EC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4" w:type="pct"/>
                  <w:vMerge w:val="continue"/>
                  <w:tcBorders>
                    <w:tl2br w:val="nil"/>
                    <w:tr2bl w:val="nil"/>
                  </w:tcBorders>
                  <w:vAlign w:val="center"/>
                </w:tcPr>
                <w:p w14:paraId="515048C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b w:val="0"/>
                      <w:bCs w:val="0"/>
                      <w:color w:val="auto"/>
                      <w:sz w:val="24"/>
                      <w:szCs w:val="24"/>
                      <w:u w:val="none"/>
                      <w:vertAlign w:val="baseline"/>
                      <w:lang w:val="en-US" w:eastAsia="zh-CN"/>
                    </w:rPr>
                  </w:pPr>
                </w:p>
              </w:tc>
              <w:tc>
                <w:tcPr>
                  <w:tcW w:w="1017" w:type="pct"/>
                  <w:vMerge w:val="continue"/>
                  <w:tcBorders>
                    <w:tl2br w:val="nil"/>
                    <w:tr2bl w:val="nil"/>
                  </w:tcBorders>
                  <w:vAlign w:val="center"/>
                </w:tcPr>
                <w:p w14:paraId="13AAB19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b w:val="0"/>
                      <w:bCs w:val="0"/>
                      <w:color w:val="auto"/>
                      <w:sz w:val="24"/>
                      <w:szCs w:val="24"/>
                      <w:u w:val="none"/>
                      <w:vertAlign w:val="baseline"/>
                      <w:lang w:val="en-US" w:eastAsia="zh-CN"/>
                    </w:rPr>
                  </w:pPr>
                </w:p>
              </w:tc>
              <w:tc>
                <w:tcPr>
                  <w:tcW w:w="2123" w:type="pct"/>
                  <w:tcBorders>
                    <w:tl2br w:val="nil"/>
                    <w:tr2bl w:val="nil"/>
                  </w:tcBorders>
                  <w:vAlign w:val="center"/>
                </w:tcPr>
                <w:p w14:paraId="27C939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年</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月</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日-</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月</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日</w:t>
                  </w:r>
                </w:p>
              </w:tc>
              <w:tc>
                <w:tcPr>
                  <w:tcW w:w="736" w:type="pct"/>
                  <w:tcBorders>
                    <w:tl2br w:val="nil"/>
                    <w:tr2bl w:val="nil"/>
                  </w:tcBorders>
                  <w:vAlign w:val="center"/>
                </w:tcPr>
                <w:p w14:paraId="0802A6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eastAsia" w:cs="Times New Roman"/>
                      <w:b w:val="0"/>
                      <w:bCs w:val="0"/>
                      <w:color w:val="auto"/>
                      <w:sz w:val="24"/>
                      <w:szCs w:val="24"/>
                      <w:u w:val="none"/>
                      <w:vertAlign w:val="baseline"/>
                      <w:lang w:val="en-US" w:eastAsia="zh-CN"/>
                    </w:rPr>
                    <w:t>****</w:t>
                  </w:r>
                </w:p>
              </w:tc>
              <w:tc>
                <w:tcPr>
                  <w:tcW w:w="518" w:type="pct"/>
                  <w:vMerge w:val="continue"/>
                  <w:tcBorders>
                    <w:tl2br w:val="nil"/>
                    <w:tr2bl w:val="nil"/>
                  </w:tcBorders>
                  <w:vAlign w:val="center"/>
                </w:tcPr>
                <w:p w14:paraId="635CCB6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p>
              </w:tc>
            </w:tr>
          </w:tbl>
          <w:p w14:paraId="5A9D4770">
            <w:pPr>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outlineLvl w:val="9"/>
              <w:rPr>
                <w:rFonts w:hint="eastAsia" w:cs="Times New Roman"/>
                <w:color w:val="auto"/>
                <w:sz w:val="24"/>
                <w:szCs w:val="22"/>
                <w:highlight w:val="none"/>
                <w:vertAlign w:val="baseline"/>
                <w:lang w:val="en-US" w:eastAsia="zh-CN"/>
              </w:rPr>
            </w:pPr>
            <w:r>
              <w:rPr>
                <w:rFonts w:hint="eastAsia" w:ascii="Times New Roman" w:hAnsi="Times New Roman" w:eastAsia="宋体" w:cs="Times New Roman"/>
                <w:color w:val="auto"/>
                <w:sz w:val="24"/>
                <w:szCs w:val="22"/>
                <w:highlight w:val="none"/>
                <w:lang w:val="en-US" w:eastAsia="zh-CN"/>
              </w:rPr>
              <w:t>根据表3.1-2</w:t>
            </w:r>
            <w:r>
              <w:rPr>
                <w:rFonts w:hint="eastAsia" w:cs="Times New Roman"/>
                <w:color w:val="auto"/>
                <w:sz w:val="24"/>
                <w:szCs w:val="22"/>
                <w:highlight w:val="none"/>
                <w:lang w:val="en-US" w:eastAsia="zh-CN"/>
              </w:rPr>
              <w:t>可知，项目所在区域内特征污染因子总悬浮颗粒物（TSP）浓度值可符合本评价选用的标准要求300ug/m</w:t>
            </w:r>
            <w:r>
              <w:rPr>
                <w:rFonts w:hint="eastAsia" w:cs="Times New Roman"/>
                <w:color w:val="auto"/>
                <w:sz w:val="24"/>
                <w:szCs w:val="22"/>
                <w:highlight w:val="none"/>
                <w:vertAlign w:val="superscript"/>
                <w:lang w:val="en-US" w:eastAsia="zh-CN"/>
              </w:rPr>
              <w:t>3</w:t>
            </w:r>
            <w:r>
              <w:rPr>
                <w:rFonts w:hint="eastAsia" w:cs="Times New Roman"/>
                <w:color w:val="auto"/>
                <w:sz w:val="24"/>
                <w:szCs w:val="22"/>
                <w:highlight w:val="none"/>
                <w:vertAlign w:val="baseline"/>
                <w:lang w:val="en-US" w:eastAsia="zh-CN"/>
              </w:rPr>
              <w:t>（参照执行《环境空气质量标准》（GB3096-2012）表2 环境空气污染物其他浓度限值中总悬浮颗粒物（TSP）24小时平均值）。</w:t>
            </w:r>
          </w:p>
          <w:p w14:paraId="58092811">
            <w:pPr>
              <w:keepLines w:val="0"/>
              <w:pageBreakBefore w:val="0"/>
              <w:widowControl w:val="0"/>
              <w:kinsoku/>
              <w:wordWrap/>
              <w:topLinePunct w:val="0"/>
              <w:autoSpaceDE/>
              <w:autoSpaceDN/>
              <w:bidi w:val="0"/>
              <w:adjustRightInd w:val="0"/>
              <w:snapToGrid w:val="0"/>
              <w:spacing w:line="360" w:lineRule="auto"/>
              <w:jc w:val="left"/>
              <w:textAlignment w:val="auto"/>
              <w:outlineLvl w:val="9"/>
              <w:rPr>
                <w:rFonts w:hint="default" w:cs="Times New Roman"/>
                <w:color w:val="auto"/>
                <w:sz w:val="24"/>
                <w:szCs w:val="22"/>
                <w:highlight w:val="none"/>
                <w:vertAlign w:val="baseline"/>
                <w:lang w:val="en-US" w:eastAsia="zh-CN"/>
              </w:rPr>
            </w:pPr>
            <w:r>
              <w:drawing>
                <wp:inline distT="0" distB="0" distL="114300" distR="114300">
                  <wp:extent cx="5492750" cy="3632835"/>
                  <wp:effectExtent l="0" t="0" r="12700" b="571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3"/>
                          <a:stretch>
                            <a:fillRect/>
                          </a:stretch>
                        </pic:blipFill>
                        <pic:spPr>
                          <a:xfrm>
                            <a:off x="0" y="0"/>
                            <a:ext cx="5492750" cy="3632835"/>
                          </a:xfrm>
                          <a:prstGeom prst="rect">
                            <a:avLst/>
                          </a:prstGeom>
                          <a:noFill/>
                          <a:ln>
                            <a:noFill/>
                          </a:ln>
                        </pic:spPr>
                      </pic:pic>
                    </a:graphicData>
                  </a:graphic>
                </wp:inline>
              </w:drawing>
            </w:r>
            <w:r>
              <w:rPr>
                <w:sz w:val="21"/>
              </w:rPr>
              <mc:AlternateContent>
                <mc:Choice Requires="wps">
                  <w:drawing>
                    <wp:anchor distT="0" distB="0" distL="114300" distR="114300" simplePos="0" relativeHeight="251676672" behindDoc="0" locked="0" layoutInCell="1" allowOverlap="1">
                      <wp:simplePos x="0" y="0"/>
                      <wp:positionH relativeFrom="column">
                        <wp:posOffset>2277745</wp:posOffset>
                      </wp:positionH>
                      <wp:positionV relativeFrom="paragraph">
                        <wp:posOffset>1473200</wp:posOffset>
                      </wp:positionV>
                      <wp:extent cx="781050" cy="267335"/>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781050"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E8E49A">
                                  <w:pPr>
                                    <w:keepNext w:val="0"/>
                                    <w:keepLines w:val="0"/>
                                    <w:pageBreakBefore w:val="0"/>
                                    <w:widowControl w:val="0"/>
                                    <w:kinsoku/>
                                    <w:wordWrap/>
                                    <w:overflowPunct/>
                                    <w:topLinePunct w:val="0"/>
                                    <w:bidi w:val="0"/>
                                    <w:adjustRightInd/>
                                    <w:snapToGrid/>
                                    <w:textAlignment w:val="auto"/>
                                    <w:rPr>
                                      <w:rFonts w:hint="default" w:eastAsia="宋体"/>
                                      <w:b/>
                                      <w:bCs/>
                                      <w:color w:val="FF0000"/>
                                      <w:sz w:val="18"/>
                                      <w:szCs w:val="18"/>
                                      <w:lang w:val="en-US" w:eastAsia="zh-CN"/>
                                    </w:rPr>
                                  </w:pPr>
                                  <w:r>
                                    <w:rPr>
                                      <w:rFonts w:hint="eastAsia"/>
                                      <w:b/>
                                      <w:bCs/>
                                      <w:color w:val="FF0000"/>
                                      <w:sz w:val="18"/>
                                      <w:szCs w:val="18"/>
                                      <w:lang w:val="en-US" w:eastAsia="zh-CN"/>
                                    </w:rPr>
                                    <w:t>287m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35pt;margin-top:116pt;height:21.05pt;width:61.5pt;z-index:251676672;mso-width-relative:page;mso-height-relative:page;" filled="f" stroked="f" coordsize="21600,21600" o:gfxdata="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S/0l3aAAAACwEAAA8AAAAAAAAAAQAgAAAAIgAAAGRy&#10;cy9kb3ducmV2LnhtbFBLAQIUABQAAAAIAIdO4kDzvtKRPAIAAGkEAAAOAAAAAAAAAAEAIAAAACkB&#10;AABkcnMvZTJvRG9jLnhtbFBLBQYAAAAABgAGAFkBAADXBQAAAAA=&#10;">
                      <v:fill on="f" focussize="0,0"/>
                      <v:stroke on="f" weight="0.5pt"/>
                      <v:imagedata o:title=""/>
                      <o:lock v:ext="edit" aspectratio="f"/>
                      <v:textbox>
                        <w:txbxContent>
                          <w:p w14:paraId="39E8E49A">
                            <w:pPr>
                              <w:keepNext w:val="0"/>
                              <w:keepLines w:val="0"/>
                              <w:pageBreakBefore w:val="0"/>
                              <w:widowControl w:val="0"/>
                              <w:kinsoku/>
                              <w:wordWrap/>
                              <w:overflowPunct/>
                              <w:topLinePunct w:val="0"/>
                              <w:bidi w:val="0"/>
                              <w:adjustRightInd/>
                              <w:snapToGrid/>
                              <w:textAlignment w:val="auto"/>
                              <w:rPr>
                                <w:rFonts w:hint="default" w:eastAsia="宋体"/>
                                <w:b/>
                                <w:bCs/>
                                <w:color w:val="FF0000"/>
                                <w:sz w:val="18"/>
                                <w:szCs w:val="18"/>
                                <w:lang w:val="en-US" w:eastAsia="zh-CN"/>
                              </w:rPr>
                            </w:pPr>
                            <w:r>
                              <w:rPr>
                                <w:rFonts w:hint="eastAsia"/>
                                <w:b/>
                                <w:bCs/>
                                <w:color w:val="FF0000"/>
                                <w:sz w:val="18"/>
                                <w:szCs w:val="18"/>
                                <w:lang w:val="en-US" w:eastAsia="zh-CN"/>
                              </w:rPr>
                              <w:t>287m</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2805430</wp:posOffset>
                      </wp:positionH>
                      <wp:positionV relativeFrom="paragraph">
                        <wp:posOffset>692150</wp:posOffset>
                      </wp:positionV>
                      <wp:extent cx="781050" cy="267335"/>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781050"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721B5A">
                                  <w:pPr>
                                    <w:keepNext w:val="0"/>
                                    <w:keepLines w:val="0"/>
                                    <w:pageBreakBefore w:val="0"/>
                                    <w:widowControl w:val="0"/>
                                    <w:kinsoku/>
                                    <w:wordWrap/>
                                    <w:overflowPunct/>
                                    <w:topLinePunct w:val="0"/>
                                    <w:bidi w:val="0"/>
                                    <w:adjustRightInd/>
                                    <w:snapToGrid/>
                                    <w:textAlignment w:val="auto"/>
                                    <w:rPr>
                                      <w:rFonts w:hint="default" w:eastAsia="宋体"/>
                                      <w:b/>
                                      <w:bCs/>
                                      <w:color w:val="FFFF00"/>
                                      <w:sz w:val="18"/>
                                      <w:szCs w:val="18"/>
                                      <w:lang w:val="en-US" w:eastAsia="zh-CN"/>
                                    </w:rPr>
                                  </w:pPr>
                                  <w:r>
                                    <w:rPr>
                                      <w:rFonts w:hint="eastAsia"/>
                                      <w:b/>
                                      <w:bCs/>
                                      <w:color w:val="FFFF00"/>
                                      <w:sz w:val="18"/>
                                      <w:szCs w:val="18"/>
                                      <w:lang w:val="en-US" w:eastAsia="zh-CN"/>
                                    </w:rPr>
                                    <w:t>本项目位置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9pt;margin-top:54.5pt;height:21.05pt;width:61.5pt;z-index:251671552;mso-width-relative:page;mso-height-relative:page;" filled="f" stroked="f" coordsize="21600,21600" o:gfxdata="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A7H112gAAAAsBAAAPAAAAAAAAAAEAIAAAACIAAABkcnMv&#10;ZG93bnJldi54bWxQSwECFAAUAAAACACHTuJAY/UbFDoCAABpBAAADgAAAAAAAAABACAAAAApAQAA&#10;ZHJzL2Uyb0RvYy54bWxQSwUGAAAAAAYABgBZAQAA1QUAAAAA&#10;">
                      <v:fill on="f" focussize="0,0"/>
                      <v:stroke on="f" weight="0.5pt"/>
                      <v:imagedata o:title=""/>
                      <o:lock v:ext="edit" aspectratio="f"/>
                      <v:textbox>
                        <w:txbxContent>
                          <w:p w14:paraId="29721B5A">
                            <w:pPr>
                              <w:keepNext w:val="0"/>
                              <w:keepLines w:val="0"/>
                              <w:pageBreakBefore w:val="0"/>
                              <w:widowControl w:val="0"/>
                              <w:kinsoku/>
                              <w:wordWrap/>
                              <w:overflowPunct/>
                              <w:topLinePunct w:val="0"/>
                              <w:bidi w:val="0"/>
                              <w:adjustRightInd/>
                              <w:snapToGrid/>
                              <w:textAlignment w:val="auto"/>
                              <w:rPr>
                                <w:rFonts w:hint="default" w:eastAsia="宋体"/>
                                <w:b/>
                                <w:bCs/>
                                <w:color w:val="FFFF00"/>
                                <w:sz w:val="18"/>
                                <w:szCs w:val="18"/>
                                <w:lang w:val="en-US" w:eastAsia="zh-CN"/>
                              </w:rPr>
                            </w:pPr>
                            <w:r>
                              <w:rPr>
                                <w:rFonts w:hint="eastAsia"/>
                                <w:b/>
                                <w:bCs/>
                                <w:color w:val="FFFF00"/>
                                <w:sz w:val="18"/>
                                <w:szCs w:val="18"/>
                                <w:lang w:val="en-US" w:eastAsia="zh-CN"/>
                              </w:rPr>
                              <w:t>本项目位置</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2936875</wp:posOffset>
                      </wp:positionH>
                      <wp:positionV relativeFrom="paragraph">
                        <wp:posOffset>1299210</wp:posOffset>
                      </wp:positionV>
                      <wp:extent cx="506095" cy="190500"/>
                      <wp:effectExtent l="32385" t="136525" r="33020" b="149225"/>
                      <wp:wrapNone/>
                      <wp:docPr id="145" name="矩形 145"/>
                      <wp:cNvGraphicFramePr/>
                      <a:graphic xmlns:a="http://schemas.openxmlformats.org/drawingml/2006/main">
                        <a:graphicData uri="http://schemas.microsoft.com/office/word/2010/wordprocessingShape">
                          <wps:wsp>
                            <wps:cNvSpPr/>
                            <wps:spPr>
                              <a:xfrm rot="19740000">
                                <a:off x="4133850" y="5081270"/>
                                <a:ext cx="506095" cy="190500"/>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25pt;margin-top:102.3pt;height:15pt;width:39.85pt;rotation:-2031616f;z-index:251672576;v-text-anchor:middle;mso-width-relative:page;mso-height-relative:page;" filled="f" stroked="t" coordsize="21600,21600" o:gfxdata="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MI8LSXXAAAACwEAAA8AAAAAAAAAAQAg&#10;AAAAIgAAAGRycy9kb3ducmV2LnhtbFBLAQIUABQAAAAIAIdO4kANyuxCgQIAAOkEAAAOAAAAAAAA&#10;AAEAIAAAACYBAABkcnMvZTJvRG9jLnhtbFBLBQYAAAAABgAGAFkBAAAZBgAAAAA=&#10;">
                      <v:fill on="f" focussize="0,0"/>
                      <v:stroke weight="2.25pt" color="#FF0000 [2404]" miterlimit="8" joinstyle="miter"/>
                      <v:imagedata o:title=""/>
                      <o:lock v:ext="edit" aspectratio="f"/>
                    </v:rect>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2805430</wp:posOffset>
                      </wp:positionH>
                      <wp:positionV relativeFrom="paragraph">
                        <wp:posOffset>1280795</wp:posOffset>
                      </wp:positionV>
                      <wp:extent cx="989330" cy="267335"/>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989330"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7DA610">
                                  <w:pPr>
                                    <w:keepNext w:val="0"/>
                                    <w:keepLines w:val="0"/>
                                    <w:pageBreakBefore w:val="0"/>
                                    <w:widowControl w:val="0"/>
                                    <w:kinsoku/>
                                    <w:wordWrap/>
                                    <w:overflowPunct/>
                                    <w:topLinePunct w:val="0"/>
                                    <w:bidi w:val="0"/>
                                    <w:adjustRightInd/>
                                    <w:snapToGrid/>
                                    <w:textAlignment w:val="auto"/>
                                    <w:rPr>
                                      <w:rFonts w:hint="default" w:eastAsia="宋体"/>
                                      <w:b/>
                                      <w:bCs/>
                                      <w:color w:val="FFFF00"/>
                                      <w:sz w:val="18"/>
                                      <w:szCs w:val="18"/>
                                      <w:lang w:val="en-US" w:eastAsia="zh-CN"/>
                                    </w:rPr>
                                  </w:pPr>
                                  <w:r>
                                    <w:rPr>
                                      <w:rFonts w:hint="eastAsia"/>
                                      <w:b/>
                                      <w:bCs/>
                                      <w:color w:val="FFFF00"/>
                                      <w:sz w:val="18"/>
                                      <w:szCs w:val="18"/>
                                      <w:lang w:val="en-US" w:eastAsia="zh-CN"/>
                                    </w:rPr>
                                    <w:t>引用项目位置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9pt;margin-top:100.85pt;height:21.05pt;width:77.9pt;z-index:251673600;mso-width-relative:page;mso-height-relative:page;" filled="f" stroked="f" coordsize="21600,21600" o:gfxdata="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DyTtwAAAALAQAADwAAAAAAAAABACAAAAAiAAAA&#10;ZHJzL2Rvd25yZXYueG1sUEsBAhQAFAAAAAgAh07iQP3wxUk8AgAAaQQAAA4AAAAAAAAAAQAgAAAA&#10;KwEAAGRycy9lMm9Eb2MueG1sUEsFBgAAAAAGAAYAWQEAANkFAAAAAA==&#10;">
                      <v:fill on="f" focussize="0,0"/>
                      <v:stroke on="f" weight="0.5pt"/>
                      <v:imagedata o:title=""/>
                      <o:lock v:ext="edit" aspectratio="f"/>
                      <v:textbox>
                        <w:txbxContent>
                          <w:p w14:paraId="027DA610">
                            <w:pPr>
                              <w:keepNext w:val="0"/>
                              <w:keepLines w:val="0"/>
                              <w:pageBreakBefore w:val="0"/>
                              <w:widowControl w:val="0"/>
                              <w:kinsoku/>
                              <w:wordWrap/>
                              <w:overflowPunct/>
                              <w:topLinePunct w:val="0"/>
                              <w:bidi w:val="0"/>
                              <w:adjustRightInd/>
                              <w:snapToGrid/>
                              <w:textAlignment w:val="auto"/>
                              <w:rPr>
                                <w:rFonts w:hint="default" w:eastAsia="宋体"/>
                                <w:b/>
                                <w:bCs/>
                                <w:color w:val="FFFF00"/>
                                <w:sz w:val="18"/>
                                <w:szCs w:val="18"/>
                                <w:lang w:val="en-US" w:eastAsia="zh-CN"/>
                              </w:rPr>
                            </w:pPr>
                            <w:r>
                              <w:rPr>
                                <w:rFonts w:hint="eastAsia"/>
                                <w:b/>
                                <w:bCs/>
                                <w:color w:val="FFFF00"/>
                                <w:sz w:val="18"/>
                                <w:szCs w:val="18"/>
                                <w:lang w:val="en-US" w:eastAsia="zh-CN"/>
                              </w:rPr>
                              <w:t>引用项目位置</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1852930</wp:posOffset>
                      </wp:positionH>
                      <wp:positionV relativeFrom="paragraph">
                        <wp:posOffset>2531745</wp:posOffset>
                      </wp:positionV>
                      <wp:extent cx="781050" cy="267335"/>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781050"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66D067">
                                  <w:pPr>
                                    <w:keepNext w:val="0"/>
                                    <w:keepLines w:val="0"/>
                                    <w:pageBreakBefore w:val="0"/>
                                    <w:widowControl w:val="0"/>
                                    <w:kinsoku/>
                                    <w:wordWrap/>
                                    <w:overflowPunct/>
                                    <w:topLinePunct w:val="0"/>
                                    <w:bidi w:val="0"/>
                                    <w:adjustRightInd/>
                                    <w:snapToGrid/>
                                    <w:textAlignment w:val="auto"/>
                                    <w:rPr>
                                      <w:rFonts w:hint="default" w:eastAsia="宋体"/>
                                      <w:b/>
                                      <w:bCs/>
                                      <w:color w:val="FF0000"/>
                                      <w:sz w:val="18"/>
                                      <w:szCs w:val="18"/>
                                      <w:lang w:val="en-US" w:eastAsia="zh-CN"/>
                                    </w:rPr>
                                  </w:pPr>
                                  <w:r>
                                    <w:rPr>
                                      <w:rFonts w:hint="eastAsia"/>
                                      <w:b/>
                                      <w:bCs/>
                                      <w:color w:val="FF0000"/>
                                      <w:sz w:val="18"/>
                                      <w:szCs w:val="18"/>
                                      <w:lang w:val="en-US" w:eastAsia="zh-CN"/>
                                    </w:rPr>
                                    <w:t>O 检测点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9pt;margin-top:199.35pt;height:21.05pt;width:61.5pt;z-index:251674624;mso-width-relative:page;mso-height-relative:page;" filled="f" stroked="f" coordsize="21600,21600" o:gfxdata="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ZRGWi3AAAAAsBAAAPAAAAAAAAAAEAIAAAACIAAABk&#10;cnMvZG93bnJldi54bWxQSwECFAAUAAAACACHTuJA9OUzTjsCAABpBAAADgAAAAAAAAABACAAAAAr&#10;AQAAZHJzL2Uyb0RvYy54bWxQSwUGAAAAAAYABgBZAQAA2AUAAAAA&#10;">
                      <v:fill on="f" focussize="0,0"/>
                      <v:stroke on="f" weight="0.5pt"/>
                      <v:imagedata o:title=""/>
                      <o:lock v:ext="edit" aspectratio="f"/>
                      <v:textbox>
                        <w:txbxContent>
                          <w:p w14:paraId="6E66D067">
                            <w:pPr>
                              <w:keepNext w:val="0"/>
                              <w:keepLines w:val="0"/>
                              <w:pageBreakBefore w:val="0"/>
                              <w:widowControl w:val="0"/>
                              <w:kinsoku/>
                              <w:wordWrap/>
                              <w:overflowPunct/>
                              <w:topLinePunct w:val="0"/>
                              <w:bidi w:val="0"/>
                              <w:adjustRightInd/>
                              <w:snapToGrid/>
                              <w:textAlignment w:val="auto"/>
                              <w:rPr>
                                <w:rFonts w:hint="default" w:eastAsia="宋体"/>
                                <w:b/>
                                <w:bCs/>
                                <w:color w:val="FF0000"/>
                                <w:sz w:val="18"/>
                                <w:szCs w:val="18"/>
                                <w:lang w:val="en-US" w:eastAsia="zh-CN"/>
                              </w:rPr>
                            </w:pPr>
                            <w:r>
                              <w:rPr>
                                <w:rFonts w:hint="eastAsia"/>
                                <w:b/>
                                <w:bCs/>
                                <w:color w:val="FF0000"/>
                                <w:sz w:val="18"/>
                                <w:szCs w:val="18"/>
                                <w:lang w:val="en-US" w:eastAsia="zh-CN"/>
                              </w:rPr>
                              <w:t>O 检测点</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6985</wp:posOffset>
                      </wp:positionH>
                      <wp:positionV relativeFrom="paragraph">
                        <wp:posOffset>3360420</wp:posOffset>
                      </wp:positionV>
                      <wp:extent cx="1170940" cy="267335"/>
                      <wp:effectExtent l="4445" t="4445" r="5715" b="13970"/>
                      <wp:wrapNone/>
                      <wp:docPr id="121" name="文本框 121"/>
                      <wp:cNvGraphicFramePr/>
                      <a:graphic xmlns:a="http://schemas.openxmlformats.org/drawingml/2006/main">
                        <a:graphicData uri="http://schemas.microsoft.com/office/word/2010/wordprocessingShape">
                          <wps:wsp>
                            <wps:cNvSpPr txBox="1"/>
                            <wps:spPr>
                              <a:xfrm>
                                <a:off x="1474470" y="7526020"/>
                                <a:ext cx="1170940" cy="2673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3D44A8E">
                                  <w:pPr>
                                    <w:keepNext w:val="0"/>
                                    <w:keepLines w:val="0"/>
                                    <w:pageBreakBefore w:val="0"/>
                                    <w:widowControl w:val="0"/>
                                    <w:kinsoku/>
                                    <w:wordWrap/>
                                    <w:overflowPunct/>
                                    <w:topLinePunct w:val="0"/>
                                    <w:bidi w:val="0"/>
                                    <w:adjustRightInd/>
                                    <w:snapToGrid/>
                                    <w:textAlignment w:val="auto"/>
                                    <w:rPr>
                                      <w:rFonts w:hint="default" w:eastAsia="宋体"/>
                                      <w:color w:val="FF0000"/>
                                      <w:sz w:val="18"/>
                                      <w:szCs w:val="18"/>
                                      <w:lang w:val="en-US" w:eastAsia="zh-CN"/>
                                    </w:rPr>
                                  </w:pPr>
                                  <w:r>
                                    <w:rPr>
                                      <w:rFonts w:hint="eastAsia"/>
                                      <w:color w:val="FF0000"/>
                                      <w:sz w:val="18"/>
                                      <w:szCs w:val="18"/>
                                      <w:lang w:val="en-US" w:eastAsia="zh-CN"/>
                                    </w:rPr>
                                    <w:t>O：环境空气检测点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55pt;margin-top:264.6pt;height:21.05pt;width:92.2pt;z-index:251670528;mso-width-relative:page;mso-height-relative:page;" fillcolor="#FFFFFF [3201]" filled="t" stroked="t" coordsize="21600,21600" o:gfxdata="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dQIq/1QAAAAkBAAAPAAAAAAAAAAEAIAAAACIAAABkcnMvZG93bnJldi54bWxQSwECFAAUAAAA&#10;CACHTuJAQP8hsGMCAADHBAAADgAAAAAAAAABACAAAAAkAQAAZHJzL2Uyb0RvYy54bWxQSwUGAAAA&#10;AAYABgBZAQAA+QUAAAAA&#10;">
                      <v:fill on="t" focussize="0,0"/>
                      <v:stroke weight="0.5pt" color="#000000 [3204]" joinstyle="round"/>
                      <v:imagedata o:title=""/>
                      <o:lock v:ext="edit" aspectratio="f"/>
                      <v:textbox>
                        <w:txbxContent>
                          <w:p w14:paraId="33D44A8E">
                            <w:pPr>
                              <w:keepNext w:val="0"/>
                              <w:keepLines w:val="0"/>
                              <w:pageBreakBefore w:val="0"/>
                              <w:widowControl w:val="0"/>
                              <w:kinsoku/>
                              <w:wordWrap/>
                              <w:overflowPunct/>
                              <w:topLinePunct w:val="0"/>
                              <w:bidi w:val="0"/>
                              <w:adjustRightInd/>
                              <w:snapToGrid/>
                              <w:textAlignment w:val="auto"/>
                              <w:rPr>
                                <w:rFonts w:hint="default" w:eastAsia="宋体"/>
                                <w:color w:val="FF0000"/>
                                <w:sz w:val="18"/>
                                <w:szCs w:val="18"/>
                                <w:lang w:val="en-US" w:eastAsia="zh-CN"/>
                              </w:rPr>
                            </w:pPr>
                            <w:r>
                              <w:rPr>
                                <w:rFonts w:hint="eastAsia"/>
                                <w:color w:val="FF0000"/>
                                <w:sz w:val="18"/>
                                <w:szCs w:val="18"/>
                                <w:lang w:val="en-US" w:eastAsia="zh-CN"/>
                              </w:rPr>
                              <w:t>O：环境空气检测点</w:t>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2141220</wp:posOffset>
                      </wp:positionH>
                      <wp:positionV relativeFrom="paragraph">
                        <wp:posOffset>1014730</wp:posOffset>
                      </wp:positionV>
                      <wp:extent cx="891540" cy="1528445"/>
                      <wp:effectExtent l="0" t="3175" r="22860" b="11430"/>
                      <wp:wrapNone/>
                      <wp:docPr id="148" name="直接箭头连接符 148"/>
                      <wp:cNvGraphicFramePr/>
                      <a:graphic xmlns:a="http://schemas.openxmlformats.org/drawingml/2006/main">
                        <a:graphicData uri="http://schemas.microsoft.com/office/word/2010/wordprocessingShape">
                          <wps:wsp>
                            <wps:cNvCnPr/>
                            <wps:spPr>
                              <a:xfrm flipH="1">
                                <a:off x="3173095" y="4745990"/>
                                <a:ext cx="891540" cy="152844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68.6pt;margin-top:79.9pt;height:120.35pt;width:70.2pt;z-index:251675648;mso-width-relative:page;mso-height-relative:page;" filled="f" stroked="t" coordsize="21600,21600" o:gfxdata="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70e&#10;GdgAAAALAQAADwAAAAAAAAABACAAAAAiAAAAZHJzL2Rvd25yZXYueG1sUEsBAhQAFAAAAAgAh07i&#10;QGkfJwsiAgAA/gMAAA4AAAAAAAAAAQAgAAAAJwEAAGRycy9lMm9Eb2MueG1sUEsFBgAAAAAGAAYA&#10;WQEAALsFAAAAAA==&#10;">
                      <v:fill on="f" focussize="0,0"/>
                      <v:stroke weight="1pt" color="#FF0000 [3204]" miterlimit="8" joinstyle="miter" endarrow="open"/>
                      <v:imagedata o:title=""/>
                      <o:lock v:ext="edit" aspectratio="f"/>
                    </v:shape>
                  </w:pict>
                </mc:Fallback>
              </mc:AlternateContent>
            </w:r>
          </w:p>
          <w:p w14:paraId="655C57B9">
            <w:pPr>
              <w:pStyle w:val="39"/>
              <w:keepNext w:val="0"/>
              <w:keepLines w:val="0"/>
              <w:pageBreakBefore w:val="0"/>
              <w:widowControl w:val="0"/>
              <w:kinsoku/>
              <w:wordWrap/>
              <w:overflowPunct/>
              <w:topLinePunct w:val="0"/>
              <w:autoSpaceDE/>
              <w:autoSpaceDN/>
              <w:bidi w:val="0"/>
              <w:adjustRightInd/>
              <w:snapToGrid/>
              <w:spacing w:after="157" w:afterLines="50" w:line="240" w:lineRule="auto"/>
              <w:ind w:left="0" w:firstLine="0"/>
              <w:jc w:val="center"/>
              <w:textAlignment w:val="auto"/>
              <w:outlineLvl w:val="9"/>
              <w:rPr>
                <w:rFonts w:hint="default"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图3.1-3 引用的大气监测点位与本项目位置关系图</w:t>
            </w:r>
          </w:p>
          <w:p w14:paraId="5843C8E0">
            <w:pPr>
              <w:pStyle w:val="49"/>
              <w:ind w:firstLine="48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根据《建设项目环境影响报告表编制技术指南（污染影响类）</w:t>
            </w:r>
            <w:r>
              <w:rPr>
                <w:rFonts w:hint="eastAsia" w:ascii="Times New Roman" w:hAnsi="Times New Roman" w:cs="Times New Roman"/>
                <w:color w:val="auto"/>
                <w:sz w:val="24"/>
                <w:szCs w:val="24"/>
                <w:highlight w:val="none"/>
                <w:lang w:eastAsia="zh-CN"/>
              </w:rPr>
              <w:t>（试行）》</w:t>
            </w:r>
            <w:r>
              <w:rPr>
                <w:rFonts w:hint="default" w:ascii="Times New Roman" w:hAnsi="Times New Roman" w:cs="Times New Roman"/>
                <w:color w:val="auto"/>
                <w:sz w:val="24"/>
                <w:szCs w:val="24"/>
                <w:highlight w:val="none"/>
              </w:rPr>
              <w:t>的要求，排放国家、地方环境空气质量标准中有标准限值要求的特征污染物时，引用建设项目周边5千米范围内近3年的现有监测数据，无相关数据的选择当季主导风向下风向1个点位补充不少于3天的监测数据。本次评价引用</w:t>
            </w:r>
            <w:r>
              <w:rPr>
                <w:rFonts w:hint="eastAsia" w:cs="Times New Roman"/>
                <w:color w:val="auto"/>
                <w:kern w:val="0"/>
                <w:sz w:val="24"/>
                <w:lang w:val="en-US" w:eastAsia="zh-CN"/>
              </w:rPr>
              <w:t>******</w:t>
            </w:r>
            <w:r>
              <w:rPr>
                <w:rFonts w:hint="default" w:ascii="Times New Roman" w:hAnsi="Times New Roman" w:eastAsia="宋体" w:cs="Times New Roman"/>
                <w:color w:val="auto"/>
                <w:sz w:val="24"/>
                <w:szCs w:val="22"/>
              </w:rPr>
              <w:t>于</w:t>
            </w:r>
            <w:r>
              <w:rPr>
                <w:rFonts w:hint="eastAsia" w:ascii="Times New Roman" w:hAnsi="Times New Roman" w:cs="Times New Roman"/>
                <w:color w:val="auto"/>
                <w:sz w:val="24"/>
                <w:szCs w:val="22"/>
                <w:lang w:val="en-US" w:eastAsia="zh-CN"/>
              </w:rPr>
              <w:t>****</w:t>
            </w:r>
            <w:r>
              <w:rPr>
                <w:rFonts w:hint="default" w:ascii="Times New Roman" w:hAnsi="Times New Roman" w:cs="Times New Roman"/>
                <w:color w:val="auto"/>
                <w:sz w:val="24"/>
                <w:szCs w:val="22"/>
              </w:rPr>
              <w:t>年</w:t>
            </w:r>
            <w:r>
              <w:rPr>
                <w:rFonts w:hint="eastAsia" w:ascii="Times New Roman" w:hAnsi="Times New Roman" w:cs="Times New Roman"/>
                <w:color w:val="auto"/>
                <w:sz w:val="24"/>
                <w:szCs w:val="22"/>
                <w:lang w:val="en-US" w:eastAsia="zh-CN"/>
              </w:rPr>
              <w:t>**</w:t>
            </w:r>
            <w:r>
              <w:rPr>
                <w:rFonts w:hint="default" w:ascii="Times New Roman" w:hAnsi="Times New Roman" w:cs="Times New Roman"/>
                <w:color w:val="auto"/>
                <w:sz w:val="24"/>
                <w:szCs w:val="22"/>
              </w:rPr>
              <w:t>月</w:t>
            </w:r>
            <w:r>
              <w:rPr>
                <w:rFonts w:hint="eastAsia" w:ascii="Times New Roman" w:hAnsi="Times New Roman" w:cs="Times New Roman"/>
                <w:color w:val="auto"/>
                <w:sz w:val="24"/>
                <w:szCs w:val="22"/>
                <w:lang w:val="en-US" w:eastAsia="zh-CN"/>
              </w:rPr>
              <w:t>**</w:t>
            </w:r>
            <w:r>
              <w:rPr>
                <w:rFonts w:hint="default" w:ascii="Times New Roman" w:hAnsi="Times New Roman" w:cs="Times New Roman"/>
                <w:color w:val="auto"/>
                <w:sz w:val="24"/>
                <w:szCs w:val="22"/>
              </w:rPr>
              <w:t>日</w:t>
            </w:r>
            <w:r>
              <w:rPr>
                <w:rFonts w:hint="eastAsia" w:ascii="Times New Roman" w:hAnsi="Times New Roman" w:cs="Times New Roman"/>
                <w:color w:val="auto"/>
                <w:sz w:val="24"/>
                <w:szCs w:val="22"/>
                <w:lang w:eastAsia="zh-CN"/>
              </w:rPr>
              <w:t>—</w:t>
            </w:r>
            <w:r>
              <w:rPr>
                <w:rFonts w:hint="eastAsia" w:ascii="Times New Roman" w:hAnsi="Times New Roman" w:cs="Times New Roman"/>
                <w:color w:val="auto"/>
                <w:sz w:val="24"/>
                <w:szCs w:val="22"/>
                <w:lang w:val="en-US" w:eastAsia="zh-CN"/>
              </w:rPr>
              <w:t>****</w:t>
            </w:r>
            <w:r>
              <w:rPr>
                <w:rFonts w:hint="default" w:ascii="Times New Roman" w:hAnsi="Times New Roman" w:cs="Times New Roman"/>
                <w:color w:val="auto"/>
                <w:sz w:val="24"/>
                <w:szCs w:val="22"/>
              </w:rPr>
              <w:t>年</w:t>
            </w:r>
            <w:r>
              <w:rPr>
                <w:rFonts w:hint="eastAsia" w:ascii="Times New Roman" w:hAnsi="Times New Roman" w:cs="Times New Roman"/>
                <w:color w:val="auto"/>
                <w:sz w:val="24"/>
                <w:szCs w:val="22"/>
                <w:lang w:val="en-US" w:eastAsia="zh-CN"/>
              </w:rPr>
              <w:t>**</w:t>
            </w:r>
            <w:r>
              <w:rPr>
                <w:rFonts w:hint="default" w:ascii="Times New Roman" w:hAnsi="Times New Roman" w:cs="Times New Roman"/>
                <w:color w:val="auto"/>
                <w:sz w:val="24"/>
                <w:szCs w:val="22"/>
              </w:rPr>
              <w:t>月</w:t>
            </w:r>
            <w:r>
              <w:rPr>
                <w:rFonts w:hint="eastAsia" w:ascii="Times New Roman" w:hAnsi="Times New Roman" w:cs="Times New Roman"/>
                <w:color w:val="auto"/>
                <w:sz w:val="24"/>
                <w:szCs w:val="22"/>
                <w:lang w:val="en-US" w:eastAsia="zh-CN"/>
              </w:rPr>
              <w:t>**</w:t>
            </w:r>
            <w:r>
              <w:rPr>
                <w:rFonts w:hint="default" w:ascii="Times New Roman" w:hAnsi="Times New Roman" w:cs="Times New Roman"/>
                <w:color w:val="auto"/>
                <w:sz w:val="24"/>
                <w:szCs w:val="22"/>
              </w:rPr>
              <w:t>日</w:t>
            </w:r>
            <w:r>
              <w:rPr>
                <w:rFonts w:hint="eastAsia" w:ascii="Times New Roman" w:hAnsi="Times New Roman" w:cs="Times New Roman"/>
                <w:color w:val="auto"/>
                <w:sz w:val="24"/>
                <w:szCs w:val="22"/>
                <w:lang w:eastAsia="zh-CN"/>
              </w:rPr>
              <w:t>（</w:t>
            </w:r>
            <w:r>
              <w:rPr>
                <w:rFonts w:hint="eastAsia" w:ascii="Times New Roman" w:hAnsi="Times New Roman" w:cs="Times New Roman"/>
                <w:color w:val="auto"/>
                <w:sz w:val="24"/>
                <w:szCs w:val="22"/>
                <w:lang w:val="en-US" w:eastAsia="zh-CN"/>
              </w:rPr>
              <w:t>三天）</w:t>
            </w:r>
            <w:r>
              <w:rPr>
                <w:rFonts w:hint="default" w:ascii="Times New Roman" w:hAnsi="Times New Roman" w:cs="Times New Roman"/>
                <w:color w:val="auto"/>
                <w:sz w:val="24"/>
                <w:szCs w:val="22"/>
              </w:rPr>
              <w:t>委</w:t>
            </w:r>
            <w:r>
              <w:rPr>
                <w:rFonts w:hint="default" w:ascii="Times New Roman" w:hAnsi="Times New Roman" w:eastAsia="宋体" w:cs="Times New Roman"/>
                <w:color w:val="auto"/>
                <w:sz w:val="24"/>
                <w:szCs w:val="22"/>
              </w:rPr>
              <w:t>托</w:t>
            </w:r>
            <w:r>
              <w:rPr>
                <w:rFonts w:hint="eastAsia" w:ascii="Times New Roman" w:hAnsi="Times New Roman" w:cs="Times New Roman"/>
                <w:color w:val="auto"/>
                <w:sz w:val="24"/>
                <w:szCs w:val="22"/>
                <w:lang w:val="en-US" w:eastAsia="zh-CN"/>
              </w:rPr>
              <w:t>*****</w:t>
            </w:r>
            <w:r>
              <w:rPr>
                <w:rFonts w:hint="default" w:ascii="Times New Roman" w:hAnsi="Times New Roman" w:eastAsia="宋体" w:cs="Times New Roman"/>
                <w:color w:val="auto"/>
                <w:sz w:val="24"/>
                <w:szCs w:val="22"/>
              </w:rPr>
              <w:t>对项</w:t>
            </w:r>
            <w:r>
              <w:rPr>
                <w:rFonts w:hint="default" w:ascii="Times New Roman" w:hAnsi="Times New Roman" w:cs="Times New Roman"/>
                <w:color w:val="auto"/>
                <w:sz w:val="24"/>
                <w:szCs w:val="22"/>
              </w:rPr>
              <w:t>目附近</w:t>
            </w:r>
            <w:r>
              <w:rPr>
                <w:rFonts w:hint="default" w:ascii="Times New Roman" w:hAnsi="Times New Roman" w:cs="Times New Roman"/>
                <w:color w:val="auto"/>
                <w:sz w:val="24"/>
                <w:szCs w:val="22"/>
                <w:lang w:eastAsia="zh-CN"/>
              </w:rPr>
              <w:t>的</w:t>
            </w:r>
            <w:r>
              <w:rPr>
                <w:rFonts w:hint="eastAsia" w:ascii="Times New Roman" w:hAnsi="Times New Roman" w:cs="Times New Roman"/>
                <w:color w:val="auto"/>
                <w:sz w:val="24"/>
                <w:szCs w:val="22"/>
                <w:lang w:val="en-US" w:eastAsia="zh-CN"/>
              </w:rPr>
              <w:t>下田村</w:t>
            </w:r>
            <w:r>
              <w:rPr>
                <w:rFonts w:hint="default" w:ascii="Times New Roman" w:hAnsi="Times New Roman" w:cs="Times New Roman"/>
                <w:color w:val="auto"/>
                <w:sz w:val="24"/>
                <w:szCs w:val="22"/>
                <w:lang w:eastAsia="zh-CN"/>
              </w:rPr>
              <w:t>监测点</w:t>
            </w:r>
            <w:r>
              <w:rPr>
                <w:rFonts w:hint="eastAsia" w:ascii="Times New Roman" w:hAnsi="Times New Roman" w:cs="Times New Roman"/>
                <w:color w:val="auto"/>
                <w:sz w:val="24"/>
                <w:szCs w:val="22"/>
                <w:lang w:val="en-US" w:eastAsia="zh-CN"/>
              </w:rPr>
              <w:t>总悬浮颗粒物（TSP）</w:t>
            </w:r>
            <w:r>
              <w:rPr>
                <w:rFonts w:hint="default" w:ascii="Times New Roman" w:hAnsi="Times New Roman" w:cs="Times New Roman"/>
                <w:color w:val="auto"/>
                <w:sz w:val="24"/>
                <w:szCs w:val="22"/>
                <w:lang w:eastAsia="zh-CN"/>
              </w:rPr>
              <w:t>的监测数据</w:t>
            </w:r>
            <w:r>
              <w:rPr>
                <w:rFonts w:hint="default" w:ascii="Times New Roman" w:hAnsi="Times New Roman" w:cs="Times New Roman"/>
                <w:color w:val="auto"/>
                <w:sz w:val="24"/>
                <w:szCs w:val="24"/>
                <w:highlight w:val="none"/>
              </w:rPr>
              <w:t>，</w:t>
            </w:r>
            <w:r>
              <w:rPr>
                <w:rFonts w:hint="eastAsia" w:cs="Times New Roman"/>
                <w:color w:val="auto"/>
                <w:kern w:val="0"/>
                <w:sz w:val="24"/>
                <w:lang w:val="en-US" w:eastAsia="zh-CN"/>
              </w:rPr>
              <w:t>监测点下田村距本项目</w:t>
            </w:r>
            <w:r>
              <w:rPr>
                <w:rFonts w:hint="default" w:cs="Times New Roman"/>
                <w:color w:val="auto"/>
                <w:kern w:val="0"/>
                <w:sz w:val="24"/>
                <w:lang w:val="en-US" w:eastAsia="zh-CN"/>
              </w:rPr>
              <w:t>西南侧约</w:t>
            </w:r>
            <w:r>
              <w:rPr>
                <w:rFonts w:hint="eastAsia" w:cs="Times New Roman"/>
                <w:color w:val="auto"/>
                <w:kern w:val="0"/>
                <w:sz w:val="24"/>
                <w:lang w:val="en-US" w:eastAsia="zh-CN"/>
              </w:rPr>
              <w:t>287</w:t>
            </w:r>
            <w:r>
              <w:rPr>
                <w:rFonts w:hint="default" w:cs="Times New Roman"/>
                <w:color w:val="auto"/>
                <w:kern w:val="0"/>
                <w:sz w:val="24"/>
                <w:lang w:val="en-US" w:eastAsia="zh-CN"/>
              </w:rPr>
              <w:t>m</w:t>
            </w:r>
            <w:r>
              <w:rPr>
                <w:rFonts w:hint="eastAsia" w:cs="Times New Roman"/>
                <w:color w:val="auto"/>
                <w:kern w:val="0"/>
                <w:sz w:val="24"/>
                <w:lang w:val="en-US" w:eastAsia="zh-CN"/>
              </w:rPr>
              <w:t>处</w:t>
            </w:r>
            <w:r>
              <w:rPr>
                <w:rFonts w:hint="eastAsia" w:ascii="Times New Roman" w:hAnsi="Times New Roman" w:cs="Times New Roman"/>
                <w:color w:val="auto"/>
                <w:sz w:val="24"/>
                <w:szCs w:val="22"/>
                <w:lang w:val="en-US" w:eastAsia="zh-CN"/>
              </w:rPr>
              <w:t>，</w:t>
            </w:r>
            <w:r>
              <w:rPr>
                <w:rFonts w:hint="default" w:ascii="Times New Roman" w:hAnsi="Times New Roman" w:cs="Times New Roman"/>
                <w:color w:val="auto"/>
                <w:sz w:val="24"/>
                <w:szCs w:val="24"/>
                <w:highlight w:val="none"/>
              </w:rPr>
              <w:t>符合建设项目周边5千米范围内近3年</w:t>
            </w:r>
            <w:r>
              <w:rPr>
                <w:rFonts w:hint="eastAsia" w:ascii="Times New Roman" w:hAnsi="Times New Roman" w:cs="Times New Roman"/>
                <w:color w:val="auto"/>
                <w:sz w:val="24"/>
                <w:szCs w:val="24"/>
                <w:highlight w:val="none"/>
                <w:lang w:val="en-US" w:eastAsia="zh-CN"/>
              </w:rPr>
              <w:t>内</w:t>
            </w:r>
            <w:r>
              <w:rPr>
                <w:rFonts w:hint="default" w:ascii="Times New Roman" w:hAnsi="Times New Roman" w:cs="Times New Roman"/>
                <w:color w:val="auto"/>
                <w:sz w:val="24"/>
                <w:szCs w:val="24"/>
                <w:highlight w:val="none"/>
              </w:rPr>
              <w:t>的现有主导风向下风向1个点位不少于3天的监测数据，《建设项目环境影响报告表编制技术指南（污染影响类）（试行）》要求。</w:t>
            </w:r>
          </w:p>
          <w:p w14:paraId="6B47C8D0">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64" w:name="_Toc13108"/>
            <w:bookmarkStart w:id="65" w:name="_Toc24980"/>
            <w:r>
              <w:rPr>
                <w:rFonts w:hint="eastAsia" w:ascii="Times New Roman" w:hAnsi="Times New Roman" w:eastAsia="宋体" w:cs="Times New Roman"/>
                <w:color w:val="auto"/>
                <w:sz w:val="28"/>
                <w:szCs w:val="28"/>
                <w:u w:val="none"/>
                <w:lang w:val="en-US" w:eastAsia="zh-CN"/>
              </w:rPr>
              <w:t>3.2水环境质量现状</w:t>
            </w:r>
            <w:bookmarkEnd w:id="64"/>
            <w:bookmarkEnd w:id="65"/>
          </w:p>
          <w:p w14:paraId="0512496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66" w:name="_Toc31064"/>
            <w:bookmarkStart w:id="67" w:name="_Toc7675"/>
            <w:r>
              <w:rPr>
                <w:rFonts w:hint="eastAsia" w:ascii="Times New Roman" w:hAnsi="Times New Roman" w:eastAsia="宋体" w:cs="Times New Roman"/>
                <w:b/>
                <w:bCs/>
                <w:color w:val="auto"/>
                <w:sz w:val="24"/>
                <w:szCs w:val="24"/>
                <w:u w:val="none"/>
                <w:lang w:val="en-US" w:eastAsia="zh-CN"/>
              </w:rPr>
              <w:t>3.2.1地表水功能区划</w:t>
            </w:r>
            <w:bookmarkEnd w:id="66"/>
            <w:bookmarkEnd w:id="67"/>
          </w:p>
          <w:p w14:paraId="5EF8412B">
            <w:pPr>
              <w:widowControl/>
              <w:spacing w:line="360" w:lineRule="auto"/>
              <w:ind w:firstLine="480" w:firstLineChars="200"/>
              <w:jc w:val="left"/>
              <w:rPr>
                <w:rFonts w:hint="eastAsia" w:eastAsia="宋体"/>
                <w:b/>
                <w:bCs/>
                <w:kern w:val="0"/>
                <w:sz w:val="24"/>
                <w:lang w:eastAsia="zh-CN"/>
              </w:rPr>
            </w:pPr>
            <w:r>
              <w:rPr>
                <w:rFonts w:hint="default" w:ascii="Times New Roman" w:hAnsi="Times New Roman" w:eastAsia="宋体" w:cs="Times New Roman"/>
                <w:color w:val="auto"/>
                <w:sz w:val="24"/>
                <w:szCs w:val="24"/>
                <w:highlight w:val="none"/>
              </w:rPr>
              <w:t>本项目</w:t>
            </w:r>
            <w:r>
              <w:rPr>
                <w:rFonts w:hint="eastAsia" w:cs="Times New Roman"/>
                <w:color w:val="auto"/>
                <w:sz w:val="24"/>
                <w:szCs w:val="24"/>
                <w:highlight w:val="none"/>
                <w:lang w:eastAsia="zh-CN"/>
              </w:rPr>
              <w:t>生产过程中</w:t>
            </w:r>
            <w:r>
              <w:rPr>
                <w:rFonts w:hint="eastAsia" w:cs="Times New Roman"/>
                <w:color w:val="auto"/>
                <w:sz w:val="24"/>
                <w:szCs w:val="24"/>
                <w:highlight w:val="none"/>
                <w:lang w:val="en-US" w:eastAsia="zh-CN"/>
              </w:rPr>
              <w:t>用水主要为压铸成型间接冷却水、研磨工序冷却水及半成品清洗废水。压铸工序间接冷却水不直接接触产品为间接冷却水，经冷却塔冷却后循环使用不外排。研磨工序冷却水及半成品清洗废水经循环水处理设施处理后回用于生产不外排</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生活</w:t>
            </w:r>
            <w:r>
              <w:rPr>
                <w:rFonts w:hint="eastAsia" w:cs="Times New Roman"/>
                <w:color w:val="auto"/>
                <w:sz w:val="24"/>
                <w:szCs w:val="24"/>
                <w:highlight w:val="none"/>
                <w:lang w:eastAsia="zh-CN"/>
              </w:rPr>
              <w:t>污水经化粪池</w:t>
            </w:r>
            <w:r>
              <w:rPr>
                <w:rFonts w:hint="default" w:ascii="Times New Roman" w:hAnsi="Times New Roman" w:eastAsia="宋体" w:cs="Times New Roman"/>
                <w:color w:val="auto"/>
                <w:sz w:val="24"/>
                <w:szCs w:val="24"/>
                <w:highlight w:val="none"/>
                <w:lang w:eastAsia="zh-CN"/>
              </w:rPr>
              <w:t>处理后排入市政污水管网，送往</w:t>
            </w:r>
            <w:r>
              <w:rPr>
                <w:rFonts w:hint="default" w:ascii="Times New Roman" w:hAnsi="Times New Roman" w:eastAsia="宋体" w:cs="Times New Roman"/>
                <w:color w:val="auto"/>
                <w:sz w:val="24"/>
                <w:szCs w:val="22"/>
                <w:highlight w:val="none"/>
                <w:lang w:eastAsia="zh-CN"/>
              </w:rPr>
              <w:t>福清市融元污水处理厂</w:t>
            </w:r>
            <w:r>
              <w:rPr>
                <w:rFonts w:hint="default" w:ascii="Times New Roman" w:hAnsi="Times New Roman" w:eastAsia="宋体" w:cs="Times New Roman"/>
                <w:color w:val="auto"/>
                <w:sz w:val="24"/>
                <w:szCs w:val="22"/>
                <w:highlight w:val="none"/>
              </w:rPr>
              <w:t>进行处理</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污水处理厂</w:t>
            </w:r>
            <w:r>
              <w:rPr>
                <w:rFonts w:hint="default" w:ascii="Times New Roman" w:hAnsi="Times New Roman" w:cs="Times New Roman"/>
                <w:color w:val="auto"/>
                <w:sz w:val="24"/>
                <w:highlight w:val="none"/>
              </w:rPr>
              <w:t>尾水排入龙江，所处龙江</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南门桥水闸至龙江入海口</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断面；根据福州市水功能区划批复（榕政综</w:t>
            </w:r>
            <w:r>
              <w:rPr>
                <w:rFonts w:hint="default" w:ascii="Times New Roman" w:hAnsi="Times New Roman" w:cs="Times New Roman"/>
                <w:color w:val="auto"/>
                <w:sz w:val="24"/>
                <w:highlight w:val="none"/>
                <w:lang w:eastAsia="zh-CN"/>
              </w:rPr>
              <w:t>〔2019〕316号</w:t>
            </w:r>
            <w:r>
              <w:rPr>
                <w:rFonts w:hint="default" w:ascii="Times New Roman" w:hAnsi="Times New Roman" w:cs="Times New Roman"/>
                <w:color w:val="auto"/>
                <w:sz w:val="24"/>
                <w:highlight w:val="none"/>
              </w:rPr>
              <w:t>）批准的《福州市水功能区划》，该断面水体主要功能为农业、工业、景观用水，环境功能类别为Ⅴ类，水质执行《地表水环境质量标准》</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GB3838-2002</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中Ⅴ类水质标准</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详见表3.2-1。</w:t>
            </w:r>
          </w:p>
          <w:p w14:paraId="45DF3C88">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b/>
                <w:bCs/>
                <w:kern w:val="0"/>
                <w:sz w:val="24"/>
              </w:rPr>
            </w:pPr>
            <w:r>
              <w:rPr>
                <w:rFonts w:hint="default" w:ascii="Times New Roman" w:hAnsi="Times New Roman" w:eastAsia="宋体" w:cs="Times New Roman"/>
                <w:b/>
                <w:bCs/>
                <w:color w:val="auto"/>
                <w:sz w:val="24"/>
                <w:szCs w:val="24"/>
                <w:u w:val="none"/>
                <w:lang w:val="en-US" w:eastAsia="zh-CN"/>
              </w:rPr>
              <w:t>表3.2-1 地表水环境质量标准</w:t>
            </w:r>
            <w:r>
              <w:rPr>
                <w:rFonts w:hint="eastAsia"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GB3838-2002</w:t>
            </w:r>
            <w:r>
              <w:rPr>
                <w:rFonts w:hint="eastAsia"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摘录</w:t>
            </w:r>
            <w:r>
              <w:rPr>
                <w:rFonts w:hint="eastAsia"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 xml:space="preserve">   单位：mg/L</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997"/>
              <w:gridCol w:w="3278"/>
              <w:gridCol w:w="1264"/>
              <w:gridCol w:w="997"/>
              <w:gridCol w:w="997"/>
              <w:gridCol w:w="997"/>
            </w:tblGrid>
            <w:tr w14:paraId="7E57981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581" w:hRule="exact"/>
                <w:jc w:val="center"/>
              </w:trPr>
              <w:tc>
                <w:tcPr>
                  <w:tcW w:w="585" w:type="pct"/>
                  <w:shd w:val="clear" w:color="auto" w:fill="auto"/>
                  <w:noWrap w:val="0"/>
                  <w:vAlign w:val="center"/>
                </w:tcPr>
                <w:p w14:paraId="11A19163">
                  <w:pPr>
                    <w:spacing w:line="340" w:lineRule="exact"/>
                    <w:jc w:val="center"/>
                    <w:rPr>
                      <w:snapToGrid w:val="0"/>
                      <w:kern w:val="18"/>
                      <w:szCs w:val="21"/>
                    </w:rPr>
                  </w:pPr>
                  <w:r>
                    <w:rPr>
                      <w:snapToGrid w:val="0"/>
                      <w:kern w:val="18"/>
                      <w:szCs w:val="21"/>
                    </w:rPr>
                    <w:t>序号</w:t>
                  </w:r>
                </w:p>
              </w:tc>
              <w:tc>
                <w:tcPr>
                  <w:tcW w:w="1921" w:type="pct"/>
                  <w:shd w:val="clear" w:color="auto" w:fill="auto"/>
                  <w:noWrap w:val="0"/>
                  <w:vAlign w:val="center"/>
                </w:tcPr>
                <w:p w14:paraId="4CFCA972">
                  <w:pPr>
                    <w:spacing w:line="340" w:lineRule="exact"/>
                    <w:jc w:val="center"/>
                    <w:rPr>
                      <w:snapToGrid w:val="0"/>
                      <w:kern w:val="18"/>
                      <w:szCs w:val="21"/>
                    </w:rPr>
                  </w:pPr>
                  <w:r>
                    <w:rPr>
                      <w:snapToGrid w:val="0"/>
                      <w:kern w:val="18"/>
                      <w:szCs w:val="21"/>
                    </w:rPr>
                    <w:t>项目</w:t>
                  </w:r>
                </w:p>
              </w:tc>
              <w:tc>
                <w:tcPr>
                  <w:tcW w:w="741" w:type="pct"/>
                  <w:shd w:val="clear" w:color="auto" w:fill="auto"/>
                  <w:noWrap w:val="0"/>
                  <w:vAlign w:val="center"/>
                </w:tcPr>
                <w:p w14:paraId="77A6FFB1">
                  <w:pPr>
                    <w:spacing w:line="340" w:lineRule="exact"/>
                    <w:jc w:val="center"/>
                    <w:rPr>
                      <w:snapToGrid w:val="0"/>
                      <w:kern w:val="18"/>
                      <w:szCs w:val="21"/>
                    </w:rPr>
                  </w:pPr>
                  <w:r>
                    <w:rPr>
                      <w:snapToGrid w:val="0"/>
                      <w:kern w:val="18"/>
                      <w:szCs w:val="21"/>
                    </w:rPr>
                    <w:t>Ⅱ类</w:t>
                  </w:r>
                </w:p>
              </w:tc>
              <w:tc>
                <w:tcPr>
                  <w:tcW w:w="584" w:type="pct"/>
                  <w:shd w:val="clear" w:color="auto" w:fill="auto"/>
                  <w:noWrap w:val="0"/>
                  <w:vAlign w:val="center"/>
                </w:tcPr>
                <w:p w14:paraId="0B1051D8">
                  <w:pPr>
                    <w:spacing w:line="340" w:lineRule="exact"/>
                    <w:jc w:val="center"/>
                    <w:rPr>
                      <w:snapToGrid w:val="0"/>
                      <w:kern w:val="18"/>
                      <w:szCs w:val="21"/>
                    </w:rPr>
                  </w:pPr>
                  <w:r>
                    <w:rPr>
                      <w:snapToGrid w:val="0"/>
                      <w:kern w:val="18"/>
                      <w:szCs w:val="21"/>
                    </w:rPr>
                    <w:t>Ⅲ类</w:t>
                  </w:r>
                </w:p>
              </w:tc>
              <w:tc>
                <w:tcPr>
                  <w:tcW w:w="584" w:type="pct"/>
                  <w:shd w:val="clear" w:color="auto" w:fill="auto"/>
                  <w:noWrap w:val="0"/>
                  <w:vAlign w:val="center"/>
                </w:tcPr>
                <w:p w14:paraId="73344D38">
                  <w:pPr>
                    <w:spacing w:line="340" w:lineRule="exact"/>
                    <w:jc w:val="center"/>
                    <w:rPr>
                      <w:snapToGrid w:val="0"/>
                      <w:kern w:val="18"/>
                      <w:szCs w:val="21"/>
                    </w:rPr>
                  </w:pPr>
                  <w:r>
                    <w:rPr>
                      <w:snapToGrid w:val="0"/>
                      <w:kern w:val="18"/>
                      <w:szCs w:val="21"/>
                    </w:rPr>
                    <w:t>Ⅳ类</w:t>
                  </w:r>
                </w:p>
              </w:tc>
              <w:tc>
                <w:tcPr>
                  <w:tcW w:w="583" w:type="pct"/>
                  <w:shd w:val="clear" w:color="auto" w:fill="D7D7D7" w:themeFill="background1" w:themeFillShade="D8"/>
                  <w:noWrap w:val="0"/>
                  <w:vAlign w:val="center"/>
                </w:tcPr>
                <w:p w14:paraId="1CF0E9BE">
                  <w:pPr>
                    <w:spacing w:line="340" w:lineRule="exact"/>
                    <w:jc w:val="center"/>
                    <w:rPr>
                      <w:snapToGrid w:val="0"/>
                      <w:kern w:val="18"/>
                      <w:szCs w:val="21"/>
                    </w:rPr>
                  </w:pPr>
                  <w:r>
                    <w:rPr>
                      <w:snapToGrid w:val="0"/>
                      <w:kern w:val="18"/>
                      <w:szCs w:val="21"/>
                    </w:rPr>
                    <w:t>Ⅴ类</w:t>
                  </w:r>
                </w:p>
              </w:tc>
            </w:tr>
            <w:tr w14:paraId="6CD7B3F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422" w:hRule="exact"/>
                <w:jc w:val="center"/>
              </w:trPr>
              <w:tc>
                <w:tcPr>
                  <w:tcW w:w="585" w:type="pct"/>
                  <w:shd w:val="clear" w:color="auto" w:fill="auto"/>
                  <w:noWrap w:val="0"/>
                  <w:vAlign w:val="center"/>
                </w:tcPr>
                <w:p w14:paraId="6018D258">
                  <w:pPr>
                    <w:spacing w:line="340" w:lineRule="exact"/>
                    <w:jc w:val="center"/>
                    <w:rPr>
                      <w:snapToGrid w:val="0"/>
                      <w:kern w:val="18"/>
                      <w:szCs w:val="21"/>
                    </w:rPr>
                  </w:pPr>
                  <w:r>
                    <w:rPr>
                      <w:snapToGrid w:val="0"/>
                      <w:kern w:val="18"/>
                      <w:szCs w:val="21"/>
                    </w:rPr>
                    <w:t>1</w:t>
                  </w:r>
                </w:p>
              </w:tc>
              <w:tc>
                <w:tcPr>
                  <w:tcW w:w="1921" w:type="pct"/>
                  <w:shd w:val="clear" w:color="auto" w:fill="auto"/>
                  <w:noWrap w:val="0"/>
                  <w:vAlign w:val="center"/>
                </w:tcPr>
                <w:p w14:paraId="7677BFAB">
                  <w:pPr>
                    <w:spacing w:line="340" w:lineRule="exact"/>
                    <w:jc w:val="center"/>
                    <w:rPr>
                      <w:snapToGrid w:val="0"/>
                      <w:kern w:val="18"/>
                      <w:szCs w:val="21"/>
                    </w:rPr>
                  </w:pPr>
                  <w:r>
                    <w:rPr>
                      <w:snapToGrid w:val="0"/>
                      <w:kern w:val="18"/>
                      <w:szCs w:val="21"/>
                    </w:rPr>
                    <w:t>pH</w:t>
                  </w:r>
                  <w:r>
                    <w:rPr>
                      <w:rFonts w:hint="eastAsia"/>
                      <w:snapToGrid w:val="0"/>
                      <w:kern w:val="18"/>
                      <w:szCs w:val="21"/>
                      <w:lang w:eastAsia="zh-CN"/>
                    </w:rPr>
                    <w:t>（</w:t>
                  </w:r>
                  <w:r>
                    <w:rPr>
                      <w:snapToGrid w:val="0"/>
                      <w:kern w:val="18"/>
                      <w:szCs w:val="21"/>
                    </w:rPr>
                    <w:t>无量纲</w:t>
                  </w:r>
                  <w:r>
                    <w:rPr>
                      <w:rFonts w:hint="eastAsia"/>
                      <w:snapToGrid w:val="0"/>
                      <w:kern w:val="18"/>
                      <w:szCs w:val="21"/>
                      <w:lang w:eastAsia="zh-CN"/>
                    </w:rPr>
                    <w:t>）</w:t>
                  </w:r>
                </w:p>
              </w:tc>
              <w:tc>
                <w:tcPr>
                  <w:tcW w:w="2493" w:type="pct"/>
                  <w:gridSpan w:val="4"/>
                  <w:shd w:val="clear" w:color="auto" w:fill="D7D7D7" w:themeFill="background1" w:themeFillShade="D8"/>
                  <w:noWrap w:val="0"/>
                  <w:vAlign w:val="center"/>
                </w:tcPr>
                <w:p w14:paraId="1EFAAD0F">
                  <w:pPr>
                    <w:spacing w:line="340" w:lineRule="exact"/>
                    <w:jc w:val="center"/>
                    <w:rPr>
                      <w:snapToGrid w:val="0"/>
                      <w:kern w:val="18"/>
                      <w:szCs w:val="21"/>
                    </w:rPr>
                  </w:pPr>
                  <w:r>
                    <w:rPr>
                      <w:snapToGrid w:val="0"/>
                      <w:kern w:val="18"/>
                      <w:szCs w:val="21"/>
                    </w:rPr>
                    <w:t>6</w:t>
                  </w:r>
                  <w:r>
                    <w:rPr>
                      <w:rFonts w:hint="eastAsia"/>
                      <w:snapToGrid w:val="0"/>
                      <w:kern w:val="18"/>
                      <w:szCs w:val="21"/>
                      <w:lang w:eastAsia="zh-CN"/>
                    </w:rPr>
                    <w:t>~</w:t>
                  </w:r>
                  <w:r>
                    <w:rPr>
                      <w:snapToGrid w:val="0"/>
                      <w:kern w:val="18"/>
                      <w:szCs w:val="21"/>
                    </w:rPr>
                    <w:t>9</w:t>
                  </w:r>
                </w:p>
              </w:tc>
            </w:tr>
            <w:tr w14:paraId="4E61EB7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519" w:hRule="exact"/>
                <w:jc w:val="center"/>
              </w:trPr>
              <w:tc>
                <w:tcPr>
                  <w:tcW w:w="585" w:type="pct"/>
                  <w:shd w:val="clear" w:color="auto" w:fill="auto"/>
                  <w:noWrap w:val="0"/>
                  <w:vAlign w:val="center"/>
                </w:tcPr>
                <w:p w14:paraId="752F7061">
                  <w:pPr>
                    <w:spacing w:line="340" w:lineRule="exact"/>
                    <w:jc w:val="center"/>
                    <w:rPr>
                      <w:snapToGrid w:val="0"/>
                      <w:kern w:val="18"/>
                      <w:szCs w:val="21"/>
                    </w:rPr>
                  </w:pPr>
                  <w:r>
                    <w:rPr>
                      <w:snapToGrid w:val="0"/>
                      <w:kern w:val="18"/>
                      <w:szCs w:val="21"/>
                    </w:rPr>
                    <w:t>2</w:t>
                  </w:r>
                </w:p>
              </w:tc>
              <w:tc>
                <w:tcPr>
                  <w:tcW w:w="1921" w:type="pct"/>
                  <w:shd w:val="clear" w:color="auto" w:fill="auto"/>
                  <w:noWrap w:val="0"/>
                  <w:vAlign w:val="center"/>
                </w:tcPr>
                <w:p w14:paraId="7DEB72C3">
                  <w:pPr>
                    <w:spacing w:line="340" w:lineRule="exact"/>
                    <w:jc w:val="center"/>
                    <w:rPr>
                      <w:snapToGrid w:val="0"/>
                      <w:kern w:val="18"/>
                      <w:szCs w:val="21"/>
                    </w:rPr>
                  </w:pPr>
                  <w:r>
                    <w:rPr>
                      <w:snapToGrid w:val="0"/>
                      <w:kern w:val="18"/>
                      <w:szCs w:val="21"/>
                    </w:rPr>
                    <w:t>DO≥</w:t>
                  </w:r>
                </w:p>
              </w:tc>
              <w:tc>
                <w:tcPr>
                  <w:tcW w:w="741" w:type="pct"/>
                  <w:shd w:val="clear" w:color="auto" w:fill="auto"/>
                  <w:noWrap w:val="0"/>
                  <w:vAlign w:val="center"/>
                </w:tcPr>
                <w:p w14:paraId="466BAB4E">
                  <w:pPr>
                    <w:spacing w:line="340" w:lineRule="exact"/>
                    <w:jc w:val="center"/>
                    <w:rPr>
                      <w:snapToGrid w:val="0"/>
                      <w:kern w:val="18"/>
                      <w:szCs w:val="21"/>
                    </w:rPr>
                  </w:pPr>
                  <w:r>
                    <w:rPr>
                      <w:snapToGrid w:val="0"/>
                      <w:kern w:val="18"/>
                      <w:szCs w:val="21"/>
                    </w:rPr>
                    <w:t>6</w:t>
                  </w:r>
                </w:p>
              </w:tc>
              <w:tc>
                <w:tcPr>
                  <w:tcW w:w="584" w:type="pct"/>
                  <w:shd w:val="clear" w:color="auto" w:fill="auto"/>
                  <w:noWrap w:val="0"/>
                  <w:vAlign w:val="center"/>
                </w:tcPr>
                <w:p w14:paraId="164CD429">
                  <w:pPr>
                    <w:spacing w:line="340" w:lineRule="exact"/>
                    <w:jc w:val="center"/>
                    <w:rPr>
                      <w:snapToGrid w:val="0"/>
                      <w:kern w:val="18"/>
                      <w:szCs w:val="21"/>
                    </w:rPr>
                  </w:pPr>
                  <w:r>
                    <w:rPr>
                      <w:snapToGrid w:val="0"/>
                      <w:kern w:val="18"/>
                      <w:szCs w:val="21"/>
                    </w:rPr>
                    <w:t>5</w:t>
                  </w:r>
                </w:p>
              </w:tc>
              <w:tc>
                <w:tcPr>
                  <w:tcW w:w="584" w:type="pct"/>
                  <w:shd w:val="clear" w:color="auto" w:fill="auto"/>
                  <w:noWrap w:val="0"/>
                  <w:vAlign w:val="center"/>
                </w:tcPr>
                <w:p w14:paraId="01385E5A">
                  <w:pPr>
                    <w:spacing w:line="340" w:lineRule="exact"/>
                    <w:jc w:val="center"/>
                    <w:rPr>
                      <w:snapToGrid w:val="0"/>
                      <w:kern w:val="18"/>
                      <w:szCs w:val="21"/>
                    </w:rPr>
                  </w:pPr>
                  <w:r>
                    <w:rPr>
                      <w:snapToGrid w:val="0"/>
                      <w:kern w:val="18"/>
                      <w:szCs w:val="21"/>
                    </w:rPr>
                    <w:t>3</w:t>
                  </w:r>
                </w:p>
              </w:tc>
              <w:tc>
                <w:tcPr>
                  <w:tcW w:w="583" w:type="pct"/>
                  <w:shd w:val="clear" w:color="auto" w:fill="D7D7D7" w:themeFill="background1" w:themeFillShade="D8"/>
                  <w:noWrap w:val="0"/>
                  <w:vAlign w:val="center"/>
                </w:tcPr>
                <w:p w14:paraId="2E5D60E6">
                  <w:pPr>
                    <w:spacing w:line="340" w:lineRule="exact"/>
                    <w:jc w:val="center"/>
                    <w:rPr>
                      <w:snapToGrid w:val="0"/>
                      <w:kern w:val="18"/>
                      <w:szCs w:val="21"/>
                    </w:rPr>
                  </w:pPr>
                  <w:r>
                    <w:rPr>
                      <w:snapToGrid w:val="0"/>
                      <w:kern w:val="18"/>
                      <w:szCs w:val="21"/>
                    </w:rPr>
                    <w:t>2</w:t>
                  </w:r>
                </w:p>
              </w:tc>
            </w:tr>
            <w:tr w14:paraId="2D7380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509" w:hRule="exact"/>
                <w:jc w:val="center"/>
              </w:trPr>
              <w:tc>
                <w:tcPr>
                  <w:tcW w:w="585" w:type="pct"/>
                  <w:shd w:val="clear" w:color="auto" w:fill="auto"/>
                  <w:noWrap w:val="0"/>
                  <w:vAlign w:val="center"/>
                </w:tcPr>
                <w:p w14:paraId="7BEC337F">
                  <w:pPr>
                    <w:spacing w:line="340" w:lineRule="exact"/>
                    <w:jc w:val="center"/>
                    <w:rPr>
                      <w:snapToGrid w:val="0"/>
                      <w:kern w:val="18"/>
                      <w:szCs w:val="21"/>
                    </w:rPr>
                  </w:pPr>
                  <w:r>
                    <w:rPr>
                      <w:snapToGrid w:val="0"/>
                      <w:kern w:val="18"/>
                      <w:szCs w:val="21"/>
                    </w:rPr>
                    <w:t>3</w:t>
                  </w:r>
                </w:p>
              </w:tc>
              <w:tc>
                <w:tcPr>
                  <w:tcW w:w="1921" w:type="pct"/>
                  <w:shd w:val="clear" w:color="auto" w:fill="auto"/>
                  <w:noWrap w:val="0"/>
                  <w:vAlign w:val="center"/>
                </w:tcPr>
                <w:p w14:paraId="0EF52C38">
                  <w:pPr>
                    <w:spacing w:line="340" w:lineRule="exact"/>
                    <w:jc w:val="center"/>
                    <w:rPr>
                      <w:snapToGrid w:val="0"/>
                      <w:kern w:val="18"/>
                      <w:szCs w:val="21"/>
                    </w:rPr>
                  </w:pPr>
                  <w:r>
                    <w:rPr>
                      <w:snapToGrid w:val="0"/>
                      <w:kern w:val="18"/>
                      <w:szCs w:val="21"/>
                    </w:rPr>
                    <w:t>COD</w:t>
                  </w:r>
                  <w:r>
                    <w:rPr>
                      <w:snapToGrid w:val="0"/>
                      <w:kern w:val="18"/>
                      <w:szCs w:val="21"/>
                      <w:vertAlign w:val="subscript"/>
                    </w:rPr>
                    <w:t>Mn</w:t>
                  </w:r>
                  <w:r>
                    <w:rPr>
                      <w:snapToGrid w:val="0"/>
                      <w:kern w:val="18"/>
                      <w:szCs w:val="21"/>
                    </w:rPr>
                    <w:t>≤</w:t>
                  </w:r>
                </w:p>
              </w:tc>
              <w:tc>
                <w:tcPr>
                  <w:tcW w:w="741" w:type="pct"/>
                  <w:shd w:val="clear" w:color="auto" w:fill="auto"/>
                  <w:noWrap w:val="0"/>
                  <w:vAlign w:val="center"/>
                </w:tcPr>
                <w:p w14:paraId="30772968">
                  <w:pPr>
                    <w:spacing w:line="340" w:lineRule="exact"/>
                    <w:jc w:val="center"/>
                    <w:rPr>
                      <w:snapToGrid w:val="0"/>
                      <w:kern w:val="18"/>
                      <w:szCs w:val="21"/>
                    </w:rPr>
                  </w:pPr>
                  <w:r>
                    <w:rPr>
                      <w:snapToGrid w:val="0"/>
                      <w:kern w:val="18"/>
                      <w:szCs w:val="21"/>
                    </w:rPr>
                    <w:t>4</w:t>
                  </w:r>
                </w:p>
              </w:tc>
              <w:tc>
                <w:tcPr>
                  <w:tcW w:w="584" w:type="pct"/>
                  <w:shd w:val="clear" w:color="auto" w:fill="auto"/>
                  <w:noWrap w:val="0"/>
                  <w:vAlign w:val="center"/>
                </w:tcPr>
                <w:p w14:paraId="3678B590">
                  <w:pPr>
                    <w:spacing w:line="340" w:lineRule="exact"/>
                    <w:jc w:val="center"/>
                    <w:rPr>
                      <w:snapToGrid w:val="0"/>
                      <w:kern w:val="18"/>
                      <w:szCs w:val="21"/>
                    </w:rPr>
                  </w:pPr>
                  <w:r>
                    <w:rPr>
                      <w:snapToGrid w:val="0"/>
                      <w:kern w:val="18"/>
                      <w:szCs w:val="21"/>
                    </w:rPr>
                    <w:t>6</w:t>
                  </w:r>
                </w:p>
              </w:tc>
              <w:tc>
                <w:tcPr>
                  <w:tcW w:w="584" w:type="pct"/>
                  <w:shd w:val="clear" w:color="auto" w:fill="auto"/>
                  <w:noWrap w:val="0"/>
                  <w:vAlign w:val="center"/>
                </w:tcPr>
                <w:p w14:paraId="51C942B9">
                  <w:pPr>
                    <w:spacing w:line="340" w:lineRule="exact"/>
                    <w:jc w:val="center"/>
                    <w:rPr>
                      <w:snapToGrid w:val="0"/>
                      <w:kern w:val="18"/>
                      <w:szCs w:val="21"/>
                    </w:rPr>
                  </w:pPr>
                  <w:r>
                    <w:rPr>
                      <w:snapToGrid w:val="0"/>
                      <w:kern w:val="18"/>
                      <w:szCs w:val="21"/>
                    </w:rPr>
                    <w:t>10</w:t>
                  </w:r>
                </w:p>
              </w:tc>
              <w:tc>
                <w:tcPr>
                  <w:tcW w:w="583" w:type="pct"/>
                  <w:shd w:val="clear" w:color="auto" w:fill="D7D7D7" w:themeFill="background1" w:themeFillShade="D8"/>
                  <w:noWrap w:val="0"/>
                  <w:vAlign w:val="center"/>
                </w:tcPr>
                <w:p w14:paraId="665DDA66">
                  <w:pPr>
                    <w:spacing w:line="340" w:lineRule="exact"/>
                    <w:jc w:val="center"/>
                    <w:rPr>
                      <w:snapToGrid w:val="0"/>
                      <w:kern w:val="18"/>
                      <w:szCs w:val="21"/>
                    </w:rPr>
                  </w:pPr>
                  <w:r>
                    <w:rPr>
                      <w:snapToGrid w:val="0"/>
                      <w:kern w:val="18"/>
                      <w:szCs w:val="21"/>
                    </w:rPr>
                    <w:t>15</w:t>
                  </w:r>
                </w:p>
              </w:tc>
            </w:tr>
            <w:tr w14:paraId="3FD1BFF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472" w:hRule="exact"/>
                <w:jc w:val="center"/>
              </w:trPr>
              <w:tc>
                <w:tcPr>
                  <w:tcW w:w="585" w:type="pct"/>
                  <w:shd w:val="clear" w:color="auto" w:fill="auto"/>
                  <w:noWrap w:val="0"/>
                  <w:vAlign w:val="center"/>
                </w:tcPr>
                <w:p w14:paraId="6717F48B">
                  <w:pPr>
                    <w:spacing w:line="340" w:lineRule="exact"/>
                    <w:jc w:val="center"/>
                    <w:rPr>
                      <w:snapToGrid w:val="0"/>
                      <w:kern w:val="18"/>
                      <w:szCs w:val="21"/>
                    </w:rPr>
                  </w:pPr>
                  <w:r>
                    <w:rPr>
                      <w:snapToGrid w:val="0"/>
                      <w:kern w:val="18"/>
                      <w:szCs w:val="21"/>
                    </w:rPr>
                    <w:t>4</w:t>
                  </w:r>
                </w:p>
              </w:tc>
              <w:tc>
                <w:tcPr>
                  <w:tcW w:w="1921" w:type="pct"/>
                  <w:shd w:val="clear" w:color="auto" w:fill="auto"/>
                  <w:noWrap w:val="0"/>
                  <w:vAlign w:val="center"/>
                </w:tcPr>
                <w:p w14:paraId="158DE907">
                  <w:pPr>
                    <w:spacing w:line="340" w:lineRule="exact"/>
                    <w:jc w:val="center"/>
                    <w:rPr>
                      <w:snapToGrid w:val="0"/>
                      <w:kern w:val="18"/>
                      <w:szCs w:val="21"/>
                    </w:rPr>
                  </w:pPr>
                  <w:r>
                    <w:rPr>
                      <w:snapToGrid w:val="0"/>
                      <w:kern w:val="18"/>
                      <w:szCs w:val="21"/>
                    </w:rPr>
                    <w:t>BOD</w:t>
                  </w:r>
                  <w:r>
                    <w:rPr>
                      <w:snapToGrid w:val="0"/>
                      <w:kern w:val="18"/>
                      <w:szCs w:val="21"/>
                      <w:vertAlign w:val="subscript"/>
                    </w:rPr>
                    <w:t>5</w:t>
                  </w:r>
                  <w:r>
                    <w:rPr>
                      <w:snapToGrid w:val="0"/>
                      <w:kern w:val="18"/>
                      <w:szCs w:val="21"/>
                    </w:rPr>
                    <w:t>≤</w:t>
                  </w:r>
                </w:p>
              </w:tc>
              <w:tc>
                <w:tcPr>
                  <w:tcW w:w="741" w:type="pct"/>
                  <w:shd w:val="clear" w:color="auto" w:fill="auto"/>
                  <w:noWrap w:val="0"/>
                  <w:vAlign w:val="center"/>
                </w:tcPr>
                <w:p w14:paraId="3FB5685B">
                  <w:pPr>
                    <w:spacing w:line="340" w:lineRule="exact"/>
                    <w:jc w:val="center"/>
                    <w:rPr>
                      <w:snapToGrid w:val="0"/>
                      <w:kern w:val="18"/>
                      <w:szCs w:val="21"/>
                    </w:rPr>
                  </w:pPr>
                  <w:r>
                    <w:rPr>
                      <w:snapToGrid w:val="0"/>
                      <w:kern w:val="18"/>
                      <w:szCs w:val="21"/>
                    </w:rPr>
                    <w:t>3</w:t>
                  </w:r>
                </w:p>
              </w:tc>
              <w:tc>
                <w:tcPr>
                  <w:tcW w:w="584" w:type="pct"/>
                  <w:shd w:val="clear" w:color="auto" w:fill="auto"/>
                  <w:noWrap w:val="0"/>
                  <w:vAlign w:val="center"/>
                </w:tcPr>
                <w:p w14:paraId="7B04DDBC">
                  <w:pPr>
                    <w:spacing w:line="340" w:lineRule="exact"/>
                    <w:jc w:val="center"/>
                    <w:rPr>
                      <w:snapToGrid w:val="0"/>
                      <w:kern w:val="18"/>
                      <w:szCs w:val="21"/>
                    </w:rPr>
                  </w:pPr>
                  <w:r>
                    <w:rPr>
                      <w:snapToGrid w:val="0"/>
                      <w:kern w:val="18"/>
                      <w:szCs w:val="21"/>
                    </w:rPr>
                    <w:t>4</w:t>
                  </w:r>
                </w:p>
              </w:tc>
              <w:tc>
                <w:tcPr>
                  <w:tcW w:w="584" w:type="pct"/>
                  <w:shd w:val="clear" w:color="auto" w:fill="auto"/>
                  <w:noWrap w:val="0"/>
                  <w:vAlign w:val="center"/>
                </w:tcPr>
                <w:p w14:paraId="70C99B9B">
                  <w:pPr>
                    <w:spacing w:line="340" w:lineRule="exact"/>
                    <w:jc w:val="center"/>
                    <w:rPr>
                      <w:snapToGrid w:val="0"/>
                      <w:kern w:val="18"/>
                      <w:szCs w:val="21"/>
                    </w:rPr>
                  </w:pPr>
                  <w:r>
                    <w:rPr>
                      <w:snapToGrid w:val="0"/>
                      <w:kern w:val="18"/>
                      <w:szCs w:val="21"/>
                    </w:rPr>
                    <w:t>6</w:t>
                  </w:r>
                </w:p>
              </w:tc>
              <w:tc>
                <w:tcPr>
                  <w:tcW w:w="583" w:type="pct"/>
                  <w:shd w:val="clear" w:color="auto" w:fill="D7D7D7" w:themeFill="background1" w:themeFillShade="D8"/>
                  <w:noWrap w:val="0"/>
                  <w:vAlign w:val="center"/>
                </w:tcPr>
                <w:p w14:paraId="1B962334">
                  <w:pPr>
                    <w:spacing w:line="340" w:lineRule="exact"/>
                    <w:jc w:val="center"/>
                    <w:rPr>
                      <w:snapToGrid w:val="0"/>
                      <w:kern w:val="18"/>
                      <w:szCs w:val="21"/>
                    </w:rPr>
                  </w:pPr>
                  <w:r>
                    <w:rPr>
                      <w:snapToGrid w:val="0"/>
                      <w:kern w:val="18"/>
                      <w:szCs w:val="21"/>
                    </w:rPr>
                    <w:t>10</w:t>
                  </w:r>
                </w:p>
              </w:tc>
            </w:tr>
            <w:tr w14:paraId="7588AA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489" w:hRule="exact"/>
                <w:jc w:val="center"/>
              </w:trPr>
              <w:tc>
                <w:tcPr>
                  <w:tcW w:w="585" w:type="pct"/>
                  <w:shd w:val="clear" w:color="auto" w:fill="auto"/>
                  <w:noWrap w:val="0"/>
                  <w:vAlign w:val="center"/>
                </w:tcPr>
                <w:p w14:paraId="442B4CFF">
                  <w:pPr>
                    <w:spacing w:line="340" w:lineRule="exact"/>
                    <w:jc w:val="center"/>
                    <w:rPr>
                      <w:snapToGrid w:val="0"/>
                      <w:kern w:val="18"/>
                      <w:szCs w:val="21"/>
                    </w:rPr>
                  </w:pPr>
                  <w:r>
                    <w:rPr>
                      <w:snapToGrid w:val="0"/>
                      <w:kern w:val="18"/>
                      <w:szCs w:val="21"/>
                    </w:rPr>
                    <w:t>5</w:t>
                  </w:r>
                </w:p>
              </w:tc>
              <w:tc>
                <w:tcPr>
                  <w:tcW w:w="1921" w:type="pct"/>
                  <w:shd w:val="clear" w:color="auto" w:fill="auto"/>
                  <w:noWrap w:val="0"/>
                  <w:vAlign w:val="center"/>
                </w:tcPr>
                <w:p w14:paraId="2402AFBC">
                  <w:pPr>
                    <w:spacing w:line="340" w:lineRule="exact"/>
                    <w:jc w:val="center"/>
                    <w:rPr>
                      <w:snapToGrid w:val="0"/>
                      <w:kern w:val="18"/>
                      <w:szCs w:val="21"/>
                    </w:rPr>
                  </w:pPr>
                  <w:r>
                    <w:rPr>
                      <w:snapToGrid w:val="0"/>
                      <w:kern w:val="18"/>
                      <w:szCs w:val="21"/>
                    </w:rPr>
                    <w:t>COD</w:t>
                  </w:r>
                </w:p>
              </w:tc>
              <w:tc>
                <w:tcPr>
                  <w:tcW w:w="741" w:type="pct"/>
                  <w:shd w:val="clear" w:color="auto" w:fill="auto"/>
                  <w:noWrap w:val="0"/>
                  <w:vAlign w:val="center"/>
                </w:tcPr>
                <w:p w14:paraId="6ACCD7B3">
                  <w:pPr>
                    <w:spacing w:line="340" w:lineRule="exact"/>
                    <w:jc w:val="center"/>
                    <w:rPr>
                      <w:snapToGrid w:val="0"/>
                      <w:kern w:val="18"/>
                      <w:szCs w:val="21"/>
                    </w:rPr>
                  </w:pPr>
                  <w:r>
                    <w:rPr>
                      <w:snapToGrid w:val="0"/>
                      <w:kern w:val="18"/>
                      <w:szCs w:val="21"/>
                    </w:rPr>
                    <w:t>15</w:t>
                  </w:r>
                </w:p>
              </w:tc>
              <w:tc>
                <w:tcPr>
                  <w:tcW w:w="584" w:type="pct"/>
                  <w:shd w:val="clear" w:color="auto" w:fill="auto"/>
                  <w:noWrap w:val="0"/>
                  <w:vAlign w:val="center"/>
                </w:tcPr>
                <w:p w14:paraId="21649DE5">
                  <w:pPr>
                    <w:spacing w:line="340" w:lineRule="exact"/>
                    <w:jc w:val="center"/>
                    <w:rPr>
                      <w:snapToGrid w:val="0"/>
                      <w:kern w:val="18"/>
                      <w:szCs w:val="21"/>
                    </w:rPr>
                  </w:pPr>
                  <w:r>
                    <w:rPr>
                      <w:snapToGrid w:val="0"/>
                      <w:kern w:val="18"/>
                      <w:szCs w:val="21"/>
                    </w:rPr>
                    <w:t>20</w:t>
                  </w:r>
                </w:p>
              </w:tc>
              <w:tc>
                <w:tcPr>
                  <w:tcW w:w="584" w:type="pct"/>
                  <w:shd w:val="clear" w:color="auto" w:fill="auto"/>
                  <w:noWrap w:val="0"/>
                  <w:vAlign w:val="center"/>
                </w:tcPr>
                <w:p w14:paraId="7512AC30">
                  <w:pPr>
                    <w:spacing w:line="340" w:lineRule="exact"/>
                    <w:jc w:val="center"/>
                    <w:rPr>
                      <w:snapToGrid w:val="0"/>
                      <w:kern w:val="18"/>
                      <w:szCs w:val="21"/>
                    </w:rPr>
                  </w:pPr>
                  <w:r>
                    <w:rPr>
                      <w:snapToGrid w:val="0"/>
                      <w:kern w:val="18"/>
                      <w:szCs w:val="21"/>
                    </w:rPr>
                    <w:t>30</w:t>
                  </w:r>
                </w:p>
              </w:tc>
              <w:tc>
                <w:tcPr>
                  <w:tcW w:w="583" w:type="pct"/>
                  <w:shd w:val="clear" w:color="auto" w:fill="D7D7D7" w:themeFill="background1" w:themeFillShade="D8"/>
                  <w:noWrap w:val="0"/>
                  <w:vAlign w:val="center"/>
                </w:tcPr>
                <w:p w14:paraId="13E9BD8B">
                  <w:pPr>
                    <w:spacing w:line="340" w:lineRule="exact"/>
                    <w:jc w:val="center"/>
                    <w:rPr>
                      <w:snapToGrid w:val="0"/>
                      <w:kern w:val="18"/>
                      <w:szCs w:val="21"/>
                    </w:rPr>
                  </w:pPr>
                  <w:r>
                    <w:rPr>
                      <w:snapToGrid w:val="0"/>
                      <w:kern w:val="18"/>
                      <w:szCs w:val="21"/>
                    </w:rPr>
                    <w:t>40</w:t>
                  </w:r>
                </w:p>
              </w:tc>
            </w:tr>
            <w:tr w14:paraId="0561AEC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467" w:hRule="exact"/>
                <w:jc w:val="center"/>
              </w:trPr>
              <w:tc>
                <w:tcPr>
                  <w:tcW w:w="585" w:type="pct"/>
                  <w:shd w:val="clear" w:color="auto" w:fill="auto"/>
                  <w:noWrap w:val="0"/>
                  <w:vAlign w:val="center"/>
                </w:tcPr>
                <w:p w14:paraId="3611740A">
                  <w:pPr>
                    <w:spacing w:line="340" w:lineRule="exact"/>
                    <w:jc w:val="center"/>
                    <w:rPr>
                      <w:snapToGrid w:val="0"/>
                      <w:kern w:val="18"/>
                      <w:szCs w:val="21"/>
                    </w:rPr>
                  </w:pPr>
                  <w:r>
                    <w:rPr>
                      <w:snapToGrid w:val="0"/>
                      <w:kern w:val="18"/>
                      <w:szCs w:val="21"/>
                    </w:rPr>
                    <w:t>6</w:t>
                  </w:r>
                </w:p>
              </w:tc>
              <w:tc>
                <w:tcPr>
                  <w:tcW w:w="1921" w:type="pct"/>
                  <w:shd w:val="clear" w:color="auto" w:fill="auto"/>
                  <w:noWrap w:val="0"/>
                  <w:vAlign w:val="center"/>
                </w:tcPr>
                <w:p w14:paraId="5E1FD74E">
                  <w:pPr>
                    <w:spacing w:line="340" w:lineRule="exact"/>
                    <w:jc w:val="center"/>
                    <w:rPr>
                      <w:snapToGrid w:val="0"/>
                      <w:kern w:val="18"/>
                      <w:szCs w:val="21"/>
                    </w:rPr>
                  </w:pPr>
                  <w:r>
                    <w:rPr>
                      <w:snapToGrid w:val="0"/>
                      <w:kern w:val="18"/>
                      <w:szCs w:val="21"/>
                    </w:rPr>
                    <w:t>NH</w:t>
                  </w:r>
                  <w:r>
                    <w:rPr>
                      <w:snapToGrid w:val="0"/>
                      <w:kern w:val="18"/>
                      <w:szCs w:val="21"/>
                      <w:vertAlign w:val="subscript"/>
                    </w:rPr>
                    <w:t>3</w:t>
                  </w:r>
                  <w:r>
                    <w:rPr>
                      <w:snapToGrid w:val="0"/>
                      <w:kern w:val="18"/>
                      <w:szCs w:val="21"/>
                    </w:rPr>
                    <w:t>-N≤</w:t>
                  </w:r>
                </w:p>
              </w:tc>
              <w:tc>
                <w:tcPr>
                  <w:tcW w:w="741" w:type="pct"/>
                  <w:shd w:val="clear" w:color="auto" w:fill="auto"/>
                  <w:noWrap w:val="0"/>
                  <w:vAlign w:val="center"/>
                </w:tcPr>
                <w:p w14:paraId="13BD5803">
                  <w:pPr>
                    <w:spacing w:line="340" w:lineRule="exact"/>
                    <w:jc w:val="center"/>
                    <w:rPr>
                      <w:snapToGrid w:val="0"/>
                      <w:kern w:val="18"/>
                      <w:szCs w:val="21"/>
                    </w:rPr>
                  </w:pPr>
                  <w:r>
                    <w:rPr>
                      <w:snapToGrid w:val="0"/>
                      <w:kern w:val="18"/>
                      <w:szCs w:val="21"/>
                    </w:rPr>
                    <w:t>0.5</w:t>
                  </w:r>
                </w:p>
              </w:tc>
              <w:tc>
                <w:tcPr>
                  <w:tcW w:w="584" w:type="pct"/>
                  <w:shd w:val="clear" w:color="auto" w:fill="auto"/>
                  <w:noWrap w:val="0"/>
                  <w:vAlign w:val="center"/>
                </w:tcPr>
                <w:p w14:paraId="10C36085">
                  <w:pPr>
                    <w:spacing w:line="340" w:lineRule="exact"/>
                    <w:jc w:val="center"/>
                    <w:rPr>
                      <w:snapToGrid w:val="0"/>
                      <w:kern w:val="18"/>
                      <w:szCs w:val="21"/>
                    </w:rPr>
                  </w:pPr>
                  <w:r>
                    <w:rPr>
                      <w:snapToGrid w:val="0"/>
                      <w:kern w:val="18"/>
                      <w:szCs w:val="21"/>
                    </w:rPr>
                    <w:t>1.0</w:t>
                  </w:r>
                </w:p>
              </w:tc>
              <w:tc>
                <w:tcPr>
                  <w:tcW w:w="584" w:type="pct"/>
                  <w:shd w:val="clear" w:color="auto" w:fill="auto"/>
                  <w:noWrap w:val="0"/>
                  <w:vAlign w:val="center"/>
                </w:tcPr>
                <w:p w14:paraId="52C31124">
                  <w:pPr>
                    <w:spacing w:line="340" w:lineRule="exact"/>
                    <w:jc w:val="center"/>
                    <w:rPr>
                      <w:snapToGrid w:val="0"/>
                      <w:kern w:val="18"/>
                      <w:szCs w:val="21"/>
                    </w:rPr>
                  </w:pPr>
                  <w:r>
                    <w:rPr>
                      <w:snapToGrid w:val="0"/>
                      <w:kern w:val="18"/>
                      <w:szCs w:val="21"/>
                    </w:rPr>
                    <w:t>1.5</w:t>
                  </w:r>
                </w:p>
              </w:tc>
              <w:tc>
                <w:tcPr>
                  <w:tcW w:w="583" w:type="pct"/>
                  <w:shd w:val="clear" w:color="auto" w:fill="D7D7D7" w:themeFill="background1" w:themeFillShade="D8"/>
                  <w:noWrap w:val="0"/>
                  <w:vAlign w:val="center"/>
                </w:tcPr>
                <w:p w14:paraId="42BE0B03">
                  <w:pPr>
                    <w:spacing w:line="340" w:lineRule="exact"/>
                    <w:jc w:val="center"/>
                    <w:rPr>
                      <w:snapToGrid w:val="0"/>
                      <w:kern w:val="18"/>
                      <w:szCs w:val="21"/>
                    </w:rPr>
                  </w:pPr>
                  <w:r>
                    <w:rPr>
                      <w:snapToGrid w:val="0"/>
                      <w:kern w:val="18"/>
                      <w:szCs w:val="21"/>
                    </w:rPr>
                    <w:t>2.0</w:t>
                  </w:r>
                </w:p>
              </w:tc>
            </w:tr>
          </w:tbl>
          <w:p w14:paraId="73E4C38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68" w:name="_Toc12367"/>
            <w:bookmarkStart w:id="69" w:name="_Toc4828"/>
            <w:r>
              <w:rPr>
                <w:rFonts w:hint="eastAsia" w:ascii="Times New Roman" w:hAnsi="Times New Roman" w:eastAsia="宋体" w:cs="Times New Roman"/>
                <w:b/>
                <w:bCs/>
                <w:color w:val="auto"/>
                <w:sz w:val="24"/>
                <w:szCs w:val="24"/>
                <w:u w:val="none"/>
                <w:lang w:val="en-US" w:eastAsia="zh-CN"/>
              </w:rPr>
              <w:t>3.2.2地表水环境质量现状</w:t>
            </w:r>
            <w:bookmarkEnd w:id="68"/>
            <w:bookmarkEnd w:id="69"/>
          </w:p>
          <w:p w14:paraId="425F205E">
            <w:pPr>
              <w:widowControl/>
              <w:spacing w:line="360" w:lineRule="auto"/>
              <w:ind w:firstLine="480" w:firstLineChars="200"/>
              <w:jc w:val="left"/>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①环境质量现状：</w:t>
            </w:r>
            <w:r>
              <w:rPr>
                <w:rFonts w:hint="default" w:ascii="Times New Roman" w:hAnsi="Times New Roman" w:eastAsia="宋体" w:cs="Times New Roman"/>
                <w:color w:val="auto"/>
                <w:sz w:val="24"/>
                <w:szCs w:val="22"/>
                <w:highlight w:val="none"/>
                <w:lang w:val="en-US" w:eastAsia="zh-CN"/>
              </w:rPr>
              <w:t>为了解项目地表水水质环境质量现状，根据《福建省流域水环境质量状况（202</w:t>
            </w:r>
            <w:r>
              <w:rPr>
                <w:rFonts w:hint="eastAsia" w:ascii="Times New Roman" w:hAnsi="Times New Roman" w:eastAsia="宋体" w:cs="Times New Roman"/>
                <w:color w:val="auto"/>
                <w:sz w:val="24"/>
                <w:szCs w:val="22"/>
                <w:highlight w:val="none"/>
                <w:lang w:val="en-US" w:eastAsia="zh-CN"/>
              </w:rPr>
              <w:t>4年</w:t>
            </w:r>
            <w:r>
              <w:rPr>
                <w:rFonts w:hint="default" w:ascii="Times New Roman" w:hAnsi="Times New Roman" w:eastAsia="宋体" w:cs="Times New Roman"/>
                <w:color w:val="auto"/>
                <w:sz w:val="24"/>
                <w:szCs w:val="22"/>
                <w:highlight w:val="none"/>
                <w:lang w:val="en-US" w:eastAsia="zh-CN"/>
              </w:rPr>
              <w:t>）》（</w:t>
            </w:r>
            <w:r>
              <w:rPr>
                <w:rFonts w:hint="eastAsia" w:ascii="Times New Roman" w:hAnsi="Times New Roman" w:eastAsia="宋体" w:cs="Times New Roman"/>
                <w:color w:val="auto"/>
                <w:sz w:val="24"/>
                <w:szCs w:val="22"/>
                <w:highlight w:val="none"/>
                <w:lang w:val="en-US" w:eastAsia="zh-CN"/>
              </w:rPr>
              <w:t>https://sthjt.fujian.gov.cn/zwgk/sjfb/hjsj/qshjzljtb/202502/t20250208_6712426.htm</w:t>
            </w:r>
            <w:r>
              <w:rPr>
                <w:rFonts w:hint="default" w:ascii="Times New Roman" w:hAnsi="Times New Roman" w:eastAsia="宋体" w:cs="Times New Roman"/>
                <w:color w:val="auto"/>
                <w:sz w:val="24"/>
                <w:szCs w:val="22"/>
                <w:highlight w:val="none"/>
                <w:lang w:val="en-US" w:eastAsia="zh-CN"/>
              </w:rPr>
              <w:t>）</w:t>
            </w:r>
            <w:r>
              <w:rPr>
                <w:rFonts w:hint="eastAsia" w:ascii="Times New Roman" w:hAnsi="Times New Roman" w:eastAsia="宋体" w:cs="Times New Roman"/>
                <w:color w:val="auto"/>
                <w:sz w:val="24"/>
                <w:szCs w:val="22"/>
                <w:highlight w:val="none"/>
                <w:lang w:val="en-US" w:eastAsia="zh-CN"/>
              </w:rPr>
              <w:t>显示：</w:t>
            </w:r>
            <w:r>
              <w:rPr>
                <w:rFonts w:hint="default" w:ascii="Times New Roman" w:hAnsi="Times New Roman" w:eastAsia="宋体" w:cs="Times New Roman"/>
                <w:color w:val="auto"/>
                <w:sz w:val="24"/>
                <w:szCs w:val="22"/>
                <w:highlight w:val="none"/>
                <w:lang w:val="en-US" w:eastAsia="zh-CN"/>
              </w:rPr>
              <w:t>2024年，全省主要流域总体水质为优，国控断面Ⅰ～Ⅲ类水质比例100％，Ⅰ～Ⅱ类水质比例77.1</w:t>
            </w: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；国控及省控断面Ⅰ～Ⅲ类水质比例99.7</w:t>
            </w: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，其中Ⅰ～Ⅱ类水质比例80.0</w:t>
            </w: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，各类水质比例如下：Ⅰ类占2.4</w:t>
            </w: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，Ⅱ类占77.6</w:t>
            </w: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，Ⅲ类占19.7</w:t>
            </w: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，Ⅳ类占0.3</w:t>
            </w: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，无Ⅴ类和劣Ⅴ类水。</w:t>
            </w:r>
          </w:p>
          <w:p w14:paraId="02324AA1">
            <w:pPr>
              <w:widowControl/>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2"/>
                <w:highlight w:val="none"/>
                <w:lang w:val="en-US" w:eastAsia="zh-CN"/>
              </w:rPr>
              <w:t>2024年，福建省主要流域总体水质从相对较好开始排序，具体为：闽江、交溪、九龙江、汀江（韩江）、霍童溪、晋江、萩芦溪、东西溪、木兰溪、敖江、漳江、诏安东溪、鹿溪、龙江。</w:t>
            </w:r>
            <w:r>
              <w:rPr>
                <w:rFonts w:hint="eastAsia" w:ascii="Times New Roman" w:hAnsi="Times New Roman" w:eastAsia="宋体" w:cs="Times New Roman"/>
                <w:color w:val="auto"/>
                <w:sz w:val="24"/>
                <w:highlight w:val="none"/>
                <w:lang w:val="en-US" w:eastAsia="zh-CN"/>
              </w:rPr>
              <w:t>（详见图3.2-1）</w:t>
            </w:r>
          </w:p>
          <w:p w14:paraId="6679B9C4">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宋体" w:cs="Times New Roman"/>
                <w:color w:val="auto"/>
                <w:sz w:val="24"/>
                <w:highlight w:val="none"/>
                <w:lang w:val="en-US" w:eastAsia="zh-CN"/>
              </w:rPr>
            </w:pPr>
            <w:r>
              <w:rPr>
                <w:color w:val="auto"/>
                <w:highlight w:val="none"/>
              </w:rPr>
              <w:drawing>
                <wp:inline distT="0" distB="0" distL="114300" distR="114300">
                  <wp:extent cx="5431155" cy="4364355"/>
                  <wp:effectExtent l="0" t="0" r="17145" b="17145"/>
                  <wp:docPr id="1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4"/>
                          <pic:cNvPicPr>
                            <a:picLocks noChangeAspect="1"/>
                          </pic:cNvPicPr>
                        </pic:nvPicPr>
                        <pic:blipFill>
                          <a:blip r:embed="rId24"/>
                          <a:stretch>
                            <a:fillRect/>
                          </a:stretch>
                        </pic:blipFill>
                        <pic:spPr>
                          <a:xfrm>
                            <a:off x="0" y="0"/>
                            <a:ext cx="5431155" cy="4364355"/>
                          </a:xfrm>
                          <a:prstGeom prst="rect">
                            <a:avLst/>
                          </a:prstGeom>
                          <a:noFill/>
                          <a:ln>
                            <a:noFill/>
                          </a:ln>
                        </pic:spPr>
                      </pic:pic>
                    </a:graphicData>
                  </a:graphic>
                </wp:inline>
              </w:drawing>
            </w:r>
          </w:p>
          <w:p w14:paraId="4B2FE36D">
            <w:pPr>
              <w:pStyle w:val="39"/>
              <w:keepNext w:val="0"/>
              <w:keepLines w:val="0"/>
              <w:pageBreakBefore w:val="0"/>
              <w:widowControl w:val="0"/>
              <w:kinsoku/>
              <w:wordWrap/>
              <w:overflowPunct/>
              <w:topLinePunct w:val="0"/>
              <w:autoSpaceDE/>
              <w:autoSpaceDN/>
              <w:bidi w:val="0"/>
              <w:adjustRightInd/>
              <w:snapToGrid/>
              <w:spacing w:after="157" w:afterLines="50" w:line="240" w:lineRule="auto"/>
              <w:ind w:left="0" w:firstLine="0"/>
              <w:jc w:val="center"/>
              <w:textAlignment w:val="auto"/>
              <w:outlineLvl w:val="9"/>
              <w:rPr>
                <w:rFonts w:hint="eastAsia" w:cs="Times New Roman"/>
                <w:b/>
                <w:bCs w:val="0"/>
                <w:color w:val="auto"/>
                <w:sz w:val="24"/>
                <w:szCs w:val="24"/>
                <w:lang w:val="en-US" w:eastAsia="zh-CN"/>
              </w:rPr>
            </w:pPr>
            <w:bookmarkStart w:id="70" w:name="_Toc17711"/>
            <w:r>
              <w:rPr>
                <w:rFonts w:hint="eastAsia" w:ascii="Times New Roman" w:hAnsi="Times New Roman" w:eastAsia="宋体" w:cs="Times New Roman"/>
                <w:b/>
                <w:bCs w:val="0"/>
                <w:color w:val="auto"/>
                <w:sz w:val="24"/>
                <w:szCs w:val="24"/>
                <w:lang w:val="en-US" w:eastAsia="zh-CN"/>
              </w:rPr>
              <w:t>图3.</w:t>
            </w:r>
            <w:r>
              <w:rPr>
                <w:rFonts w:hint="eastAsia" w:cs="Times New Roman"/>
                <w:b/>
                <w:bCs w:val="0"/>
                <w:color w:val="auto"/>
                <w:sz w:val="24"/>
                <w:szCs w:val="24"/>
                <w:lang w:val="en-US" w:eastAsia="zh-CN"/>
              </w:rPr>
              <w:t>2</w:t>
            </w:r>
            <w:r>
              <w:rPr>
                <w:rFonts w:hint="eastAsia" w:ascii="Times New Roman" w:hAnsi="Times New Roman" w:eastAsia="宋体" w:cs="Times New Roman"/>
                <w:b/>
                <w:bCs w:val="0"/>
                <w:color w:val="auto"/>
                <w:sz w:val="24"/>
                <w:szCs w:val="24"/>
                <w:lang w:val="en-US" w:eastAsia="zh-CN"/>
              </w:rPr>
              <w:t>-</w:t>
            </w:r>
            <w:r>
              <w:rPr>
                <w:rFonts w:hint="eastAsia" w:cs="Times New Roman"/>
                <w:b/>
                <w:bCs w:val="0"/>
                <w:color w:val="auto"/>
                <w:sz w:val="24"/>
                <w:szCs w:val="24"/>
                <w:lang w:val="en-US" w:eastAsia="zh-CN"/>
              </w:rPr>
              <w:t>1</w:t>
            </w:r>
            <w:r>
              <w:rPr>
                <w:rFonts w:hint="eastAsia" w:ascii="Times New Roman" w:hAnsi="Times New Roman" w:eastAsia="宋体" w:cs="Times New Roman"/>
                <w:b/>
                <w:bCs w:val="0"/>
                <w:color w:val="auto"/>
                <w:sz w:val="24"/>
                <w:szCs w:val="24"/>
                <w:lang w:val="en-US" w:eastAsia="zh-CN"/>
              </w:rPr>
              <w:t xml:space="preserve">  </w:t>
            </w:r>
            <w:r>
              <w:rPr>
                <w:rFonts w:hint="eastAsia" w:cs="Times New Roman"/>
                <w:b/>
                <w:bCs w:val="0"/>
                <w:color w:val="auto"/>
                <w:sz w:val="24"/>
                <w:szCs w:val="24"/>
                <w:lang w:val="en-US" w:eastAsia="zh-CN"/>
              </w:rPr>
              <w:t>福建省流域水环境质量状况（2024年）截图</w:t>
            </w:r>
            <w:bookmarkEnd w:id="70"/>
          </w:p>
          <w:p w14:paraId="0FB4193D">
            <w:pPr>
              <w:pStyle w:val="39"/>
              <w:keepNext w:val="0"/>
              <w:keepLines w:val="0"/>
              <w:pageBreakBefore w:val="0"/>
              <w:widowControl w:val="0"/>
              <w:kinsoku/>
              <w:wordWrap/>
              <w:overflowPunct/>
              <w:topLinePunct w:val="0"/>
              <w:autoSpaceDE/>
              <w:autoSpaceDN/>
              <w:bidi w:val="0"/>
              <w:adjustRightInd/>
              <w:snapToGrid/>
              <w:spacing w:line="240" w:lineRule="auto"/>
              <w:ind w:left="0" w:firstLine="0"/>
              <w:jc w:val="both"/>
              <w:textAlignment w:val="auto"/>
              <w:outlineLvl w:val="9"/>
              <w:rPr>
                <w:rFonts w:hint="default" w:cs="Times New Roman"/>
                <w:b/>
                <w:bCs w:val="0"/>
                <w:color w:val="auto"/>
                <w:sz w:val="24"/>
                <w:szCs w:val="24"/>
                <w:lang w:val="en-US" w:eastAsia="zh-CN"/>
              </w:rPr>
            </w:pPr>
            <w:r>
              <w:rPr>
                <w:color w:val="auto"/>
                <w:highlight w:val="none"/>
              </w:rPr>
              <w:drawing>
                <wp:inline distT="0" distB="0" distL="114300" distR="114300">
                  <wp:extent cx="5414010" cy="4192905"/>
                  <wp:effectExtent l="0" t="0" r="15240" b="17145"/>
                  <wp:docPr id="1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5"/>
                          <pic:cNvPicPr>
                            <a:picLocks noChangeAspect="1"/>
                          </pic:cNvPicPr>
                        </pic:nvPicPr>
                        <pic:blipFill>
                          <a:blip r:embed="rId25"/>
                          <a:stretch>
                            <a:fillRect/>
                          </a:stretch>
                        </pic:blipFill>
                        <pic:spPr>
                          <a:xfrm>
                            <a:off x="0" y="0"/>
                            <a:ext cx="5414010" cy="4192905"/>
                          </a:xfrm>
                          <a:prstGeom prst="rect">
                            <a:avLst/>
                          </a:prstGeom>
                          <a:noFill/>
                          <a:ln>
                            <a:noFill/>
                          </a:ln>
                        </pic:spPr>
                      </pic:pic>
                    </a:graphicData>
                  </a:graphic>
                </wp:inline>
              </w:drawing>
            </w:r>
          </w:p>
          <w:p w14:paraId="181969EF">
            <w:pPr>
              <w:pStyle w:val="39"/>
              <w:keepNext w:val="0"/>
              <w:keepLines w:val="0"/>
              <w:pageBreakBefore w:val="0"/>
              <w:widowControl w:val="0"/>
              <w:kinsoku/>
              <w:wordWrap/>
              <w:overflowPunct/>
              <w:topLinePunct w:val="0"/>
              <w:autoSpaceDE/>
              <w:autoSpaceDN/>
              <w:bidi w:val="0"/>
              <w:adjustRightInd/>
              <w:snapToGrid/>
              <w:spacing w:after="157" w:afterLines="50" w:line="240" w:lineRule="auto"/>
              <w:ind w:left="0" w:firstLine="0"/>
              <w:jc w:val="center"/>
              <w:textAlignment w:val="auto"/>
              <w:outlineLvl w:val="9"/>
              <w:rPr>
                <w:rFonts w:hint="eastAsia" w:ascii="Times New Roman" w:hAnsi="Times New Roman" w:eastAsia="宋体" w:cs="Times New Roman"/>
                <w:b/>
                <w:bCs w:val="0"/>
                <w:color w:val="auto"/>
                <w:sz w:val="24"/>
                <w:szCs w:val="24"/>
                <w:lang w:val="zh-CN" w:eastAsia="zh-CN"/>
              </w:rPr>
            </w:pPr>
            <w:r>
              <w:rPr>
                <w:rFonts w:hint="eastAsia" w:ascii="Times New Roman" w:hAnsi="Times New Roman" w:eastAsia="宋体" w:cs="Times New Roman"/>
                <w:b/>
                <w:bCs w:val="0"/>
                <w:color w:val="auto"/>
                <w:sz w:val="24"/>
                <w:szCs w:val="24"/>
                <w:lang w:val="zh-CN" w:eastAsia="zh-CN"/>
              </w:rPr>
              <w:t>图3.</w:t>
            </w:r>
            <w:r>
              <w:rPr>
                <w:rFonts w:hint="eastAsia" w:ascii="Times New Roman" w:hAnsi="Times New Roman" w:eastAsia="宋体" w:cs="Times New Roman"/>
                <w:b/>
                <w:bCs w:val="0"/>
                <w:color w:val="auto"/>
                <w:sz w:val="24"/>
                <w:szCs w:val="24"/>
                <w:lang w:val="en-US" w:eastAsia="zh-CN"/>
              </w:rPr>
              <w:t xml:space="preserve">2-2 </w:t>
            </w:r>
            <w:r>
              <w:rPr>
                <w:rFonts w:hint="eastAsia" w:ascii="Times New Roman" w:hAnsi="Times New Roman" w:eastAsia="宋体" w:cs="Times New Roman"/>
                <w:b/>
                <w:bCs w:val="0"/>
                <w:color w:val="auto"/>
                <w:sz w:val="24"/>
                <w:szCs w:val="24"/>
                <w:lang w:val="zh-CN" w:eastAsia="zh-CN"/>
              </w:rPr>
              <w:t>福建省地表水水质状况排序（2024年）截图</w:t>
            </w:r>
          </w:p>
          <w:p w14:paraId="126AD857">
            <w:pPr>
              <w:keepNext w:val="0"/>
              <w:keepLines w:val="0"/>
              <w:pageBreakBefore w:val="0"/>
              <w:widowControl/>
              <w:kinsoku/>
              <w:wordWrap/>
              <w:overflowPunct/>
              <w:topLinePunct w:val="0"/>
              <w:bidi w:val="0"/>
              <w:spacing w:line="360" w:lineRule="auto"/>
              <w:ind w:firstLine="480" w:firstLineChars="200"/>
              <w:jc w:val="left"/>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综上，项目所在区域水质状况良好，属于达标区。项目</w:t>
            </w:r>
            <w:r>
              <w:rPr>
                <w:rFonts w:hint="default" w:ascii="Times New Roman" w:hAnsi="Times New Roman" w:eastAsia="宋体" w:cs="Times New Roman"/>
                <w:color w:val="auto"/>
                <w:sz w:val="24"/>
                <w:szCs w:val="24"/>
                <w:highlight w:val="none"/>
                <w:lang w:eastAsia="zh-CN"/>
              </w:rPr>
              <w:t>生产过程中</w:t>
            </w:r>
            <w:r>
              <w:rPr>
                <w:rFonts w:hint="eastAsia" w:cs="Times New Roman"/>
                <w:color w:val="auto"/>
                <w:sz w:val="24"/>
                <w:szCs w:val="24"/>
                <w:highlight w:val="none"/>
                <w:lang w:val="en-US" w:eastAsia="zh-CN"/>
              </w:rPr>
              <w:t>所产生的生产废水均循环使用</w:t>
            </w:r>
            <w:r>
              <w:rPr>
                <w:rFonts w:hint="default" w:ascii="Times New Roman" w:hAnsi="Times New Roman" w:eastAsia="宋体" w:cs="Times New Roman"/>
                <w:color w:val="auto"/>
                <w:sz w:val="24"/>
                <w:szCs w:val="24"/>
                <w:highlight w:val="none"/>
                <w:lang w:eastAsia="zh-CN"/>
              </w:rPr>
              <w:t>，不外排。生活污水经化粪池处理后排入市政污水管网，送往</w:t>
            </w:r>
            <w:r>
              <w:rPr>
                <w:rFonts w:hint="default" w:ascii="Times New Roman" w:hAnsi="Times New Roman" w:eastAsia="宋体" w:cs="Times New Roman"/>
                <w:color w:val="auto"/>
                <w:sz w:val="24"/>
                <w:szCs w:val="22"/>
                <w:highlight w:val="none"/>
                <w:lang w:eastAsia="zh-CN"/>
              </w:rPr>
              <w:t>福清市融元污水处理厂</w:t>
            </w:r>
            <w:r>
              <w:rPr>
                <w:rFonts w:hint="default" w:ascii="Times New Roman" w:hAnsi="Times New Roman" w:eastAsia="宋体" w:cs="Times New Roman"/>
                <w:color w:val="auto"/>
                <w:sz w:val="24"/>
                <w:szCs w:val="22"/>
                <w:highlight w:val="none"/>
              </w:rPr>
              <w:t>进行处理</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污水处理厂</w:t>
            </w:r>
            <w:r>
              <w:rPr>
                <w:rFonts w:hint="default" w:ascii="Times New Roman" w:hAnsi="Times New Roman" w:eastAsia="宋体" w:cs="Times New Roman"/>
                <w:color w:val="auto"/>
                <w:sz w:val="24"/>
                <w:highlight w:val="none"/>
              </w:rPr>
              <w:t>尾水排入龙江，所处龙江</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南门桥水闸至龙江入海口</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断面</w:t>
            </w:r>
            <w:r>
              <w:rPr>
                <w:rFonts w:hint="default" w:ascii="Times New Roman" w:hAnsi="Times New Roman" w:eastAsia="宋体" w:cs="Times New Roman"/>
                <w:color w:val="auto"/>
                <w:sz w:val="24"/>
                <w:highlight w:val="none"/>
                <w:lang w:val="en-US" w:eastAsia="zh-CN"/>
              </w:rPr>
              <w:t>，不直接排入周边地表水体，几乎不会改变周边水环境质量现状。</w:t>
            </w:r>
          </w:p>
          <w:p w14:paraId="5406193E">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bottom"/>
              <w:outlineLvl w:val="9"/>
              <w:rPr>
                <w:rFonts w:hint="default"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②引用资料的有效性分析</w:t>
            </w:r>
          </w:p>
          <w:p w14:paraId="5193CEAC">
            <w:pPr>
              <w:pStyle w:val="35"/>
              <w:keepNext w:val="0"/>
              <w:keepLines w:val="0"/>
              <w:pageBreakBefore w:val="0"/>
              <w:kinsoku/>
              <w:wordWrap/>
              <w:overflowPunct/>
              <w:topLinePunct w:val="0"/>
              <w:bidi w:val="0"/>
              <w:spacing w:line="360" w:lineRule="auto"/>
              <w:ind w:firstLine="480"/>
              <w:outlineLvl w:val="9"/>
              <w:rPr>
                <w:rFonts w:hint="default"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根据《建设项目环境影响报告表编制技术指南（污染影响类）（试行）》（环办环评〔2020〕33号）的要求：</w:t>
            </w:r>
            <w:r>
              <w:rPr>
                <w:rFonts w:hint="eastAsia" w:ascii="Times New Roman" w:hAnsi="Times New Roman" w:eastAsia="宋体"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ascii="Times New Roman" w:hAnsi="Times New Roman" w:eastAsia="宋体"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。本评价引用福建省生态环境厅网站发布地表水水质环境质量现状进行分析，符合《建设项目环境影响报告表编制技术指南（污染影响类）（试行）》（环办环评〔2020〕33号）的要求。</w:t>
            </w:r>
          </w:p>
          <w:p w14:paraId="64B0FE7F">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71" w:name="_Toc23700"/>
            <w:bookmarkStart w:id="72" w:name="_Toc27787"/>
            <w:r>
              <w:rPr>
                <w:rFonts w:hint="eastAsia" w:ascii="Times New Roman" w:hAnsi="Times New Roman" w:eastAsia="宋体" w:cs="Times New Roman"/>
                <w:color w:val="auto"/>
                <w:sz w:val="28"/>
                <w:szCs w:val="28"/>
                <w:u w:val="none"/>
                <w:lang w:val="en-US" w:eastAsia="zh-CN"/>
              </w:rPr>
              <w:t>3.3声环境质量现状</w:t>
            </w:r>
            <w:bookmarkEnd w:id="71"/>
            <w:bookmarkEnd w:id="72"/>
          </w:p>
          <w:p w14:paraId="07921D8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73" w:name="_Toc16505"/>
            <w:bookmarkStart w:id="74" w:name="_Toc28348"/>
            <w:r>
              <w:rPr>
                <w:rFonts w:hint="default" w:ascii="Times New Roman" w:hAnsi="Times New Roman" w:eastAsia="宋体" w:cs="Times New Roman"/>
                <w:b/>
                <w:bCs/>
                <w:color w:val="auto"/>
                <w:sz w:val="24"/>
                <w:szCs w:val="24"/>
                <w:u w:val="none"/>
                <w:lang w:val="en-US" w:eastAsia="zh-CN"/>
              </w:rPr>
              <w:t>3.</w:t>
            </w:r>
            <w:r>
              <w:rPr>
                <w:rFonts w:hint="eastAsia" w:ascii="Times New Roman" w:hAnsi="Times New Roman" w:eastAsia="宋体" w:cs="Times New Roman"/>
                <w:b/>
                <w:bCs/>
                <w:color w:val="auto"/>
                <w:sz w:val="24"/>
                <w:szCs w:val="24"/>
                <w:u w:val="none"/>
                <w:lang w:val="en-US" w:eastAsia="zh-CN"/>
              </w:rPr>
              <w:t>3</w:t>
            </w:r>
            <w:r>
              <w:rPr>
                <w:rFonts w:hint="default" w:ascii="Times New Roman" w:hAnsi="Times New Roman" w:eastAsia="宋体" w:cs="Times New Roman"/>
                <w:b/>
                <w:bCs/>
                <w:color w:val="auto"/>
                <w:sz w:val="24"/>
                <w:szCs w:val="24"/>
                <w:u w:val="none"/>
                <w:lang w:val="en-US" w:eastAsia="zh-CN"/>
              </w:rPr>
              <w:t>.1</w:t>
            </w:r>
            <w:r>
              <w:rPr>
                <w:rFonts w:hint="eastAsia" w:ascii="Times New Roman" w:hAnsi="Times New Roman" w:eastAsia="宋体" w:cs="Times New Roman"/>
                <w:b/>
                <w:bCs/>
                <w:color w:val="auto"/>
                <w:sz w:val="24"/>
                <w:szCs w:val="24"/>
                <w:u w:val="none"/>
                <w:lang w:val="en-US" w:eastAsia="zh-CN"/>
              </w:rPr>
              <w:t>声环境质量标准</w:t>
            </w:r>
            <w:bookmarkEnd w:id="73"/>
            <w:bookmarkEnd w:id="74"/>
          </w:p>
          <w:p w14:paraId="29FE6FEA">
            <w:pPr>
              <w:widowControl/>
              <w:spacing w:line="360" w:lineRule="auto"/>
              <w:ind w:firstLine="480" w:firstLineChars="200"/>
              <w:jc w:val="left"/>
              <w:rPr>
                <w:sz w:val="24"/>
              </w:rPr>
            </w:pPr>
            <w:r>
              <w:rPr>
                <w:rFonts w:hint="default" w:ascii="Times New Roman" w:hAnsi="Times New Roman" w:eastAsia="宋体" w:cs="Times New Roman"/>
                <w:color w:val="auto"/>
                <w:kern w:val="0"/>
                <w:sz w:val="24"/>
                <w:szCs w:val="28"/>
                <w:highlight w:val="none"/>
                <w:lang w:val="en-US" w:eastAsia="zh-CN" w:bidi="ar-SA"/>
              </w:rPr>
              <w:t>根据《福清市人民政府办公室关于印发福清市城市建成区声环境功能区划的通知》融政办〔2022〕48号可知，项目所在区域划为3类功能区</w:t>
            </w:r>
            <w:r>
              <w:rPr>
                <w:rFonts w:hint="eastAsia" w:ascii="Times New Roman" w:hAnsi="Times New Roman" w:eastAsia="宋体"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执行GB3096-2008《声环境质量标准》中的3类标准</w:t>
            </w:r>
            <w:r>
              <w:rPr>
                <w:rFonts w:hint="eastAsia" w:ascii="Times New Roman" w:hAnsi="Times New Roman" w:eastAsia="宋体" w:cs="Times New Roman"/>
                <w:color w:val="auto"/>
                <w:kern w:val="0"/>
                <w:sz w:val="24"/>
                <w:szCs w:val="28"/>
                <w:highlight w:val="none"/>
                <w:lang w:val="en-US" w:eastAsia="zh-CN" w:bidi="ar-SA"/>
              </w:rPr>
              <w:t>，详见表3.3-1</w:t>
            </w:r>
            <w:r>
              <w:rPr>
                <w:rFonts w:hint="eastAsia"/>
                <w:sz w:val="24"/>
              </w:rPr>
              <w:t>。</w:t>
            </w:r>
          </w:p>
          <w:p w14:paraId="2C9C2442">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表3.3-1 《声环境质量标准》（</w:t>
            </w:r>
            <w:r>
              <w:rPr>
                <w:rFonts w:hint="default" w:ascii="Times New Roman" w:hAnsi="Times New Roman" w:eastAsia="宋体" w:cs="Times New Roman"/>
                <w:b/>
                <w:bCs/>
                <w:color w:val="auto"/>
                <w:sz w:val="24"/>
                <w:szCs w:val="24"/>
                <w:u w:val="none"/>
                <w:lang w:val="en-US" w:eastAsia="zh-CN"/>
              </w:rPr>
              <w:t>GB3096-2008</w:t>
            </w:r>
            <w:r>
              <w:rPr>
                <w:rFonts w:hint="eastAsia" w:ascii="Times New Roman" w:hAnsi="Times New Roman" w:eastAsia="宋体" w:cs="Times New Roman"/>
                <w:b/>
                <w:bCs/>
                <w:color w:val="auto"/>
                <w:sz w:val="24"/>
                <w:szCs w:val="24"/>
                <w:u w:val="none"/>
                <w:lang w:val="en-US" w:eastAsia="zh-CN"/>
              </w:rPr>
              <w:t>）摘录</w:t>
            </w:r>
            <w:r>
              <w:rPr>
                <w:rFonts w:hint="eastAsia" w:cs="Times New Roman"/>
                <w:b/>
                <w:bCs/>
                <w:color w:val="auto"/>
                <w:sz w:val="24"/>
                <w:szCs w:val="24"/>
                <w:u w:val="none"/>
                <w:lang w:val="en-US" w:eastAsia="zh-CN"/>
              </w:rPr>
              <w:t>（单位：dB）</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5535"/>
              <w:gridCol w:w="852"/>
              <w:gridCol w:w="759"/>
            </w:tblGrid>
            <w:tr w14:paraId="08F39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811" w:type="pct"/>
                  <w:noWrap w:val="0"/>
                  <w:vAlign w:val="center"/>
                </w:tcPr>
                <w:p w14:paraId="52564316">
                  <w:pPr>
                    <w:jc w:val="center"/>
                    <w:rPr>
                      <w:szCs w:val="21"/>
                    </w:rPr>
                  </w:pPr>
                  <w:r>
                    <w:rPr>
                      <w:szCs w:val="21"/>
                    </w:rPr>
                    <w:t>类别</w:t>
                  </w:r>
                </w:p>
              </w:tc>
              <w:tc>
                <w:tcPr>
                  <w:tcW w:w="3243" w:type="pct"/>
                  <w:noWrap w:val="0"/>
                  <w:vAlign w:val="center"/>
                </w:tcPr>
                <w:p w14:paraId="20AB74F7">
                  <w:pPr>
                    <w:jc w:val="center"/>
                    <w:rPr>
                      <w:szCs w:val="21"/>
                    </w:rPr>
                  </w:pPr>
                  <w:r>
                    <w:rPr>
                      <w:szCs w:val="21"/>
                    </w:rPr>
                    <w:t>适用区域</w:t>
                  </w:r>
                </w:p>
              </w:tc>
              <w:tc>
                <w:tcPr>
                  <w:tcW w:w="499" w:type="pct"/>
                  <w:noWrap w:val="0"/>
                  <w:vAlign w:val="center"/>
                </w:tcPr>
                <w:p w14:paraId="40CAF3BB">
                  <w:pPr>
                    <w:jc w:val="center"/>
                    <w:rPr>
                      <w:szCs w:val="21"/>
                    </w:rPr>
                  </w:pPr>
                  <w:r>
                    <w:rPr>
                      <w:szCs w:val="21"/>
                    </w:rPr>
                    <w:t>昼间</w:t>
                  </w:r>
                </w:p>
              </w:tc>
              <w:tc>
                <w:tcPr>
                  <w:tcW w:w="445" w:type="pct"/>
                  <w:noWrap w:val="0"/>
                  <w:vAlign w:val="center"/>
                </w:tcPr>
                <w:p w14:paraId="263B0BE6">
                  <w:pPr>
                    <w:jc w:val="center"/>
                    <w:rPr>
                      <w:szCs w:val="21"/>
                    </w:rPr>
                  </w:pPr>
                  <w:r>
                    <w:rPr>
                      <w:szCs w:val="21"/>
                    </w:rPr>
                    <w:t>夜间</w:t>
                  </w:r>
                </w:p>
              </w:tc>
            </w:tr>
            <w:tr w14:paraId="779835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11" w:type="pct"/>
                  <w:noWrap w:val="0"/>
                  <w:vAlign w:val="center"/>
                </w:tcPr>
                <w:p w14:paraId="43BFA7A4">
                  <w:pPr>
                    <w:jc w:val="center"/>
                    <w:rPr>
                      <w:szCs w:val="21"/>
                    </w:rPr>
                  </w:pPr>
                  <w:r>
                    <w:rPr>
                      <w:rFonts w:hint="eastAsia"/>
                      <w:szCs w:val="21"/>
                    </w:rPr>
                    <w:t>3</w:t>
                  </w:r>
                  <w:r>
                    <w:rPr>
                      <w:szCs w:val="21"/>
                    </w:rPr>
                    <w:t>类</w:t>
                  </w:r>
                </w:p>
              </w:tc>
              <w:tc>
                <w:tcPr>
                  <w:tcW w:w="3243" w:type="pct"/>
                  <w:noWrap w:val="0"/>
                  <w:vAlign w:val="center"/>
                </w:tcPr>
                <w:p w14:paraId="22BB0B0B">
                  <w:pPr>
                    <w:jc w:val="center"/>
                    <w:rPr>
                      <w:szCs w:val="21"/>
                    </w:rPr>
                  </w:pPr>
                  <w:r>
                    <w:rPr>
                      <w:szCs w:val="21"/>
                    </w:rPr>
                    <w:t>以工业生产、仓储物流为主要功能，需要防止工业噪声对周围环境产生严重影响的区域</w:t>
                  </w:r>
                </w:p>
              </w:tc>
              <w:tc>
                <w:tcPr>
                  <w:tcW w:w="499" w:type="pct"/>
                  <w:noWrap w:val="0"/>
                  <w:vAlign w:val="center"/>
                </w:tcPr>
                <w:p w14:paraId="099CB0AE">
                  <w:pPr>
                    <w:jc w:val="center"/>
                    <w:rPr>
                      <w:rFonts w:hint="eastAsia"/>
                      <w:szCs w:val="21"/>
                    </w:rPr>
                  </w:pPr>
                  <w:r>
                    <w:rPr>
                      <w:rFonts w:hint="eastAsia"/>
                      <w:szCs w:val="21"/>
                      <w:lang w:val="en-US" w:eastAsia="zh-CN"/>
                    </w:rPr>
                    <w:t>≤</w:t>
                  </w:r>
                  <w:r>
                    <w:rPr>
                      <w:szCs w:val="21"/>
                    </w:rPr>
                    <w:t>6</w:t>
                  </w:r>
                  <w:r>
                    <w:rPr>
                      <w:rFonts w:hint="eastAsia"/>
                      <w:szCs w:val="21"/>
                    </w:rPr>
                    <w:t>5</w:t>
                  </w:r>
                </w:p>
              </w:tc>
              <w:tc>
                <w:tcPr>
                  <w:tcW w:w="445" w:type="pct"/>
                  <w:noWrap w:val="0"/>
                  <w:vAlign w:val="center"/>
                </w:tcPr>
                <w:p w14:paraId="0D17D597">
                  <w:pPr>
                    <w:jc w:val="center"/>
                    <w:rPr>
                      <w:rFonts w:hint="eastAsia"/>
                      <w:szCs w:val="21"/>
                    </w:rPr>
                  </w:pPr>
                  <w:r>
                    <w:rPr>
                      <w:rFonts w:hint="eastAsia"/>
                      <w:szCs w:val="21"/>
                      <w:lang w:val="en-US" w:eastAsia="zh-CN"/>
                    </w:rPr>
                    <w:t>≤</w:t>
                  </w:r>
                  <w:r>
                    <w:rPr>
                      <w:szCs w:val="21"/>
                    </w:rPr>
                    <w:t>5</w:t>
                  </w:r>
                  <w:r>
                    <w:rPr>
                      <w:rFonts w:hint="eastAsia"/>
                      <w:szCs w:val="21"/>
                    </w:rPr>
                    <w:t>5</w:t>
                  </w:r>
                </w:p>
              </w:tc>
            </w:tr>
          </w:tbl>
          <w:p w14:paraId="3F9B5B2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75" w:name="_Toc1566"/>
            <w:bookmarkStart w:id="76" w:name="_Toc20954"/>
            <w:r>
              <w:rPr>
                <w:rFonts w:hint="eastAsia" w:ascii="Times New Roman" w:hAnsi="Times New Roman" w:eastAsia="宋体" w:cs="Times New Roman"/>
                <w:b/>
                <w:bCs/>
                <w:color w:val="auto"/>
                <w:sz w:val="24"/>
                <w:szCs w:val="24"/>
                <w:u w:val="none"/>
                <w:lang w:val="en-US" w:eastAsia="zh-CN"/>
              </w:rPr>
              <w:t>3.3.2声环境质量现状</w:t>
            </w:r>
            <w:bookmarkEnd w:id="75"/>
            <w:bookmarkEnd w:id="76"/>
          </w:p>
          <w:p w14:paraId="04FE6B5B">
            <w:pPr>
              <w:widowControl/>
              <w:spacing w:line="360" w:lineRule="auto"/>
              <w:ind w:firstLine="480" w:firstLineChars="200"/>
              <w:jc w:val="left"/>
              <w:rPr>
                <w:rFonts w:hint="default"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根据生态环境部环境工程评估中心《建设项目环境影响报告表》内容、格式及编制技术指南常见问题解答厂界外周边50米范围内存在声环境保护目标的建设项目，应监测声环境质量现状，监测点位为声环境保护目标处。厂界外周边50米范围内无声环境保护目标的建设项目，不再要求提供声环境质量现状监测数据。</w:t>
            </w:r>
          </w:p>
          <w:p w14:paraId="14098745">
            <w:pPr>
              <w:widowControl/>
              <w:spacing w:line="360" w:lineRule="auto"/>
              <w:ind w:firstLine="480" w:firstLineChars="200"/>
              <w:jc w:val="left"/>
              <w:rPr>
                <w:rFonts w:hint="eastAsia"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根据现场踏勘可知，项目周边50米范围内无声环境保护目标</w:t>
            </w:r>
            <w:r>
              <w:rPr>
                <w:rFonts w:hint="eastAsia" w:ascii="Times New Roman" w:hAnsi="Times New Roman" w:eastAsia="宋体" w:cs="Times New Roman"/>
                <w:color w:val="auto"/>
                <w:kern w:val="0"/>
                <w:sz w:val="24"/>
                <w:szCs w:val="28"/>
                <w:highlight w:val="none"/>
                <w:lang w:val="en-US" w:eastAsia="zh-CN" w:bidi="ar-SA"/>
              </w:rPr>
              <w:t>，依据《建设项目环境影响报告表编制技术指南（污染影响类）（试行）》，故本项目不需要开展声环境现状监测。</w:t>
            </w:r>
          </w:p>
          <w:p w14:paraId="00F16D4E">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77" w:name="_Toc7909"/>
            <w:bookmarkStart w:id="78" w:name="_Toc25881"/>
            <w:r>
              <w:rPr>
                <w:rFonts w:hint="eastAsia" w:ascii="Times New Roman" w:hAnsi="Times New Roman" w:eastAsia="宋体" w:cs="Times New Roman"/>
                <w:color w:val="auto"/>
                <w:sz w:val="28"/>
                <w:szCs w:val="28"/>
                <w:u w:val="none"/>
                <w:lang w:val="en-US" w:eastAsia="zh-CN"/>
              </w:rPr>
              <w:t>3.4生态环境</w:t>
            </w:r>
            <w:bookmarkEnd w:id="77"/>
            <w:bookmarkEnd w:id="78"/>
          </w:p>
          <w:p w14:paraId="7FE4E1FA">
            <w:pPr>
              <w:widowControl/>
              <w:spacing w:line="360" w:lineRule="auto"/>
              <w:ind w:firstLine="480" w:firstLineChars="200"/>
              <w:jc w:val="left"/>
              <w:rPr>
                <w:rFonts w:hint="default" w:ascii="Times New Roman" w:hAnsi="Times New Roman" w:eastAsia="宋体" w:cs="Times New Roman"/>
                <w:color w:val="auto"/>
                <w:kern w:val="0"/>
                <w:sz w:val="24"/>
                <w:szCs w:val="28"/>
                <w:highlight w:val="none"/>
                <w:lang w:val="zh-CN" w:eastAsia="zh-CN" w:bidi="ar-SA"/>
              </w:rPr>
            </w:pPr>
            <w:r>
              <w:rPr>
                <w:rFonts w:hint="eastAsia" w:ascii="Times New Roman" w:hAnsi="Times New Roman" w:eastAsia="宋体" w:cs="Times New Roman"/>
                <w:color w:val="auto"/>
                <w:kern w:val="0"/>
                <w:sz w:val="24"/>
                <w:szCs w:val="28"/>
                <w:highlight w:val="none"/>
                <w:lang w:val="en-US" w:eastAsia="zh-CN" w:bidi="ar-SA"/>
              </w:rPr>
              <w:t>本项目购买已建厂房作为生产经营场所，未新增土地用地面积，</w:t>
            </w:r>
            <w:r>
              <w:rPr>
                <w:rFonts w:hint="default" w:ascii="Times New Roman" w:hAnsi="Times New Roman" w:eastAsia="宋体" w:cs="Times New Roman"/>
                <w:color w:val="auto"/>
                <w:kern w:val="0"/>
                <w:sz w:val="24"/>
                <w:szCs w:val="28"/>
                <w:highlight w:val="none"/>
                <w:lang w:val="en-US" w:eastAsia="zh-CN" w:bidi="ar-SA"/>
              </w:rPr>
              <w:t>根据调查，</w:t>
            </w:r>
            <w:r>
              <w:rPr>
                <w:rFonts w:hint="default" w:ascii="Times New Roman" w:hAnsi="Times New Roman" w:eastAsia="宋体" w:cs="Times New Roman"/>
                <w:color w:val="auto"/>
                <w:kern w:val="0"/>
                <w:sz w:val="24"/>
                <w:szCs w:val="28"/>
                <w:highlight w:val="none"/>
                <w:lang w:val="zh-CN" w:eastAsia="zh-CN" w:bidi="ar-SA"/>
              </w:rPr>
              <w:t>项目用地周边</w:t>
            </w:r>
            <w:r>
              <w:rPr>
                <w:rFonts w:hint="eastAsia" w:ascii="Times New Roman" w:hAnsi="Times New Roman" w:eastAsia="宋体" w:cs="Times New Roman"/>
                <w:color w:val="auto"/>
                <w:kern w:val="0"/>
                <w:sz w:val="24"/>
                <w:szCs w:val="28"/>
                <w:highlight w:val="none"/>
                <w:lang w:val="zh-CN" w:eastAsia="zh-CN" w:bidi="ar-SA"/>
              </w:rPr>
              <w:t>以</w:t>
            </w:r>
            <w:r>
              <w:rPr>
                <w:rFonts w:hint="default" w:ascii="Times New Roman" w:hAnsi="Times New Roman" w:eastAsia="宋体" w:cs="Times New Roman"/>
                <w:color w:val="auto"/>
                <w:kern w:val="0"/>
                <w:sz w:val="24"/>
                <w:szCs w:val="28"/>
                <w:highlight w:val="none"/>
                <w:lang w:val="zh-CN" w:eastAsia="zh-CN" w:bidi="ar-SA"/>
              </w:rPr>
              <w:t>城市道路、其他</w:t>
            </w:r>
            <w:r>
              <w:rPr>
                <w:rFonts w:hint="eastAsia" w:ascii="Times New Roman" w:hAnsi="Times New Roman" w:eastAsia="宋体" w:cs="Times New Roman"/>
                <w:color w:val="auto"/>
                <w:kern w:val="0"/>
                <w:sz w:val="24"/>
                <w:szCs w:val="28"/>
                <w:highlight w:val="none"/>
                <w:lang w:val="zh-CN" w:eastAsia="zh-CN" w:bidi="ar-SA"/>
              </w:rPr>
              <w:t>工业</w:t>
            </w:r>
            <w:r>
              <w:rPr>
                <w:rFonts w:hint="default" w:ascii="Times New Roman" w:hAnsi="Times New Roman" w:eastAsia="宋体" w:cs="Times New Roman"/>
                <w:color w:val="auto"/>
                <w:kern w:val="0"/>
                <w:sz w:val="24"/>
                <w:szCs w:val="28"/>
                <w:highlight w:val="none"/>
                <w:lang w:val="zh-CN" w:eastAsia="zh-CN" w:bidi="ar-SA"/>
              </w:rPr>
              <w:t>企业</w:t>
            </w:r>
            <w:r>
              <w:rPr>
                <w:rFonts w:hint="eastAsia" w:ascii="Times New Roman" w:hAnsi="Times New Roman" w:eastAsia="宋体" w:cs="Times New Roman"/>
                <w:color w:val="auto"/>
                <w:kern w:val="0"/>
                <w:sz w:val="24"/>
                <w:szCs w:val="28"/>
                <w:highlight w:val="none"/>
                <w:lang w:val="zh-CN" w:eastAsia="zh-CN" w:bidi="ar-SA"/>
              </w:rPr>
              <w:t>、</w:t>
            </w:r>
            <w:r>
              <w:rPr>
                <w:rFonts w:hint="eastAsia" w:ascii="Times New Roman" w:hAnsi="Times New Roman" w:eastAsia="宋体" w:cs="Times New Roman"/>
                <w:color w:val="auto"/>
                <w:kern w:val="0"/>
                <w:sz w:val="24"/>
                <w:szCs w:val="28"/>
                <w:highlight w:val="none"/>
                <w:lang w:val="en-US" w:eastAsia="zh-CN" w:bidi="ar-SA"/>
              </w:rPr>
              <w:t>居住区</w:t>
            </w:r>
            <w:r>
              <w:rPr>
                <w:rFonts w:hint="default" w:ascii="Times New Roman" w:hAnsi="Times New Roman" w:eastAsia="宋体" w:cs="Times New Roman"/>
                <w:color w:val="auto"/>
                <w:kern w:val="0"/>
                <w:sz w:val="24"/>
                <w:szCs w:val="28"/>
                <w:highlight w:val="none"/>
                <w:lang w:val="zh-CN" w:eastAsia="zh-CN" w:bidi="ar-SA"/>
              </w:rPr>
              <w:t>等</w:t>
            </w:r>
            <w:r>
              <w:rPr>
                <w:rFonts w:hint="eastAsia" w:ascii="Times New Roman" w:hAnsi="Times New Roman" w:eastAsia="宋体" w:cs="Times New Roman"/>
                <w:color w:val="auto"/>
                <w:kern w:val="0"/>
                <w:sz w:val="24"/>
                <w:szCs w:val="28"/>
                <w:highlight w:val="none"/>
                <w:lang w:val="zh-CN" w:eastAsia="zh-CN" w:bidi="ar-SA"/>
              </w:rPr>
              <w:t>为主</w:t>
            </w:r>
            <w:r>
              <w:rPr>
                <w:rFonts w:hint="default" w:ascii="Times New Roman" w:hAnsi="Times New Roman" w:eastAsia="宋体" w:cs="Times New Roman"/>
                <w:color w:val="auto"/>
                <w:kern w:val="0"/>
                <w:sz w:val="24"/>
                <w:szCs w:val="28"/>
                <w:highlight w:val="none"/>
                <w:lang w:val="zh-CN" w:eastAsia="zh-CN" w:bidi="ar-SA"/>
              </w:rPr>
              <w:t>，项目评价区域主要植被为草坪、行道树等景观树种，主要动物为常见的蛙类、鸟类和昆虫类等，评价区域内无珍稀濒危物种、自然保护区、风景名胜区等生态敏感目标，调查区域也未发现国家重点保护的野生动植物等，因此，本环评不对生态环境现状进行评价。</w:t>
            </w:r>
          </w:p>
          <w:p w14:paraId="570D4855">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79" w:name="_Toc18566"/>
            <w:bookmarkStart w:id="80" w:name="_Toc7776"/>
            <w:r>
              <w:rPr>
                <w:rFonts w:hint="eastAsia" w:ascii="Times New Roman" w:hAnsi="Times New Roman" w:eastAsia="宋体" w:cs="Times New Roman"/>
                <w:color w:val="auto"/>
                <w:sz w:val="28"/>
                <w:szCs w:val="28"/>
                <w:u w:val="none"/>
                <w:lang w:val="en-US" w:eastAsia="zh-CN"/>
              </w:rPr>
              <w:t>3.</w:t>
            </w:r>
            <w:r>
              <w:rPr>
                <w:rFonts w:hint="eastAsia" w:ascii="Times New Roman" w:hAnsi="Times New Roman" w:cs="Times New Roman"/>
                <w:color w:val="auto"/>
                <w:sz w:val="28"/>
                <w:szCs w:val="28"/>
                <w:u w:val="none"/>
                <w:lang w:val="en-US" w:eastAsia="zh-CN"/>
              </w:rPr>
              <w:t>5</w:t>
            </w:r>
            <w:r>
              <w:rPr>
                <w:rFonts w:hint="eastAsia" w:ascii="Times New Roman" w:hAnsi="Times New Roman" w:eastAsia="宋体" w:cs="Times New Roman"/>
                <w:color w:val="auto"/>
                <w:sz w:val="28"/>
                <w:szCs w:val="28"/>
                <w:u w:val="none"/>
                <w:lang w:val="en-US" w:eastAsia="zh-CN"/>
              </w:rPr>
              <w:t>土壤、地下水环境</w:t>
            </w:r>
            <w:bookmarkEnd w:id="79"/>
            <w:bookmarkEnd w:id="80"/>
          </w:p>
          <w:p w14:paraId="1E03A132">
            <w:pPr>
              <w:widowControl/>
              <w:spacing w:line="360" w:lineRule="auto"/>
              <w:ind w:firstLine="480" w:firstLineChars="200"/>
              <w:jc w:val="left"/>
              <w:rPr>
                <w:rFonts w:hint="eastAsia"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根据《建设项目环境影响报告表编制技术指南</w:t>
            </w:r>
            <w:r>
              <w:rPr>
                <w:rFonts w:hint="eastAsia"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污染影响类</w:t>
            </w:r>
            <w:r>
              <w:rPr>
                <w:rFonts w:hint="eastAsia"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试行</w:t>
            </w:r>
            <w:r>
              <w:rPr>
                <w:rFonts w:hint="eastAsia"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w:t>
            </w:r>
            <w:r>
              <w:rPr>
                <w:rFonts w:hint="eastAsia"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环办环评〔2020〕33号</w:t>
            </w:r>
            <w:r>
              <w:rPr>
                <w:rFonts w:hint="eastAsia" w:cs="Times New Roman"/>
                <w:color w:val="auto"/>
                <w:kern w:val="0"/>
                <w:sz w:val="24"/>
                <w:szCs w:val="28"/>
                <w:highlight w:val="none"/>
                <w:lang w:val="en-US" w:eastAsia="zh-CN" w:bidi="ar-SA"/>
              </w:rPr>
              <w:t>）</w:t>
            </w:r>
            <w:r>
              <w:rPr>
                <w:rFonts w:hint="eastAsia" w:ascii="Times New Roman" w:hAnsi="Times New Roman" w:eastAsia="宋体" w:cs="Times New Roman"/>
                <w:color w:val="auto"/>
                <w:kern w:val="0"/>
                <w:sz w:val="24"/>
                <w:szCs w:val="28"/>
                <w:highlight w:val="none"/>
                <w:lang w:val="en-US" w:eastAsia="zh-CN" w:bidi="ar-SA"/>
              </w:rPr>
              <w:t>规定，“</w:t>
            </w:r>
            <w:r>
              <w:rPr>
                <w:rFonts w:hint="default" w:ascii="Times New Roman" w:hAnsi="Times New Roman" w:eastAsia="宋体" w:cs="Times New Roman"/>
                <w:color w:val="auto"/>
                <w:kern w:val="0"/>
                <w:sz w:val="24"/>
                <w:szCs w:val="28"/>
                <w:highlight w:val="none"/>
                <w:lang w:val="en-US" w:eastAsia="zh-CN" w:bidi="ar-SA"/>
              </w:rPr>
              <w:t>地下水、土壤环境</w:t>
            </w:r>
            <w:r>
              <w:rPr>
                <w:rFonts w:hint="eastAsia" w:ascii="Times New Roman" w:hAnsi="Times New Roman" w:eastAsia="宋体" w:cs="Times New Roman"/>
                <w:color w:val="auto"/>
                <w:kern w:val="0"/>
                <w:sz w:val="24"/>
                <w:szCs w:val="28"/>
                <w:highlight w:val="none"/>
                <w:lang w:val="en-US" w:eastAsia="zh-CN" w:bidi="ar-SA"/>
              </w:rPr>
              <w:t>原则上不开展环境质量现状调查。建设项目存在土壤、地下水环境污染途径的，应结合污染源、保护目标分布情况开展现状调查以留作背景值。</w:t>
            </w:r>
          </w:p>
          <w:p w14:paraId="05DFECF7">
            <w:pPr>
              <w:widowControl/>
              <w:spacing w:line="360" w:lineRule="auto"/>
              <w:ind w:firstLine="480" w:firstLineChars="200"/>
              <w:jc w:val="left"/>
              <w:rPr>
                <w:rFonts w:hint="eastAsia"/>
                <w:vertAlign w:val="baseline"/>
                <w:lang w:eastAsia="zh-CN"/>
              </w:rPr>
            </w:pPr>
            <w:r>
              <w:rPr>
                <w:rFonts w:hint="eastAsia" w:ascii="Times New Roman" w:hAnsi="Times New Roman" w:eastAsia="宋体" w:cs="Times New Roman"/>
                <w:color w:val="auto"/>
                <w:kern w:val="0"/>
                <w:sz w:val="24"/>
                <w:szCs w:val="28"/>
                <w:highlight w:val="none"/>
                <w:lang w:val="en-US" w:eastAsia="zh-CN" w:bidi="ar-SA"/>
              </w:rPr>
              <w:t>本项目购买已建厂房作为生产经营场所，根据调查，项目厂区车间地面全部硬化，生产过</w:t>
            </w:r>
            <w:r>
              <w:rPr>
                <w:rFonts w:hint="eastAsia" w:cs="Times New Roman"/>
                <w:color w:val="auto"/>
                <w:kern w:val="0"/>
                <w:sz w:val="24"/>
                <w:szCs w:val="28"/>
                <w:highlight w:val="none"/>
                <w:lang w:val="en-US" w:eastAsia="zh-CN" w:bidi="ar-SA"/>
              </w:rPr>
              <w:t>程中</w:t>
            </w:r>
            <w:r>
              <w:rPr>
                <w:rFonts w:hint="eastAsia" w:ascii="Times New Roman" w:hAnsi="Times New Roman" w:eastAsia="宋体" w:cs="Times New Roman"/>
                <w:color w:val="auto"/>
                <w:kern w:val="0"/>
                <w:sz w:val="24"/>
                <w:szCs w:val="28"/>
                <w:highlight w:val="none"/>
                <w:lang w:val="en-US" w:eastAsia="zh-CN" w:bidi="ar-SA"/>
              </w:rPr>
              <w:t>不排放重点重金属或持久性有机污染物，严格按照要求进行分区防渗防控，</w:t>
            </w:r>
            <w:r>
              <w:rPr>
                <w:rFonts w:hint="default" w:ascii="Times New Roman" w:hAnsi="Times New Roman" w:eastAsia="宋体" w:cs="Times New Roman"/>
                <w:color w:val="auto"/>
                <w:kern w:val="0"/>
                <w:sz w:val="24"/>
                <w:szCs w:val="28"/>
                <w:highlight w:val="none"/>
                <w:lang w:val="en-US" w:eastAsia="zh-CN" w:bidi="ar-SA"/>
              </w:rPr>
              <w:t>采取有效的防渗措施后，</w:t>
            </w:r>
            <w:r>
              <w:rPr>
                <w:rFonts w:hint="eastAsia" w:ascii="Times New Roman" w:hAnsi="Times New Roman" w:eastAsia="宋体" w:cs="Times New Roman"/>
                <w:color w:val="auto"/>
                <w:kern w:val="0"/>
                <w:sz w:val="24"/>
                <w:szCs w:val="28"/>
                <w:highlight w:val="none"/>
                <w:lang w:val="en-US" w:eastAsia="zh-CN" w:bidi="ar-SA"/>
              </w:rPr>
              <w:t>几乎不存在地下水、土壤环境污染途径；</w:t>
            </w:r>
            <w:r>
              <w:rPr>
                <w:rFonts w:hint="default" w:ascii="Times New Roman" w:hAnsi="Times New Roman" w:eastAsia="宋体" w:cs="Times New Roman"/>
                <w:color w:val="auto"/>
                <w:kern w:val="0"/>
                <w:sz w:val="24"/>
                <w:szCs w:val="28"/>
                <w:highlight w:val="none"/>
                <w:lang w:val="en-US" w:eastAsia="zh-CN" w:bidi="ar-SA"/>
              </w:rPr>
              <w:t>根据</w:t>
            </w:r>
            <w:r>
              <w:rPr>
                <w:rFonts w:hint="eastAsia" w:ascii="Times New Roman" w:hAnsi="Times New Roman" w:eastAsia="宋体" w:cs="Times New Roman"/>
                <w:color w:val="auto"/>
                <w:kern w:val="0"/>
                <w:sz w:val="24"/>
                <w:szCs w:val="28"/>
                <w:highlight w:val="none"/>
                <w:lang w:val="en-US" w:eastAsia="zh-CN" w:bidi="ar-SA"/>
              </w:rPr>
              <w:t>调查，项目周边地下水、土壤环境相对不敏感，</w:t>
            </w:r>
            <w:r>
              <w:rPr>
                <w:rFonts w:hint="default" w:ascii="Times New Roman" w:hAnsi="Times New Roman" w:eastAsia="宋体" w:cs="Times New Roman"/>
                <w:color w:val="auto"/>
                <w:kern w:val="0"/>
                <w:sz w:val="24"/>
                <w:szCs w:val="28"/>
                <w:highlight w:val="none"/>
                <w:lang w:val="en-US" w:eastAsia="zh-CN" w:bidi="ar-SA"/>
              </w:rPr>
              <w:t>项目对地下水、土壤环境</w:t>
            </w:r>
            <w:r>
              <w:rPr>
                <w:rFonts w:hint="default" w:ascii="Times New Roman" w:hAnsi="Times New Roman" w:eastAsia="宋体" w:cs="Times New Roman"/>
                <w:color w:val="auto"/>
                <w:sz w:val="24"/>
                <w:szCs w:val="24"/>
                <w:highlight w:val="none"/>
                <w:lang w:val="en-US" w:eastAsia="zh-CN"/>
              </w:rPr>
              <w:t>影响很小，因此，本评价不对项目地下水、土壤环境质量进行补充监测。</w:t>
            </w:r>
          </w:p>
        </w:tc>
      </w:tr>
      <w:tr w14:paraId="5F020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9" w:hRule="atLeast"/>
        </w:trPr>
        <w:tc>
          <w:tcPr>
            <w:tcW w:w="456" w:type="dxa"/>
            <w:vAlign w:val="center"/>
          </w:tcPr>
          <w:p w14:paraId="6F7748B8">
            <w:pPr>
              <w:jc w:val="center"/>
              <w:rPr>
                <w:rFonts w:hint="eastAsia"/>
                <w:vertAlign w:val="baseline"/>
                <w:lang w:eastAsia="zh-CN"/>
              </w:rPr>
            </w:pPr>
            <w:r>
              <w:rPr>
                <w:rFonts w:hint="eastAsia"/>
                <w:sz w:val="24"/>
                <w:szCs w:val="24"/>
                <w:vertAlign w:val="baseline"/>
                <w:lang w:eastAsia="zh-CN"/>
              </w:rPr>
              <w:t>环境保护目标</w:t>
            </w:r>
          </w:p>
        </w:tc>
        <w:tc>
          <w:tcPr>
            <w:tcW w:w="8749" w:type="dxa"/>
          </w:tcPr>
          <w:p w14:paraId="6BCD398D">
            <w:pPr>
              <w:pStyle w:val="46"/>
              <w:keepNext w:val="0"/>
              <w:keepLines w:val="0"/>
              <w:pageBreakBefore w:val="0"/>
              <w:widowControl w:val="0"/>
              <w:kinsoku/>
              <w:wordWrap/>
              <w:overflowPunct/>
              <w:topLinePunct w:val="0"/>
              <w:autoSpaceDE/>
              <w:autoSpaceDN/>
              <w:bidi w:val="0"/>
              <w:adjustRightInd w:val="0"/>
              <w:snapToGrid/>
              <w:textAlignment w:val="auto"/>
              <w:outlineLvl w:val="1"/>
              <w:rPr>
                <w:color w:val="auto"/>
                <w:szCs w:val="28"/>
              </w:rPr>
            </w:pPr>
            <w:bookmarkStart w:id="81" w:name="_Toc3574"/>
            <w:bookmarkStart w:id="82" w:name="_Toc28075"/>
            <w:r>
              <w:rPr>
                <w:color w:val="auto"/>
                <w:szCs w:val="28"/>
              </w:rPr>
              <w:t>3.</w:t>
            </w:r>
            <w:r>
              <w:rPr>
                <w:rFonts w:hint="eastAsia"/>
                <w:color w:val="auto"/>
                <w:szCs w:val="28"/>
                <w:lang w:val="en-US" w:eastAsia="zh-CN"/>
              </w:rPr>
              <w:t>6</w:t>
            </w:r>
            <w:r>
              <w:rPr>
                <w:color w:val="auto"/>
                <w:szCs w:val="28"/>
              </w:rPr>
              <w:t>主要环境保护目标</w:t>
            </w:r>
            <w:bookmarkEnd w:id="81"/>
            <w:bookmarkEnd w:id="82"/>
          </w:p>
          <w:p w14:paraId="74457774">
            <w:pPr>
              <w:spacing w:line="360" w:lineRule="auto"/>
              <w:ind w:firstLine="480" w:firstLineChars="200"/>
              <w:rPr>
                <w:color w:val="auto"/>
                <w:sz w:val="24"/>
              </w:rPr>
            </w:pPr>
            <w:r>
              <w:rPr>
                <w:rFonts w:hint="default" w:ascii="Times New Roman" w:hAnsi="Times New Roman" w:cs="Times New Roman"/>
                <w:color w:val="auto"/>
                <w:kern w:val="0"/>
                <w:sz w:val="24"/>
              </w:rPr>
              <w:t>根据《建设项目环境影响报告表编制技术指南</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污染影响类</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试行</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环办环评〔2020〕33号</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要求以及对项目周边环境的调查，本项目</w:t>
            </w:r>
            <w:r>
              <w:rPr>
                <w:rFonts w:hint="default" w:ascii="Times New Roman" w:hAnsi="Times New Roman" w:cs="Times New Roman"/>
                <w:color w:val="auto"/>
                <w:kern w:val="0"/>
                <w:sz w:val="24"/>
                <w:lang w:val="en-US" w:eastAsia="zh-CN"/>
              </w:rPr>
              <w:t>大气环境</w:t>
            </w:r>
            <w:r>
              <w:rPr>
                <w:rFonts w:hint="eastAsia" w:ascii="Times New Roman" w:hAnsi="Times New Roman" w:cs="Times New Roman"/>
                <w:color w:val="auto"/>
                <w:kern w:val="0"/>
                <w:sz w:val="24"/>
                <w:lang w:val="en-US" w:eastAsia="zh-CN"/>
              </w:rPr>
              <w:t>（厂界外500m）</w:t>
            </w:r>
            <w:r>
              <w:rPr>
                <w:rFonts w:hint="default" w:ascii="Times New Roman" w:hAnsi="Times New Roman" w:cs="Times New Roman"/>
                <w:color w:val="auto"/>
                <w:kern w:val="0"/>
                <w:sz w:val="24"/>
                <w:lang w:val="en-US" w:eastAsia="zh-CN"/>
              </w:rPr>
              <w:t>、地表水环境、声环境</w:t>
            </w:r>
            <w:r>
              <w:rPr>
                <w:rFonts w:hint="eastAsia" w:ascii="Times New Roman" w:hAnsi="Times New Roman" w:cs="Times New Roman"/>
                <w:color w:val="auto"/>
                <w:kern w:val="0"/>
                <w:sz w:val="24"/>
                <w:lang w:val="en-US" w:eastAsia="zh-CN"/>
              </w:rPr>
              <w:t>（厂界外50m）、地下水环境（厂界外50m）等环境保护目标详</w:t>
            </w:r>
            <w:r>
              <w:rPr>
                <w:rFonts w:hint="default" w:ascii="Times New Roman" w:hAnsi="Times New Roman" w:cs="Times New Roman"/>
                <w:color w:val="auto"/>
                <w:kern w:val="0"/>
                <w:sz w:val="24"/>
              </w:rPr>
              <w:t>见表3.</w:t>
            </w:r>
            <w:r>
              <w:rPr>
                <w:rFonts w:hint="eastAsia" w:ascii="Times New Roman" w:hAnsi="Times New Roman" w:cs="Times New Roman"/>
                <w:color w:val="auto"/>
                <w:kern w:val="0"/>
                <w:sz w:val="24"/>
                <w:lang w:val="en-US" w:eastAsia="zh-CN"/>
              </w:rPr>
              <w:t>6-1</w:t>
            </w:r>
            <w:r>
              <w:rPr>
                <w:rFonts w:hint="default" w:ascii="Times New Roman" w:hAnsi="Times New Roman" w:cs="Times New Roman"/>
                <w:color w:val="auto"/>
                <w:kern w:val="0"/>
                <w:sz w:val="24"/>
              </w:rPr>
              <w:t>和</w:t>
            </w:r>
            <w:r>
              <w:rPr>
                <w:rFonts w:hint="default" w:ascii="Times New Roman" w:hAnsi="Times New Roman" w:cs="Times New Roman"/>
                <w:b/>
                <w:bCs/>
                <w:color w:val="auto"/>
                <w:kern w:val="0"/>
                <w:sz w:val="24"/>
                <w:highlight w:val="none"/>
              </w:rPr>
              <w:t>附图</w:t>
            </w:r>
            <w:r>
              <w:rPr>
                <w:rFonts w:hint="eastAsia" w:cs="Times New Roman"/>
                <w:b/>
                <w:bCs/>
                <w:color w:val="auto"/>
                <w:kern w:val="0"/>
                <w:sz w:val="24"/>
                <w:highlight w:val="none"/>
                <w:lang w:val="en-US" w:eastAsia="zh-CN"/>
              </w:rPr>
              <w:t>二</w:t>
            </w:r>
            <w:r>
              <w:rPr>
                <w:color w:val="auto"/>
                <w:sz w:val="24"/>
              </w:rPr>
              <w:t>。</w:t>
            </w:r>
          </w:p>
          <w:p w14:paraId="1BDC7579">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表3.6-1项目主要环境保护目标一览表</w:t>
            </w:r>
          </w:p>
          <w:tbl>
            <w:tblPr>
              <w:tblStyle w:val="23"/>
              <w:tblW w:w="499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13"/>
              <w:gridCol w:w="1107"/>
              <w:gridCol w:w="1615"/>
              <w:gridCol w:w="1040"/>
              <w:gridCol w:w="3548"/>
            </w:tblGrid>
            <w:tr w14:paraId="7D83A3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712" w:type="pct"/>
                  <w:noWrap w:val="0"/>
                  <w:vAlign w:val="center"/>
                </w:tcPr>
                <w:p w14:paraId="260E20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环境要素</w:t>
                  </w:r>
                </w:p>
              </w:tc>
              <w:tc>
                <w:tcPr>
                  <w:tcW w:w="649" w:type="pct"/>
                  <w:noWrap w:val="0"/>
                  <w:vAlign w:val="center"/>
                </w:tcPr>
                <w:p w14:paraId="0F7A91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环境保护对象名称</w:t>
                  </w:r>
                </w:p>
              </w:tc>
              <w:tc>
                <w:tcPr>
                  <w:tcW w:w="947" w:type="pct"/>
                  <w:noWrap w:val="0"/>
                  <w:vAlign w:val="center"/>
                </w:tcPr>
                <w:p w14:paraId="097860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相对项目的方</w:t>
                  </w:r>
                </w:p>
                <w:p w14:paraId="11479F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位和最近距离</w:t>
                  </w:r>
                </w:p>
              </w:tc>
              <w:tc>
                <w:tcPr>
                  <w:tcW w:w="610" w:type="pct"/>
                  <w:noWrap w:val="0"/>
                  <w:vAlign w:val="center"/>
                </w:tcPr>
                <w:p w14:paraId="204D7E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目标规模</w:t>
                  </w:r>
                </w:p>
              </w:tc>
              <w:tc>
                <w:tcPr>
                  <w:tcW w:w="2079" w:type="pct"/>
                  <w:noWrap w:val="0"/>
                  <w:vAlign w:val="center"/>
                </w:tcPr>
                <w:p w14:paraId="25B540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环境功能</w:t>
                  </w:r>
                </w:p>
              </w:tc>
            </w:tr>
            <w:tr w14:paraId="29FE3F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jc w:val="center"/>
              </w:trPr>
              <w:tc>
                <w:tcPr>
                  <w:tcW w:w="712" w:type="pct"/>
                  <w:noWrap w:val="0"/>
                  <w:vAlign w:val="center"/>
                </w:tcPr>
                <w:p w14:paraId="0AEA81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w:t>
                  </w:r>
                </w:p>
              </w:tc>
              <w:tc>
                <w:tcPr>
                  <w:tcW w:w="649" w:type="pct"/>
                  <w:noWrap w:val="0"/>
                  <w:vAlign w:val="center"/>
                </w:tcPr>
                <w:p w14:paraId="35BFC7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下田村</w:t>
                  </w:r>
                </w:p>
              </w:tc>
              <w:tc>
                <w:tcPr>
                  <w:tcW w:w="947" w:type="pct"/>
                  <w:noWrap w:val="0"/>
                  <w:vAlign w:val="center"/>
                </w:tcPr>
                <w:p w14:paraId="55CD3E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西南侧约</w:t>
                  </w:r>
                  <w:r>
                    <w:rPr>
                      <w:rFonts w:hint="eastAsia" w:ascii="Times New Roman" w:hAnsi="Times New Roman" w:eastAsia="宋体" w:cs="Times New Roman"/>
                      <w:color w:val="auto"/>
                      <w:sz w:val="21"/>
                      <w:szCs w:val="21"/>
                      <w:highlight w:val="none"/>
                      <w:lang w:val="en-US" w:eastAsia="zh-CN"/>
                    </w:rPr>
                    <w:t>287</w:t>
                  </w:r>
                  <w:r>
                    <w:rPr>
                      <w:rFonts w:hint="default" w:ascii="Times New Roman" w:hAnsi="Times New Roman" w:eastAsia="宋体" w:cs="Times New Roman"/>
                      <w:color w:val="auto"/>
                      <w:sz w:val="21"/>
                      <w:szCs w:val="21"/>
                      <w:highlight w:val="none"/>
                      <w:lang w:val="en-US" w:eastAsia="zh-CN"/>
                    </w:rPr>
                    <w:t>m</w:t>
                  </w:r>
                </w:p>
              </w:tc>
              <w:tc>
                <w:tcPr>
                  <w:tcW w:w="610" w:type="pct"/>
                  <w:noWrap w:val="0"/>
                  <w:vAlign w:val="center"/>
                </w:tcPr>
                <w:p w14:paraId="470B20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约30户/120人</w:t>
                  </w:r>
                </w:p>
              </w:tc>
              <w:tc>
                <w:tcPr>
                  <w:tcW w:w="2079" w:type="pct"/>
                  <w:noWrap w:val="0"/>
                  <w:vAlign w:val="center"/>
                </w:tcPr>
                <w:p w14:paraId="5D8573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《环境空气质量标准》GB3095-2012</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val="zh-CN"/>
                    </w:rPr>
                    <w:t>及</w:t>
                  </w:r>
                  <w:r>
                    <w:rPr>
                      <w:rFonts w:hint="default" w:ascii="Times New Roman" w:hAnsi="Times New Roman" w:eastAsia="宋体" w:cs="Times New Roman"/>
                      <w:color w:val="auto"/>
                      <w:sz w:val="21"/>
                      <w:szCs w:val="21"/>
                    </w:rPr>
                    <w:t>其修改单二级标准</w:t>
                  </w:r>
                </w:p>
              </w:tc>
            </w:tr>
            <w:tr w14:paraId="2BAF61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4" w:hRule="atLeast"/>
                <w:jc w:val="center"/>
              </w:trPr>
              <w:tc>
                <w:tcPr>
                  <w:tcW w:w="712" w:type="pct"/>
                  <w:noWrap w:val="0"/>
                  <w:vAlign w:val="center"/>
                </w:tcPr>
                <w:p w14:paraId="7D2A05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地表水</w:t>
                  </w:r>
                </w:p>
              </w:tc>
              <w:tc>
                <w:tcPr>
                  <w:tcW w:w="649" w:type="pct"/>
                  <w:noWrap w:val="0"/>
                  <w:vAlign w:val="center"/>
                </w:tcPr>
                <w:p w14:paraId="27A40E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溪</w:t>
                  </w:r>
                  <w:r>
                    <w:rPr>
                      <w:rFonts w:hint="eastAsia" w:cs="Times New Roman"/>
                      <w:color w:val="auto"/>
                      <w:kern w:val="2"/>
                      <w:sz w:val="21"/>
                      <w:szCs w:val="21"/>
                      <w:lang w:val="en-US" w:eastAsia="zh-CN" w:bidi="ar-SA"/>
                    </w:rPr>
                    <w:t>畔河</w:t>
                  </w:r>
                </w:p>
              </w:tc>
              <w:tc>
                <w:tcPr>
                  <w:tcW w:w="947" w:type="pct"/>
                  <w:noWrap w:val="0"/>
                  <w:vAlign w:val="center"/>
                </w:tcPr>
                <w:p w14:paraId="55F4B2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西北侧约3</w:t>
                  </w:r>
                  <w:r>
                    <w:rPr>
                      <w:rFonts w:hint="eastAsia" w:ascii="Times New Roman" w:hAnsi="Times New Roman" w:eastAsia="宋体" w:cs="Times New Roman"/>
                      <w:color w:val="auto"/>
                      <w:sz w:val="21"/>
                      <w:szCs w:val="21"/>
                      <w:highlight w:val="none"/>
                      <w:lang w:val="en-US" w:eastAsia="zh-CN"/>
                    </w:rPr>
                    <w:t>00</w:t>
                  </w:r>
                  <w:r>
                    <w:rPr>
                      <w:rFonts w:hint="default" w:ascii="Times New Roman" w:hAnsi="Times New Roman" w:eastAsia="宋体" w:cs="Times New Roman"/>
                      <w:color w:val="auto"/>
                      <w:sz w:val="21"/>
                      <w:szCs w:val="21"/>
                      <w:highlight w:val="none"/>
                      <w:lang w:val="en-US" w:eastAsia="zh-CN"/>
                    </w:rPr>
                    <w:t>m</w:t>
                  </w:r>
                </w:p>
              </w:tc>
              <w:tc>
                <w:tcPr>
                  <w:tcW w:w="610" w:type="pct"/>
                  <w:noWrap w:val="0"/>
                  <w:vAlign w:val="center"/>
                </w:tcPr>
                <w:p w14:paraId="773784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河流</w:t>
                  </w:r>
                </w:p>
              </w:tc>
              <w:tc>
                <w:tcPr>
                  <w:tcW w:w="2079" w:type="pct"/>
                  <w:noWrap w:val="0"/>
                  <w:vAlign w:val="center"/>
                </w:tcPr>
                <w:p w14:paraId="0302A0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《地表水环境质量标准》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GB3838-2002</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Ⅲ类标准</w:t>
                  </w:r>
                </w:p>
              </w:tc>
            </w:tr>
            <w:tr w14:paraId="03E49F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712" w:type="pct"/>
                  <w:noWrap w:val="0"/>
                  <w:vAlign w:val="center"/>
                </w:tcPr>
                <w:p w14:paraId="7A605B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地下水环境</w:t>
                  </w:r>
                </w:p>
              </w:tc>
              <w:tc>
                <w:tcPr>
                  <w:tcW w:w="4287" w:type="pct"/>
                  <w:gridSpan w:val="4"/>
                  <w:noWrap w:val="0"/>
                  <w:vAlign w:val="center"/>
                </w:tcPr>
                <w:p w14:paraId="59F3D7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500米范围内无地下水集中式饮用水水源和热水、矿泉水、温泉等特殊地下水资源</w:t>
                  </w:r>
                </w:p>
              </w:tc>
            </w:tr>
            <w:tr w14:paraId="654A79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712" w:type="pct"/>
                  <w:noWrap w:val="0"/>
                  <w:vAlign w:val="center"/>
                </w:tcPr>
                <w:p w14:paraId="2C256B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4287" w:type="pct"/>
                  <w:gridSpan w:val="4"/>
                  <w:noWrap w:val="0"/>
                  <w:vAlign w:val="center"/>
                </w:tcPr>
                <w:p w14:paraId="574B64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项目厂界外50m无声环境保护目标</w:t>
                  </w:r>
                </w:p>
              </w:tc>
            </w:tr>
            <w:tr w14:paraId="191B95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8" w:hRule="atLeast"/>
                <w:jc w:val="center"/>
              </w:trPr>
              <w:tc>
                <w:tcPr>
                  <w:tcW w:w="712" w:type="pct"/>
                  <w:noWrap w:val="0"/>
                  <w:vAlign w:val="center"/>
                </w:tcPr>
                <w:p w14:paraId="2F08B6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w:t>
                  </w:r>
                </w:p>
              </w:tc>
              <w:tc>
                <w:tcPr>
                  <w:tcW w:w="4287" w:type="pct"/>
                  <w:gridSpan w:val="4"/>
                  <w:noWrap w:val="0"/>
                  <w:vAlign w:val="center"/>
                </w:tcPr>
                <w:p w14:paraId="2423F0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本项目位于园区内，无生态环境保护目标</w:t>
                  </w:r>
                </w:p>
              </w:tc>
            </w:tr>
          </w:tbl>
          <w:p w14:paraId="77C84E6F">
            <w:pPr>
              <w:rPr>
                <w:rFonts w:hint="eastAsia"/>
                <w:vertAlign w:val="baseline"/>
                <w:lang w:eastAsia="zh-CN"/>
              </w:rPr>
            </w:pPr>
          </w:p>
        </w:tc>
      </w:tr>
      <w:tr w14:paraId="7634F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dxa"/>
            <w:vAlign w:val="center"/>
          </w:tcPr>
          <w:p w14:paraId="2CD633C6">
            <w:pPr>
              <w:jc w:val="center"/>
              <w:rPr>
                <w:rFonts w:hint="eastAsia"/>
                <w:sz w:val="24"/>
                <w:szCs w:val="24"/>
                <w:vertAlign w:val="baseline"/>
                <w:lang w:eastAsia="zh-CN"/>
              </w:rPr>
            </w:pPr>
            <w:r>
              <w:rPr>
                <w:rFonts w:hint="default" w:ascii="Times New Roman" w:hAnsi="Times New Roman" w:eastAsia="宋体" w:cs="Times New Roman"/>
                <w:color w:val="auto"/>
                <w:kern w:val="0"/>
                <w:sz w:val="24"/>
                <w:szCs w:val="24"/>
              </w:rPr>
              <w:t>污染物排放控制标准</w:t>
            </w:r>
          </w:p>
        </w:tc>
        <w:tc>
          <w:tcPr>
            <w:tcW w:w="8749" w:type="dxa"/>
          </w:tcPr>
          <w:p w14:paraId="1A27950B">
            <w:pPr>
              <w:pStyle w:val="46"/>
              <w:keepNext w:val="0"/>
              <w:keepLines w:val="0"/>
              <w:pageBreakBefore w:val="0"/>
              <w:widowControl w:val="0"/>
              <w:kinsoku/>
              <w:wordWrap/>
              <w:overflowPunct/>
              <w:topLinePunct w:val="0"/>
              <w:autoSpaceDE/>
              <w:autoSpaceDN/>
              <w:bidi w:val="0"/>
              <w:adjustRightInd w:val="0"/>
              <w:snapToGrid/>
              <w:textAlignment w:val="auto"/>
              <w:outlineLvl w:val="1"/>
              <w:rPr>
                <w:rFonts w:hint="default"/>
                <w:color w:val="000000" w:themeColor="text1"/>
                <w:szCs w:val="28"/>
                <w:highlight w:val="none"/>
                <w:lang w:val="en-US" w:eastAsia="zh-CN"/>
                <w14:textFill>
                  <w14:solidFill>
                    <w14:schemeClr w14:val="tx1"/>
                  </w14:solidFill>
                </w14:textFill>
              </w:rPr>
            </w:pPr>
            <w:bookmarkStart w:id="83" w:name="_Toc21763"/>
            <w:bookmarkStart w:id="84" w:name="_Toc15260"/>
            <w:bookmarkStart w:id="85" w:name="_Toc10661"/>
            <w:bookmarkStart w:id="86" w:name="_Toc10339"/>
            <w:bookmarkStart w:id="87" w:name="_Toc22767"/>
            <w:bookmarkStart w:id="88" w:name="_Toc5981"/>
            <w:r>
              <w:rPr>
                <w:rFonts w:hint="default"/>
                <w:color w:val="000000" w:themeColor="text1"/>
                <w:szCs w:val="28"/>
                <w:highlight w:val="none"/>
                <w:lang w:val="en-US" w:eastAsia="zh-CN"/>
                <w14:textFill>
                  <w14:solidFill>
                    <w14:schemeClr w14:val="tx1"/>
                  </w14:solidFill>
                </w14:textFill>
              </w:rPr>
              <w:t>3.7 污染物排放标准</w:t>
            </w:r>
            <w:bookmarkEnd w:id="83"/>
            <w:bookmarkEnd w:id="84"/>
            <w:bookmarkEnd w:id="85"/>
            <w:bookmarkEnd w:id="86"/>
            <w:bookmarkEnd w:id="87"/>
            <w:bookmarkEnd w:id="88"/>
          </w:p>
          <w:p w14:paraId="6CCDFE4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89" w:name="_Toc9944"/>
            <w:bookmarkStart w:id="90" w:name="_Toc9216"/>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 xml:space="preserve">3.7.1 </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废水</w:t>
            </w:r>
            <w:bookmarkEnd w:id="89"/>
            <w:bookmarkEnd w:id="90"/>
          </w:p>
          <w:p w14:paraId="69A74290">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（1）项目水污染物排放标准</w:t>
            </w:r>
          </w:p>
          <w:p w14:paraId="6212B9C6">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项目</w:t>
            </w:r>
            <w:r>
              <w:rPr>
                <w:rFonts w:hint="eastAsia" w:ascii="Times New Roman" w:hAnsi="Times New Roman" w:eastAsia="宋体" w:cs="Times New Roman"/>
                <w:bCs/>
                <w:color w:val="auto"/>
                <w:kern w:val="2"/>
                <w:sz w:val="24"/>
                <w:szCs w:val="24"/>
                <w:highlight w:val="none"/>
                <w:lang w:val="en-US" w:eastAsia="zh-CN" w:bidi="ar-SA"/>
              </w:rPr>
              <w:t>运营期</w:t>
            </w:r>
            <w:r>
              <w:rPr>
                <w:rFonts w:hint="default" w:ascii="Times New Roman" w:hAnsi="Times New Roman" w:eastAsia="宋体" w:cs="Times New Roman"/>
                <w:color w:val="auto"/>
                <w:sz w:val="24"/>
                <w:szCs w:val="24"/>
                <w:highlight w:val="none"/>
              </w:rPr>
              <w:t>本项目</w:t>
            </w:r>
            <w:r>
              <w:rPr>
                <w:rFonts w:hint="eastAsia" w:cs="Times New Roman"/>
                <w:color w:val="auto"/>
                <w:sz w:val="24"/>
                <w:szCs w:val="24"/>
                <w:highlight w:val="none"/>
                <w:lang w:eastAsia="zh-CN"/>
              </w:rPr>
              <w:t>生产过程中</w:t>
            </w:r>
            <w:r>
              <w:rPr>
                <w:rFonts w:hint="eastAsia" w:cs="Times New Roman"/>
                <w:color w:val="auto"/>
                <w:sz w:val="24"/>
                <w:szCs w:val="24"/>
                <w:highlight w:val="none"/>
                <w:lang w:val="en-US" w:eastAsia="zh-CN"/>
              </w:rPr>
              <w:t>用水主要为压铸成型间接冷却水、研磨工序冷却水及半成品清洗废水。压铸工序间接冷却水不直接接触产品为间接冷却水，经冷却塔冷却后循环使用不外排。研磨工序冷却水及半成品清洗废水经循环水处理设施处理后回用于生产不外排，因此不产生生产废水排放</w:t>
            </w:r>
            <w:r>
              <w:rPr>
                <w:rFonts w:hint="eastAsia" w:ascii="Times New Roman" w:hAnsi="Times New Roman" w:eastAsia="宋体" w:cs="Times New Roman"/>
                <w:bCs/>
                <w:color w:val="auto"/>
                <w:kern w:val="2"/>
                <w:sz w:val="24"/>
                <w:szCs w:val="24"/>
                <w:highlight w:val="none"/>
                <w:lang w:val="en-US" w:eastAsia="zh-CN" w:bidi="ar-SA"/>
              </w:rPr>
              <w:t>；仅产生职工</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生活污水</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根据现场勘查，</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项目生活污水依托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园区内已建化粪池预处理后，接入市政污水管网，纳入福清融元污水处理厂统一处理，尾水排入龙江。</w:t>
            </w:r>
            <w:r>
              <w:rPr>
                <w:rFonts w:hint="default" w:ascii="Times New Roman" w:hAnsi="Times New Roman" w:cs="Times New Roman"/>
                <w:color w:val="000000" w:themeColor="text1"/>
                <w:sz w:val="24"/>
                <w:szCs w:val="24"/>
                <w:highlight w:val="none"/>
                <w:lang w:eastAsia="zh-CN"/>
                <w14:textFill>
                  <w14:solidFill>
                    <w14:schemeClr w14:val="tx1"/>
                  </w14:solidFill>
                </w14:textFill>
              </w:rPr>
              <w:t>项目</w:t>
            </w:r>
            <w:r>
              <w:rPr>
                <w:rFonts w:hint="default" w:ascii="Times New Roman" w:hAnsi="Times New Roman" w:cs="Times New Roman"/>
                <w:color w:val="000000" w:themeColor="text1"/>
                <w:sz w:val="24"/>
                <w:szCs w:val="24"/>
                <w:highlight w:val="none"/>
                <w14:textFill>
                  <w14:solidFill>
                    <w14:schemeClr w14:val="tx1"/>
                  </w14:solidFill>
                </w14:textFill>
              </w:rPr>
              <w:t>属于</w:t>
            </w:r>
            <w:r>
              <w:rPr>
                <w:rFonts w:hint="default" w:ascii="Times New Roman" w:hAnsi="Times New Roman" w:cs="Times New Roman"/>
                <w:color w:val="000000" w:themeColor="text1"/>
                <w:sz w:val="24"/>
                <w:szCs w:val="24"/>
                <w:highlight w:val="none"/>
                <w:lang w:eastAsia="zh-CN"/>
                <w14:textFill>
                  <w14:solidFill>
                    <w14:schemeClr w14:val="tx1"/>
                  </w14:solidFill>
                </w14:textFill>
              </w:rPr>
              <w:t>福清市融元污水处理厂</w:t>
            </w:r>
            <w:r>
              <w:rPr>
                <w:rFonts w:hint="default" w:ascii="Times New Roman" w:hAnsi="Times New Roman" w:cs="Times New Roman"/>
                <w:color w:val="000000" w:themeColor="text1"/>
                <w:sz w:val="24"/>
                <w:szCs w:val="24"/>
                <w:highlight w:val="none"/>
                <w14:textFill>
                  <w14:solidFill>
                    <w14:schemeClr w14:val="tx1"/>
                  </w14:solidFill>
                </w14:textFill>
              </w:rPr>
              <w:t>服务范围</w:t>
            </w:r>
            <w:r>
              <w:rPr>
                <w:rFonts w:hint="eastAsia" w:cs="Times New Roman"/>
                <w:color w:val="000000" w:themeColor="text1"/>
                <w:sz w:val="24"/>
                <w:szCs w:val="24"/>
                <w:highlight w:val="none"/>
                <w:lang w:eastAsia="zh-CN"/>
                <w14:textFill>
                  <w14:solidFill>
                    <w14:schemeClr w14:val="tx1"/>
                  </w14:solidFill>
                </w14:textFill>
              </w:rPr>
              <w:t>且</w:t>
            </w:r>
            <w:r>
              <w:rPr>
                <w:rFonts w:hint="default" w:ascii="Times New Roman" w:hAnsi="Times New Roman" w:cs="Times New Roman"/>
                <w:color w:val="000000" w:themeColor="text1"/>
                <w:sz w:val="24"/>
                <w:szCs w:val="24"/>
                <w:highlight w:val="none"/>
                <w14:textFill>
                  <w14:solidFill>
                    <w14:schemeClr w14:val="tx1"/>
                  </w14:solidFill>
                </w14:textFill>
              </w:rPr>
              <w:t>污水管网已铺设到位，项目生活污水经</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园区</w:t>
            </w:r>
            <w:r>
              <w:rPr>
                <w:rFonts w:hint="default" w:ascii="Times New Roman" w:hAnsi="Times New Roman" w:cs="Times New Roman"/>
                <w:color w:val="000000" w:themeColor="text1"/>
                <w:sz w:val="24"/>
                <w:szCs w:val="24"/>
                <w:highlight w:val="none"/>
                <w14:textFill>
                  <w14:solidFill>
                    <w14:schemeClr w14:val="tx1"/>
                  </w14:solidFill>
                </w14:textFill>
              </w:rPr>
              <w:t>已建的化粪池预处理</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后接入市政污水管网，外排废水需</w:t>
            </w:r>
            <w:r>
              <w:rPr>
                <w:rFonts w:hint="default" w:ascii="Times New Roman" w:hAnsi="Times New Roman" w:cs="Times New Roman"/>
                <w:color w:val="000000" w:themeColor="text1"/>
                <w:sz w:val="24"/>
                <w:szCs w:val="24"/>
                <w:highlight w:val="none"/>
                <w14:textFill>
                  <w14:solidFill>
                    <w14:schemeClr w14:val="tx1"/>
                  </w14:solidFill>
                </w14:textFill>
              </w:rPr>
              <w:t>达到《污水综合排放标准》</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GB8978-1996</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表4中的三级标准后排入市政污水管网送往</w:t>
            </w:r>
            <w:r>
              <w:rPr>
                <w:rFonts w:hint="default" w:ascii="Times New Roman" w:hAnsi="Times New Roman" w:cs="Times New Roman"/>
                <w:color w:val="000000" w:themeColor="text1"/>
                <w:sz w:val="24"/>
                <w:szCs w:val="24"/>
                <w:highlight w:val="none"/>
                <w:lang w:eastAsia="zh-CN"/>
                <w14:textFill>
                  <w14:solidFill>
                    <w14:schemeClr w14:val="tx1"/>
                  </w14:solidFill>
                </w14:textFill>
              </w:rPr>
              <w:t>福清市融元污水处理厂</w:t>
            </w:r>
            <w:r>
              <w:rPr>
                <w:rFonts w:hint="default" w:ascii="Times New Roman" w:hAnsi="Times New Roman" w:cs="Times New Roman"/>
                <w:color w:val="000000" w:themeColor="text1"/>
                <w:sz w:val="24"/>
                <w:szCs w:val="24"/>
                <w:highlight w:val="none"/>
                <w14:textFill>
                  <w14:solidFill>
                    <w14:schemeClr w14:val="tx1"/>
                  </w14:solidFill>
                </w14:textFill>
              </w:rPr>
              <w:t>集中处理，</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NH</w:t>
            </w:r>
            <w:r>
              <w:rPr>
                <w:rFonts w:hint="default" w:ascii="Times New Roman" w:hAnsi="Times New Roman" w:cs="Times New Roman"/>
                <w:color w:val="000000" w:themeColor="text1"/>
                <w:sz w:val="24"/>
                <w:szCs w:val="24"/>
                <w:highlight w:val="none"/>
                <w:vertAlign w:val="subscript"/>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-N</w:t>
            </w:r>
            <w:r>
              <w:rPr>
                <w:rFonts w:hint="default" w:ascii="Times New Roman" w:hAnsi="Times New Roman" w:cs="Times New Roman"/>
                <w:color w:val="000000" w:themeColor="text1"/>
                <w:sz w:val="24"/>
                <w:szCs w:val="24"/>
                <w:highlight w:val="none"/>
                <w14:textFill>
                  <w14:solidFill>
                    <w14:schemeClr w14:val="tx1"/>
                  </w14:solidFill>
                </w14:textFill>
              </w:rPr>
              <w:t>参照执行《污水排入城镇下水道水质标准》</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GB/T 31962-2015</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表1中B级标准，详见表3.7-1。</w:t>
            </w:r>
          </w:p>
          <w:p w14:paraId="68B1E9AF">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表3.7-1</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项目污水排放标准限值一览表</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407"/>
              <w:gridCol w:w="3908"/>
              <w:gridCol w:w="1512"/>
              <w:gridCol w:w="1701"/>
            </w:tblGrid>
            <w:tr w14:paraId="3D8594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96" w:hRule="exact"/>
                <w:jc w:val="center"/>
              </w:trPr>
              <w:tc>
                <w:tcPr>
                  <w:tcW w:w="825" w:type="pct"/>
                  <w:tcBorders>
                    <w:top w:val="single" w:color="auto" w:sz="12" w:space="0"/>
                  </w:tcBorders>
                  <w:noWrap w:val="0"/>
                  <w:vAlign w:val="center"/>
                </w:tcPr>
                <w:p w14:paraId="2AAC3CE2">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类别</w:t>
                  </w:r>
                </w:p>
              </w:tc>
              <w:tc>
                <w:tcPr>
                  <w:tcW w:w="2291" w:type="pct"/>
                  <w:tcBorders>
                    <w:top w:val="single" w:color="auto" w:sz="12" w:space="0"/>
                  </w:tcBorders>
                  <w:noWrap w:val="0"/>
                  <w:vAlign w:val="center"/>
                </w:tcPr>
                <w:p w14:paraId="61C10A6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标准名称</w:t>
                  </w:r>
                </w:p>
              </w:tc>
              <w:tc>
                <w:tcPr>
                  <w:tcW w:w="886" w:type="pct"/>
                  <w:tcBorders>
                    <w:top w:val="single" w:color="auto" w:sz="12" w:space="0"/>
                  </w:tcBorders>
                  <w:noWrap w:val="0"/>
                  <w:vAlign w:val="center"/>
                </w:tcPr>
                <w:p w14:paraId="709AF6BA">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w:t>
                  </w:r>
                </w:p>
              </w:tc>
              <w:tc>
                <w:tcPr>
                  <w:tcW w:w="997" w:type="pct"/>
                  <w:tcBorders>
                    <w:top w:val="single" w:color="auto" w:sz="12" w:space="0"/>
                  </w:tcBorders>
                  <w:noWrap w:val="0"/>
                  <w:vAlign w:val="center"/>
                </w:tcPr>
                <w:p w14:paraId="58A30203">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标准限值</w:t>
                  </w:r>
                </w:p>
              </w:tc>
            </w:tr>
            <w:tr w14:paraId="5B14AC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29" w:hRule="exact"/>
                <w:jc w:val="center"/>
              </w:trPr>
              <w:tc>
                <w:tcPr>
                  <w:tcW w:w="825" w:type="pct"/>
                  <w:vMerge w:val="restart"/>
                  <w:noWrap w:val="0"/>
                  <w:vAlign w:val="center"/>
                </w:tcPr>
                <w:p w14:paraId="0BA2CE59">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生活污水</w:t>
                  </w:r>
                </w:p>
              </w:tc>
              <w:tc>
                <w:tcPr>
                  <w:tcW w:w="2291" w:type="pct"/>
                  <w:vMerge w:val="restart"/>
                  <w:noWrap w:val="0"/>
                  <w:vAlign w:val="center"/>
                </w:tcPr>
                <w:p w14:paraId="5424DB0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《污水综合排放标准》</w:t>
                  </w:r>
                </w:p>
                <w:p w14:paraId="2C920B23">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GB8978-1996</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表4三级标准</w:t>
                  </w:r>
                </w:p>
              </w:tc>
              <w:tc>
                <w:tcPr>
                  <w:tcW w:w="886" w:type="pct"/>
                  <w:noWrap w:val="0"/>
                  <w:vAlign w:val="center"/>
                </w:tcPr>
                <w:p w14:paraId="5AF2D5E6">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pH</w:t>
                  </w:r>
                </w:p>
              </w:tc>
              <w:tc>
                <w:tcPr>
                  <w:tcW w:w="997" w:type="pct"/>
                  <w:noWrap w:val="0"/>
                  <w:vAlign w:val="center"/>
                </w:tcPr>
                <w:p w14:paraId="6C70CB3C">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9</w:t>
                  </w:r>
                </w:p>
              </w:tc>
            </w:tr>
            <w:tr w14:paraId="54FA93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05" w:hRule="exact"/>
                <w:jc w:val="center"/>
              </w:trPr>
              <w:tc>
                <w:tcPr>
                  <w:tcW w:w="825" w:type="pct"/>
                  <w:vMerge w:val="continue"/>
                  <w:noWrap w:val="0"/>
                  <w:vAlign w:val="center"/>
                </w:tcPr>
                <w:p w14:paraId="7D1DD5F2">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291" w:type="pct"/>
                  <w:vMerge w:val="continue"/>
                  <w:noWrap w:val="0"/>
                  <w:vAlign w:val="center"/>
                </w:tcPr>
                <w:p w14:paraId="784ECC3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6" w:type="pct"/>
                  <w:noWrap w:val="0"/>
                  <w:vAlign w:val="center"/>
                </w:tcPr>
                <w:p w14:paraId="4708C4F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COD</w:t>
                  </w:r>
                </w:p>
              </w:tc>
              <w:tc>
                <w:tcPr>
                  <w:tcW w:w="997" w:type="pct"/>
                  <w:noWrap w:val="0"/>
                  <w:vAlign w:val="center"/>
                </w:tcPr>
                <w:p w14:paraId="3E78F604">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500mg/L</w:t>
                  </w:r>
                </w:p>
              </w:tc>
            </w:tr>
            <w:tr w14:paraId="6BDD5E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3" w:hRule="exact"/>
                <w:jc w:val="center"/>
              </w:trPr>
              <w:tc>
                <w:tcPr>
                  <w:tcW w:w="825" w:type="pct"/>
                  <w:vMerge w:val="continue"/>
                  <w:noWrap w:val="0"/>
                  <w:vAlign w:val="center"/>
                </w:tcPr>
                <w:p w14:paraId="6C34EAB3">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291" w:type="pct"/>
                  <w:vMerge w:val="continue"/>
                  <w:noWrap w:val="0"/>
                  <w:vAlign w:val="center"/>
                </w:tcPr>
                <w:p w14:paraId="15C33551">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6" w:type="pct"/>
                  <w:noWrap w:val="0"/>
                  <w:vAlign w:val="center"/>
                </w:tcPr>
                <w:p w14:paraId="758C3D9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BOD</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5</w:t>
                  </w:r>
                </w:p>
              </w:tc>
              <w:tc>
                <w:tcPr>
                  <w:tcW w:w="997" w:type="pct"/>
                  <w:noWrap w:val="0"/>
                  <w:vAlign w:val="center"/>
                </w:tcPr>
                <w:p w14:paraId="14B89C60">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300mg/L</w:t>
                  </w:r>
                </w:p>
              </w:tc>
            </w:tr>
            <w:tr w14:paraId="432D92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05" w:hRule="exact"/>
                <w:jc w:val="center"/>
              </w:trPr>
              <w:tc>
                <w:tcPr>
                  <w:tcW w:w="825" w:type="pct"/>
                  <w:vMerge w:val="continue"/>
                  <w:noWrap w:val="0"/>
                  <w:vAlign w:val="center"/>
                </w:tcPr>
                <w:p w14:paraId="7477FEE9">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291" w:type="pct"/>
                  <w:vMerge w:val="continue"/>
                  <w:noWrap w:val="0"/>
                  <w:vAlign w:val="center"/>
                </w:tcPr>
                <w:p w14:paraId="7FB66FD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6" w:type="pct"/>
                  <w:noWrap w:val="0"/>
                  <w:vAlign w:val="center"/>
                </w:tcPr>
                <w:p w14:paraId="747A2EDA">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SS</w:t>
                  </w:r>
                </w:p>
              </w:tc>
              <w:tc>
                <w:tcPr>
                  <w:tcW w:w="997" w:type="pct"/>
                  <w:noWrap w:val="0"/>
                  <w:vAlign w:val="center"/>
                </w:tcPr>
                <w:p w14:paraId="2A295468">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400mg/L</w:t>
                  </w:r>
                </w:p>
              </w:tc>
            </w:tr>
            <w:tr w14:paraId="2F40FA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28" w:hRule="exact"/>
                <w:jc w:val="center"/>
              </w:trPr>
              <w:tc>
                <w:tcPr>
                  <w:tcW w:w="825" w:type="pct"/>
                  <w:vMerge w:val="continue"/>
                  <w:noWrap w:val="0"/>
                  <w:vAlign w:val="center"/>
                </w:tcPr>
                <w:p w14:paraId="7334AEF5">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291" w:type="pct"/>
                  <w:noWrap w:val="0"/>
                  <w:vAlign w:val="center"/>
                </w:tcPr>
                <w:p w14:paraId="361A0536">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《污水排入城镇下水道水质标准》</w:t>
                  </w:r>
                </w:p>
                <w:p w14:paraId="1B3D4F0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（GB/T31962-2015）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表1中B级标准</w:t>
                  </w:r>
                </w:p>
              </w:tc>
              <w:tc>
                <w:tcPr>
                  <w:tcW w:w="886" w:type="pct"/>
                  <w:noWrap w:val="0"/>
                  <w:vAlign w:val="center"/>
                </w:tcPr>
                <w:p w14:paraId="194ADDD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NH</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-N</w:t>
                  </w:r>
                </w:p>
              </w:tc>
              <w:tc>
                <w:tcPr>
                  <w:tcW w:w="997" w:type="pct"/>
                  <w:noWrap w:val="0"/>
                  <w:vAlign w:val="center"/>
                </w:tcPr>
                <w:p w14:paraId="0C245EF3">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45mg/L</w:t>
                  </w:r>
                </w:p>
              </w:tc>
            </w:tr>
          </w:tbl>
          <w:p w14:paraId="4FF61A2A">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（2）污水处理厂尾水排放标准</w:t>
            </w:r>
          </w:p>
          <w:p w14:paraId="150C7C05">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根据调查，</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福清市融元污水处理厂</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尾水</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目前</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排放执行《城镇污水处理厂污染物排放标准》</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GB18918-2002</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及其修改单表1的一级</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标准A</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标准，具体详见表3.</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7</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w:t>
            </w:r>
          </w:p>
          <w:p w14:paraId="658D15B5">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表3.</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7-2福清市融元</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污水处理厂尾水排放标准一览表</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1401"/>
              <w:gridCol w:w="2701"/>
              <w:gridCol w:w="3395"/>
            </w:tblGrid>
            <w:tr w14:paraId="3E64B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4" w:type="pct"/>
                  <w:noWrap w:val="0"/>
                  <w:vAlign w:val="center"/>
                </w:tcPr>
                <w:p w14:paraId="5921BF0B">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序号</w:t>
                  </w:r>
                </w:p>
              </w:tc>
              <w:tc>
                <w:tcPr>
                  <w:tcW w:w="821" w:type="pct"/>
                  <w:noWrap w:val="0"/>
                  <w:vAlign w:val="center"/>
                </w:tcPr>
                <w:p w14:paraId="4C93F61A">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污染物名称</w:t>
                  </w:r>
                </w:p>
              </w:tc>
              <w:tc>
                <w:tcPr>
                  <w:tcW w:w="1583" w:type="pct"/>
                  <w:noWrap w:val="0"/>
                  <w:vAlign w:val="center"/>
                </w:tcPr>
                <w:p w14:paraId="6AB29107">
                  <w:pPr>
                    <w:spacing w:line="34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一级标准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1"/>
                      <w:szCs w:val="21"/>
                      <w:highlight w:val="none"/>
                      <w14:textFill>
                        <w14:solidFill>
                          <w14:schemeClr w14:val="tx1"/>
                        </w14:solidFill>
                      </w14:textFill>
                    </w:rPr>
                    <w:t>标准</w:t>
                  </w:r>
                </w:p>
              </w:tc>
              <w:tc>
                <w:tcPr>
                  <w:tcW w:w="1990" w:type="pct"/>
                  <w:noWrap w:val="0"/>
                  <w:vAlign w:val="center"/>
                </w:tcPr>
                <w:p w14:paraId="748F9E2E">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标准来源</w:t>
                  </w:r>
                </w:p>
              </w:tc>
            </w:tr>
            <w:tr w14:paraId="1C3385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604" w:type="pct"/>
                  <w:noWrap w:val="0"/>
                  <w:vAlign w:val="center"/>
                </w:tcPr>
                <w:p w14:paraId="6CD075FB">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1</w:t>
                  </w:r>
                </w:p>
              </w:tc>
              <w:tc>
                <w:tcPr>
                  <w:tcW w:w="821" w:type="pct"/>
                  <w:noWrap w:val="0"/>
                  <w:vAlign w:val="center"/>
                </w:tcPr>
                <w:p w14:paraId="4B450256">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pH</w:t>
                  </w:r>
                </w:p>
              </w:tc>
              <w:tc>
                <w:tcPr>
                  <w:tcW w:w="1583" w:type="pct"/>
                  <w:noWrap w:val="0"/>
                  <w:vAlign w:val="center"/>
                </w:tcPr>
                <w:p w14:paraId="0106CEF5">
                  <w:pPr>
                    <w:spacing w:line="340" w:lineRule="exact"/>
                    <w:jc w:val="center"/>
                    <w:rPr>
                      <w:rFonts w:hint="default" w:ascii="Times New Roman" w:hAnsi="Times New Roman" w:eastAsia="宋体" w:cs="Times New Roman"/>
                      <w:color w:val="000000" w:themeColor="text1"/>
                      <w:kern w:val="18"/>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 xml:space="preserve">6～9 </w:t>
                  </w:r>
                  <w:r>
                    <w:rPr>
                      <w:rFonts w:hint="eastAsia" w:cs="Times New Roman"/>
                      <w:color w:val="000000" w:themeColor="text1"/>
                      <w:kern w:val="18"/>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无量纲</w:t>
                  </w:r>
                  <w:r>
                    <w:rPr>
                      <w:rFonts w:hint="eastAsia" w:cs="Times New Roman"/>
                      <w:color w:val="000000" w:themeColor="text1"/>
                      <w:sz w:val="21"/>
                      <w:szCs w:val="21"/>
                      <w:highlight w:val="none"/>
                      <w:lang w:eastAsia="zh-CN"/>
                      <w14:textFill>
                        <w14:solidFill>
                          <w14:schemeClr w14:val="tx1"/>
                        </w14:solidFill>
                      </w14:textFill>
                    </w:rPr>
                    <w:t>）</w:t>
                  </w:r>
                </w:p>
              </w:tc>
              <w:tc>
                <w:tcPr>
                  <w:tcW w:w="1990" w:type="pct"/>
                  <w:vMerge w:val="restart"/>
                  <w:noWrap w:val="0"/>
                  <w:vAlign w:val="center"/>
                </w:tcPr>
                <w:p w14:paraId="6419DAA0">
                  <w:pPr>
                    <w:widowControl/>
                    <w:spacing w:line="34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《城镇污水处理厂污染物排放标准》</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GB18918-2002</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及其修改单表1</w:t>
                  </w:r>
                </w:p>
              </w:tc>
            </w:tr>
            <w:tr w14:paraId="7791AB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4" w:type="pct"/>
                  <w:noWrap w:val="0"/>
                  <w:vAlign w:val="center"/>
                </w:tcPr>
                <w:p w14:paraId="6E5E3C16">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2</w:t>
                  </w:r>
                </w:p>
              </w:tc>
              <w:tc>
                <w:tcPr>
                  <w:tcW w:w="821" w:type="pct"/>
                  <w:noWrap w:val="0"/>
                  <w:vAlign w:val="center"/>
                </w:tcPr>
                <w:p w14:paraId="7D75E13D">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COD</w:t>
                  </w:r>
                  <w:r>
                    <w:rPr>
                      <w:rFonts w:hint="default" w:ascii="Times New Roman" w:hAnsi="Times New Roman" w:eastAsia="宋体" w:cs="Times New Roman"/>
                      <w:color w:val="000000" w:themeColor="text1"/>
                      <w:kern w:val="18"/>
                      <w:sz w:val="21"/>
                      <w:szCs w:val="21"/>
                      <w:highlight w:val="none"/>
                      <w:lang w:val="en-US" w:eastAsia="zh-CN"/>
                      <w14:textFill>
                        <w14:solidFill>
                          <w14:schemeClr w14:val="tx1"/>
                        </w14:solidFill>
                      </w14:textFill>
                    </w:rPr>
                    <w:t>cr</w:t>
                  </w:r>
                </w:p>
              </w:tc>
              <w:tc>
                <w:tcPr>
                  <w:tcW w:w="1583" w:type="pct"/>
                  <w:noWrap w:val="0"/>
                  <w:vAlign w:val="center"/>
                </w:tcPr>
                <w:p w14:paraId="565B27A4">
                  <w:pPr>
                    <w:spacing w:line="340" w:lineRule="exact"/>
                    <w:jc w:val="center"/>
                    <w:rPr>
                      <w:rFonts w:hint="default" w:ascii="Times New Roman" w:hAnsi="Times New Roman" w:eastAsia="宋体" w:cs="Times New Roman"/>
                      <w:color w:val="000000" w:themeColor="text1"/>
                      <w:kern w:val="18"/>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0mg/L</w:t>
                  </w:r>
                </w:p>
              </w:tc>
              <w:tc>
                <w:tcPr>
                  <w:tcW w:w="1990" w:type="pct"/>
                  <w:vMerge w:val="continue"/>
                  <w:noWrap w:val="0"/>
                  <w:vAlign w:val="center"/>
                </w:tcPr>
                <w:p w14:paraId="790FFC34">
                  <w:pPr>
                    <w:widowControl/>
                    <w:spacing w:line="340" w:lineRule="exact"/>
                    <w:jc w:val="left"/>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p>
              </w:tc>
            </w:tr>
            <w:tr w14:paraId="36B83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4" w:type="pct"/>
                  <w:noWrap w:val="0"/>
                  <w:vAlign w:val="center"/>
                </w:tcPr>
                <w:p w14:paraId="412BD3FC">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3</w:t>
                  </w:r>
                </w:p>
              </w:tc>
              <w:tc>
                <w:tcPr>
                  <w:tcW w:w="821" w:type="pct"/>
                  <w:noWrap w:val="0"/>
                  <w:vAlign w:val="center"/>
                </w:tcPr>
                <w:p w14:paraId="0E35AC94">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BOD</w:t>
                  </w:r>
                  <w:r>
                    <w:rPr>
                      <w:rFonts w:hint="default" w:ascii="Times New Roman" w:hAnsi="Times New Roman" w:eastAsia="宋体" w:cs="Times New Roman"/>
                      <w:color w:val="000000" w:themeColor="text1"/>
                      <w:kern w:val="18"/>
                      <w:sz w:val="21"/>
                      <w:szCs w:val="21"/>
                      <w:highlight w:val="none"/>
                      <w:vertAlign w:val="subscript"/>
                      <w14:textFill>
                        <w14:solidFill>
                          <w14:schemeClr w14:val="tx1"/>
                        </w14:solidFill>
                      </w14:textFill>
                    </w:rPr>
                    <w:t>5</w:t>
                  </w:r>
                </w:p>
              </w:tc>
              <w:tc>
                <w:tcPr>
                  <w:tcW w:w="1583" w:type="pct"/>
                  <w:noWrap w:val="0"/>
                  <w:vAlign w:val="center"/>
                </w:tcPr>
                <w:p w14:paraId="6F5BBC70">
                  <w:pPr>
                    <w:spacing w:line="340" w:lineRule="exact"/>
                    <w:jc w:val="center"/>
                    <w:rPr>
                      <w:rFonts w:hint="default" w:ascii="Times New Roman" w:hAnsi="Times New Roman" w:eastAsia="宋体" w:cs="Times New Roman"/>
                      <w:color w:val="000000" w:themeColor="text1"/>
                      <w:kern w:val="18"/>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0mg/L</w:t>
                  </w:r>
                </w:p>
              </w:tc>
              <w:tc>
                <w:tcPr>
                  <w:tcW w:w="1990" w:type="pct"/>
                  <w:vMerge w:val="continue"/>
                  <w:noWrap w:val="0"/>
                  <w:vAlign w:val="center"/>
                </w:tcPr>
                <w:p w14:paraId="1CE4EBD9">
                  <w:pPr>
                    <w:widowControl/>
                    <w:spacing w:line="340" w:lineRule="exact"/>
                    <w:jc w:val="left"/>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p>
              </w:tc>
            </w:tr>
            <w:tr w14:paraId="3838D0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4" w:type="pct"/>
                  <w:noWrap w:val="0"/>
                  <w:vAlign w:val="center"/>
                </w:tcPr>
                <w:p w14:paraId="7617E488">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4</w:t>
                  </w:r>
                </w:p>
              </w:tc>
              <w:tc>
                <w:tcPr>
                  <w:tcW w:w="821" w:type="pct"/>
                  <w:noWrap w:val="0"/>
                  <w:vAlign w:val="center"/>
                </w:tcPr>
                <w:p w14:paraId="40101D1A">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SS</w:t>
                  </w:r>
                </w:p>
              </w:tc>
              <w:tc>
                <w:tcPr>
                  <w:tcW w:w="1583" w:type="pct"/>
                  <w:noWrap w:val="0"/>
                  <w:vAlign w:val="center"/>
                </w:tcPr>
                <w:p w14:paraId="1A62E7DE">
                  <w:pPr>
                    <w:spacing w:line="340" w:lineRule="exact"/>
                    <w:jc w:val="center"/>
                    <w:rPr>
                      <w:rFonts w:hint="default" w:ascii="Times New Roman" w:hAnsi="Times New Roman" w:eastAsia="宋体" w:cs="Times New Roman"/>
                      <w:color w:val="000000" w:themeColor="text1"/>
                      <w:kern w:val="18"/>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0mg/L</w:t>
                  </w:r>
                </w:p>
              </w:tc>
              <w:tc>
                <w:tcPr>
                  <w:tcW w:w="1990" w:type="pct"/>
                  <w:vMerge w:val="continue"/>
                  <w:noWrap w:val="0"/>
                  <w:vAlign w:val="center"/>
                </w:tcPr>
                <w:p w14:paraId="18B4CD5E">
                  <w:pPr>
                    <w:widowControl/>
                    <w:spacing w:line="340" w:lineRule="exact"/>
                    <w:jc w:val="left"/>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p>
              </w:tc>
            </w:tr>
            <w:tr w14:paraId="585D58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4" w:type="pct"/>
                  <w:noWrap w:val="0"/>
                  <w:vAlign w:val="center"/>
                </w:tcPr>
                <w:p w14:paraId="65C81949">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5</w:t>
                  </w:r>
                </w:p>
              </w:tc>
              <w:tc>
                <w:tcPr>
                  <w:tcW w:w="821" w:type="pct"/>
                  <w:noWrap w:val="0"/>
                  <w:vAlign w:val="center"/>
                </w:tcPr>
                <w:p w14:paraId="1D63E0C1">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NH</w:t>
                  </w:r>
                  <w:r>
                    <w:rPr>
                      <w:rFonts w:hint="default" w:ascii="Times New Roman" w:hAnsi="Times New Roman" w:eastAsia="宋体" w:cs="Times New Roman"/>
                      <w:color w:val="000000" w:themeColor="text1"/>
                      <w:kern w:val="18"/>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-N</w:t>
                  </w:r>
                </w:p>
              </w:tc>
              <w:tc>
                <w:tcPr>
                  <w:tcW w:w="1583" w:type="pct"/>
                  <w:noWrap w:val="0"/>
                  <w:vAlign w:val="center"/>
                </w:tcPr>
                <w:p w14:paraId="45B61811">
                  <w:pPr>
                    <w:spacing w:line="340" w:lineRule="exact"/>
                    <w:jc w:val="center"/>
                    <w:rPr>
                      <w:rFonts w:hint="default" w:ascii="Times New Roman" w:hAnsi="Times New Roman" w:eastAsia="宋体" w:cs="Times New Roman"/>
                      <w:color w:val="000000" w:themeColor="text1"/>
                      <w:kern w:val="18"/>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mg/L</w:t>
                  </w:r>
                </w:p>
              </w:tc>
              <w:tc>
                <w:tcPr>
                  <w:tcW w:w="1990" w:type="pct"/>
                  <w:vMerge w:val="continue"/>
                  <w:noWrap w:val="0"/>
                  <w:vAlign w:val="center"/>
                </w:tcPr>
                <w:p w14:paraId="6DAA2E7C">
                  <w:pPr>
                    <w:widowControl/>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p>
              </w:tc>
            </w:tr>
          </w:tbl>
          <w:p w14:paraId="737E7B5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91" w:name="_Toc28297"/>
            <w:bookmarkStart w:id="92" w:name="_Toc23022"/>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3.7.2 废气</w:t>
            </w:r>
            <w:bookmarkEnd w:id="91"/>
            <w:bookmarkEnd w:id="92"/>
          </w:p>
          <w:p w14:paraId="37CF6791">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本项目废气主要来源于</w:t>
            </w:r>
            <w:r>
              <w:rPr>
                <w:rFonts w:hint="eastAsia" w:cs="Times New Roman"/>
                <w:bCs/>
                <w:color w:val="000000" w:themeColor="text1"/>
                <w:kern w:val="2"/>
                <w:sz w:val="24"/>
                <w:szCs w:val="24"/>
                <w:highlight w:val="none"/>
                <w:lang w:val="en-US" w:eastAsia="zh-CN" w:bidi="ar-SA"/>
                <w14:textFill>
                  <w14:solidFill>
                    <w14:schemeClr w14:val="tx1"/>
                  </w14:solidFill>
                </w14:textFill>
              </w:rPr>
              <w:t>熔融</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废气（铝锭熔化烟尘）、</w:t>
            </w:r>
            <w:r>
              <w:rPr>
                <w:rFonts w:hint="eastAsia" w:cs="Times New Roman"/>
                <w:bCs/>
                <w:color w:val="000000" w:themeColor="text1"/>
                <w:kern w:val="2"/>
                <w:sz w:val="24"/>
                <w:szCs w:val="24"/>
                <w:highlight w:val="none"/>
                <w:lang w:val="en-US" w:eastAsia="zh-CN" w:bidi="ar-SA"/>
                <w14:textFill>
                  <w14:solidFill>
                    <w14:schemeClr w14:val="tx1"/>
                  </w14:solidFill>
                </w14:textFill>
              </w:rPr>
              <w:t>压铸</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脱模废气（含浇注烟尘及脱模剂产生挥发性有机废气）。</w:t>
            </w:r>
          </w:p>
          <w:p w14:paraId="6F39CC88">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（1）项目有组织废气污染物排放标准</w:t>
            </w:r>
          </w:p>
          <w:p w14:paraId="04867B4E">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①</w:t>
            </w:r>
            <w:r>
              <w:rPr>
                <w:rFonts w:hint="eastAsia" w:cs="Times New Roman"/>
                <w:bCs/>
                <w:color w:val="000000" w:themeColor="text1"/>
                <w:kern w:val="2"/>
                <w:sz w:val="24"/>
                <w:szCs w:val="24"/>
                <w:highlight w:val="none"/>
                <w:lang w:val="en-US" w:eastAsia="zh-CN" w:bidi="ar-SA"/>
                <w14:textFill>
                  <w14:solidFill>
                    <w14:schemeClr w14:val="tx1"/>
                  </w14:solidFill>
                </w14:textFill>
              </w:rPr>
              <w:t>熔融</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废气（铝锭熔化烟尘）：熔炉废气主要污染物为铝锭熔化产生的颗粒物，颗粒物执行《铸造工业大气污染物排放标准》（GB39726-2020）中表1</w:t>
            </w:r>
            <w:r>
              <w:rPr>
                <w:rFonts w:hint="eastAsia" w:cs="Times New Roman"/>
                <w:bCs/>
                <w:color w:val="000000" w:themeColor="text1"/>
                <w:kern w:val="2"/>
                <w:sz w:val="24"/>
                <w:szCs w:val="24"/>
                <w:highlight w:val="none"/>
                <w:lang w:val="en-US" w:eastAsia="zh-CN" w:bidi="ar-SA"/>
                <w14:textFill>
                  <w14:solidFill>
                    <w14:schemeClr w14:val="tx1"/>
                  </w14:solidFill>
                </w14:textFill>
              </w:rPr>
              <w:t>中的“其他熔化炉”的限值要求</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w:t>
            </w:r>
          </w:p>
          <w:p w14:paraId="1BC6FB19">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②</w:t>
            </w:r>
            <w:r>
              <w:rPr>
                <w:rFonts w:hint="eastAsia" w:cs="Times New Roman"/>
                <w:bCs/>
                <w:color w:val="000000" w:themeColor="text1"/>
                <w:kern w:val="2"/>
                <w:sz w:val="24"/>
                <w:szCs w:val="24"/>
                <w:highlight w:val="none"/>
                <w:lang w:val="en-US" w:eastAsia="zh-CN" w:bidi="ar-SA"/>
                <w14:textFill>
                  <w14:solidFill>
                    <w14:schemeClr w14:val="tx1"/>
                  </w14:solidFill>
                </w14:textFill>
              </w:rPr>
              <w:t>压铸</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脱模废气（含浇注烟尘及脱模剂产生的挥发性有机废气）：脱模废气中主要污染物为浇注工序产生的颗粒物及压铸脱模时使用的脱模剂因受热产生的挥发性有机废气（以</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VOCs</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计）。颗粒物</w:t>
            </w:r>
            <w:r>
              <w:rPr>
                <w:rFonts w:hint="eastAsia" w:cs="Times New Roman"/>
                <w:bCs/>
                <w:color w:val="000000" w:themeColor="text1"/>
                <w:kern w:val="2"/>
                <w:sz w:val="24"/>
                <w:szCs w:val="24"/>
                <w:highlight w:val="none"/>
                <w:lang w:val="en-US" w:eastAsia="zh-CN" w:bidi="ar-SA"/>
                <w14:textFill>
                  <w14:solidFill>
                    <w14:schemeClr w14:val="tx1"/>
                  </w14:solidFill>
                </w14:textFill>
              </w:rPr>
              <w:t>执行</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《铸造工业大气污染物排放标准》（GB39726-2020）中表1标准</w:t>
            </w:r>
            <w:r>
              <w:rPr>
                <w:rFonts w:hint="eastAsia" w:cs="Times New Roman"/>
                <w:bCs/>
                <w:color w:val="000000" w:themeColor="text1"/>
                <w:kern w:val="2"/>
                <w:sz w:val="24"/>
                <w:szCs w:val="24"/>
                <w:highlight w:val="none"/>
                <w:lang w:val="en-US" w:eastAsia="zh-CN" w:bidi="ar-SA"/>
                <w14:textFill>
                  <w14:solidFill>
                    <w14:schemeClr w14:val="tx1"/>
                  </w14:solidFill>
                </w14:textFill>
              </w:rPr>
              <w:t>限值</w:t>
            </w:r>
            <w:r>
              <w:rPr>
                <w:rFonts w:hint="eastAsia" w:ascii="Times New Roman" w:hAnsi="Times New Roman" w:eastAsia="宋体" w:cs="Times New Roman"/>
                <w:bCs/>
                <w:color w:val="auto"/>
                <w:kern w:val="2"/>
                <w:sz w:val="24"/>
                <w:szCs w:val="24"/>
                <w:highlight w:val="none"/>
                <w:lang w:val="en-US" w:eastAsia="zh-CN" w:bidi="ar-SA"/>
              </w:rPr>
              <w:t>。非甲烷总烃的排放参照执行《工业企业挥发性有机物排放标准》（DB35/1782-2018）表1中其他行业非甲烷总烃排放标准。</w:t>
            </w:r>
          </w:p>
          <w:p w14:paraId="58C961E7">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项目有组织废气污染物排放标准限值详见表3.7-3。</w:t>
            </w:r>
          </w:p>
          <w:p w14:paraId="229FEC23">
            <w:pPr>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表3.7-3 有组织废气污染物排放标准</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850"/>
              <w:gridCol w:w="1075"/>
              <w:gridCol w:w="737"/>
              <w:gridCol w:w="900"/>
              <w:gridCol w:w="913"/>
              <w:gridCol w:w="2955"/>
            </w:tblGrid>
            <w:tr w14:paraId="12697B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644" w:type="pct"/>
                  <w:tcBorders>
                    <w:tl2br w:val="nil"/>
                    <w:tr2bl w:val="nil"/>
                  </w:tcBorders>
                  <w:vAlign w:val="center"/>
                </w:tcPr>
                <w:p w14:paraId="27B4D288">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污染物产生工段</w:t>
                  </w:r>
                </w:p>
              </w:tc>
              <w:tc>
                <w:tcPr>
                  <w:tcW w:w="498" w:type="pct"/>
                  <w:tcBorders>
                    <w:tl2br w:val="nil"/>
                    <w:tr2bl w:val="nil"/>
                  </w:tcBorders>
                  <w:vAlign w:val="center"/>
                </w:tcPr>
                <w:p w14:paraId="3C0555FD">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污染物名称</w:t>
                  </w:r>
                </w:p>
              </w:tc>
              <w:tc>
                <w:tcPr>
                  <w:tcW w:w="630" w:type="pct"/>
                  <w:tcBorders>
                    <w:tl2br w:val="nil"/>
                    <w:tr2bl w:val="nil"/>
                  </w:tcBorders>
                  <w:vAlign w:val="center"/>
                </w:tcPr>
                <w:p w14:paraId="7ED4631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最高允许排放浓度</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1"/>
                      <w:szCs w:val="21"/>
                      <w:highlight w:val="none"/>
                      <w:u w:val="none"/>
                      <w:vertAlign w:val="superscript"/>
                      <w:lang w:val="en-US" w:eastAsia="zh-CN"/>
                      <w14:textFill>
                        <w14:solidFill>
                          <w14:schemeClr w14:val="tx1"/>
                        </w14:solidFill>
                      </w14:textFill>
                    </w:rPr>
                    <w:t>3</w:t>
                  </w:r>
                </w:p>
              </w:tc>
              <w:tc>
                <w:tcPr>
                  <w:tcW w:w="432" w:type="pct"/>
                  <w:tcBorders>
                    <w:tl2br w:val="nil"/>
                    <w:tr2bl w:val="nil"/>
                  </w:tcBorders>
                  <w:vAlign w:val="center"/>
                </w:tcPr>
                <w:p w14:paraId="5599709D">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污染源名称</w:t>
                  </w:r>
                </w:p>
              </w:tc>
              <w:tc>
                <w:tcPr>
                  <w:tcW w:w="527" w:type="pct"/>
                  <w:tcBorders>
                    <w:tl2br w:val="nil"/>
                    <w:tr2bl w:val="nil"/>
                  </w:tcBorders>
                  <w:vAlign w:val="center"/>
                </w:tcPr>
                <w:p w14:paraId="3EFE6398">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排气筒编号</w:t>
                  </w:r>
                </w:p>
              </w:tc>
              <w:tc>
                <w:tcPr>
                  <w:tcW w:w="535" w:type="pct"/>
                  <w:tcBorders>
                    <w:tl2br w:val="nil"/>
                    <w:tr2bl w:val="nil"/>
                  </w:tcBorders>
                  <w:vAlign w:val="center"/>
                </w:tcPr>
                <w:p w14:paraId="78B0777A">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排气筒高度</w:t>
                  </w:r>
                </w:p>
                <w:p w14:paraId="4AFA1DAE">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m</w:t>
                  </w:r>
                </w:p>
              </w:tc>
              <w:tc>
                <w:tcPr>
                  <w:tcW w:w="1732" w:type="pct"/>
                  <w:tcBorders>
                    <w:tl2br w:val="nil"/>
                    <w:tr2bl w:val="nil"/>
                  </w:tcBorders>
                  <w:vAlign w:val="center"/>
                </w:tcPr>
                <w:p w14:paraId="0766F45A">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执行标准</w:t>
                  </w:r>
                </w:p>
              </w:tc>
            </w:tr>
            <w:tr w14:paraId="4F6357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644" w:type="pct"/>
                  <w:tcBorders>
                    <w:tl2br w:val="nil"/>
                    <w:tr2bl w:val="nil"/>
                  </w:tcBorders>
                  <w:vAlign w:val="center"/>
                </w:tcPr>
                <w:p w14:paraId="447BFF6C">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电阻炉熔化</w:t>
                  </w:r>
                  <w:r>
                    <w:rPr>
                      <w:rFonts w:hint="eastAsia" w:ascii="Times New Roman" w:hAnsi="Times New Roman" w:eastAsia="宋体" w:cs="Times New Roman"/>
                      <w:b w:val="0"/>
                      <w:bCs w:val="0"/>
                      <w:color w:val="auto"/>
                      <w:sz w:val="21"/>
                      <w:szCs w:val="21"/>
                      <w:highlight w:val="none"/>
                      <w:vertAlign w:val="baseline"/>
                      <w:lang w:val="en-US" w:eastAsia="zh-CN"/>
                    </w:rPr>
                    <w:t>废气</w:t>
                  </w:r>
                </w:p>
              </w:tc>
              <w:tc>
                <w:tcPr>
                  <w:tcW w:w="498" w:type="pct"/>
                  <w:tcBorders>
                    <w:tl2br w:val="nil"/>
                    <w:tr2bl w:val="nil"/>
                  </w:tcBorders>
                  <w:vAlign w:val="center"/>
                </w:tcPr>
                <w:p w14:paraId="4FBFFB8A">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颗粒物</w:t>
                  </w:r>
                </w:p>
              </w:tc>
              <w:tc>
                <w:tcPr>
                  <w:tcW w:w="630" w:type="pct"/>
                  <w:tcBorders>
                    <w:tl2br w:val="nil"/>
                    <w:tr2bl w:val="nil"/>
                  </w:tcBorders>
                  <w:vAlign w:val="center"/>
                </w:tcPr>
                <w:p w14:paraId="74D67FF9">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30</w:t>
                  </w:r>
                </w:p>
              </w:tc>
              <w:tc>
                <w:tcPr>
                  <w:tcW w:w="432" w:type="pct"/>
                  <w:vMerge w:val="restart"/>
                  <w:tcBorders>
                    <w:tl2br w:val="nil"/>
                    <w:tr2bl w:val="nil"/>
                  </w:tcBorders>
                  <w:shd w:val="clear" w:color="auto" w:fill="auto"/>
                  <w:vAlign w:val="center"/>
                </w:tcPr>
                <w:p w14:paraId="5482B587">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生产废气排气筒</w:t>
                  </w:r>
                </w:p>
              </w:tc>
              <w:tc>
                <w:tcPr>
                  <w:tcW w:w="527" w:type="pct"/>
                  <w:vMerge w:val="restart"/>
                  <w:tcBorders>
                    <w:tl2br w:val="nil"/>
                    <w:tr2bl w:val="nil"/>
                  </w:tcBorders>
                  <w:shd w:val="clear" w:color="auto" w:fill="auto"/>
                  <w:vAlign w:val="center"/>
                </w:tcPr>
                <w:p w14:paraId="2D500D26">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DA001</w:t>
                  </w:r>
                </w:p>
              </w:tc>
              <w:tc>
                <w:tcPr>
                  <w:tcW w:w="535" w:type="pct"/>
                  <w:vMerge w:val="restart"/>
                  <w:tcBorders>
                    <w:tl2br w:val="nil"/>
                    <w:tr2bl w:val="nil"/>
                  </w:tcBorders>
                  <w:shd w:val="clear" w:color="auto" w:fill="auto"/>
                  <w:vAlign w:val="center"/>
                </w:tcPr>
                <w:p w14:paraId="4008C9B0">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15</w:t>
                  </w:r>
                </w:p>
              </w:tc>
              <w:tc>
                <w:tcPr>
                  <w:tcW w:w="1732" w:type="pct"/>
                  <w:vMerge w:val="restart"/>
                  <w:tcBorders>
                    <w:tl2br w:val="nil"/>
                    <w:tr2bl w:val="nil"/>
                  </w:tcBorders>
                  <w:vAlign w:val="center"/>
                </w:tcPr>
                <w:p w14:paraId="21194DA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颗粒物执行《铸造工业大气污染物排放标准》（GB39726-2020）中表1标准限值；非甲烷总烃执行《工业企业挥发性有机物排放标准》（DB35/1782-2018）表1中其他行业非甲烷总烃排放标准</w:t>
                  </w:r>
                </w:p>
              </w:tc>
            </w:tr>
            <w:tr w14:paraId="3A972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644" w:type="pct"/>
                  <w:vMerge w:val="restart"/>
                  <w:tcBorders>
                    <w:tl2br w:val="nil"/>
                    <w:tr2bl w:val="nil"/>
                  </w:tcBorders>
                  <w:vAlign w:val="center"/>
                </w:tcPr>
                <w:p w14:paraId="5191554D">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压铸脱模</w:t>
                  </w:r>
                  <w:r>
                    <w:rPr>
                      <w:rFonts w:hint="eastAsia" w:cs="Times New Roman"/>
                      <w:b w:val="0"/>
                      <w:bCs w:val="0"/>
                      <w:color w:val="auto"/>
                      <w:sz w:val="21"/>
                      <w:szCs w:val="21"/>
                      <w:highlight w:val="none"/>
                      <w:vertAlign w:val="baseline"/>
                      <w:lang w:val="en-US" w:eastAsia="zh-CN"/>
                    </w:rPr>
                    <w:t>废气</w:t>
                  </w:r>
                </w:p>
              </w:tc>
              <w:tc>
                <w:tcPr>
                  <w:tcW w:w="498" w:type="pct"/>
                  <w:tcBorders>
                    <w:tl2br w:val="nil"/>
                    <w:tr2bl w:val="nil"/>
                  </w:tcBorders>
                  <w:vAlign w:val="center"/>
                </w:tcPr>
                <w:p w14:paraId="767024B1">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颗粒物</w:t>
                  </w:r>
                </w:p>
              </w:tc>
              <w:tc>
                <w:tcPr>
                  <w:tcW w:w="630" w:type="pct"/>
                  <w:tcBorders>
                    <w:tl2br w:val="nil"/>
                    <w:tr2bl w:val="nil"/>
                  </w:tcBorders>
                  <w:vAlign w:val="center"/>
                </w:tcPr>
                <w:p w14:paraId="090C4292">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30</w:t>
                  </w:r>
                </w:p>
              </w:tc>
              <w:tc>
                <w:tcPr>
                  <w:tcW w:w="432" w:type="pct"/>
                  <w:vMerge w:val="continue"/>
                  <w:tcBorders>
                    <w:tl2br w:val="nil"/>
                    <w:tr2bl w:val="nil"/>
                  </w:tcBorders>
                  <w:shd w:val="clear" w:color="auto" w:fill="auto"/>
                  <w:vAlign w:val="center"/>
                </w:tcPr>
                <w:p w14:paraId="6A5DE767">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527" w:type="pct"/>
                  <w:vMerge w:val="continue"/>
                  <w:tcBorders>
                    <w:tl2br w:val="nil"/>
                    <w:tr2bl w:val="nil"/>
                  </w:tcBorders>
                  <w:shd w:val="clear" w:color="auto" w:fill="auto"/>
                  <w:vAlign w:val="center"/>
                </w:tcPr>
                <w:p w14:paraId="3E2A0FF0">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c>
                <w:tcPr>
                  <w:tcW w:w="535" w:type="pct"/>
                  <w:vMerge w:val="continue"/>
                  <w:tcBorders>
                    <w:tl2br w:val="nil"/>
                    <w:tr2bl w:val="nil"/>
                  </w:tcBorders>
                  <w:shd w:val="clear" w:color="auto" w:fill="auto"/>
                  <w:vAlign w:val="center"/>
                </w:tcPr>
                <w:p w14:paraId="12E59C68">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c>
                <w:tcPr>
                  <w:tcW w:w="1732" w:type="pct"/>
                  <w:vMerge w:val="continue"/>
                  <w:tcBorders>
                    <w:tl2br w:val="nil"/>
                    <w:tr2bl w:val="nil"/>
                  </w:tcBorders>
                  <w:vAlign w:val="center"/>
                </w:tcPr>
                <w:p w14:paraId="77154D98">
                  <w:pPr>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r>
            <w:tr w14:paraId="38F8AB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44" w:type="pct"/>
                  <w:vMerge w:val="continue"/>
                  <w:tcBorders>
                    <w:tl2br w:val="nil"/>
                    <w:tr2bl w:val="nil"/>
                  </w:tcBorders>
                  <w:vAlign w:val="center"/>
                </w:tcPr>
                <w:p w14:paraId="31BF46F1">
                  <w:pPr>
                    <w:pageBreakBefore w:val="0"/>
                    <w:widowControl w:val="0"/>
                    <w:kinsoku/>
                    <w:wordWrap/>
                    <w:overflowPunct/>
                    <w:topLinePunct w:val="0"/>
                    <w:autoSpaceDE/>
                    <w:autoSpaceDN/>
                    <w:bidi w:val="0"/>
                    <w:adjustRightInd/>
                    <w:snapToGrid/>
                    <w:spacing w:line="240" w:lineRule="auto"/>
                    <w:jc w:val="center"/>
                    <w:textAlignment w:val="auto"/>
                    <w:outlineLvl w:val="9"/>
                    <w:rPr>
                      <w:color w:val="auto"/>
                    </w:rPr>
                  </w:pPr>
                </w:p>
              </w:tc>
              <w:tc>
                <w:tcPr>
                  <w:tcW w:w="498" w:type="pct"/>
                  <w:tcBorders>
                    <w:tl2br w:val="nil"/>
                    <w:tr2bl w:val="nil"/>
                  </w:tcBorders>
                  <w:vAlign w:val="center"/>
                </w:tcPr>
                <w:p w14:paraId="719AA615">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非甲烷总烃</w:t>
                  </w:r>
                </w:p>
              </w:tc>
              <w:tc>
                <w:tcPr>
                  <w:tcW w:w="630" w:type="pct"/>
                  <w:tcBorders>
                    <w:tl2br w:val="nil"/>
                    <w:tr2bl w:val="nil"/>
                  </w:tcBorders>
                  <w:vAlign w:val="center"/>
                </w:tcPr>
                <w:p w14:paraId="79C1DB78">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100</w:t>
                  </w:r>
                </w:p>
              </w:tc>
              <w:tc>
                <w:tcPr>
                  <w:tcW w:w="432" w:type="pct"/>
                  <w:vMerge w:val="continue"/>
                  <w:tcBorders>
                    <w:tl2br w:val="nil"/>
                    <w:tr2bl w:val="nil"/>
                  </w:tcBorders>
                  <w:shd w:val="clear" w:color="auto" w:fill="auto"/>
                  <w:vAlign w:val="center"/>
                </w:tcPr>
                <w:p w14:paraId="1CEB7219">
                  <w:pPr>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527" w:type="pct"/>
                  <w:vMerge w:val="continue"/>
                  <w:tcBorders>
                    <w:tl2br w:val="nil"/>
                    <w:tr2bl w:val="nil"/>
                  </w:tcBorders>
                  <w:shd w:val="clear" w:color="auto" w:fill="auto"/>
                  <w:vAlign w:val="center"/>
                </w:tcPr>
                <w:p w14:paraId="238EFA64">
                  <w:pPr>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535" w:type="pct"/>
                  <w:vMerge w:val="continue"/>
                  <w:tcBorders>
                    <w:tl2br w:val="nil"/>
                    <w:tr2bl w:val="nil"/>
                  </w:tcBorders>
                  <w:shd w:val="clear" w:color="auto" w:fill="auto"/>
                  <w:vAlign w:val="center"/>
                </w:tcPr>
                <w:p w14:paraId="1CD7CD11">
                  <w:pPr>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732" w:type="pct"/>
                  <w:vMerge w:val="continue"/>
                  <w:tcBorders>
                    <w:tl2br w:val="nil"/>
                    <w:tr2bl w:val="nil"/>
                  </w:tcBorders>
                  <w:vAlign w:val="center"/>
                </w:tcPr>
                <w:p w14:paraId="4ED01B24">
                  <w:pPr>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r>
          </w:tbl>
          <w:p w14:paraId="4F74DD69">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（2）项目无组织废气污染物排放标准</w:t>
            </w:r>
          </w:p>
          <w:p w14:paraId="5D9A46C6">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①</w:t>
            </w:r>
            <w:r>
              <w:rPr>
                <w:rFonts w:hint="eastAsia" w:cs="Times New Roman"/>
                <w:bCs/>
                <w:color w:val="auto"/>
                <w:kern w:val="2"/>
                <w:sz w:val="24"/>
                <w:szCs w:val="24"/>
                <w:highlight w:val="none"/>
                <w:lang w:val="en-US" w:eastAsia="zh-CN" w:bidi="ar-SA"/>
              </w:rPr>
              <w:t>压铸</w:t>
            </w:r>
            <w:r>
              <w:rPr>
                <w:rFonts w:hint="eastAsia" w:ascii="Times New Roman" w:hAnsi="Times New Roman" w:eastAsia="宋体" w:cs="Times New Roman"/>
                <w:bCs/>
                <w:color w:val="auto"/>
                <w:kern w:val="2"/>
                <w:sz w:val="24"/>
                <w:szCs w:val="24"/>
                <w:highlight w:val="none"/>
                <w:lang w:val="en-US" w:eastAsia="zh-CN" w:bidi="ar-SA"/>
              </w:rPr>
              <w:t>脱模废气（含浇注烟尘及脱模剂产生的挥发性有机废气）：未收集到的废气颗粒物执行《大气污染物综合排放标准》（GB16297-1996）中表2无组织排放标准。非甲烷总烃无组织排放企业边界执行《工业企业挥发性有机物排放标准》（DB35/1782-2018）表3中非甲烷总烃排放标准。厂区内执行《挥发性有机物无组织排放控制标准》（GB37822-2019）附录A表A.1标准特别排放限值。</w:t>
            </w:r>
          </w:p>
          <w:p w14:paraId="3DD5FB30">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Cs/>
                <w:color w:val="auto"/>
                <w:kern w:val="2"/>
                <w:sz w:val="24"/>
                <w:szCs w:val="24"/>
                <w:highlight w:val="none"/>
                <w:lang w:val="en-US" w:eastAsia="zh-CN" w:bidi="ar-SA"/>
              </w:rPr>
              <w:t>②机加工废气（颗粒物）：主要污染物为金属打磨时产生的金属颗粒物</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，颗粒物执行《大气污染物综合排放标准》（GB16297-1996）中表2无组织排放标准。</w:t>
            </w:r>
          </w:p>
          <w:p w14:paraId="572E0D8F">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表3.7-4 无组织废气污染物排放标准</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832"/>
              <w:gridCol w:w="1235"/>
              <w:gridCol w:w="4574"/>
            </w:tblGrid>
            <w:tr w14:paraId="1824B7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520" w:type="pct"/>
                  <w:vMerge w:val="restart"/>
                  <w:tcBorders>
                    <w:tl2br w:val="nil"/>
                    <w:tr2bl w:val="nil"/>
                  </w:tcBorders>
                  <w:vAlign w:val="center"/>
                </w:tcPr>
                <w:p w14:paraId="3AB9BCC0">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污染物名称</w:t>
                  </w:r>
                </w:p>
              </w:tc>
              <w:tc>
                <w:tcPr>
                  <w:tcW w:w="1798" w:type="pct"/>
                  <w:gridSpan w:val="2"/>
                  <w:tcBorders>
                    <w:tl2br w:val="nil"/>
                    <w:tr2bl w:val="nil"/>
                  </w:tcBorders>
                  <w:vAlign w:val="center"/>
                </w:tcPr>
                <w:p w14:paraId="2BBB8150">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无组织排放浓度限值</w:t>
                  </w:r>
                </w:p>
              </w:tc>
              <w:tc>
                <w:tcPr>
                  <w:tcW w:w="2681" w:type="pct"/>
                  <w:vMerge w:val="restart"/>
                  <w:tcBorders>
                    <w:tl2br w:val="nil"/>
                    <w:tr2bl w:val="nil"/>
                  </w:tcBorders>
                  <w:vAlign w:val="center"/>
                </w:tcPr>
                <w:p w14:paraId="17AEFD17">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执行标准</w:t>
                  </w:r>
                </w:p>
              </w:tc>
            </w:tr>
            <w:tr w14:paraId="6E0DD0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20" w:type="pct"/>
                  <w:vMerge w:val="continue"/>
                  <w:tcBorders>
                    <w:tl2br w:val="nil"/>
                    <w:tr2bl w:val="nil"/>
                  </w:tcBorders>
                  <w:vAlign w:val="center"/>
                </w:tcPr>
                <w:p w14:paraId="4967B386">
                  <w:pPr>
                    <w:pageBreakBefore w:val="0"/>
                    <w:widowControl w:val="0"/>
                    <w:kinsoku/>
                    <w:wordWrap/>
                    <w:overflowPunct/>
                    <w:topLinePunct w:val="0"/>
                    <w:autoSpaceDE/>
                    <w:autoSpaceDN/>
                    <w:bidi w:val="0"/>
                    <w:adjustRightInd/>
                    <w:snapToGrid/>
                    <w:spacing w:line="240" w:lineRule="auto"/>
                    <w:jc w:val="center"/>
                    <w:textAlignment w:val="auto"/>
                    <w:outlineLvl w:val="9"/>
                    <w:rPr>
                      <w:color w:val="000000" w:themeColor="text1"/>
                      <w:highlight w:val="none"/>
                      <w14:textFill>
                        <w14:solidFill>
                          <w14:schemeClr w14:val="tx1"/>
                        </w14:solidFill>
                      </w14:textFill>
                    </w:rPr>
                  </w:pPr>
                </w:p>
              </w:tc>
              <w:tc>
                <w:tcPr>
                  <w:tcW w:w="1074" w:type="pct"/>
                  <w:tcBorders>
                    <w:tl2br w:val="nil"/>
                    <w:tr2bl w:val="nil"/>
                  </w:tcBorders>
                  <w:vAlign w:val="center"/>
                </w:tcPr>
                <w:p w14:paraId="3B30878E">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监控点</w:t>
                  </w:r>
                </w:p>
              </w:tc>
              <w:tc>
                <w:tcPr>
                  <w:tcW w:w="723" w:type="pct"/>
                  <w:tcBorders>
                    <w:tl2br w:val="nil"/>
                    <w:tr2bl w:val="nil"/>
                  </w:tcBorders>
                  <w:vAlign w:val="center"/>
                </w:tcPr>
                <w:p w14:paraId="2170DE0F">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浓度mg/m</w:t>
                  </w:r>
                  <w:r>
                    <w:rPr>
                      <w:rFonts w:hint="eastAsia"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p>
              </w:tc>
              <w:tc>
                <w:tcPr>
                  <w:tcW w:w="2681" w:type="pct"/>
                  <w:vMerge w:val="continue"/>
                  <w:tcBorders>
                    <w:tl2br w:val="nil"/>
                    <w:tr2bl w:val="nil"/>
                  </w:tcBorders>
                  <w:vAlign w:val="center"/>
                </w:tcPr>
                <w:p w14:paraId="6E5893C0">
                  <w:pPr>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679369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20" w:type="pct"/>
                  <w:vMerge w:val="restart"/>
                  <w:tcBorders>
                    <w:tl2br w:val="nil"/>
                    <w:tr2bl w:val="nil"/>
                  </w:tcBorders>
                  <w:vAlign w:val="center"/>
                </w:tcPr>
                <w:p w14:paraId="5060D877">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非甲烷总烃</w:t>
                  </w:r>
                </w:p>
              </w:tc>
              <w:tc>
                <w:tcPr>
                  <w:tcW w:w="1074" w:type="pct"/>
                  <w:tcBorders>
                    <w:tl2br w:val="nil"/>
                    <w:tr2bl w:val="nil"/>
                  </w:tcBorders>
                  <w:vAlign w:val="center"/>
                </w:tcPr>
                <w:p w14:paraId="43ED34CE">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企业边界</w:t>
                  </w:r>
                </w:p>
              </w:tc>
              <w:tc>
                <w:tcPr>
                  <w:tcW w:w="723" w:type="pct"/>
                  <w:tcBorders>
                    <w:tl2br w:val="nil"/>
                    <w:tr2bl w:val="nil"/>
                  </w:tcBorders>
                  <w:vAlign w:val="center"/>
                </w:tcPr>
                <w:p w14:paraId="7276903B">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w:t>
                  </w:r>
                </w:p>
              </w:tc>
              <w:tc>
                <w:tcPr>
                  <w:tcW w:w="2681" w:type="pct"/>
                  <w:tcBorders>
                    <w:tl2br w:val="nil"/>
                    <w:tr2bl w:val="nil"/>
                  </w:tcBorders>
                  <w:vAlign w:val="center"/>
                </w:tcPr>
                <w:p w14:paraId="141026D7">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《工业企业挥发性有机物排放标准》（DB35/1782-2018）表3中非甲烷总烃排放标准</w:t>
                  </w:r>
                </w:p>
              </w:tc>
            </w:tr>
            <w:tr w14:paraId="367964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0" w:type="pct"/>
                  <w:vMerge w:val="continue"/>
                  <w:tcBorders>
                    <w:tl2br w:val="nil"/>
                    <w:tr2bl w:val="nil"/>
                  </w:tcBorders>
                  <w:vAlign w:val="center"/>
                </w:tcPr>
                <w:p w14:paraId="3FC9E8B7">
                  <w:pPr>
                    <w:pageBreakBefore w:val="0"/>
                    <w:widowControl w:val="0"/>
                    <w:kinsoku/>
                    <w:wordWrap/>
                    <w:overflowPunct/>
                    <w:topLinePunct w:val="0"/>
                    <w:autoSpaceDE/>
                    <w:autoSpaceDN/>
                    <w:bidi w:val="0"/>
                    <w:adjustRightInd/>
                    <w:snapToGrid/>
                    <w:spacing w:line="240" w:lineRule="auto"/>
                    <w:jc w:val="center"/>
                    <w:textAlignment w:val="auto"/>
                    <w:outlineLvl w:val="9"/>
                    <w:rPr>
                      <w:color w:val="000000" w:themeColor="text1"/>
                      <w:highlight w:val="none"/>
                      <w14:textFill>
                        <w14:solidFill>
                          <w14:schemeClr w14:val="tx1"/>
                        </w14:solidFill>
                      </w14:textFill>
                    </w:rPr>
                  </w:pPr>
                </w:p>
              </w:tc>
              <w:tc>
                <w:tcPr>
                  <w:tcW w:w="1074" w:type="pct"/>
                  <w:tcBorders>
                    <w:tl2br w:val="nil"/>
                    <w:tr2bl w:val="nil"/>
                  </w:tcBorders>
                  <w:vAlign w:val="center"/>
                </w:tcPr>
                <w:p w14:paraId="3015F81D">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厂区内监控点处1小时平均浓度值</w:t>
                  </w:r>
                </w:p>
              </w:tc>
              <w:tc>
                <w:tcPr>
                  <w:tcW w:w="723" w:type="pct"/>
                  <w:tcBorders>
                    <w:tl2br w:val="nil"/>
                    <w:tr2bl w:val="nil"/>
                  </w:tcBorders>
                  <w:vAlign w:val="center"/>
                </w:tcPr>
                <w:p w14:paraId="60A1339B">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w:t>
                  </w:r>
                </w:p>
              </w:tc>
              <w:tc>
                <w:tcPr>
                  <w:tcW w:w="2681" w:type="pct"/>
                  <w:vMerge w:val="restart"/>
                  <w:tcBorders>
                    <w:tl2br w:val="nil"/>
                    <w:tr2bl w:val="nil"/>
                  </w:tcBorders>
                  <w:vAlign w:val="center"/>
                </w:tcPr>
                <w:p w14:paraId="68164B6C">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color w:val="000000" w:themeColor="text1"/>
                      <w:highlight w:val="none"/>
                      <w14:textFill>
                        <w14:solidFill>
                          <w14:schemeClr w14:val="tx1"/>
                        </w14:solidFill>
                      </w14:textFill>
                    </w:rPr>
                    <w:t>《挥发性有机物无组织排放控制标准》（GB37822-2019）附录A表A.1</w:t>
                  </w:r>
                  <w:r>
                    <w:rPr>
                      <w:rFonts w:hint="eastAsia"/>
                      <w:color w:val="000000" w:themeColor="text1"/>
                      <w:highlight w:val="none"/>
                      <w:lang w:val="en-US" w:eastAsia="zh-CN"/>
                      <w14:textFill>
                        <w14:solidFill>
                          <w14:schemeClr w14:val="tx1"/>
                        </w14:solidFill>
                      </w14:textFill>
                    </w:rPr>
                    <w:t>标准特别排放限值</w:t>
                  </w:r>
                </w:p>
              </w:tc>
            </w:tr>
            <w:tr w14:paraId="22FA0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0" w:type="pct"/>
                  <w:vMerge w:val="continue"/>
                  <w:tcBorders>
                    <w:tl2br w:val="nil"/>
                    <w:tr2bl w:val="nil"/>
                  </w:tcBorders>
                  <w:vAlign w:val="center"/>
                </w:tcPr>
                <w:p w14:paraId="1F152BA0">
                  <w:pPr>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074" w:type="pct"/>
                  <w:tcBorders>
                    <w:tl2br w:val="nil"/>
                    <w:tr2bl w:val="nil"/>
                  </w:tcBorders>
                  <w:vAlign w:val="center"/>
                </w:tcPr>
                <w:p w14:paraId="5C8CA2E0">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厂区内监控点处任意一次浓度值</w:t>
                  </w:r>
                </w:p>
              </w:tc>
              <w:tc>
                <w:tcPr>
                  <w:tcW w:w="723" w:type="pct"/>
                  <w:tcBorders>
                    <w:tl2br w:val="nil"/>
                    <w:tr2bl w:val="nil"/>
                  </w:tcBorders>
                  <w:vAlign w:val="center"/>
                </w:tcPr>
                <w:p w14:paraId="33888C47">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w:t>
                  </w:r>
                </w:p>
              </w:tc>
              <w:tc>
                <w:tcPr>
                  <w:tcW w:w="2681" w:type="pct"/>
                  <w:vMerge w:val="continue"/>
                  <w:tcBorders>
                    <w:tl2br w:val="nil"/>
                    <w:tr2bl w:val="nil"/>
                  </w:tcBorders>
                  <w:vAlign w:val="center"/>
                </w:tcPr>
                <w:p w14:paraId="55D5A429">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6B7A9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520" w:type="pct"/>
                  <w:tcBorders>
                    <w:tl2br w:val="nil"/>
                    <w:tr2bl w:val="nil"/>
                  </w:tcBorders>
                  <w:shd w:val="clear" w:color="auto" w:fill="auto"/>
                  <w:vAlign w:val="center"/>
                </w:tcPr>
                <w:p w14:paraId="7920EC12">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颗粒物</w:t>
                  </w:r>
                </w:p>
              </w:tc>
              <w:tc>
                <w:tcPr>
                  <w:tcW w:w="1074" w:type="pct"/>
                  <w:tcBorders>
                    <w:tl2br w:val="nil"/>
                    <w:tr2bl w:val="nil"/>
                  </w:tcBorders>
                  <w:shd w:val="clear" w:color="auto" w:fill="auto"/>
                  <w:vAlign w:val="center"/>
                </w:tcPr>
                <w:p w14:paraId="71995E8D">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企业边界</w:t>
                  </w:r>
                </w:p>
              </w:tc>
              <w:tc>
                <w:tcPr>
                  <w:tcW w:w="723" w:type="pct"/>
                  <w:tcBorders>
                    <w:tl2br w:val="nil"/>
                    <w:tr2bl w:val="nil"/>
                  </w:tcBorders>
                  <w:shd w:val="clear" w:color="auto" w:fill="auto"/>
                  <w:vAlign w:val="center"/>
                </w:tcPr>
                <w:p w14:paraId="51D75BAE">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1.0</w:t>
                  </w:r>
                </w:p>
              </w:tc>
              <w:tc>
                <w:tcPr>
                  <w:tcW w:w="2681" w:type="pct"/>
                  <w:tcBorders>
                    <w:tl2br w:val="nil"/>
                    <w:tr2bl w:val="nil"/>
                  </w:tcBorders>
                  <w:shd w:val="clear" w:color="auto" w:fill="auto"/>
                  <w:vAlign w:val="center"/>
                </w:tcPr>
                <w:p w14:paraId="4D34185C">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《大气污染物综合排放标准》（GB16297-1996）中表2无组织排放标准</w:t>
                  </w:r>
                </w:p>
              </w:tc>
            </w:tr>
          </w:tbl>
          <w:p w14:paraId="32D0171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93" w:name="_Toc2403"/>
            <w:bookmarkStart w:id="94" w:name="_Toc31142"/>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3.7.3噪声</w:t>
            </w:r>
            <w:bookmarkEnd w:id="93"/>
            <w:bookmarkEnd w:id="94"/>
          </w:p>
          <w:p w14:paraId="0BC0FB06">
            <w:pPr>
              <w:widowControl/>
              <w:spacing w:line="360" w:lineRule="auto"/>
              <w:ind w:firstLine="480" w:firstLineChars="200"/>
              <w:jc w:val="both"/>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w:t>
            </w:r>
            <w:r>
              <w:rPr>
                <w:color w:val="000000" w:themeColor="text1"/>
                <w:sz w:val="24"/>
                <w:highlight w:val="none"/>
                <w:lang w:val="zh-CN"/>
                <w14:textFill>
                  <w14:solidFill>
                    <w14:schemeClr w14:val="tx1"/>
                  </w14:solidFill>
                </w14:textFill>
              </w:rPr>
              <w:t>项目</w:t>
            </w:r>
            <w:r>
              <w:rPr>
                <w:rFonts w:hint="eastAsia"/>
                <w:color w:val="000000" w:themeColor="text1"/>
                <w:sz w:val="24"/>
                <w:highlight w:val="none"/>
                <w:lang w:val="en-US" w:eastAsia="zh-CN"/>
                <w14:textFill>
                  <w14:solidFill>
                    <w14:schemeClr w14:val="tx1"/>
                  </w14:solidFill>
                </w14:textFill>
              </w:rPr>
              <w:t>生产工作时间为8小时工作制，夜间不进行生产。</w:t>
            </w:r>
            <w:r>
              <w:rPr>
                <w:rFonts w:hint="default" w:ascii="Times New Roman" w:hAnsi="Times New Roman" w:eastAsia="宋体" w:cs="Times New Roman"/>
                <w:color w:val="000000" w:themeColor="text1"/>
                <w:sz w:val="24"/>
                <w:szCs w:val="24"/>
                <w:highlight w:val="none"/>
                <w14:textFill>
                  <w14:solidFill>
                    <w14:schemeClr w14:val="tx1"/>
                  </w14:solidFill>
                </w14:textFill>
              </w:rPr>
              <w:t>运营期</w:t>
            </w:r>
            <w:r>
              <w:rPr>
                <w:color w:val="000000" w:themeColor="text1"/>
                <w:sz w:val="24"/>
                <w:highlight w:val="none"/>
                <w:lang w:val="zh-CN"/>
                <w14:textFill>
                  <w14:solidFill>
                    <w14:schemeClr w14:val="tx1"/>
                  </w14:solidFill>
                </w14:textFill>
              </w:rPr>
              <w:t>厂界噪声排放执行《工业企业厂界环境噪声排放标准》</w:t>
            </w:r>
            <w:r>
              <w:rPr>
                <w:rFonts w:hint="eastAsia"/>
                <w:color w:val="000000" w:themeColor="text1"/>
                <w:sz w:val="24"/>
                <w:highlight w:val="none"/>
                <w:lang w:val="zh-CN"/>
                <w14:textFill>
                  <w14:solidFill>
                    <w14:schemeClr w14:val="tx1"/>
                  </w14:solidFill>
                </w14:textFill>
              </w:rPr>
              <w:t>（</w:t>
            </w:r>
            <w:r>
              <w:rPr>
                <w:color w:val="000000" w:themeColor="text1"/>
                <w:sz w:val="24"/>
                <w:highlight w:val="none"/>
                <w:lang w:val="zh-CN"/>
                <w14:textFill>
                  <w14:solidFill>
                    <w14:schemeClr w14:val="tx1"/>
                  </w14:solidFill>
                </w14:textFill>
              </w:rPr>
              <w:t>GB12348-2008</w:t>
            </w:r>
            <w:r>
              <w:rPr>
                <w:rFonts w:hint="eastAsia"/>
                <w:color w:val="000000" w:themeColor="text1"/>
                <w:sz w:val="24"/>
                <w:highlight w:val="none"/>
                <w:lang w:val="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表1</w:t>
            </w:r>
            <w:r>
              <w:rPr>
                <w:color w:val="000000" w:themeColor="text1"/>
                <w:sz w:val="24"/>
                <w:highlight w:val="none"/>
                <w:lang w:val="zh-CN"/>
                <w14:textFill>
                  <w14:solidFill>
                    <w14:schemeClr w14:val="tx1"/>
                  </w14:solidFill>
                </w14:textFill>
              </w:rPr>
              <w:t>中的3类标准。</w:t>
            </w:r>
            <w:r>
              <w:rPr>
                <w:rFonts w:hint="eastAsia"/>
                <w:color w:val="000000" w:themeColor="text1"/>
                <w:sz w:val="24"/>
                <w:highlight w:val="none"/>
                <w:lang w:val="en-US" w:eastAsia="zh-CN"/>
                <w14:textFill>
                  <w14:solidFill>
                    <w14:schemeClr w14:val="tx1"/>
                  </w14:solidFill>
                </w14:textFill>
              </w:rPr>
              <w:t>详见表3.7-5。</w:t>
            </w:r>
          </w:p>
          <w:p w14:paraId="533E453F">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95" w:name="_Toc19195"/>
            <w:bookmarkStart w:id="96" w:name="_Toc31199"/>
            <w:bookmarkStart w:id="97" w:name="_Toc25865"/>
            <w:bookmarkStart w:id="98" w:name="_Toc8302"/>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表3.7-5 《工业企业厂界环境噪声排放标准》（GB12348-2008）表1（摘录）</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093"/>
              <w:gridCol w:w="1512"/>
              <w:gridCol w:w="1432"/>
              <w:gridCol w:w="1491"/>
            </w:tblGrid>
            <w:tr w14:paraId="0E8C60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9" w:hRule="atLeast"/>
                <w:jc w:val="center"/>
              </w:trPr>
              <w:tc>
                <w:tcPr>
                  <w:tcW w:w="2399" w:type="pct"/>
                  <w:tcBorders>
                    <w:tl2br w:val="single" w:color="auto" w:sz="2" w:space="0"/>
                  </w:tcBorders>
                  <w:noWrap w:val="0"/>
                  <w:vAlign w:val="center"/>
                </w:tcPr>
                <w:p w14:paraId="5B8FAC0A">
                  <w:pPr>
                    <w:snapToGrid w:val="0"/>
                    <w:spacing w:line="340" w:lineRule="exact"/>
                    <w:jc w:val="right"/>
                    <w:rPr>
                      <w:snapToGrid w:val="0"/>
                      <w:color w:val="000000" w:themeColor="text1"/>
                      <w:kern w:val="18"/>
                      <w:szCs w:val="21"/>
                      <w:highlight w:val="none"/>
                      <w14:textFill>
                        <w14:solidFill>
                          <w14:schemeClr w14:val="tx1"/>
                        </w14:solidFill>
                      </w14:textFill>
                    </w:rPr>
                  </w:pPr>
                  <w:r>
                    <w:rPr>
                      <w:snapToGrid w:val="0"/>
                      <w:color w:val="000000" w:themeColor="text1"/>
                      <w:kern w:val="18"/>
                      <w:szCs w:val="21"/>
                      <w:highlight w:val="none"/>
                      <w14:textFill>
                        <w14:solidFill>
                          <w14:schemeClr w14:val="tx1"/>
                        </w14:solidFill>
                      </w14:textFill>
                    </w:rPr>
                    <w:t>时段</w:t>
                  </w:r>
                </w:p>
                <w:p w14:paraId="72DF78FB">
                  <w:pPr>
                    <w:snapToGrid w:val="0"/>
                    <w:spacing w:line="340" w:lineRule="exact"/>
                    <w:rPr>
                      <w:snapToGrid w:val="0"/>
                      <w:color w:val="000000" w:themeColor="text1"/>
                      <w:kern w:val="18"/>
                      <w:szCs w:val="21"/>
                      <w:highlight w:val="none"/>
                      <w14:textFill>
                        <w14:solidFill>
                          <w14:schemeClr w14:val="tx1"/>
                        </w14:solidFill>
                      </w14:textFill>
                    </w:rPr>
                  </w:pPr>
                  <w:r>
                    <w:rPr>
                      <w:snapToGrid w:val="0"/>
                      <w:color w:val="000000" w:themeColor="text1"/>
                      <w:kern w:val="18"/>
                      <w:szCs w:val="21"/>
                      <w:highlight w:val="none"/>
                      <w14:textFill>
                        <w14:solidFill>
                          <w14:schemeClr w14:val="tx1"/>
                        </w14:solidFill>
                      </w14:textFill>
                    </w:rPr>
                    <w:t>厂界外声环境功能区类别</w:t>
                  </w:r>
                </w:p>
              </w:tc>
              <w:tc>
                <w:tcPr>
                  <w:tcW w:w="886" w:type="pct"/>
                  <w:noWrap w:val="0"/>
                  <w:vAlign w:val="center"/>
                </w:tcPr>
                <w:p w14:paraId="02C5A537">
                  <w:pPr>
                    <w:snapToGrid w:val="0"/>
                    <w:spacing w:line="340" w:lineRule="exact"/>
                    <w:jc w:val="center"/>
                    <w:rPr>
                      <w:rFonts w:hint="eastAsia" w:eastAsia="宋体"/>
                      <w:snapToGrid w:val="0"/>
                      <w:color w:val="000000" w:themeColor="text1"/>
                      <w:kern w:val="18"/>
                      <w:szCs w:val="21"/>
                      <w:highlight w:val="none"/>
                      <w:lang w:val="en-US" w:eastAsia="zh-CN"/>
                      <w14:textFill>
                        <w14:solidFill>
                          <w14:schemeClr w14:val="tx1"/>
                        </w14:solidFill>
                      </w14:textFill>
                    </w:rPr>
                  </w:pPr>
                  <w:r>
                    <w:rPr>
                      <w:rFonts w:hint="eastAsia"/>
                      <w:snapToGrid w:val="0"/>
                      <w:color w:val="000000" w:themeColor="text1"/>
                      <w:kern w:val="18"/>
                      <w:szCs w:val="21"/>
                      <w:highlight w:val="none"/>
                      <w:lang w:val="en-US" w:eastAsia="zh-CN"/>
                      <w14:textFill>
                        <w14:solidFill>
                          <w14:schemeClr w14:val="tx1"/>
                        </w14:solidFill>
                      </w14:textFill>
                    </w:rPr>
                    <w:t>单位</w:t>
                  </w:r>
                </w:p>
              </w:tc>
              <w:tc>
                <w:tcPr>
                  <w:tcW w:w="839" w:type="pct"/>
                  <w:noWrap w:val="0"/>
                  <w:vAlign w:val="center"/>
                </w:tcPr>
                <w:p w14:paraId="355BF557">
                  <w:pPr>
                    <w:snapToGrid w:val="0"/>
                    <w:spacing w:line="340" w:lineRule="exact"/>
                    <w:jc w:val="center"/>
                    <w:rPr>
                      <w:rFonts w:hint="default" w:eastAsia="宋体"/>
                      <w:snapToGrid w:val="0"/>
                      <w:color w:val="000000" w:themeColor="text1"/>
                      <w:kern w:val="18"/>
                      <w:szCs w:val="21"/>
                      <w:highlight w:val="none"/>
                      <w:lang w:val="en-US" w:eastAsia="zh-CN"/>
                      <w14:textFill>
                        <w14:solidFill>
                          <w14:schemeClr w14:val="tx1"/>
                        </w14:solidFill>
                      </w14:textFill>
                    </w:rPr>
                  </w:pPr>
                  <w:r>
                    <w:rPr>
                      <w:rFonts w:hint="eastAsia" w:eastAsia="宋体"/>
                      <w:snapToGrid w:val="0"/>
                      <w:color w:val="000000" w:themeColor="text1"/>
                      <w:kern w:val="18"/>
                      <w:szCs w:val="21"/>
                      <w:highlight w:val="none"/>
                      <w:lang w:val="en-US" w:eastAsia="zh-CN"/>
                      <w14:textFill>
                        <w14:solidFill>
                          <w14:schemeClr w14:val="tx1"/>
                        </w14:solidFill>
                      </w14:textFill>
                    </w:rPr>
                    <w:t>昼间</w:t>
                  </w:r>
                </w:p>
              </w:tc>
              <w:tc>
                <w:tcPr>
                  <w:tcW w:w="874" w:type="pct"/>
                  <w:noWrap w:val="0"/>
                  <w:vAlign w:val="center"/>
                </w:tcPr>
                <w:p w14:paraId="4622D97B">
                  <w:pPr>
                    <w:snapToGrid w:val="0"/>
                    <w:spacing w:line="340" w:lineRule="exact"/>
                    <w:jc w:val="center"/>
                    <w:rPr>
                      <w:rFonts w:hint="default"/>
                      <w:snapToGrid w:val="0"/>
                      <w:color w:val="000000" w:themeColor="text1"/>
                      <w:kern w:val="18"/>
                      <w:szCs w:val="21"/>
                      <w:highlight w:val="none"/>
                      <w:lang w:val="en-US" w:eastAsia="zh-CN"/>
                      <w14:textFill>
                        <w14:solidFill>
                          <w14:schemeClr w14:val="tx1"/>
                        </w14:solidFill>
                      </w14:textFill>
                    </w:rPr>
                  </w:pPr>
                  <w:r>
                    <w:rPr>
                      <w:rFonts w:hint="eastAsia"/>
                      <w:snapToGrid w:val="0"/>
                      <w:color w:val="000000" w:themeColor="text1"/>
                      <w:kern w:val="18"/>
                      <w:szCs w:val="21"/>
                      <w:highlight w:val="none"/>
                      <w:lang w:val="en-US" w:eastAsia="zh-CN"/>
                      <w14:textFill>
                        <w14:solidFill>
                          <w14:schemeClr w14:val="tx1"/>
                        </w14:solidFill>
                      </w14:textFill>
                    </w:rPr>
                    <w:t>夜间</w:t>
                  </w:r>
                </w:p>
              </w:tc>
            </w:tr>
            <w:tr w14:paraId="07363D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7" w:hRule="atLeast"/>
                <w:jc w:val="center"/>
              </w:trPr>
              <w:tc>
                <w:tcPr>
                  <w:tcW w:w="2399" w:type="pct"/>
                  <w:noWrap w:val="0"/>
                  <w:vAlign w:val="center"/>
                </w:tcPr>
                <w:p w14:paraId="6372DCDF">
                  <w:pPr>
                    <w:snapToGrid w:val="0"/>
                    <w:spacing w:line="340" w:lineRule="exact"/>
                    <w:jc w:val="center"/>
                    <w:rPr>
                      <w:snapToGrid w:val="0"/>
                      <w:color w:val="000000" w:themeColor="text1"/>
                      <w:kern w:val="18"/>
                      <w:szCs w:val="21"/>
                      <w:highlight w:val="none"/>
                      <w14:textFill>
                        <w14:solidFill>
                          <w14:schemeClr w14:val="tx1"/>
                        </w14:solidFill>
                      </w14:textFill>
                    </w:rPr>
                  </w:pPr>
                  <w:r>
                    <w:rPr>
                      <w:rFonts w:hint="eastAsia"/>
                      <w:snapToGrid w:val="0"/>
                      <w:color w:val="000000" w:themeColor="text1"/>
                      <w:kern w:val="18"/>
                      <w:szCs w:val="21"/>
                      <w:highlight w:val="none"/>
                      <w14:textFill>
                        <w14:solidFill>
                          <w14:schemeClr w14:val="tx1"/>
                        </w14:solidFill>
                      </w14:textFill>
                    </w:rPr>
                    <w:t>3</w:t>
                  </w:r>
                  <w:r>
                    <w:rPr>
                      <w:snapToGrid w:val="0"/>
                      <w:color w:val="000000" w:themeColor="text1"/>
                      <w:kern w:val="18"/>
                      <w:szCs w:val="21"/>
                      <w:highlight w:val="none"/>
                      <w14:textFill>
                        <w14:solidFill>
                          <w14:schemeClr w14:val="tx1"/>
                        </w14:solidFill>
                      </w14:textFill>
                    </w:rPr>
                    <w:t>类</w:t>
                  </w:r>
                </w:p>
              </w:tc>
              <w:tc>
                <w:tcPr>
                  <w:tcW w:w="886" w:type="pct"/>
                  <w:noWrap w:val="0"/>
                  <w:vAlign w:val="center"/>
                </w:tcPr>
                <w:p w14:paraId="3073A7E2">
                  <w:pPr>
                    <w:snapToGrid w:val="0"/>
                    <w:spacing w:line="340" w:lineRule="exact"/>
                    <w:jc w:val="center"/>
                    <w:rPr>
                      <w:rFonts w:hint="default" w:eastAsia="宋体"/>
                      <w:snapToGrid w:val="0"/>
                      <w:color w:val="000000" w:themeColor="text1"/>
                      <w:kern w:val="18"/>
                      <w:szCs w:val="21"/>
                      <w:highlight w:val="none"/>
                      <w:lang w:val="en-US" w:eastAsia="zh-CN"/>
                      <w14:textFill>
                        <w14:solidFill>
                          <w14:schemeClr w14:val="tx1"/>
                        </w14:solidFill>
                      </w14:textFill>
                    </w:rPr>
                  </w:pPr>
                  <w:r>
                    <w:rPr>
                      <w:rFonts w:hint="eastAsia"/>
                      <w:snapToGrid w:val="0"/>
                      <w:color w:val="000000" w:themeColor="text1"/>
                      <w:kern w:val="18"/>
                      <w:szCs w:val="21"/>
                      <w:highlight w:val="none"/>
                      <w:lang w:val="en-US" w:eastAsia="zh-CN"/>
                      <w14:textFill>
                        <w14:solidFill>
                          <w14:schemeClr w14:val="tx1"/>
                        </w14:solidFill>
                      </w14:textFill>
                    </w:rPr>
                    <w:t>dB(A)</w:t>
                  </w:r>
                </w:p>
              </w:tc>
              <w:tc>
                <w:tcPr>
                  <w:tcW w:w="839" w:type="pct"/>
                  <w:noWrap w:val="0"/>
                  <w:vAlign w:val="center"/>
                </w:tcPr>
                <w:p w14:paraId="1A402EA4">
                  <w:pPr>
                    <w:snapToGrid w:val="0"/>
                    <w:spacing w:line="340" w:lineRule="exact"/>
                    <w:jc w:val="center"/>
                    <w:rPr>
                      <w:rFonts w:hint="default"/>
                      <w:snapToGrid w:val="0"/>
                      <w:color w:val="000000" w:themeColor="text1"/>
                      <w:kern w:val="18"/>
                      <w:szCs w:val="21"/>
                      <w:highlight w:val="none"/>
                      <w:lang w:val="en-US"/>
                      <w14:textFill>
                        <w14:solidFill>
                          <w14:schemeClr w14:val="tx1"/>
                        </w14:solidFill>
                      </w14:textFill>
                    </w:rPr>
                  </w:pPr>
                  <w:r>
                    <w:rPr>
                      <w:snapToGrid w:val="0"/>
                      <w:color w:val="000000" w:themeColor="text1"/>
                      <w:kern w:val="18"/>
                      <w:szCs w:val="21"/>
                      <w:highlight w:val="none"/>
                      <w14:textFill>
                        <w14:solidFill>
                          <w14:schemeClr w14:val="tx1"/>
                        </w14:solidFill>
                      </w14:textFill>
                    </w:rPr>
                    <w:t>≤</w:t>
                  </w:r>
                  <w:r>
                    <w:rPr>
                      <w:rFonts w:hint="eastAsia"/>
                      <w:snapToGrid w:val="0"/>
                      <w:color w:val="000000" w:themeColor="text1"/>
                      <w:kern w:val="18"/>
                      <w:szCs w:val="21"/>
                      <w:highlight w:val="none"/>
                      <w:lang w:val="en-US" w:eastAsia="zh-CN"/>
                      <w14:textFill>
                        <w14:solidFill>
                          <w14:schemeClr w14:val="tx1"/>
                        </w14:solidFill>
                      </w14:textFill>
                    </w:rPr>
                    <w:t>65</w:t>
                  </w:r>
                </w:p>
              </w:tc>
              <w:tc>
                <w:tcPr>
                  <w:tcW w:w="874" w:type="pct"/>
                  <w:noWrap w:val="0"/>
                  <w:vAlign w:val="center"/>
                </w:tcPr>
                <w:p w14:paraId="361F033D">
                  <w:pPr>
                    <w:snapToGrid w:val="0"/>
                    <w:spacing w:line="340" w:lineRule="exact"/>
                    <w:jc w:val="center"/>
                    <w:rPr>
                      <w:rFonts w:hint="default" w:eastAsia="宋体"/>
                      <w:snapToGrid w:val="0"/>
                      <w:color w:val="000000" w:themeColor="text1"/>
                      <w:kern w:val="18"/>
                      <w:szCs w:val="21"/>
                      <w:highlight w:val="none"/>
                      <w:lang w:val="en-US" w:eastAsia="zh-CN"/>
                      <w14:textFill>
                        <w14:solidFill>
                          <w14:schemeClr w14:val="tx1"/>
                        </w14:solidFill>
                      </w14:textFill>
                    </w:rPr>
                  </w:pPr>
                  <w:r>
                    <w:rPr>
                      <w:snapToGrid w:val="0"/>
                      <w:color w:val="000000" w:themeColor="text1"/>
                      <w:kern w:val="18"/>
                      <w:szCs w:val="21"/>
                      <w:highlight w:val="none"/>
                      <w14:textFill>
                        <w14:solidFill>
                          <w14:schemeClr w14:val="tx1"/>
                        </w14:solidFill>
                      </w14:textFill>
                    </w:rPr>
                    <w:t>≤</w:t>
                  </w:r>
                  <w:r>
                    <w:rPr>
                      <w:rFonts w:hint="eastAsia"/>
                      <w:snapToGrid w:val="0"/>
                      <w:color w:val="000000" w:themeColor="text1"/>
                      <w:kern w:val="18"/>
                      <w:szCs w:val="21"/>
                      <w:highlight w:val="none"/>
                      <w:lang w:val="en-US" w:eastAsia="zh-CN"/>
                      <w14:textFill>
                        <w14:solidFill>
                          <w14:schemeClr w14:val="tx1"/>
                        </w14:solidFill>
                      </w14:textFill>
                    </w:rPr>
                    <w:t>55</w:t>
                  </w:r>
                </w:p>
              </w:tc>
            </w:tr>
          </w:tbl>
          <w:p w14:paraId="4566384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99" w:name="_Toc4224"/>
            <w:bookmarkStart w:id="100" w:name="_Toc5993"/>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3.7.4固废</w:t>
            </w:r>
            <w:bookmarkEnd w:id="95"/>
            <w:bookmarkEnd w:id="96"/>
            <w:bookmarkEnd w:id="97"/>
            <w:bookmarkEnd w:id="98"/>
            <w:bookmarkEnd w:id="99"/>
            <w:bookmarkEnd w:id="100"/>
          </w:p>
          <w:p w14:paraId="0CE66E64">
            <w:pPr>
              <w:widowControl/>
              <w:spacing w:line="360" w:lineRule="auto"/>
              <w:ind w:firstLine="480" w:firstLineChars="200"/>
              <w:jc w:val="both"/>
              <w:rPr>
                <w:rFonts w:hint="eastAsia"/>
                <w:vertAlign w:val="baseline"/>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运营期项目内产生的一般工业固废</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贮存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应按照</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《一般工业固体废物贮存和填埋污染控制标准》（GB18599-2020）要求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项目产生的危险废物</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贮存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按照</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《危险废物贮存污染控制标准》（GB18597-2023）要求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，危险废物识别标志按照《危险废物识别标志设置技术规范》（HJ 1276-2022）要求进行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设置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，危险废物转移按照《危险废物转移管理办法》要求进行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r>
      <w:tr w14:paraId="52D4D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4" w:hRule="atLeast"/>
        </w:trPr>
        <w:tc>
          <w:tcPr>
            <w:tcW w:w="456" w:type="dxa"/>
            <w:vAlign w:val="center"/>
          </w:tcPr>
          <w:p w14:paraId="22878926">
            <w:pPr>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 w:val="24"/>
                <w:szCs w:val="24"/>
                <w:highlight w:val="none"/>
                <w:lang w:val="en-US" w:eastAsia="zh-CN"/>
              </w:rPr>
              <w:t>总量控制指标</w:t>
            </w:r>
          </w:p>
        </w:tc>
        <w:tc>
          <w:tcPr>
            <w:tcW w:w="8749" w:type="dxa"/>
          </w:tcPr>
          <w:p w14:paraId="2F3CF6A1">
            <w:pPr>
              <w:pStyle w:val="46"/>
              <w:keepNext w:val="0"/>
              <w:keepLines w:val="0"/>
              <w:pageBreakBefore w:val="0"/>
              <w:widowControl w:val="0"/>
              <w:kinsoku/>
              <w:wordWrap/>
              <w:overflowPunct/>
              <w:topLinePunct w:val="0"/>
              <w:autoSpaceDE/>
              <w:autoSpaceDN/>
              <w:bidi w:val="0"/>
              <w:adjustRightInd w:val="0"/>
              <w:snapToGrid/>
              <w:textAlignment w:val="auto"/>
              <w:outlineLvl w:val="1"/>
              <w:rPr>
                <w:rFonts w:hint="eastAsia"/>
                <w:color w:val="000000" w:themeColor="text1"/>
                <w:szCs w:val="28"/>
                <w:highlight w:val="none"/>
                <w:lang w:val="en-US" w:eastAsia="zh-CN"/>
                <w14:textFill>
                  <w14:solidFill>
                    <w14:schemeClr w14:val="tx1"/>
                  </w14:solidFill>
                </w14:textFill>
              </w:rPr>
            </w:pPr>
            <w:bookmarkStart w:id="101" w:name="_Toc11226"/>
            <w:bookmarkStart w:id="102" w:name="_Toc17166"/>
            <w:r>
              <w:rPr>
                <w:rFonts w:hint="eastAsia"/>
                <w:color w:val="000000" w:themeColor="text1"/>
                <w:szCs w:val="28"/>
                <w:highlight w:val="none"/>
                <w:lang w:val="en-US" w:eastAsia="zh-CN"/>
                <w14:textFill>
                  <w14:solidFill>
                    <w14:schemeClr w14:val="tx1"/>
                  </w14:solidFill>
                </w14:textFill>
              </w:rPr>
              <w:t>3.8总量控制</w:t>
            </w:r>
            <w:bookmarkEnd w:id="101"/>
            <w:bookmarkEnd w:id="102"/>
          </w:p>
          <w:p w14:paraId="6DA519CC">
            <w:pPr>
              <w:pStyle w:val="45"/>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default" w:ascii="Times New Roman" w:hAnsi="Times New Roman" w:eastAsia="宋体" w:cs="宋体"/>
                <w:color w:val="000000" w:themeColor="text1"/>
                <w:highlight w:val="none"/>
                <w:lang w:val="en-US" w:eastAsia="zh-CN"/>
                <w14:textFill>
                  <w14:solidFill>
                    <w14:schemeClr w14:val="tx1"/>
                  </w14:solidFill>
                </w14:textFill>
              </w:rPr>
              <w:t>根据《福建省环保局关于做好建设项目环保审批污染物总量控制有关工作的通知》和国家主要污染物排放总量控制方案，主要控制污染物指标为COD、NH</w:t>
            </w:r>
            <w:r>
              <w:rPr>
                <w:rFonts w:hint="default" w:ascii="Times New Roman" w:hAnsi="Times New Roman" w:eastAsia="宋体" w:cs="宋体"/>
                <w:color w:val="000000" w:themeColor="text1"/>
                <w:highlight w:val="none"/>
                <w:vertAlign w:val="subscript"/>
                <w:lang w:val="en-US" w:eastAsia="zh-CN"/>
                <w14:textFill>
                  <w14:solidFill>
                    <w14:schemeClr w14:val="tx1"/>
                  </w14:solidFill>
                </w14:textFill>
              </w:rPr>
              <w:t>3</w:t>
            </w:r>
            <w:r>
              <w:rPr>
                <w:rFonts w:hint="default" w:ascii="Times New Roman" w:hAnsi="Times New Roman" w:eastAsia="宋体" w:cs="宋体"/>
                <w:color w:val="000000" w:themeColor="text1"/>
                <w:highlight w:val="none"/>
                <w:lang w:val="en-US" w:eastAsia="zh-CN"/>
                <w14:textFill>
                  <w14:solidFill>
                    <w14:schemeClr w14:val="tx1"/>
                  </w14:solidFill>
                </w14:textFill>
              </w:rPr>
              <w:t>-N、SO</w:t>
            </w:r>
            <w:r>
              <w:rPr>
                <w:rFonts w:hint="default" w:ascii="Times New Roman" w:hAnsi="Times New Roman" w:eastAsia="宋体" w:cs="宋体"/>
                <w:color w:val="000000" w:themeColor="text1"/>
                <w:highlight w:val="none"/>
                <w:vertAlign w:val="subscript"/>
                <w:lang w:val="en-US" w:eastAsia="zh-CN"/>
                <w14:textFill>
                  <w14:solidFill>
                    <w14:schemeClr w14:val="tx1"/>
                  </w14:solidFill>
                </w14:textFill>
              </w:rPr>
              <w:t>2</w:t>
            </w:r>
            <w:r>
              <w:rPr>
                <w:rFonts w:hint="default" w:ascii="Times New Roman" w:hAnsi="Times New Roman" w:eastAsia="宋体" w:cs="宋体"/>
                <w:color w:val="000000" w:themeColor="text1"/>
                <w:highlight w:val="none"/>
                <w:lang w:val="en-US" w:eastAsia="zh-CN"/>
                <w14:textFill>
                  <w14:solidFill>
                    <w14:schemeClr w14:val="tx1"/>
                  </w14:solidFill>
                </w14:textFill>
              </w:rPr>
              <w:t>及NOx</w:t>
            </w:r>
            <w:r>
              <w:rPr>
                <w:rFonts w:hint="eastAsia" w:ascii="Times New Roman" w:hAnsi="Times New Roman" w:cs="宋体"/>
                <w:color w:val="000000" w:themeColor="text1"/>
                <w:highlight w:val="none"/>
                <w:lang w:val="en-US" w:eastAsia="zh-CN"/>
                <w14:textFill>
                  <w14:solidFill>
                    <w14:schemeClr w14:val="tx1"/>
                  </w14:solidFill>
                </w14:textFill>
              </w:rPr>
              <w:t>。</w:t>
            </w:r>
            <w:r>
              <w:rPr>
                <w:rFonts w:hint="default" w:ascii="Times New Roman" w:hAnsi="Times New Roman" w:eastAsia="宋体" w:cs="宋体"/>
                <w:color w:val="000000" w:themeColor="text1"/>
                <w:highlight w:val="none"/>
                <w:lang w:val="en-US" w:eastAsia="zh-CN"/>
                <w14:textFill>
                  <w14:solidFill>
                    <w14:schemeClr w14:val="tx1"/>
                  </w14:solidFill>
                </w14:textFill>
              </w:rPr>
              <w:t>建议性控制指标为VOCs。</w:t>
            </w:r>
          </w:p>
          <w:p w14:paraId="663ED9A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103" w:name="_Toc32323"/>
            <w:bookmarkStart w:id="104" w:name="_Toc24744"/>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3.8.1废水总量</w:t>
            </w:r>
            <w:bookmarkEnd w:id="103"/>
            <w:bookmarkEnd w:id="104"/>
          </w:p>
          <w:p w14:paraId="6940E237">
            <w:pPr>
              <w:pStyle w:val="45"/>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宋体"/>
                <w:color w:val="auto"/>
                <w:highlight w:val="none"/>
                <w:lang w:val="en-US" w:eastAsia="zh-CN"/>
              </w:rPr>
              <w:t>本项目</w:t>
            </w:r>
            <w:r>
              <w:rPr>
                <w:rFonts w:hint="eastAsia" w:ascii="Times New Roman" w:hAnsi="Times New Roman" w:eastAsia="宋体" w:cs="Times New Roman"/>
                <w:bCs/>
                <w:color w:val="auto"/>
                <w:kern w:val="2"/>
                <w:sz w:val="24"/>
                <w:szCs w:val="24"/>
                <w:highlight w:val="none"/>
                <w:lang w:val="en-US" w:eastAsia="zh-CN" w:bidi="ar-SA"/>
              </w:rPr>
              <w:t>运营期</w:t>
            </w:r>
            <w:r>
              <w:rPr>
                <w:rFonts w:hint="default" w:ascii="Times New Roman" w:hAnsi="Times New Roman" w:eastAsia="宋体" w:cs="Times New Roman"/>
                <w:color w:val="auto"/>
                <w:sz w:val="24"/>
                <w:szCs w:val="24"/>
                <w:highlight w:val="none"/>
              </w:rPr>
              <w:t>本项目</w:t>
            </w:r>
            <w:r>
              <w:rPr>
                <w:rFonts w:hint="eastAsia" w:cs="Times New Roman"/>
                <w:color w:val="auto"/>
                <w:sz w:val="24"/>
                <w:szCs w:val="24"/>
                <w:highlight w:val="none"/>
                <w:lang w:eastAsia="zh-CN"/>
              </w:rPr>
              <w:t>生产过程中</w:t>
            </w:r>
            <w:r>
              <w:rPr>
                <w:rFonts w:hint="eastAsia" w:cs="Times New Roman"/>
                <w:color w:val="auto"/>
                <w:sz w:val="24"/>
                <w:szCs w:val="24"/>
                <w:highlight w:val="none"/>
                <w:lang w:val="en-US" w:eastAsia="zh-CN"/>
              </w:rPr>
              <w:t>用水主要为压铸成型间接冷却水、研磨工序冷却水及半成品清洗废水。压铸工序间接冷却水不直接接触产品为间接冷却水，经冷却塔冷却后循环使用不外排。研磨工序冷却水及产品水洗产生废水经循环水处理设施处理后回用于生产不外排，因此不产生生产废水排放</w:t>
            </w:r>
            <w:r>
              <w:rPr>
                <w:rFonts w:hint="eastAsia" w:ascii="Times New Roman" w:hAnsi="Times New Roman" w:eastAsia="宋体" w:cs="宋体"/>
                <w:color w:val="auto"/>
                <w:highlight w:val="none"/>
                <w:lang w:val="en-US" w:eastAsia="zh-CN"/>
              </w:rPr>
              <w:t>。</w:t>
            </w:r>
            <w:r>
              <w:rPr>
                <w:rFonts w:hint="default" w:ascii="Times New Roman" w:hAnsi="Times New Roman" w:eastAsia="宋体" w:cs="宋体"/>
                <w:color w:val="auto"/>
                <w:highlight w:val="none"/>
                <w:lang w:val="en-US" w:eastAsia="zh-CN"/>
              </w:rPr>
              <w:t>生活</w:t>
            </w:r>
            <w:r>
              <w:rPr>
                <w:rFonts w:hint="eastAsia" w:ascii="Times New Roman" w:hAnsi="Times New Roman" w:eastAsia="宋体" w:cs="宋体"/>
                <w:color w:val="auto"/>
                <w:highlight w:val="none"/>
                <w:lang w:val="en-US" w:eastAsia="zh-CN"/>
              </w:rPr>
              <w:t>污水经化粪池</w:t>
            </w:r>
            <w:r>
              <w:rPr>
                <w:rFonts w:hint="default" w:ascii="Times New Roman" w:hAnsi="Times New Roman" w:eastAsia="宋体" w:cs="宋体"/>
                <w:color w:val="auto"/>
                <w:highlight w:val="none"/>
                <w:lang w:val="en-US" w:eastAsia="zh-CN"/>
              </w:rPr>
              <w:t>处理后排入市政污水管网，送往福清市融元污水处理厂进行处理</w:t>
            </w:r>
            <w:r>
              <w:rPr>
                <w:rFonts w:hint="eastAsia" w:ascii="Times New Roman" w:hAnsi="Times New Roman" w:eastAsia="宋体" w:cs="宋体"/>
                <w:color w:val="auto"/>
                <w:highlight w:val="none"/>
                <w:lang w:val="en-US" w:eastAsia="zh-CN"/>
              </w:rPr>
              <w:t>。</w:t>
            </w:r>
            <w:r>
              <w:rPr>
                <w:rFonts w:hint="default" w:ascii="Times New Roman" w:hAnsi="Times New Roman" w:eastAsia="宋体" w:cs="Times New Roman"/>
                <w:color w:val="auto"/>
                <w:sz w:val="24"/>
                <w:szCs w:val="24"/>
                <w:highlight w:val="none"/>
                <w:u w:val="none"/>
              </w:rPr>
              <w:t>根据《福</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建省环保厅关于进一步明确排污权工作有关问题的通知》</w:t>
            </w:r>
            <w:r>
              <w:rPr>
                <w:rFonts w:hint="eastAsia" w:ascii="Times New Roman" w:hAnsi="Times New Roman"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闽环保财</w:t>
            </w:r>
            <w:r>
              <w:rPr>
                <w:rFonts w:hint="eastAsia" w:ascii="Times New Roman" w:hAnsi="Times New Roman" w:cs="Times New Roman"/>
                <w:color w:val="000000" w:themeColor="text1"/>
                <w:sz w:val="24"/>
                <w:szCs w:val="24"/>
                <w:highlight w:val="none"/>
                <w:u w:val="none"/>
                <w:lang w:eastAsia="zh-CN"/>
                <w14:textFill>
                  <w14:solidFill>
                    <w14:schemeClr w14:val="tx1"/>
                  </w14:solidFill>
                </w14:textFill>
              </w:rPr>
              <w:t>〔2017〕22号）</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，现有工业排污单位的水污染物的初始排污权只核定工业废水部分，</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本项目无生产废水的排放，</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项目生活污水排放暂不需要购买相应的排污权指标，因此，</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无需申请总量控制指标。</w:t>
            </w:r>
          </w:p>
          <w:p w14:paraId="23C9BE5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105" w:name="_Toc27495"/>
            <w:bookmarkStart w:id="106" w:name="_Toc8925"/>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3.8.2废气总量</w:t>
            </w:r>
            <w:bookmarkEnd w:id="105"/>
            <w:bookmarkEnd w:id="106"/>
          </w:p>
          <w:p w14:paraId="7CE296C3">
            <w:pPr>
              <w:pStyle w:val="45"/>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000000" w:themeColor="text1"/>
                <w:kern w:val="2"/>
                <w:szCs w:val="24"/>
                <w:highlight w:val="none"/>
                <w:shd w:val="clear" w:color="auto" w:fill="FFFFFF"/>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24"/>
                <w:highlight w:val="none"/>
                <w14:textFill>
                  <w14:solidFill>
                    <w14:schemeClr w14:val="tx1"/>
                  </w14:solidFill>
                </w14:textFill>
              </w:rPr>
              <w:t>《福建省环保局关于做好建设项目环保审批污染物总量控制有关工作的通知》</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闽环保监</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〔2007〕52号</w:t>
            </w:r>
            <w:r>
              <w:rPr>
                <w:rFonts w:hint="default" w:ascii="Times New Roman" w:hAnsi="Times New Roman" w:eastAsia="宋体" w:cs="Times New Roman"/>
                <w:color w:val="000000" w:themeColor="text1"/>
                <w:sz w:val="24"/>
                <w:szCs w:val="24"/>
                <w:highlight w:val="none"/>
                <w14:textFill>
                  <w14:solidFill>
                    <w14:schemeClr w14:val="tx1"/>
                  </w14:solidFill>
                </w14:textFill>
              </w:rPr>
              <w:t>文</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和《</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十三五</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主要污染物总量控制规划编制技术指南》的有关总量</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调剂</w:t>
            </w:r>
            <w:r>
              <w:rPr>
                <w:rFonts w:hint="default" w:ascii="Times New Roman" w:hAnsi="Times New Roman" w:eastAsia="宋体" w:cs="Times New Roman"/>
                <w:color w:val="000000" w:themeColor="text1"/>
                <w:sz w:val="24"/>
                <w:szCs w:val="24"/>
                <w:highlight w:val="none"/>
                <w14:textFill>
                  <w14:solidFill>
                    <w14:schemeClr w14:val="tx1"/>
                  </w14:solidFill>
                </w14:textFill>
              </w:rPr>
              <w:t>要求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项目排放的</w:t>
            </w:r>
            <w:r>
              <w:rPr>
                <w:rFonts w:hint="default" w:ascii="Times New Roman" w:hAnsi="Times New Roman" w:eastAsia="宋体" w:cs="Times New Roman"/>
                <w:color w:val="000000" w:themeColor="text1"/>
                <w:sz w:val="24"/>
                <w:szCs w:val="24"/>
                <w:highlight w:val="none"/>
                <w14:textFill>
                  <w14:solidFill>
                    <w14:schemeClr w14:val="tx1"/>
                  </w14:solidFill>
                </w14:textFill>
              </w:rPr>
              <w:t>废气</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挥发性有机物（VOCs）、</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颗粒物，</w:t>
            </w:r>
            <w:r>
              <w:rPr>
                <w:rFonts w:hint="default" w:ascii="Times New Roman" w:hAnsi="Times New Roman" w:eastAsia="宋体" w:cs="Times New Roman"/>
                <w:color w:val="000000" w:themeColor="text1"/>
                <w:kern w:val="2"/>
                <w:szCs w:val="24"/>
                <w:highlight w:val="none"/>
                <w:shd w:val="clear" w:color="auto" w:fill="FFFFFF"/>
                <w14:textFill>
                  <w14:solidFill>
                    <w14:schemeClr w14:val="tx1"/>
                  </w14:solidFill>
                </w14:textFill>
              </w:rPr>
              <w:t>项目废气不涉及SO</w:t>
            </w:r>
            <w:r>
              <w:rPr>
                <w:rFonts w:hint="default" w:ascii="Times New Roman" w:hAnsi="Times New Roman" w:eastAsia="宋体" w:cs="Times New Roman"/>
                <w:color w:val="000000" w:themeColor="text1"/>
                <w:kern w:val="2"/>
                <w:szCs w:val="24"/>
                <w:highlight w:val="none"/>
                <w:shd w:val="clear" w:color="auto" w:fill="FFFFFF"/>
                <w:vertAlign w:val="subscript"/>
                <w14:textFill>
                  <w14:solidFill>
                    <w14:schemeClr w14:val="tx1"/>
                  </w14:solidFill>
                </w14:textFill>
              </w:rPr>
              <w:t>2</w:t>
            </w:r>
            <w:r>
              <w:rPr>
                <w:rFonts w:hint="default" w:ascii="Times New Roman" w:hAnsi="Times New Roman" w:eastAsia="宋体" w:cs="Times New Roman"/>
                <w:color w:val="000000" w:themeColor="text1"/>
                <w:kern w:val="2"/>
                <w:szCs w:val="24"/>
                <w:highlight w:val="none"/>
                <w:shd w:val="clear" w:color="auto" w:fill="FFFFFF"/>
                <w14:textFill>
                  <w14:solidFill>
                    <w14:schemeClr w14:val="tx1"/>
                  </w14:solidFill>
                </w14:textFill>
              </w:rPr>
              <w:t>、NO</w:t>
            </w:r>
            <w:r>
              <w:rPr>
                <w:rFonts w:hint="default" w:ascii="Times New Roman" w:hAnsi="Times New Roman" w:eastAsia="宋体" w:cs="Times New Roman"/>
                <w:color w:val="000000" w:themeColor="text1"/>
                <w:kern w:val="2"/>
                <w:szCs w:val="24"/>
                <w:highlight w:val="none"/>
                <w:shd w:val="clear" w:color="auto" w:fill="FFFFFF"/>
                <w:vertAlign w:val="subscript"/>
                <w14:textFill>
                  <w14:solidFill>
                    <w14:schemeClr w14:val="tx1"/>
                  </w14:solidFill>
                </w14:textFill>
              </w:rPr>
              <w:t>x</w:t>
            </w:r>
            <w:r>
              <w:rPr>
                <w:rFonts w:hint="default" w:ascii="Times New Roman" w:hAnsi="Times New Roman" w:eastAsia="宋体" w:cs="Times New Roman"/>
                <w:color w:val="000000" w:themeColor="text1"/>
                <w:kern w:val="2"/>
                <w:szCs w:val="24"/>
                <w:highlight w:val="none"/>
                <w:shd w:val="clear" w:color="auto" w:fill="FFFFFF"/>
                <w14:textFill>
                  <w14:solidFill>
                    <w14:schemeClr w14:val="tx1"/>
                  </w14:solidFill>
                </w14:textFill>
              </w:rPr>
              <w:t>等属于国家和地方有偿使用和交易的排污权总量指标</w:t>
            </w:r>
            <w:r>
              <w:rPr>
                <w:rFonts w:hint="default" w:ascii="Times New Roman" w:hAnsi="Times New Roman" w:eastAsia="宋体" w:cs="Times New Roman"/>
                <w:color w:val="000000" w:themeColor="text1"/>
                <w:kern w:val="2"/>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因此，本项目废气总量控制指标为VOCs。</w:t>
            </w:r>
            <w:r>
              <w:rPr>
                <w:rFonts w:hint="default" w:ascii="Times New Roman" w:hAnsi="Times New Roman" w:eastAsia="宋体" w:cs="Times New Roman"/>
                <w:color w:val="000000" w:themeColor="text1"/>
                <w:kern w:val="2"/>
                <w:szCs w:val="24"/>
                <w:highlight w:val="none"/>
                <w:shd w:val="clear" w:color="auto" w:fill="FFFFFF"/>
                <w14:textFill>
                  <w14:solidFill>
                    <w14:schemeClr w14:val="tx1"/>
                  </w14:solidFill>
                </w14:textFill>
              </w:rPr>
              <w:t>项目</w:t>
            </w:r>
            <w:r>
              <w:rPr>
                <w:rFonts w:hint="default" w:ascii="Times New Roman" w:hAnsi="Times New Roman" w:eastAsia="宋体" w:cs="Times New Roman"/>
                <w:color w:val="000000" w:themeColor="text1"/>
                <w:kern w:val="2"/>
                <w:szCs w:val="24"/>
                <w:highlight w:val="none"/>
                <w:shd w:val="clear" w:color="auto" w:fill="FFFFFF"/>
                <w:lang w:eastAsia="zh-CN"/>
                <w14:textFill>
                  <w14:solidFill>
                    <w14:schemeClr w14:val="tx1"/>
                  </w14:solidFill>
                </w14:textFill>
              </w:rPr>
              <w:t>废气</w:t>
            </w:r>
            <w:r>
              <w:rPr>
                <w:rFonts w:hint="default" w:ascii="Times New Roman" w:hAnsi="Times New Roman" w:eastAsia="宋体" w:cs="Times New Roman"/>
                <w:color w:val="000000" w:themeColor="text1"/>
                <w:kern w:val="2"/>
                <w:szCs w:val="24"/>
                <w:highlight w:val="none"/>
                <w:shd w:val="clear" w:color="auto" w:fill="FFFFFF"/>
                <w14:textFill>
                  <w14:solidFill>
                    <w14:schemeClr w14:val="tx1"/>
                  </w14:solidFill>
                </w14:textFill>
              </w:rPr>
              <w:t>总量指标详见表3.8-1。</w:t>
            </w:r>
          </w:p>
          <w:p w14:paraId="5A71E43D">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lang w:val="en-GB" w:eastAsia="zh-CN"/>
                <w14:textFill>
                  <w14:solidFill>
                    <w14:schemeClr w14:val="tx1"/>
                  </w14:solidFill>
                </w14:textFill>
              </w:rPr>
              <w:t>表3.</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szCs w:val="24"/>
                <w:highlight w:val="none"/>
                <w:u w:val="none"/>
                <w:lang w:val="en-GB"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 xml:space="preserve">1 </w:t>
            </w:r>
            <w:r>
              <w:rPr>
                <w:rFonts w:hint="default" w:ascii="Times New Roman" w:hAnsi="Times New Roman" w:eastAsia="宋体" w:cs="Times New Roman"/>
                <w:b/>
                <w:bCs/>
                <w:color w:val="000000" w:themeColor="text1"/>
                <w:sz w:val="24"/>
                <w:szCs w:val="24"/>
                <w:highlight w:val="none"/>
                <w:u w:val="none"/>
                <w:lang w:val="en-GB" w:eastAsia="zh-CN"/>
                <w14:textFill>
                  <w14:solidFill>
                    <w14:schemeClr w14:val="tx1"/>
                  </w14:solidFill>
                </w14:textFill>
              </w:rPr>
              <w:t>项目废气污染物排放总量指标一览表</w:t>
            </w:r>
          </w:p>
          <w:tbl>
            <w:tblPr>
              <w:tblStyle w:val="23"/>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520"/>
              <w:gridCol w:w="1923"/>
              <w:gridCol w:w="1950"/>
              <w:gridCol w:w="2137"/>
            </w:tblGrid>
            <w:tr w14:paraId="7E05CF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1477" w:type="pct"/>
                  <w:noWrap w:val="0"/>
                  <w:vAlign w:val="center"/>
                </w:tcPr>
                <w:p w14:paraId="3A227B43">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t>污染物</w:t>
                  </w:r>
                </w:p>
              </w:tc>
              <w:tc>
                <w:tcPr>
                  <w:tcW w:w="1127" w:type="pct"/>
                  <w:noWrap w:val="0"/>
                  <w:vAlign w:val="center"/>
                </w:tcPr>
                <w:p w14:paraId="7E678C4C">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t>有组织预测排放量</w:t>
                  </w:r>
                </w:p>
              </w:tc>
              <w:tc>
                <w:tcPr>
                  <w:tcW w:w="1143" w:type="pct"/>
                  <w:noWrap w:val="0"/>
                  <w:vAlign w:val="center"/>
                </w:tcPr>
                <w:p w14:paraId="36634048">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000000" w:themeColor="text1"/>
                      <w:kern w:val="18"/>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t>无组织预测排放量</w:t>
                  </w:r>
                </w:p>
              </w:tc>
              <w:tc>
                <w:tcPr>
                  <w:tcW w:w="1252" w:type="pct"/>
                  <w:noWrap w:val="0"/>
                  <w:vAlign w:val="center"/>
                </w:tcPr>
                <w:p w14:paraId="7EDEDB25">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t>全厂合计预测排放量</w:t>
                  </w:r>
                </w:p>
              </w:tc>
            </w:tr>
            <w:tr w14:paraId="44E844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477" w:type="pct"/>
                  <w:noWrap w:val="0"/>
                  <w:vAlign w:val="center"/>
                </w:tcPr>
                <w:p w14:paraId="555839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挥发性有机物（VOCs）</w:t>
                  </w:r>
                </w:p>
                <w:p w14:paraId="6C0CF3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(t/a)</w:t>
                  </w:r>
                </w:p>
              </w:tc>
              <w:tc>
                <w:tcPr>
                  <w:tcW w:w="1127" w:type="pct"/>
                  <w:noWrap w:val="0"/>
                  <w:vAlign w:val="center"/>
                </w:tcPr>
                <w:p w14:paraId="0D7067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0.0203</w:t>
                  </w:r>
                </w:p>
              </w:tc>
              <w:tc>
                <w:tcPr>
                  <w:tcW w:w="1143" w:type="pct"/>
                  <w:shd w:val="clear" w:color="auto" w:fill="auto"/>
                  <w:noWrap w:val="0"/>
                  <w:vAlign w:val="center"/>
                </w:tcPr>
                <w:p w14:paraId="68F69A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0.0090</w:t>
                  </w:r>
                </w:p>
              </w:tc>
              <w:tc>
                <w:tcPr>
                  <w:tcW w:w="1252" w:type="pct"/>
                  <w:noWrap w:val="0"/>
                  <w:vAlign w:val="center"/>
                </w:tcPr>
                <w:p w14:paraId="2D2F7E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0.0293</w:t>
                  </w:r>
                </w:p>
              </w:tc>
            </w:tr>
            <w:tr w14:paraId="23C871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6" w:hRule="atLeast"/>
              </w:trPr>
              <w:tc>
                <w:tcPr>
                  <w:tcW w:w="1477" w:type="pct"/>
                  <w:noWrap w:val="0"/>
                  <w:vAlign w:val="center"/>
                </w:tcPr>
                <w:p w14:paraId="56C449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颗粒物</w:t>
                  </w:r>
                </w:p>
                <w:p w14:paraId="08E0B2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(t/a)</w:t>
                  </w:r>
                </w:p>
              </w:tc>
              <w:tc>
                <w:tcPr>
                  <w:tcW w:w="1127" w:type="pct"/>
                  <w:noWrap w:val="0"/>
                  <w:vAlign w:val="center"/>
                </w:tcPr>
                <w:p w14:paraId="06D9F3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0.1666</w:t>
                  </w:r>
                </w:p>
              </w:tc>
              <w:tc>
                <w:tcPr>
                  <w:tcW w:w="1143" w:type="pct"/>
                  <w:noWrap w:val="0"/>
                  <w:vAlign w:val="center"/>
                </w:tcPr>
                <w:p w14:paraId="7C8FE5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0.1852</w:t>
                  </w:r>
                </w:p>
              </w:tc>
              <w:tc>
                <w:tcPr>
                  <w:tcW w:w="1252" w:type="pct"/>
                  <w:noWrap w:val="0"/>
                  <w:vAlign w:val="center"/>
                </w:tcPr>
                <w:p w14:paraId="4868F1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0.3518</w:t>
                  </w:r>
                </w:p>
              </w:tc>
            </w:tr>
          </w:tbl>
          <w:p w14:paraId="345740E8">
            <w:pPr>
              <w:pStyle w:val="45"/>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pP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根据《福州市</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生态环境局</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关于印发福州市</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大气污染联防联控联治工作方案的通知</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》榕环保综</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〔2018〕386号</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：VOCs排放实行区域内倍量替代，新、改扩建涉VOCs排放项目，应从源头加强控制，使用低</w:t>
            </w:r>
            <w:r>
              <w:rPr>
                <w:rFonts w:hint="eastAsia" w:ascii="Times New Roman" w:hAnsi="Times New Roman" w:cs="Times New Roman"/>
                <w:color w:val="000000" w:themeColor="text1"/>
                <w:kern w:val="2"/>
                <w:szCs w:val="24"/>
                <w:highlight w:val="none"/>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无</w:t>
            </w:r>
            <w:r>
              <w:rPr>
                <w:rFonts w:hint="eastAsia" w:ascii="Times New Roman" w:hAnsi="Times New Roman" w:cs="Times New Roman"/>
                <w:color w:val="000000" w:themeColor="text1"/>
                <w:kern w:val="2"/>
                <w:szCs w:val="24"/>
                <w:highlight w:val="none"/>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VOCs含量的原辅材料，加强废气收集、安装高效治理设施</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根据《2022年度福州市蓝天碧水碧海净土保卫战行动计划》</w:t>
            </w:r>
            <w:r>
              <w:rPr>
                <w:rFonts w:hint="eastAsia" w:ascii="Times New Roman" w:hAnsi="Times New Roman" w:cs="Times New Roman"/>
                <w:color w:val="000000" w:themeColor="text1"/>
                <w:kern w:val="2"/>
                <w:szCs w:val="24"/>
                <w:highlight w:val="none"/>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榕环委办</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〔2022〕49号</w:t>
            </w:r>
            <w:r>
              <w:rPr>
                <w:rFonts w:hint="eastAsia" w:ascii="Times New Roman" w:hAnsi="Times New Roman" w:cs="Times New Roman"/>
                <w:color w:val="000000" w:themeColor="text1"/>
                <w:kern w:val="2"/>
                <w:szCs w:val="24"/>
                <w:highlight w:val="none"/>
                <w:shd w:val="clear" w:color="auto" w:fill="FFFFFF"/>
                <w:lang w:val="en-US" w:eastAsia="zh-CN"/>
                <w14:textFill>
                  <w14:solidFill>
                    <w14:schemeClr w14:val="tx1"/>
                  </w14:solidFill>
                </w14:textFill>
              </w:rPr>
              <w:t>）</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实施新建项目VOC</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s</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排放区域内倍量替代。</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本项目</w:t>
            </w:r>
            <w:r>
              <w:rPr>
                <w:rFonts w:hint="eastAsia" w:ascii="Times New Roman" w:hAnsi="Times New Roman" w:cs="Times New Roman"/>
                <w:color w:val="000000" w:themeColor="text1"/>
                <w:kern w:val="2"/>
                <w:szCs w:val="24"/>
                <w:highlight w:val="none"/>
                <w:shd w:val="clear" w:color="auto" w:fill="FFFFFF"/>
                <w:lang w:val="en-US" w:eastAsia="zh-CN"/>
                <w14:textFill>
                  <w14:solidFill>
                    <w14:schemeClr w14:val="tx1"/>
                  </w14:solidFill>
                </w14:textFill>
              </w:rPr>
              <w:t>VOCs</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的排放总量为：</w:t>
            </w:r>
            <w:r>
              <w:rPr>
                <w:rFonts w:hint="eastAsia" w:ascii="Times New Roman" w:hAnsi="Times New Roman" w:cs="Times New Roman"/>
                <w:color w:val="000000" w:themeColor="text1"/>
                <w:kern w:val="2"/>
                <w:szCs w:val="24"/>
                <w:highlight w:val="none"/>
                <w:shd w:val="clear" w:color="auto" w:fill="FFFFFF"/>
                <w:lang w:val="en-US" w:eastAsia="zh-CN"/>
                <w14:textFill>
                  <w14:solidFill>
                    <w14:schemeClr w14:val="tx1"/>
                  </w14:solidFill>
                </w14:textFill>
              </w:rPr>
              <w:t>0.0293</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t/a。因此，本项目排放的</w:t>
            </w:r>
            <w:r>
              <w:rPr>
                <w:rFonts w:hint="eastAsia" w:ascii="Times New Roman" w:hAnsi="Times New Roman" w:cs="Times New Roman"/>
                <w:color w:val="000000" w:themeColor="text1"/>
                <w:kern w:val="2"/>
                <w:szCs w:val="24"/>
                <w:highlight w:val="none"/>
                <w:shd w:val="clear" w:color="auto" w:fill="FFFFFF"/>
                <w:lang w:val="en-US" w:eastAsia="zh-CN"/>
                <w14:textFill>
                  <w14:solidFill>
                    <w14:schemeClr w14:val="tx1"/>
                  </w14:solidFill>
                </w14:textFill>
              </w:rPr>
              <w:t>挥发性有机物</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总量</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由建设单位向</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福州市福清生态环境局</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申请区域</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倍量</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替代</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建设单位承诺在项目投产前取得</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各污染</w:t>
            </w:r>
            <w:r>
              <w:rPr>
                <w:rFonts w:hint="eastAsia" w:ascii="Times New Roman" w:hAnsi="Times New Roman" w:cs="Times New Roman"/>
                <w:color w:val="000000" w:themeColor="text1"/>
                <w:kern w:val="2"/>
                <w:szCs w:val="24"/>
                <w:highlight w:val="none"/>
                <w:shd w:val="clear" w:color="auto" w:fill="FFFFFF"/>
                <w:lang w:val="en-US" w:eastAsia="zh-CN"/>
                <w14:textFill>
                  <w14:solidFill>
                    <w14:schemeClr w14:val="tx1"/>
                  </w14:solidFill>
                </w14:textFill>
              </w:rPr>
              <w:t>挥发性有机物</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总量</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的</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倍量</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替代</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并依法</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办理</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排污许可</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手续（总量</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承诺函详见</w:t>
            </w:r>
            <w:r>
              <w:rPr>
                <w:rFonts w:hint="eastAsia" w:ascii="Times New Roman" w:hAnsi="Times New Roman" w:eastAsia="宋体" w:cs="Times New Roman"/>
                <w:b/>
                <w:bCs/>
                <w:color w:val="000000" w:themeColor="text1"/>
                <w:kern w:val="2"/>
                <w:szCs w:val="24"/>
                <w:highlight w:val="none"/>
                <w:shd w:val="clear" w:color="auto" w:fill="FFFFFF"/>
                <w:lang w:val="en-US" w:eastAsia="zh-CN"/>
                <w14:textFill>
                  <w14:solidFill>
                    <w14:schemeClr w14:val="tx1"/>
                  </w14:solidFill>
                </w14:textFill>
              </w:rPr>
              <w:t>附件</w:t>
            </w:r>
            <w:r>
              <w:rPr>
                <w:rFonts w:hint="eastAsia" w:ascii="Times New Roman" w:hAnsi="Times New Roman" w:cs="Times New Roman"/>
                <w:b/>
                <w:bCs/>
                <w:color w:val="000000" w:themeColor="text1"/>
                <w:kern w:val="2"/>
                <w:szCs w:val="24"/>
                <w:highlight w:val="none"/>
                <w:shd w:val="clear" w:color="auto" w:fill="FFFFFF"/>
                <w:lang w:val="en-US" w:eastAsia="zh-CN"/>
                <w14:textFill>
                  <w14:solidFill>
                    <w14:schemeClr w14:val="tx1"/>
                  </w14:solidFill>
                </w14:textFill>
              </w:rPr>
              <w:t>十四</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w:t>
            </w:r>
          </w:p>
        </w:tc>
      </w:tr>
    </w:tbl>
    <w:p w14:paraId="50819DC2">
      <w:pPr>
        <w:rPr>
          <w:rFonts w:hint="eastAsia"/>
          <w:lang w:eastAsia="zh-CN"/>
        </w:rPr>
      </w:pPr>
      <w:r>
        <w:rPr>
          <w:rFonts w:hint="eastAsia"/>
          <w:highlight w:val="none"/>
          <w:lang w:eastAsia="zh-CN"/>
        </w:rPr>
        <w:br w:type="page"/>
      </w:r>
    </w:p>
    <w:p w14:paraId="150C7E76">
      <w:pPr>
        <w:pStyle w:val="2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pPr>
      <w:bookmarkStart w:id="107" w:name="_Toc6870"/>
      <w:bookmarkStart w:id="108" w:name="_Toc3502"/>
      <w:bookmarkStart w:id="109" w:name="_Toc31779"/>
      <w:r>
        <w:rPr>
          <w:rFonts w:hint="eastAsia" w:ascii="Times New Roman" w:hAnsi="Times New Roman" w:eastAsia="黑体" w:cs="Times New Roman"/>
          <w:snapToGrid w:val="0"/>
          <w:color w:val="auto"/>
          <w:sz w:val="30"/>
          <w:szCs w:val="30"/>
          <w:u w:val="none"/>
          <w:lang w:val="en-US" w:eastAsia="zh-CN"/>
        </w:rPr>
        <w:t>四、</w:t>
      </w:r>
      <w:r>
        <w:rPr>
          <w:rFonts w:hint="default" w:ascii="Times New Roman" w:hAnsi="Times New Roman" w:eastAsia="黑体" w:cs="Times New Roman"/>
          <w:snapToGrid w:val="0"/>
          <w:color w:val="auto"/>
          <w:sz w:val="30"/>
          <w:szCs w:val="30"/>
          <w:u w:val="none"/>
          <w:lang w:val="en-US" w:eastAsia="zh-CN"/>
        </w:rPr>
        <w:t>主要环境影响和保护措施</w:t>
      </w:r>
      <w:bookmarkEnd w:id="107"/>
      <w:bookmarkEnd w:id="108"/>
      <w:bookmarkEnd w:id="109"/>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8755"/>
      </w:tblGrid>
      <w:tr w14:paraId="3A3A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5" w:hRule="atLeast"/>
        </w:trPr>
        <w:tc>
          <w:tcPr>
            <w:tcW w:w="533" w:type="dxa"/>
            <w:vAlign w:val="center"/>
          </w:tcPr>
          <w:p w14:paraId="6E0219F9">
            <w:pPr>
              <w:jc w:val="center"/>
              <w:rPr>
                <w:rFonts w:hint="default"/>
                <w:vertAlign w:val="baseline"/>
                <w:lang w:val="en-US" w:eastAsia="zh-CN"/>
              </w:rPr>
            </w:pPr>
            <w:r>
              <w:rPr>
                <w:rFonts w:hint="eastAsia" w:ascii="Times New Roman" w:hAnsi="Times New Roman" w:eastAsia="宋体" w:cs="Times New Roman"/>
                <w:color w:val="auto"/>
                <w:kern w:val="0"/>
                <w:sz w:val="24"/>
                <w:szCs w:val="24"/>
                <w:lang w:val="en-US" w:eastAsia="zh-CN"/>
              </w:rPr>
              <w:t>施工期环境保护措施</w:t>
            </w:r>
          </w:p>
        </w:tc>
        <w:tc>
          <w:tcPr>
            <w:tcW w:w="8755" w:type="dxa"/>
            <w:vAlign w:val="center"/>
          </w:tcPr>
          <w:p w14:paraId="004AE2AC">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color w:val="000000" w:themeColor="text1"/>
                <w:vertAlign w:val="baseline"/>
                <w:lang w:eastAsia="zh-CN"/>
                <w14:textFill>
                  <w14:solidFill>
                    <w14:schemeClr w14:val="tx1"/>
                  </w14:solidFill>
                </w14:textFill>
              </w:rPr>
            </w:pPr>
            <w:bookmarkStart w:id="110" w:name="_Toc222825971"/>
            <w:bookmarkStart w:id="111" w:name="_Toc225766861"/>
            <w:bookmarkStart w:id="112" w:name="_Toc235459029"/>
            <w:bookmarkStart w:id="113" w:name="_Toc17361639"/>
            <w:bookmarkStart w:id="114" w:name="_Toc281777364"/>
            <w:bookmarkStart w:id="115" w:name="_Toc56498971"/>
            <w:bookmarkStart w:id="116" w:name="_Toc211967612"/>
            <w:bookmarkStart w:id="117" w:name="_Toc235065596"/>
            <w:bookmarkStart w:id="118" w:name="_Toc232930955"/>
            <w:bookmarkStart w:id="119" w:name="_Toc278977997"/>
            <w:bookmarkStart w:id="120" w:name="_Toc17361640"/>
            <w:bookmarkStart w:id="121" w:name="_Toc233386843"/>
            <w:bookmarkStart w:id="122" w:name="_Toc56498815"/>
            <w:bookmarkStart w:id="123" w:name="_Toc212261317"/>
            <w:bookmarkStart w:id="124" w:name="_Toc279492221"/>
            <w:bookmarkStart w:id="125" w:name="_Toc213206595"/>
            <w:bookmarkStart w:id="126" w:name="_Toc85178610"/>
            <w:bookmarkStart w:id="127" w:name="_Toc224713628"/>
            <w:bookmarkStart w:id="128" w:name="_Toc234833275"/>
            <w:r>
              <w:rPr>
                <w:rFonts w:hint="default" w:ascii="Times New Roman" w:hAnsi="Times New Roman" w:eastAsia="宋体" w:cs="Times New Roman"/>
                <w:color w:val="000000" w:themeColor="text1"/>
                <w:kern w:val="2"/>
                <w:sz w:val="24"/>
                <w:szCs w:val="24"/>
                <w:shd w:val="clear" w:color="auto" w:fill="FFFFFF"/>
                <w:lang w:val="en-US" w:eastAsia="zh-CN"/>
                <w14:textFill>
                  <w14:solidFill>
                    <w14:schemeClr w14:val="tx1"/>
                  </w14:solidFill>
                </w14:textFill>
              </w:rPr>
              <w:t>本项目</w:t>
            </w:r>
            <w:r>
              <w:rPr>
                <w:rFonts w:hint="default" w:ascii="Times New Roman" w:hAnsi="Times New Roman" w:eastAsia="宋体" w:cs="Times New Roman"/>
                <w:color w:val="auto"/>
                <w:kern w:val="2"/>
                <w:sz w:val="24"/>
                <w:szCs w:val="24"/>
                <w:shd w:val="clear" w:color="auto" w:fill="FFFFFF"/>
                <w:lang w:val="en-US" w:eastAsia="zh-CN"/>
              </w:rPr>
              <w:t>位于</w:t>
            </w:r>
            <w:r>
              <w:rPr>
                <w:rFonts w:hint="eastAsia" w:cs="Times New Roman"/>
                <w:color w:val="auto"/>
                <w:sz w:val="24"/>
                <w:szCs w:val="24"/>
                <w:highlight w:val="none"/>
                <w:lang w:eastAsia="zh-CN"/>
              </w:rPr>
              <w:t>福清融侨经济技术开发区（均和云谷·福清科技港33#厂房）</w:t>
            </w: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shd w:val="clear" w:color="auto" w:fill="FFFFFF"/>
                <w:lang w:val="en-US" w:eastAsia="zh-CN"/>
                <w14:textFill>
                  <w14:solidFill>
                    <w14:schemeClr w14:val="tx1"/>
                  </w14:solidFill>
                </w14:textFill>
              </w:rPr>
              <w:t>利用现有厂房进行生产，根据现场勘查，该厂房已建成，因此不存在厂房等主体工程施工期环境影响。项目施工期主要为设备安装、调试阶段产生的环境问题，本项目设备安装、调试简单</w:t>
            </w:r>
            <w:r>
              <w:rPr>
                <w:rFonts w:hint="eastAsia" w:cs="Times New Roman"/>
                <w:color w:val="000000" w:themeColor="text1"/>
                <w:kern w:val="2"/>
                <w:sz w:val="24"/>
                <w:szCs w:val="24"/>
                <w:shd w:val="clear" w:color="auto" w:fill="FFFFFF"/>
                <w:lang w:val="en-US" w:eastAsia="zh-CN"/>
                <w14:textFill>
                  <w14:solidFill>
                    <w14:schemeClr w14:val="tx1"/>
                  </w14:solidFill>
                </w14:textFill>
              </w:rPr>
              <w:t>且</w:t>
            </w:r>
            <w:r>
              <w:rPr>
                <w:rFonts w:hint="default" w:ascii="Times New Roman" w:hAnsi="Times New Roman" w:eastAsia="宋体" w:cs="Times New Roman"/>
                <w:color w:val="000000" w:themeColor="text1"/>
                <w:kern w:val="2"/>
                <w:sz w:val="24"/>
                <w:szCs w:val="24"/>
                <w:shd w:val="clear" w:color="auto" w:fill="FFFFFF"/>
                <w:lang w:val="en-US" w:eastAsia="zh-CN"/>
                <w14:textFill>
                  <w14:solidFill>
                    <w14:schemeClr w14:val="tx1"/>
                  </w14:solidFill>
                </w14:textFill>
              </w:rPr>
              <w:t>时间较短，因此，随着设备安装、调试完毕后，项目施工期也将结束，施工期环境影响也随着消失，</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Pr>
                <w:rFonts w:hint="default" w:ascii="Times New Roman" w:hAnsi="Times New Roman" w:eastAsia="宋体" w:cs="Times New Roman"/>
                <w:color w:val="000000" w:themeColor="text1"/>
                <w:kern w:val="2"/>
                <w:sz w:val="24"/>
                <w:szCs w:val="24"/>
                <w:shd w:val="clear" w:color="auto" w:fill="FFFFFF"/>
                <w:lang w:val="zh-CN" w:eastAsia="zh-CN"/>
                <w14:textFill>
                  <w14:solidFill>
                    <w14:schemeClr w14:val="tx1"/>
                  </w14:solidFill>
                </w14:textFill>
              </w:rPr>
              <w:t>对周围环境的影响较小，故本环评对此不再作出具体分析。</w:t>
            </w:r>
          </w:p>
        </w:tc>
      </w:tr>
      <w:tr w14:paraId="3A091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9" w:hRule="atLeast"/>
        </w:trPr>
        <w:tc>
          <w:tcPr>
            <w:tcW w:w="533" w:type="dxa"/>
            <w:vAlign w:val="center"/>
          </w:tcPr>
          <w:p w14:paraId="018F02A0">
            <w:pPr>
              <w:jc w:val="center"/>
              <w:rPr>
                <w:rFonts w:hint="default"/>
                <w:vertAlign w:val="baseline"/>
                <w:lang w:val="en-US" w:eastAsia="zh-CN"/>
              </w:rPr>
            </w:pPr>
            <w:r>
              <w:rPr>
                <w:rFonts w:hint="eastAsia" w:ascii="Times New Roman" w:hAnsi="Times New Roman" w:eastAsia="宋体" w:cs="Times New Roman"/>
                <w:color w:val="auto"/>
                <w:kern w:val="0"/>
                <w:sz w:val="24"/>
                <w:szCs w:val="24"/>
                <w:lang w:val="en-US" w:eastAsia="zh-CN"/>
              </w:rPr>
              <w:t>运营期环境影响和保护措施</w:t>
            </w:r>
          </w:p>
        </w:tc>
        <w:tc>
          <w:tcPr>
            <w:tcW w:w="8755" w:type="dxa"/>
          </w:tcPr>
          <w:p w14:paraId="6F7CEE44">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b/>
                <w:color w:val="000000" w:themeColor="text1"/>
                <w:sz w:val="28"/>
                <w:szCs w:val="28"/>
                <w14:textFill>
                  <w14:solidFill>
                    <w14:schemeClr w14:val="tx1"/>
                  </w14:solidFill>
                </w14:textFill>
              </w:rPr>
            </w:pPr>
            <w:bookmarkStart w:id="129" w:name="_Toc5587"/>
            <w:bookmarkStart w:id="130" w:name="_Toc25636"/>
            <w:r>
              <w:rPr>
                <w:rFonts w:hint="eastAsia"/>
                <w:b/>
                <w:color w:val="000000" w:themeColor="text1"/>
                <w:sz w:val="28"/>
                <w:szCs w:val="28"/>
                <w:lang w:val="en-US" w:eastAsia="zh-CN"/>
                <w14:textFill>
                  <w14:solidFill>
                    <w14:schemeClr w14:val="tx1"/>
                  </w14:solidFill>
                </w14:textFill>
              </w:rPr>
              <w:t>4</w:t>
            </w:r>
            <w:r>
              <w:rPr>
                <w:b/>
                <w:color w:val="000000" w:themeColor="text1"/>
                <w:sz w:val="28"/>
                <w:szCs w:val="28"/>
                <w14:textFill>
                  <w14:solidFill>
                    <w14:schemeClr w14:val="tx1"/>
                  </w14:solidFill>
                </w14:textFill>
              </w:rPr>
              <w:t>.1</w:t>
            </w:r>
            <w:r>
              <w:rPr>
                <w:rFonts w:eastAsia="宋体"/>
                <w:b/>
                <w:color w:val="000000" w:themeColor="text1"/>
                <w:sz w:val="28"/>
                <w:szCs w:val="28"/>
                <w14:textFill>
                  <w14:solidFill>
                    <w14:schemeClr w14:val="tx1"/>
                  </w14:solidFill>
                </w14:textFill>
              </w:rPr>
              <w:t>大气环境影响分析和污染防治措施</w:t>
            </w:r>
            <w:bookmarkEnd w:id="129"/>
            <w:bookmarkEnd w:id="130"/>
          </w:p>
          <w:p w14:paraId="74AB3F9A">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b/>
                <w:color w:val="000000" w:themeColor="text1"/>
                <w:kern w:val="0"/>
                <w:sz w:val="24"/>
                <w14:textFill>
                  <w14:solidFill>
                    <w14:schemeClr w14:val="tx1"/>
                  </w14:solidFill>
                </w14:textFill>
              </w:rPr>
            </w:pPr>
            <w:bookmarkStart w:id="131" w:name="_Toc24593"/>
            <w:bookmarkStart w:id="132" w:name="_Toc13682"/>
            <w:bookmarkStart w:id="133" w:name="_Toc5618"/>
            <w:r>
              <w:rPr>
                <w:b/>
                <w:color w:val="000000" w:themeColor="text1"/>
                <w:kern w:val="0"/>
                <w:sz w:val="24"/>
                <w14:textFill>
                  <w14:solidFill>
                    <w14:schemeClr w14:val="tx1"/>
                  </w14:solidFill>
                </w14:textFill>
              </w:rPr>
              <w:t>4.1.1 运营期废气源强核算</w:t>
            </w:r>
            <w:bookmarkEnd w:id="131"/>
            <w:bookmarkEnd w:id="132"/>
            <w:bookmarkEnd w:id="133"/>
          </w:p>
          <w:p w14:paraId="14AB46F5">
            <w:pPr>
              <w:adjustRightInd w:val="0"/>
              <w:snapToGrid w:val="0"/>
              <w:spacing w:line="348"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根据生产工艺流程图可知，项目运营期废气</w:t>
            </w:r>
            <w:r>
              <w:rPr>
                <w:rFonts w:hint="eastAsia"/>
                <w:color w:val="000000" w:themeColor="text1"/>
                <w:sz w:val="24"/>
                <w:lang w:val="en-US" w:eastAsia="zh-CN"/>
                <w14:textFill>
                  <w14:solidFill>
                    <w14:schemeClr w14:val="tx1"/>
                  </w14:solidFill>
                </w14:textFill>
              </w:rPr>
              <w:t>来源于熔融过程中产生的熔融废气（颗粒物）、压铸时产生的压铸脱模废气（挥发性有机物、颗粒物）</w:t>
            </w:r>
            <w:r>
              <w:rPr>
                <w:rFonts w:hint="eastAsia"/>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本项目废气源强</w:t>
            </w:r>
            <w:r>
              <w:rPr>
                <w:rFonts w:hint="eastAsia"/>
                <w:color w:val="000000" w:themeColor="text1"/>
                <w:kern w:val="0"/>
                <w:sz w:val="24"/>
                <w:szCs w:val="20"/>
                <w14:textFill>
                  <w14:solidFill>
                    <w14:schemeClr w14:val="tx1"/>
                  </w14:solidFill>
                </w14:textFill>
              </w:rPr>
              <w:t>核算参照《污染源源强核算技术指南 准则》</w:t>
            </w:r>
            <w:r>
              <w:rPr>
                <w:rFonts w:hint="eastAsia"/>
                <w:color w:val="000000" w:themeColor="text1"/>
                <w:kern w:val="0"/>
                <w:sz w:val="24"/>
                <w:szCs w:val="20"/>
                <w:lang w:eastAsia="zh-CN"/>
                <w14:textFill>
                  <w14:solidFill>
                    <w14:schemeClr w14:val="tx1"/>
                  </w14:solidFill>
                </w14:textFill>
              </w:rPr>
              <w:t>《</w:t>
            </w:r>
            <w:r>
              <w:rPr>
                <w:rFonts w:hint="eastAsia"/>
                <w:color w:val="000000" w:themeColor="text1"/>
                <w:kern w:val="0"/>
                <w:sz w:val="24"/>
                <w:szCs w:val="20"/>
                <w:lang w:val="en-US" w:eastAsia="zh-CN"/>
                <w14:textFill>
                  <w14:solidFill>
                    <w14:schemeClr w14:val="tx1"/>
                  </w14:solidFill>
                </w14:textFill>
              </w:rPr>
              <w:t>排放源统计调查产排污核算方法和系数手册</w:t>
            </w:r>
            <w:r>
              <w:rPr>
                <w:rFonts w:hint="eastAsia"/>
                <w:color w:val="000000" w:themeColor="text1"/>
                <w:kern w:val="0"/>
                <w:sz w:val="24"/>
                <w:szCs w:val="20"/>
                <w:lang w:eastAsia="zh-CN"/>
                <w14:textFill>
                  <w14:solidFill>
                    <w14:schemeClr w14:val="tx1"/>
                  </w14:solidFill>
                </w14:textFill>
              </w:rPr>
              <w:t>》</w:t>
            </w:r>
            <w:r>
              <w:rPr>
                <w:rFonts w:hint="eastAsia"/>
                <w:color w:val="000000" w:themeColor="text1"/>
                <w:kern w:val="0"/>
                <w:sz w:val="24"/>
                <w:szCs w:val="20"/>
                <w14:textFill>
                  <w14:solidFill>
                    <w14:schemeClr w14:val="tx1"/>
                  </w14:solidFill>
                </w14:textFill>
              </w:rPr>
              <w:t>等相关要求进行。项目</w:t>
            </w:r>
            <w:r>
              <w:rPr>
                <w:color w:val="000000" w:themeColor="text1"/>
                <w:kern w:val="0"/>
                <w:sz w:val="24"/>
                <w:szCs w:val="20"/>
                <w14:textFill>
                  <w14:solidFill>
                    <w14:schemeClr w14:val="tx1"/>
                  </w14:solidFill>
                </w14:textFill>
              </w:rPr>
              <w:t>废气污染源</w:t>
            </w:r>
            <w:r>
              <w:rPr>
                <w:rFonts w:hint="eastAsia"/>
                <w:color w:val="000000" w:themeColor="text1"/>
                <w:kern w:val="0"/>
                <w:sz w:val="24"/>
                <w:szCs w:val="20"/>
                <w14:textFill>
                  <w14:solidFill>
                    <w14:schemeClr w14:val="tx1"/>
                  </w14:solidFill>
                </w14:textFill>
              </w:rPr>
              <w:t>源强分析如下：</w:t>
            </w:r>
          </w:p>
          <w:p w14:paraId="5DC81BFF">
            <w:pPr>
              <w:adjustRightInd w:val="0"/>
              <w:snapToGrid w:val="0"/>
              <w:spacing w:line="348" w:lineRule="auto"/>
              <w:ind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eastAsia="zh-CN"/>
                <w14:textFill>
                  <w14:solidFill>
                    <w14:schemeClr w14:val="tx1"/>
                  </w14:solidFill>
                </w14:textFill>
              </w:rPr>
              <w:t>（</w:t>
            </w:r>
            <w:r>
              <w:rPr>
                <w:rFonts w:hint="eastAsia" w:ascii="Times New Roman" w:hAnsi="Times New Roman" w:eastAsia="宋体" w:cs="Times New Roman"/>
                <w:b/>
                <w:bCs/>
                <w:color w:val="000000" w:themeColor="text1"/>
                <w:sz w:val="24"/>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lang w:eastAsia="zh-CN"/>
                <w14:textFill>
                  <w14:solidFill>
                    <w14:schemeClr w14:val="tx1"/>
                  </w14:solidFill>
                </w14:textFill>
              </w:rPr>
              <w:t>）</w:t>
            </w:r>
            <w:r>
              <w:rPr>
                <w:rFonts w:hint="eastAsia" w:cs="Times New Roman"/>
                <w:b/>
                <w:bCs/>
                <w:color w:val="000000" w:themeColor="text1"/>
                <w:sz w:val="24"/>
                <w:lang w:val="en-US" w:eastAsia="zh-CN"/>
                <w14:textFill>
                  <w14:solidFill>
                    <w14:schemeClr w14:val="tx1"/>
                  </w14:solidFill>
                </w14:textFill>
              </w:rPr>
              <w:t>熔融废气</w:t>
            </w:r>
          </w:p>
          <w:p w14:paraId="4BDE64E7">
            <w:pPr>
              <w:adjustRightInd w:val="0"/>
              <w:snapToGrid w:val="0"/>
              <w:spacing w:line="360" w:lineRule="auto"/>
              <w:ind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项目</w:t>
            </w:r>
            <w:r>
              <w:rPr>
                <w:rFonts w:hint="default" w:ascii="Times New Roman" w:hAnsi="Times New Roman" w:eastAsia="宋体" w:cs="Times New Roman"/>
                <w:bCs/>
                <w:color w:val="000000" w:themeColor="text1"/>
                <w:sz w:val="24"/>
                <w:szCs w:val="24"/>
                <w:lang w:eastAsia="zh-CN"/>
                <w14:textFill>
                  <w14:solidFill>
                    <w14:schemeClr w14:val="tx1"/>
                  </w14:solidFill>
                </w14:textFill>
              </w:rPr>
              <w:t>熔融工序采用电阻炉</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将铝锭加热至熔化温度（720℃），并维持炉温720℃，进入保温阶段。由于采用的是电阻炉，不使用天然气。因此，此过程不产生</w:t>
            </w:r>
            <w:r>
              <w:rPr>
                <w:rFonts w:hint="default" w:ascii="Times New Roman" w:hAnsi="Times New Roman" w:eastAsia="宋体" w:cs="Times New Roman"/>
                <w:bCs/>
                <w:color w:val="auto"/>
                <w:sz w:val="24"/>
                <w:szCs w:val="24"/>
                <w:lang w:val="en-US" w:eastAsia="zh-CN"/>
              </w:rPr>
              <w:t>SO</w:t>
            </w:r>
            <w:r>
              <w:rPr>
                <w:rFonts w:hint="default" w:ascii="Times New Roman" w:hAnsi="Times New Roman" w:eastAsia="宋体" w:cs="Times New Roman"/>
                <w:bCs/>
                <w:color w:val="auto"/>
                <w:sz w:val="24"/>
                <w:szCs w:val="24"/>
                <w:vertAlign w:val="subscript"/>
                <w:lang w:val="en-US" w:eastAsia="zh-CN"/>
              </w:rPr>
              <w:t>2</w:t>
            </w:r>
            <w:r>
              <w:rPr>
                <w:rFonts w:hint="default" w:ascii="Times New Roman" w:hAnsi="Times New Roman" w:eastAsia="宋体" w:cs="Times New Roman"/>
                <w:bCs/>
                <w:color w:val="auto"/>
                <w:sz w:val="24"/>
                <w:szCs w:val="24"/>
                <w:lang w:val="en-US" w:eastAsia="zh-CN"/>
              </w:rPr>
              <w:t>和NOx。在融化中仅产生熔化烟尘（颗粒物）</w:t>
            </w:r>
            <w:r>
              <w:rPr>
                <w:rFonts w:hint="default" w:ascii="Times New Roman" w:hAnsi="Times New Roman" w:eastAsia="宋体" w:cs="Times New Roman"/>
                <w:color w:val="000000" w:themeColor="text1"/>
                <w:kern w:val="0"/>
                <w:sz w:val="24"/>
                <w:szCs w:val="24"/>
                <w14:textFill>
                  <w14:solidFill>
                    <w14:schemeClr w14:val="tx1"/>
                  </w14:solidFill>
                </w14:textFill>
              </w:rPr>
              <w:t>。根据</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《第二次全国污染源普查工业污染源产排污系数手册》中</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33-37，431-434 机械行业系数手册</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—01铸造，熔炼工序产污系数0.479</w:t>
            </w:r>
            <w:r>
              <w:rPr>
                <w:rFonts w:hint="default"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千克/吨-产品</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进行计算，</w:t>
            </w:r>
            <w:r>
              <w:rPr>
                <w:rFonts w:hint="default" w:ascii="Times New Roman" w:hAnsi="Times New Roman" w:eastAsia="宋体" w:cs="Times New Roman"/>
                <w:bCs/>
                <w:color w:val="000000" w:themeColor="text1"/>
                <w:sz w:val="24"/>
                <w:szCs w:val="24"/>
                <w14:textFill>
                  <w14:solidFill>
                    <w14:schemeClr w14:val="tx1"/>
                  </w14:solidFill>
                </w14:textFill>
              </w:rPr>
              <w:t>产污系数详见表4.1-1。</w:t>
            </w:r>
          </w:p>
          <w:p w14:paraId="3F19F2BD">
            <w:pPr>
              <w:adjustRightInd w:val="0"/>
              <w:snapToGrid w:val="0"/>
              <w:spacing w:line="360" w:lineRule="auto"/>
              <w:ind w:firstLine="480" w:firstLineChars="200"/>
              <w:rPr>
                <w:rFonts w:hint="eastAsia"/>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本项目熔融产品为金属五金配件，年生产规模为300万个，主要产品为电脑零配件、汽车及电动车零配件、POS及零配件及其他五金配件。单件产品重量约为100-350g，取250g进行计算则项目产品量为750t/a。本项目熔化废气（颗粒物）产生量为750t/a×0.479kg/t÷1000=0.3593t/a。本项目拟采用“布袋除尘+活性炭吸附”进行处理，熔融废气经集气罩收集后通过“布袋除尘器+活性炭吸附装置”由15m高生产废气排气筒（DA001）排放。集中电阻炉上方设有集气罩，收集效率取90%，设计风量为25000m</w:t>
            </w:r>
            <w:r>
              <w:rPr>
                <w:rFonts w:hint="eastAsia"/>
                <w:bCs/>
                <w:color w:val="000000" w:themeColor="text1"/>
                <w:sz w:val="24"/>
                <w:vertAlign w:val="superscript"/>
                <w:lang w:val="en-US" w:eastAsia="zh-CN"/>
                <w14:textFill>
                  <w14:solidFill>
                    <w14:schemeClr w14:val="tx1"/>
                  </w14:solidFill>
                </w14:textFill>
              </w:rPr>
              <w:t>3</w:t>
            </w:r>
            <w:r>
              <w:rPr>
                <w:rFonts w:hint="eastAsia"/>
                <w:bCs/>
                <w:color w:val="000000" w:themeColor="text1"/>
                <w:sz w:val="24"/>
                <w:lang w:val="en-US" w:eastAsia="zh-CN"/>
                <w14:textFill>
                  <w14:solidFill>
                    <w14:schemeClr w14:val="tx1"/>
                  </w14:solidFill>
                </w14:textFill>
              </w:rPr>
              <w:t>/h，布袋除尘器的除尘效率为90-95%，本次评价按90%计算。则颗粒物有组织排放量为0.3593t/a×90%×（1-90%）=0.0323t/a，排放速率为0.0323t/a×1000÷（300×8）=0.0135kg/h。无组织排放量为0.3593t/a×（1-90%）=0.0359t/a，排放效率为0.0359t/a×1000÷（300×8）=0.0150kg/h。合计熔融工序颗粒物总排放量为0.0683t/a，污染物产生及排放情况详见表4.1-2。</w:t>
            </w:r>
          </w:p>
          <w:p w14:paraId="7DD3F162">
            <w:pPr>
              <w:adjustRightInd w:val="0"/>
              <w:snapToGrid w:val="0"/>
              <w:spacing w:line="348" w:lineRule="auto"/>
              <w:ind w:firstLine="482" w:firstLineChars="200"/>
              <w:rPr>
                <w:rFonts w:hint="eastAsia"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（2）压铸脱模废气</w:t>
            </w:r>
          </w:p>
          <w:p w14:paraId="4DE94A09">
            <w:pPr>
              <w:adjustRightInd w:val="0"/>
              <w:snapToGrid w:val="0"/>
              <w:spacing w:line="360" w:lineRule="auto"/>
              <w:ind w:firstLine="480" w:firstLineChars="200"/>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项目使用压铸机对熔化后的铝锭进行压铸成型，并使用脱模剂进行脱模，该过程会产生压铸脱模废气（颗粒物、挥发性有机物）。根据《第二次全国污染源普查工业污染源产排污系数手册》中</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33-37，431-434 机械行业系数手册</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—01铸造，有色压铸阶段采用脱模剂，脱模废气中颗粒物产污系数1.99</w:t>
            </w:r>
            <w:r>
              <w:rPr>
                <w:rFonts w:hint="default"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千克/吨-产品，挥发性有机物产物系数0.120千克/吨-产品</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进行计算，产物系数表详见表4.1-1。</w:t>
            </w:r>
          </w:p>
          <w:p w14:paraId="7BC3ED95">
            <w:pPr>
              <w:adjustRightInd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本项目压铸产品为金属五金配件，年生产规模为300万个，主要产品为电脑零配件、汽车及电动车零配件、POS机零配件及其他五金配件。单件产品重量约为100-350g，取250g进行计算则项目产品量为750t/a。本项目压铸过程颗粒物产生量为750t/a×1.99kg/t÷1000=1.4925t/a，挥发性有机物产生量为750t/a×0.12kg/t÷1000=0.09t/a。本项目拟采用</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布袋除尘+活性炭吸附</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进行处理，经集气罩收集后通过</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布袋除尘器+活性炭吸附装置</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由15m高生产废气排气筒（DA001）排放。压铸机上方设有集气罩，收集效率取90%，设计风量为25000m</w:t>
            </w:r>
            <w:r>
              <w:rPr>
                <w:rFonts w:hint="default"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/h，布袋除尘器的除尘效率为90-95%，本次评价按90%计算。活性炭吸附装置的处理效率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生态环境部发布《关于印发〈主要污染物总量减排核算技术指南（2022年修订）&gt;的通知》〔2022〕350号中规定，一次性活性炭的吸附效率50%。采用二级活性炭吸附效率为1-（1-50%）×（1-50%）=75%。因此本项目活性炭</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处理效率以75%计。</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则颗粒物有组织排放量为1.4925t/a×90%×（1-90%）=0.1343t/a，排放速率为0.1343t/a×1000÷（300×8）=0.0560kg/h。挥发性有机物有组织排放量为0.09t/a×90%×（1-75%）=0.0203t/a，排放速率为0.0203t/a×1000÷（300×8）=0.0084kg/h。颗粒物无组织排放量1.4925t/a×（1-90%）=0.1493t/a，排放效率为0.1493t/a×1000÷（300×8）=0.0622kg/h。非甲烷总烃无组织排放量0.09t/a×（1-90%）=0.009t/a，排放效率为0.009t/a×1000÷（300×8）=0.0038kg/h。</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合计压铸脱模工序颗粒物总排放量为0.2836t/a，挥发性有机物总排放量为0.0293t/a。项目</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污染物产生及排放情况详见表4.1-2。</w:t>
            </w:r>
          </w:p>
          <w:p w14:paraId="3F0DA551">
            <w:pPr>
              <w:keepNext w:val="0"/>
              <w:keepLines w:val="0"/>
              <w:pageBreakBefore w:val="0"/>
              <w:widowControl w:val="0"/>
              <w:kinsoku/>
              <w:wordWrap/>
              <w:overflowPunct/>
              <w:topLinePunct w:val="0"/>
              <w:autoSpaceDE/>
              <w:autoSpaceDN/>
              <w:bidi w:val="0"/>
              <w:adjustRightInd/>
              <w:snapToGrid/>
              <w:spacing w:before="160" w:beforeLines="50"/>
              <w:jc w:val="center"/>
              <w:textAlignment w:val="auto"/>
              <w:rPr>
                <w:rFonts w:hint="default" w:ascii="Times New Roman" w:hAnsi="Times New Roman" w:eastAsia="宋体" w:cs="Times New Roman"/>
                <w:b/>
                <w:bCs/>
                <w:color w:val="000000" w:themeColor="text1"/>
                <w:sz w:val="24"/>
                <w:szCs w:val="24"/>
                <w:u w:val="none"/>
                <w:lang w:val="en-US" w:eastAsia="zh-CN"/>
                <w14:textFill>
                  <w14:solidFill>
                    <w14:schemeClr w14:val="tx1"/>
                  </w14:solidFill>
                </w14:textFill>
              </w:rPr>
            </w:pPr>
          </w:p>
          <w:p w14:paraId="154D26B2">
            <w:pPr>
              <w:keepNext w:val="0"/>
              <w:keepLines w:val="0"/>
              <w:pageBreakBefore w:val="0"/>
              <w:widowControl w:val="0"/>
              <w:kinsoku/>
              <w:wordWrap/>
              <w:overflowPunct/>
              <w:topLinePunct w:val="0"/>
              <w:autoSpaceDE/>
              <w:autoSpaceDN/>
              <w:bidi w:val="0"/>
              <w:adjustRightInd/>
              <w:snapToGrid/>
              <w:spacing w:before="160" w:beforeLines="50"/>
              <w:jc w:val="center"/>
              <w:textAlignment w:val="auto"/>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u w:val="none"/>
                <w:lang w:val="en-US" w:eastAsia="zh-CN"/>
                <w14:textFill>
                  <w14:solidFill>
                    <w14:schemeClr w14:val="tx1"/>
                  </w14:solidFill>
                </w14:textFill>
              </w:rPr>
              <w:t>表4.1-</w:t>
            </w:r>
            <w:r>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t xml:space="preserve">1 </w:t>
            </w:r>
            <w:r>
              <w:rPr>
                <w:rFonts w:hint="eastAsia" w:cs="Times New Roman"/>
                <w:b/>
                <w:bCs/>
                <w:color w:val="000000" w:themeColor="text1"/>
                <w:sz w:val="24"/>
                <w:szCs w:val="24"/>
                <w:u w:val="none"/>
                <w:lang w:val="en-US" w:eastAsia="zh-CN"/>
                <w14:textFill>
                  <w14:solidFill>
                    <w14:schemeClr w14:val="tx1"/>
                  </w14:solidFill>
                </w14:textFill>
              </w:rPr>
              <w:t>33金属制品行业</w:t>
            </w:r>
            <w:r>
              <w:rPr>
                <w:rFonts w:hint="default" w:ascii="Times New Roman" w:hAnsi="Times New Roman" w:eastAsia="宋体" w:cs="Times New Roman"/>
                <w:b/>
                <w:bCs/>
                <w:color w:val="000000" w:themeColor="text1"/>
                <w:sz w:val="24"/>
                <w:szCs w:val="24"/>
                <w:u w:val="none"/>
                <w:lang w:val="en-US" w:eastAsia="zh-CN"/>
                <w14:textFill>
                  <w14:solidFill>
                    <w14:schemeClr w14:val="tx1"/>
                  </w14:solidFill>
                </w14:textFill>
              </w:rPr>
              <w:t>系数手册</w:t>
            </w:r>
            <w:r>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t>产排污核算系数一览表（摘录）</w:t>
            </w:r>
          </w:p>
          <w:tbl>
            <w:tblPr>
              <w:tblStyle w:val="23"/>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1"/>
              <w:gridCol w:w="687"/>
              <w:gridCol w:w="1663"/>
              <w:gridCol w:w="725"/>
              <w:gridCol w:w="1012"/>
              <w:gridCol w:w="1575"/>
              <w:gridCol w:w="1438"/>
              <w:gridCol w:w="698"/>
            </w:tblGrid>
            <w:tr w14:paraId="3B5CDF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89" w:hRule="atLeast"/>
                <w:jc w:val="center"/>
              </w:trPr>
              <w:tc>
                <w:tcPr>
                  <w:tcW w:w="428" w:type="pct"/>
                  <w:noWrap w:val="0"/>
                  <w:vAlign w:val="center"/>
                </w:tcPr>
                <w:p w14:paraId="47104D4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产品</w:t>
                  </w:r>
                </w:p>
                <w:p w14:paraId="4763E4B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名称</w:t>
                  </w:r>
                </w:p>
              </w:tc>
              <w:tc>
                <w:tcPr>
                  <w:tcW w:w="402" w:type="pct"/>
                  <w:noWrap w:val="0"/>
                  <w:vAlign w:val="center"/>
                </w:tcPr>
                <w:p w14:paraId="30883FE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原料</w:t>
                  </w:r>
                </w:p>
                <w:p w14:paraId="02D59B4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名称</w:t>
                  </w:r>
                </w:p>
              </w:tc>
              <w:tc>
                <w:tcPr>
                  <w:tcW w:w="974" w:type="pct"/>
                  <w:noWrap w:val="0"/>
                  <w:vAlign w:val="center"/>
                </w:tcPr>
                <w:p w14:paraId="4BEDEE4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工艺</w:t>
                  </w:r>
                </w:p>
                <w:p w14:paraId="3EDB44F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名称</w:t>
                  </w:r>
                </w:p>
              </w:tc>
              <w:tc>
                <w:tcPr>
                  <w:tcW w:w="425" w:type="pct"/>
                  <w:noWrap w:val="0"/>
                  <w:vAlign w:val="center"/>
                </w:tcPr>
                <w:p w14:paraId="0EF352C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规模等级</w:t>
                  </w:r>
                </w:p>
              </w:tc>
              <w:tc>
                <w:tcPr>
                  <w:tcW w:w="593" w:type="pct"/>
                  <w:noWrap w:val="0"/>
                  <w:vAlign w:val="center"/>
                </w:tcPr>
                <w:p w14:paraId="42BD634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污染物类别</w:t>
                  </w:r>
                </w:p>
              </w:tc>
              <w:tc>
                <w:tcPr>
                  <w:tcW w:w="923" w:type="pct"/>
                  <w:noWrap w:val="0"/>
                  <w:vAlign w:val="center"/>
                </w:tcPr>
                <w:p w14:paraId="3E549FA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污染物指标</w:t>
                  </w:r>
                </w:p>
              </w:tc>
              <w:tc>
                <w:tcPr>
                  <w:tcW w:w="843" w:type="pct"/>
                  <w:noWrap w:val="0"/>
                  <w:vAlign w:val="center"/>
                </w:tcPr>
                <w:p w14:paraId="7230099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单位</w:t>
                  </w:r>
                </w:p>
              </w:tc>
              <w:tc>
                <w:tcPr>
                  <w:tcW w:w="409" w:type="pct"/>
                  <w:noWrap w:val="0"/>
                  <w:vAlign w:val="center"/>
                </w:tcPr>
                <w:p w14:paraId="04AA1A4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产污系数</w:t>
                  </w:r>
                </w:p>
              </w:tc>
            </w:tr>
            <w:tr w14:paraId="1C0215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28" w:type="pct"/>
                  <w:vMerge w:val="restart"/>
                  <w:noWrap w:val="0"/>
                  <w:vAlign w:val="center"/>
                </w:tcPr>
                <w:p w14:paraId="6A1DCA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铸件</w:t>
                  </w:r>
                </w:p>
              </w:tc>
              <w:tc>
                <w:tcPr>
                  <w:tcW w:w="402" w:type="pct"/>
                  <w:vMerge w:val="restart"/>
                  <w:noWrap w:val="0"/>
                  <w:vAlign w:val="center"/>
                </w:tcPr>
                <w:p w14:paraId="047F57A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铝锭</w:t>
                  </w:r>
                </w:p>
              </w:tc>
              <w:tc>
                <w:tcPr>
                  <w:tcW w:w="974" w:type="pct"/>
                  <w:noWrap w:val="0"/>
                  <w:vAlign w:val="center"/>
                </w:tcPr>
                <w:p w14:paraId="705B581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熔炼（感应电炉/电阻炉及其他）</w:t>
                  </w:r>
                </w:p>
              </w:tc>
              <w:tc>
                <w:tcPr>
                  <w:tcW w:w="425" w:type="pct"/>
                  <w:noWrap w:val="0"/>
                  <w:vAlign w:val="center"/>
                </w:tcPr>
                <w:p w14:paraId="24FE46E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所有规模</w:t>
                  </w:r>
                </w:p>
              </w:tc>
              <w:tc>
                <w:tcPr>
                  <w:tcW w:w="593" w:type="pct"/>
                  <w:noWrap w:val="0"/>
                  <w:vAlign w:val="center"/>
                </w:tcPr>
                <w:p w14:paraId="71543EA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废气</w:t>
                  </w:r>
                </w:p>
              </w:tc>
              <w:tc>
                <w:tcPr>
                  <w:tcW w:w="923" w:type="pct"/>
                  <w:noWrap w:val="0"/>
                  <w:vAlign w:val="center"/>
                </w:tcPr>
                <w:p w14:paraId="2590390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颗粒物</w:t>
                  </w:r>
                </w:p>
              </w:tc>
              <w:tc>
                <w:tcPr>
                  <w:tcW w:w="843" w:type="pct"/>
                  <w:noWrap w:val="0"/>
                  <w:vAlign w:val="center"/>
                </w:tcPr>
                <w:p w14:paraId="54EFE8E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千克/吨-产品</w:t>
                  </w:r>
                </w:p>
              </w:tc>
              <w:tc>
                <w:tcPr>
                  <w:tcW w:w="409" w:type="pct"/>
                  <w:noWrap w:val="0"/>
                  <w:vAlign w:val="center"/>
                </w:tcPr>
                <w:p w14:paraId="3E5498F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0.479</w:t>
                  </w:r>
                </w:p>
              </w:tc>
            </w:tr>
            <w:tr w14:paraId="5EDD77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428" w:type="pct"/>
                  <w:vMerge w:val="continue"/>
                  <w:noWrap w:val="0"/>
                  <w:vAlign w:val="center"/>
                </w:tcPr>
                <w:p w14:paraId="5BA80F93">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000000" w:themeColor="text1"/>
                      <w:sz w:val="21"/>
                      <w:szCs w:val="21"/>
                      <w:u w:val="none"/>
                      <w:lang w:val="en-US" w:eastAsia="zh-CN"/>
                      <w14:textFill>
                        <w14:solidFill>
                          <w14:schemeClr w14:val="tx1"/>
                        </w14:solidFill>
                      </w14:textFill>
                    </w:rPr>
                  </w:pPr>
                </w:p>
              </w:tc>
              <w:tc>
                <w:tcPr>
                  <w:tcW w:w="402" w:type="pct"/>
                  <w:vMerge w:val="continue"/>
                  <w:noWrap w:val="0"/>
                  <w:vAlign w:val="center"/>
                </w:tcPr>
                <w:p w14:paraId="5ABBF7F9">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000000" w:themeColor="text1"/>
                      <w:sz w:val="21"/>
                      <w:szCs w:val="21"/>
                      <w:u w:val="none"/>
                      <w:lang w:val="en-US" w:eastAsia="zh-CN"/>
                      <w14:textFill>
                        <w14:solidFill>
                          <w14:schemeClr w14:val="tx1"/>
                        </w14:solidFill>
                      </w14:textFill>
                    </w:rPr>
                  </w:pPr>
                </w:p>
              </w:tc>
              <w:tc>
                <w:tcPr>
                  <w:tcW w:w="974" w:type="pct"/>
                  <w:vMerge w:val="restart"/>
                  <w:noWrap w:val="0"/>
                  <w:vAlign w:val="center"/>
                </w:tcPr>
                <w:p w14:paraId="27FD5B9D">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压铸脱模</w:t>
                  </w:r>
                </w:p>
              </w:tc>
              <w:tc>
                <w:tcPr>
                  <w:tcW w:w="425" w:type="pct"/>
                  <w:vMerge w:val="restart"/>
                  <w:noWrap w:val="0"/>
                  <w:vAlign w:val="center"/>
                </w:tcPr>
                <w:p w14:paraId="498E0E6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所有规模</w:t>
                  </w:r>
                </w:p>
              </w:tc>
              <w:tc>
                <w:tcPr>
                  <w:tcW w:w="593" w:type="pct"/>
                  <w:vMerge w:val="restart"/>
                  <w:noWrap w:val="0"/>
                  <w:vAlign w:val="center"/>
                </w:tcPr>
                <w:p w14:paraId="238EA4C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废气</w:t>
                  </w:r>
                </w:p>
              </w:tc>
              <w:tc>
                <w:tcPr>
                  <w:tcW w:w="923" w:type="pct"/>
                  <w:noWrap w:val="0"/>
                  <w:vAlign w:val="center"/>
                </w:tcPr>
                <w:p w14:paraId="3758D307">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颗粒物</w:t>
                  </w:r>
                </w:p>
              </w:tc>
              <w:tc>
                <w:tcPr>
                  <w:tcW w:w="843" w:type="pct"/>
                  <w:noWrap w:val="0"/>
                  <w:vAlign w:val="center"/>
                </w:tcPr>
                <w:p w14:paraId="42FD43F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千克/吨-产品</w:t>
                  </w:r>
                </w:p>
              </w:tc>
              <w:tc>
                <w:tcPr>
                  <w:tcW w:w="409" w:type="pct"/>
                  <w:noWrap w:val="0"/>
                  <w:vAlign w:val="center"/>
                </w:tcPr>
                <w:p w14:paraId="5769B29D">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1.99</w:t>
                  </w:r>
                </w:p>
              </w:tc>
            </w:tr>
            <w:tr w14:paraId="4A5E78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28" w:type="pct"/>
                  <w:vMerge w:val="continue"/>
                  <w:noWrap w:val="0"/>
                  <w:vAlign w:val="center"/>
                </w:tcPr>
                <w:p w14:paraId="203203A6">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000000" w:themeColor="text1"/>
                      <w:sz w:val="21"/>
                      <w:szCs w:val="21"/>
                      <w:u w:val="none"/>
                      <w:lang w:val="en-US" w:eastAsia="zh-CN"/>
                      <w14:textFill>
                        <w14:solidFill>
                          <w14:schemeClr w14:val="tx1"/>
                        </w14:solidFill>
                      </w14:textFill>
                    </w:rPr>
                  </w:pPr>
                </w:p>
              </w:tc>
              <w:tc>
                <w:tcPr>
                  <w:tcW w:w="402" w:type="pct"/>
                  <w:vMerge w:val="continue"/>
                  <w:noWrap w:val="0"/>
                  <w:vAlign w:val="center"/>
                </w:tcPr>
                <w:p w14:paraId="74BC12B3">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000000" w:themeColor="text1"/>
                      <w:sz w:val="21"/>
                      <w:szCs w:val="21"/>
                      <w:u w:val="none"/>
                      <w:lang w:val="en-US" w:eastAsia="zh-CN"/>
                      <w14:textFill>
                        <w14:solidFill>
                          <w14:schemeClr w14:val="tx1"/>
                        </w14:solidFill>
                      </w14:textFill>
                    </w:rPr>
                  </w:pPr>
                </w:p>
              </w:tc>
              <w:tc>
                <w:tcPr>
                  <w:tcW w:w="974" w:type="pct"/>
                  <w:vMerge w:val="continue"/>
                  <w:noWrap w:val="0"/>
                  <w:vAlign w:val="center"/>
                </w:tcPr>
                <w:p w14:paraId="1B914C3E">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000000" w:themeColor="text1"/>
                      <w:sz w:val="21"/>
                      <w:szCs w:val="21"/>
                      <w:u w:val="none"/>
                      <w:lang w:val="en-US" w:eastAsia="zh-CN"/>
                      <w14:textFill>
                        <w14:solidFill>
                          <w14:schemeClr w14:val="tx1"/>
                        </w14:solidFill>
                      </w14:textFill>
                    </w:rPr>
                  </w:pPr>
                </w:p>
              </w:tc>
              <w:tc>
                <w:tcPr>
                  <w:tcW w:w="425" w:type="pct"/>
                  <w:vMerge w:val="continue"/>
                  <w:noWrap w:val="0"/>
                  <w:vAlign w:val="center"/>
                </w:tcPr>
                <w:p w14:paraId="0551C7C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p>
              </w:tc>
              <w:tc>
                <w:tcPr>
                  <w:tcW w:w="593" w:type="pct"/>
                  <w:vMerge w:val="continue"/>
                  <w:noWrap w:val="0"/>
                  <w:vAlign w:val="center"/>
                </w:tcPr>
                <w:p w14:paraId="1EFD142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p>
              </w:tc>
              <w:tc>
                <w:tcPr>
                  <w:tcW w:w="923" w:type="pct"/>
                  <w:noWrap w:val="0"/>
                  <w:vAlign w:val="center"/>
                </w:tcPr>
                <w:p w14:paraId="50066ECB">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挥发性有机物</w:t>
                  </w:r>
                </w:p>
              </w:tc>
              <w:tc>
                <w:tcPr>
                  <w:tcW w:w="843" w:type="pct"/>
                  <w:noWrap w:val="0"/>
                  <w:vAlign w:val="center"/>
                </w:tcPr>
                <w:p w14:paraId="0996F54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千克/吨-产品</w:t>
                  </w:r>
                </w:p>
              </w:tc>
              <w:tc>
                <w:tcPr>
                  <w:tcW w:w="409" w:type="pct"/>
                  <w:noWrap w:val="0"/>
                  <w:vAlign w:val="center"/>
                </w:tcPr>
                <w:p w14:paraId="5BBE0E1C">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0.120</w:t>
                  </w:r>
                </w:p>
              </w:tc>
            </w:tr>
            <w:tr w14:paraId="6AF41E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5000" w:type="pct"/>
                  <w:gridSpan w:val="8"/>
                  <w:noWrap w:val="0"/>
                  <w:vAlign w:val="center"/>
                </w:tcPr>
                <w:p w14:paraId="58CA8F64">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注：挥发性有机物以非甲烷总烃计。</w:t>
                  </w:r>
                </w:p>
              </w:tc>
            </w:tr>
          </w:tbl>
          <w:p w14:paraId="5C73FE2E">
            <w:pPr>
              <w:spacing w:line="360" w:lineRule="auto"/>
              <w:rPr>
                <w:rFonts w:hint="default" w:cs="Times New Roman"/>
                <w:color w:val="000000" w:themeColor="text1"/>
                <w:sz w:val="24"/>
                <w:lang w:val="en-US" w:eastAsia="zh-CN"/>
                <w14:textFill>
                  <w14:solidFill>
                    <w14:schemeClr w14:val="tx1"/>
                  </w14:solidFill>
                </w14:textFill>
              </w:rPr>
            </w:pPr>
          </w:p>
        </w:tc>
      </w:tr>
    </w:tbl>
    <w:p w14:paraId="3A63658D">
      <w:pPr>
        <w:jc w:val="center"/>
        <w:rPr>
          <w:rFonts w:hint="default" w:ascii="Times New Roman" w:hAnsi="Times New Roman" w:eastAsia="宋体" w:cs="Times New Roman"/>
          <w:color w:val="auto"/>
          <w:kern w:val="0"/>
          <w:sz w:val="24"/>
          <w:szCs w:val="24"/>
          <w:lang w:val="en-US" w:eastAsia="zh-CN"/>
        </w:rPr>
        <w:sectPr>
          <w:pgSz w:w="11906" w:h="16838"/>
          <w:pgMar w:top="1587" w:right="1417" w:bottom="1587" w:left="1417" w:header="851" w:footer="992" w:gutter="0"/>
          <w:pgBorders>
            <w:top w:val="none" w:sz="0" w:space="0"/>
            <w:left w:val="none" w:sz="0" w:space="0"/>
            <w:bottom w:val="none" w:sz="0" w:space="0"/>
            <w:right w:val="none" w:sz="0" w:space="0"/>
          </w:pgBorders>
          <w:pgNumType w:fmt="decimal"/>
          <w:cols w:space="0" w:num="1"/>
          <w:rtlGutter w:val="0"/>
          <w:docGrid w:type="lines" w:linePitch="318" w:charSpace="0"/>
        </w:sectPr>
      </w:pP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3338"/>
      </w:tblGrid>
      <w:tr w14:paraId="5E235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9" w:hRule="atLeast"/>
        </w:trPr>
        <w:tc>
          <w:tcPr>
            <w:tcW w:w="193" w:type="pct"/>
            <w:vAlign w:val="center"/>
          </w:tcPr>
          <w:p w14:paraId="0C02A4A1">
            <w:pPr>
              <w:jc w:val="center"/>
              <w:rPr>
                <w:rFonts w:hint="default" w:ascii="Times New Roman" w:hAnsi="Times New Roman" w:eastAsia="宋体" w:cs="Times New Roman"/>
                <w:color w:val="auto"/>
                <w:kern w:val="0"/>
                <w:sz w:val="24"/>
                <w:szCs w:val="24"/>
                <w:lang w:val="en-US" w:eastAsia="zh-CN"/>
              </w:rPr>
            </w:pPr>
          </w:p>
        </w:tc>
        <w:tc>
          <w:tcPr>
            <w:tcW w:w="4806" w:type="pct"/>
          </w:tcPr>
          <w:p w14:paraId="2CB78609">
            <w:pPr>
              <w:keepNext/>
              <w:keepLines w:val="0"/>
              <w:pageBreakBefore w:val="0"/>
              <w:widowControl w:val="0"/>
              <w:kinsoku/>
              <w:wordWrap/>
              <w:overflowPunct w:val="0"/>
              <w:topLinePunct w:val="0"/>
              <w:autoSpaceDE/>
              <w:autoSpaceDN/>
              <w:bidi w:val="0"/>
              <w:adjustRightInd w:val="0"/>
              <w:snapToGrid w:val="0"/>
              <w:spacing w:line="240" w:lineRule="auto"/>
              <w:ind w:left="431" w:hanging="431"/>
              <w:textAlignment w:val="auto"/>
              <w:outlineLvl w:val="2"/>
              <w:rPr>
                <w:rFonts w:hint="default"/>
                <w:b/>
                <w:color w:val="262626"/>
                <w:kern w:val="0"/>
                <w:sz w:val="24"/>
                <w:lang w:val="en-US" w:eastAsia="zh-CN"/>
              </w:rPr>
            </w:pPr>
            <w:bookmarkStart w:id="134" w:name="_Toc24006"/>
            <w:bookmarkStart w:id="135" w:name="_Toc25571"/>
            <w:r>
              <w:rPr>
                <w:rFonts w:hint="eastAsia"/>
                <w:b/>
                <w:color w:val="262626"/>
                <w:kern w:val="0"/>
                <w:sz w:val="24"/>
                <w:lang w:val="en-US" w:eastAsia="zh-CN"/>
              </w:rPr>
              <w:t>4.1.2 废气产排情况一览表</w:t>
            </w:r>
            <w:bookmarkEnd w:id="134"/>
            <w:bookmarkEnd w:id="135"/>
          </w:p>
          <w:p w14:paraId="5BBB3EF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表4.1-</w:t>
            </w:r>
            <w:r>
              <w:rPr>
                <w:rFonts w:hint="eastAsia" w:cs="Times New Roman"/>
                <w:b/>
                <w:bCs/>
                <w:color w:val="auto"/>
                <w:sz w:val="24"/>
                <w:szCs w:val="24"/>
                <w:u w:val="none"/>
                <w:lang w:val="en-US" w:eastAsia="zh-CN"/>
              </w:rPr>
              <w:t>2</w:t>
            </w:r>
            <w:r>
              <w:rPr>
                <w:rFonts w:hint="eastAsia" w:ascii="Times New Roman" w:hAnsi="Times New Roman" w:eastAsia="宋体" w:cs="Times New Roman"/>
                <w:b/>
                <w:bCs/>
                <w:color w:val="auto"/>
                <w:sz w:val="24"/>
                <w:szCs w:val="24"/>
                <w:u w:val="none"/>
                <w:lang w:val="en-US" w:eastAsia="zh-CN"/>
              </w:rPr>
              <w:t xml:space="preserve"> 项目废气产排情况一览表</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1"/>
              <w:gridCol w:w="750"/>
              <w:gridCol w:w="873"/>
              <w:gridCol w:w="750"/>
              <w:gridCol w:w="845"/>
              <w:gridCol w:w="805"/>
              <w:gridCol w:w="818"/>
              <w:gridCol w:w="2179"/>
              <w:gridCol w:w="810"/>
              <w:gridCol w:w="825"/>
              <w:gridCol w:w="960"/>
              <w:gridCol w:w="885"/>
              <w:gridCol w:w="885"/>
              <w:gridCol w:w="690"/>
              <w:gridCol w:w="649"/>
            </w:tblGrid>
            <w:tr w14:paraId="6DD90B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9" w:type="pct"/>
                  <w:vMerge w:val="restart"/>
                  <w:tcBorders>
                    <w:tl2br w:val="nil"/>
                    <w:tr2bl w:val="nil"/>
                  </w:tcBorders>
                  <w:vAlign w:val="center"/>
                </w:tcPr>
                <w:p w14:paraId="521BBB7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排放形式</w:t>
                  </w:r>
                </w:p>
              </w:tc>
              <w:tc>
                <w:tcPr>
                  <w:tcW w:w="285" w:type="pct"/>
                  <w:vMerge w:val="restart"/>
                  <w:tcBorders>
                    <w:tl2br w:val="nil"/>
                    <w:tr2bl w:val="nil"/>
                  </w:tcBorders>
                  <w:vAlign w:val="center"/>
                </w:tcPr>
                <w:p w14:paraId="3DFECB3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产污工序</w:t>
                  </w:r>
                </w:p>
              </w:tc>
              <w:tc>
                <w:tcPr>
                  <w:tcW w:w="332" w:type="pct"/>
                  <w:vMerge w:val="restart"/>
                  <w:tcBorders>
                    <w:tl2br w:val="nil"/>
                    <w:tr2bl w:val="nil"/>
                  </w:tcBorders>
                  <w:vAlign w:val="center"/>
                </w:tcPr>
                <w:p w14:paraId="584CCA4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污染物</w:t>
                  </w:r>
                </w:p>
              </w:tc>
              <w:tc>
                <w:tcPr>
                  <w:tcW w:w="285" w:type="pct"/>
                  <w:vMerge w:val="restart"/>
                  <w:tcBorders>
                    <w:tl2br w:val="nil"/>
                    <w:tr2bl w:val="nil"/>
                  </w:tcBorders>
                  <w:vAlign w:val="center"/>
                </w:tcPr>
                <w:p w14:paraId="605177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设计</w:t>
                  </w:r>
                  <w:r>
                    <w:rPr>
                      <w:rFonts w:hint="default" w:ascii="Times New Roman" w:hAnsi="Times New Roman" w:eastAsia="宋体" w:cs="Times New Roman"/>
                      <w:b w:val="0"/>
                      <w:bCs w:val="0"/>
                      <w:color w:val="auto"/>
                      <w:sz w:val="21"/>
                      <w:szCs w:val="21"/>
                      <w:u w:val="none"/>
                      <w:vertAlign w:val="baseline"/>
                      <w:lang w:val="en-US" w:eastAsia="zh-CN"/>
                    </w:rPr>
                    <w:t>风量</w:t>
                  </w:r>
                  <w:r>
                    <w:rPr>
                      <w:rFonts w:hint="default" w:ascii="Times New Roman" w:hAnsi="Times New Roman" w:eastAsia="宋体" w:cs="Times New Roman"/>
                      <w:b w:val="0"/>
                      <w:bCs w:val="0"/>
                      <w:color w:val="auto"/>
                      <w:sz w:val="21"/>
                      <w:szCs w:val="21"/>
                      <w:highlight w:val="none"/>
                      <w:u w:val="none"/>
                      <w:vertAlign w:val="baseline"/>
                      <w:lang w:val="en-US" w:eastAsia="zh-CN"/>
                    </w:rPr>
                    <w:t>m</w:t>
                  </w:r>
                  <w:r>
                    <w:rPr>
                      <w:rFonts w:hint="default" w:ascii="Times New Roman" w:hAnsi="Times New Roman" w:eastAsia="宋体" w:cs="Times New Roman"/>
                      <w:b w:val="0"/>
                      <w:bCs w:val="0"/>
                      <w:color w:val="auto"/>
                      <w:sz w:val="21"/>
                      <w:szCs w:val="21"/>
                      <w:highlight w:val="none"/>
                      <w:u w:val="none"/>
                      <w:vertAlign w:val="superscript"/>
                      <w:lang w:val="en-US" w:eastAsia="zh-CN"/>
                    </w:rPr>
                    <w:t>3</w:t>
                  </w:r>
                  <w:r>
                    <w:rPr>
                      <w:rFonts w:hint="default" w:ascii="Times New Roman" w:hAnsi="Times New Roman" w:eastAsia="宋体" w:cs="Times New Roman"/>
                      <w:b w:val="0"/>
                      <w:bCs w:val="0"/>
                      <w:color w:val="auto"/>
                      <w:sz w:val="21"/>
                      <w:szCs w:val="21"/>
                      <w:highlight w:val="none"/>
                      <w:u w:val="none"/>
                      <w:vertAlign w:val="baseline"/>
                      <w:lang w:val="en-US" w:eastAsia="zh-CN"/>
                    </w:rPr>
                    <w:t>/h</w:t>
                  </w:r>
                </w:p>
              </w:tc>
              <w:tc>
                <w:tcPr>
                  <w:tcW w:w="940" w:type="pct"/>
                  <w:gridSpan w:val="3"/>
                  <w:tcBorders>
                    <w:tl2br w:val="nil"/>
                    <w:tr2bl w:val="nil"/>
                  </w:tcBorders>
                  <w:vAlign w:val="center"/>
                </w:tcPr>
                <w:p w14:paraId="0E1EFAE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产生情况</w:t>
                  </w:r>
                </w:p>
              </w:tc>
              <w:tc>
                <w:tcPr>
                  <w:tcW w:w="830" w:type="pct"/>
                  <w:vMerge w:val="restart"/>
                  <w:tcBorders>
                    <w:tl2br w:val="nil"/>
                    <w:tr2bl w:val="nil"/>
                  </w:tcBorders>
                  <w:vAlign w:val="center"/>
                </w:tcPr>
                <w:p w14:paraId="7D3A0A4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治理措施</w:t>
                  </w:r>
                </w:p>
              </w:tc>
              <w:tc>
                <w:tcPr>
                  <w:tcW w:w="989" w:type="pct"/>
                  <w:gridSpan w:val="3"/>
                  <w:tcBorders>
                    <w:tl2br w:val="nil"/>
                    <w:tr2bl w:val="nil"/>
                  </w:tcBorders>
                  <w:vAlign w:val="center"/>
                </w:tcPr>
                <w:p w14:paraId="3B6715CB">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排放情况</w:t>
                  </w:r>
                </w:p>
              </w:tc>
              <w:tc>
                <w:tcPr>
                  <w:tcW w:w="1185" w:type="pct"/>
                  <w:gridSpan w:val="4"/>
                  <w:tcBorders>
                    <w:tl2br w:val="nil"/>
                    <w:tr2bl w:val="nil"/>
                  </w:tcBorders>
                  <w:vAlign w:val="center"/>
                </w:tcPr>
                <w:p w14:paraId="2123CD2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排气口基本情况</w:t>
                  </w:r>
                </w:p>
              </w:tc>
            </w:tr>
            <w:tr w14:paraId="43E33C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149" w:type="pct"/>
                  <w:vMerge w:val="continue"/>
                  <w:tcBorders>
                    <w:tl2br w:val="nil"/>
                    <w:tr2bl w:val="nil"/>
                  </w:tcBorders>
                  <w:vAlign w:val="center"/>
                </w:tcPr>
                <w:p w14:paraId="2AF368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p>
              </w:tc>
              <w:tc>
                <w:tcPr>
                  <w:tcW w:w="285" w:type="pct"/>
                  <w:vMerge w:val="continue"/>
                  <w:tcBorders>
                    <w:tl2br w:val="nil"/>
                    <w:tr2bl w:val="nil"/>
                  </w:tcBorders>
                  <w:vAlign w:val="center"/>
                </w:tcPr>
                <w:p w14:paraId="50B6A41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p>
              </w:tc>
              <w:tc>
                <w:tcPr>
                  <w:tcW w:w="332" w:type="pct"/>
                  <w:vMerge w:val="continue"/>
                  <w:tcBorders>
                    <w:tl2br w:val="nil"/>
                    <w:tr2bl w:val="nil"/>
                  </w:tcBorders>
                  <w:vAlign w:val="center"/>
                </w:tcPr>
                <w:p w14:paraId="61BEAAA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p>
              </w:tc>
              <w:tc>
                <w:tcPr>
                  <w:tcW w:w="285" w:type="pct"/>
                  <w:vMerge w:val="continue"/>
                  <w:tcBorders>
                    <w:tl2br w:val="nil"/>
                    <w:tr2bl w:val="nil"/>
                  </w:tcBorders>
                  <w:vAlign w:val="center"/>
                </w:tcPr>
                <w:p w14:paraId="37D663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p>
              </w:tc>
              <w:tc>
                <w:tcPr>
                  <w:tcW w:w="322" w:type="pct"/>
                  <w:tcBorders>
                    <w:tl2br w:val="nil"/>
                    <w:tr2bl w:val="nil"/>
                  </w:tcBorders>
                  <w:vAlign w:val="center"/>
                </w:tcPr>
                <w:p w14:paraId="103330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产生量</w:t>
                  </w:r>
                </w:p>
                <w:p w14:paraId="14DCF4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t/a</w:t>
                  </w:r>
                </w:p>
              </w:tc>
              <w:tc>
                <w:tcPr>
                  <w:tcW w:w="306" w:type="pct"/>
                  <w:tcBorders>
                    <w:tl2br w:val="nil"/>
                    <w:tr2bl w:val="nil"/>
                  </w:tcBorders>
                  <w:vAlign w:val="center"/>
                </w:tcPr>
                <w:p w14:paraId="1169792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产生速率</w:t>
                  </w:r>
                  <w:r>
                    <w:rPr>
                      <w:rFonts w:hint="default" w:ascii="Times New Roman" w:hAnsi="Times New Roman" w:eastAsia="宋体" w:cs="Times New Roman"/>
                      <w:b w:val="0"/>
                      <w:bCs w:val="0"/>
                      <w:color w:val="auto"/>
                      <w:sz w:val="21"/>
                      <w:szCs w:val="21"/>
                      <w:highlight w:val="none"/>
                      <w:u w:val="none"/>
                      <w:vertAlign w:val="baseline"/>
                      <w:lang w:val="en-US" w:eastAsia="zh-CN"/>
                    </w:rPr>
                    <w:t>kg/h</w:t>
                  </w:r>
                </w:p>
              </w:tc>
              <w:tc>
                <w:tcPr>
                  <w:tcW w:w="311" w:type="pct"/>
                  <w:tcBorders>
                    <w:tl2br w:val="nil"/>
                    <w:tr2bl w:val="nil"/>
                  </w:tcBorders>
                  <w:vAlign w:val="center"/>
                </w:tcPr>
                <w:p w14:paraId="69C274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产生</w:t>
                  </w:r>
                </w:p>
                <w:p w14:paraId="7D4738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浓</w:t>
                  </w:r>
                  <w:r>
                    <w:rPr>
                      <w:rFonts w:hint="default" w:ascii="Times New Roman" w:hAnsi="Times New Roman" w:eastAsia="宋体" w:cs="Times New Roman"/>
                      <w:b w:val="0"/>
                      <w:bCs w:val="0"/>
                      <w:color w:val="auto"/>
                      <w:sz w:val="21"/>
                      <w:szCs w:val="21"/>
                      <w:u w:val="none"/>
                      <w:vertAlign w:val="baseline"/>
                      <w:lang w:val="en-US" w:eastAsia="zh-CN"/>
                    </w:rPr>
                    <w:t>度</w:t>
                  </w:r>
                  <w:r>
                    <w:rPr>
                      <w:rFonts w:hint="default" w:ascii="Times New Roman" w:hAnsi="Times New Roman" w:eastAsia="宋体" w:cs="Times New Roman"/>
                      <w:b w:val="0"/>
                      <w:bCs w:val="0"/>
                      <w:color w:val="auto"/>
                      <w:sz w:val="21"/>
                      <w:szCs w:val="21"/>
                      <w:highlight w:val="none"/>
                      <w:u w:val="none"/>
                      <w:vertAlign w:val="baseline"/>
                      <w:lang w:val="en-US" w:eastAsia="zh-CN"/>
                    </w:rPr>
                    <w:t>mg/m</w:t>
                  </w:r>
                  <w:r>
                    <w:rPr>
                      <w:rFonts w:hint="default" w:ascii="Times New Roman" w:hAnsi="Times New Roman" w:eastAsia="宋体" w:cs="Times New Roman"/>
                      <w:b w:val="0"/>
                      <w:bCs w:val="0"/>
                      <w:color w:val="auto"/>
                      <w:sz w:val="21"/>
                      <w:szCs w:val="21"/>
                      <w:highlight w:val="none"/>
                      <w:u w:val="none"/>
                      <w:vertAlign w:val="superscript"/>
                      <w:lang w:val="en-US" w:eastAsia="zh-CN"/>
                    </w:rPr>
                    <w:t>3</w:t>
                  </w:r>
                </w:p>
              </w:tc>
              <w:tc>
                <w:tcPr>
                  <w:tcW w:w="830" w:type="pct"/>
                  <w:vMerge w:val="continue"/>
                  <w:tcBorders>
                    <w:tl2br w:val="nil"/>
                    <w:tr2bl w:val="nil"/>
                  </w:tcBorders>
                  <w:vAlign w:val="center"/>
                </w:tcPr>
                <w:p w14:paraId="0EE72E5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308" w:type="pct"/>
                  <w:tcBorders>
                    <w:tl2br w:val="nil"/>
                    <w:tr2bl w:val="nil"/>
                  </w:tcBorders>
                  <w:vAlign w:val="center"/>
                </w:tcPr>
                <w:p w14:paraId="66948A3E">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排放量</w:t>
                  </w:r>
                </w:p>
                <w:p w14:paraId="4F13232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t/a</w:t>
                  </w:r>
                </w:p>
              </w:tc>
              <w:tc>
                <w:tcPr>
                  <w:tcW w:w="314" w:type="pct"/>
                  <w:tcBorders>
                    <w:tl2br w:val="nil"/>
                    <w:tr2bl w:val="nil"/>
                  </w:tcBorders>
                  <w:vAlign w:val="center"/>
                </w:tcPr>
                <w:p w14:paraId="0C53C51A">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排放速率kg/h</w:t>
                  </w:r>
                </w:p>
              </w:tc>
              <w:tc>
                <w:tcPr>
                  <w:tcW w:w="365" w:type="pct"/>
                  <w:tcBorders>
                    <w:tl2br w:val="nil"/>
                    <w:tr2bl w:val="nil"/>
                  </w:tcBorders>
                  <w:vAlign w:val="center"/>
                </w:tcPr>
                <w:p w14:paraId="0DD36667">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排放浓度mg/m</w:t>
                  </w:r>
                  <w:r>
                    <w:rPr>
                      <w:rFonts w:hint="eastAsia" w:eastAsia="宋体" w:cs="Times New Roman"/>
                      <w:b w:val="0"/>
                      <w:bCs w:val="0"/>
                      <w:color w:val="auto"/>
                      <w:sz w:val="21"/>
                      <w:szCs w:val="21"/>
                      <w:u w:val="none"/>
                      <w:vertAlign w:val="superscript"/>
                      <w:lang w:val="en-US" w:eastAsia="zh-CN"/>
                    </w:rPr>
                    <w:t>3</w:t>
                  </w:r>
                </w:p>
              </w:tc>
              <w:tc>
                <w:tcPr>
                  <w:tcW w:w="337" w:type="pct"/>
                  <w:tcBorders>
                    <w:tl2br w:val="nil"/>
                    <w:tr2bl w:val="nil"/>
                  </w:tcBorders>
                  <w:vAlign w:val="center"/>
                </w:tcPr>
                <w:p w14:paraId="1EB886BD">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排气筒编号</w:t>
                  </w:r>
                </w:p>
              </w:tc>
              <w:tc>
                <w:tcPr>
                  <w:tcW w:w="337" w:type="pct"/>
                  <w:tcBorders>
                    <w:tl2br w:val="nil"/>
                    <w:tr2bl w:val="nil"/>
                  </w:tcBorders>
                  <w:vAlign w:val="center"/>
                </w:tcPr>
                <w:p w14:paraId="37F2E98C">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类型</w:t>
                  </w:r>
                </w:p>
              </w:tc>
              <w:tc>
                <w:tcPr>
                  <w:tcW w:w="263" w:type="pct"/>
                  <w:tcBorders>
                    <w:tl2br w:val="nil"/>
                    <w:tr2bl w:val="nil"/>
                  </w:tcBorders>
                  <w:vAlign w:val="center"/>
                </w:tcPr>
                <w:p w14:paraId="073C9FD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排气筒高度</w:t>
                  </w:r>
                </w:p>
              </w:tc>
              <w:tc>
                <w:tcPr>
                  <w:tcW w:w="247" w:type="pct"/>
                  <w:tcBorders>
                    <w:tl2br w:val="nil"/>
                    <w:tr2bl w:val="nil"/>
                  </w:tcBorders>
                  <w:vAlign w:val="center"/>
                </w:tcPr>
                <w:p w14:paraId="70260D1B">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排气筒温度</w:t>
                  </w:r>
                </w:p>
              </w:tc>
            </w:tr>
            <w:tr w14:paraId="66352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149" w:type="pct"/>
                  <w:vMerge w:val="restart"/>
                  <w:tcBorders>
                    <w:tl2br w:val="nil"/>
                    <w:tr2bl w:val="nil"/>
                  </w:tcBorders>
                  <w:vAlign w:val="center"/>
                </w:tcPr>
                <w:p w14:paraId="460923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有组织</w:t>
                  </w:r>
                </w:p>
              </w:tc>
              <w:tc>
                <w:tcPr>
                  <w:tcW w:w="285" w:type="pct"/>
                  <w:tcBorders>
                    <w:tl2br w:val="nil"/>
                    <w:tr2bl w:val="nil"/>
                  </w:tcBorders>
                  <w:vAlign w:val="center"/>
                </w:tcPr>
                <w:p w14:paraId="355FD8C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熔融工序</w:t>
                  </w:r>
                </w:p>
              </w:tc>
              <w:tc>
                <w:tcPr>
                  <w:tcW w:w="332" w:type="pct"/>
                  <w:tcBorders>
                    <w:tl2br w:val="nil"/>
                    <w:tr2bl w:val="nil"/>
                  </w:tcBorders>
                  <w:vAlign w:val="center"/>
                </w:tcPr>
                <w:p w14:paraId="28B0D1F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颗粒物</w:t>
                  </w:r>
                </w:p>
              </w:tc>
              <w:tc>
                <w:tcPr>
                  <w:tcW w:w="285" w:type="pct"/>
                  <w:tcBorders>
                    <w:tl2br w:val="nil"/>
                    <w:tr2bl w:val="nil"/>
                  </w:tcBorders>
                  <w:vAlign w:val="center"/>
                </w:tcPr>
                <w:p w14:paraId="71ED6DB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25000</w:t>
                  </w:r>
                </w:p>
              </w:tc>
              <w:tc>
                <w:tcPr>
                  <w:tcW w:w="322" w:type="pct"/>
                  <w:tcBorders>
                    <w:tl2br w:val="nil"/>
                    <w:tr2bl w:val="nil"/>
                  </w:tcBorders>
                  <w:vAlign w:val="center"/>
                </w:tcPr>
                <w:p w14:paraId="10135A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0.3233</w:t>
                  </w:r>
                </w:p>
              </w:tc>
              <w:tc>
                <w:tcPr>
                  <w:tcW w:w="306" w:type="pct"/>
                  <w:tcBorders>
                    <w:tl2br w:val="nil"/>
                    <w:tr2bl w:val="nil"/>
                  </w:tcBorders>
                  <w:vAlign w:val="center"/>
                </w:tcPr>
                <w:p w14:paraId="6062C73E">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highlight w:val="no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0.</w:t>
                  </w:r>
                  <w:r>
                    <w:rPr>
                      <w:rFonts w:hint="eastAsia" w:cs="Times New Roman"/>
                      <w:b w:val="0"/>
                      <w:bCs w:val="0"/>
                      <w:color w:val="auto"/>
                      <w:sz w:val="21"/>
                      <w:szCs w:val="21"/>
                      <w:highlight w:val="none"/>
                      <w:u w:val="none"/>
                      <w:vertAlign w:val="baseline"/>
                      <w:lang w:val="en-US" w:eastAsia="zh-CN"/>
                    </w:rPr>
                    <w:t>1347</w:t>
                  </w:r>
                </w:p>
              </w:tc>
              <w:tc>
                <w:tcPr>
                  <w:tcW w:w="311" w:type="pct"/>
                  <w:tcBorders>
                    <w:tl2br w:val="nil"/>
                    <w:tr2bl w:val="nil"/>
                  </w:tcBorders>
                  <w:vAlign w:val="center"/>
                </w:tcPr>
                <w:p w14:paraId="4D504FB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5.39</w:t>
                  </w:r>
                </w:p>
              </w:tc>
              <w:tc>
                <w:tcPr>
                  <w:tcW w:w="830" w:type="pct"/>
                  <w:vMerge w:val="restart"/>
                  <w:tcBorders>
                    <w:tl2br w:val="nil"/>
                    <w:tr2bl w:val="nil"/>
                  </w:tcBorders>
                  <w:vAlign w:val="center"/>
                </w:tcPr>
                <w:p w14:paraId="5DFA62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集气罩</w:t>
                  </w:r>
                  <w:r>
                    <w:rPr>
                      <w:rFonts w:hint="eastAsia" w:cs="Times New Roman"/>
                      <w:color w:val="auto"/>
                      <w:sz w:val="21"/>
                      <w:szCs w:val="21"/>
                      <w:highlight w:val="none"/>
                      <w:vertAlign w:val="baseline"/>
                      <w:lang w:val="en-US" w:eastAsia="zh-CN"/>
                    </w:rPr>
                    <w:t>+布袋除尘器+</w:t>
                  </w:r>
                  <w:r>
                    <w:rPr>
                      <w:rFonts w:hint="eastAsia" w:ascii="Times New Roman" w:hAnsi="Times New Roman" w:eastAsia="宋体" w:cs="Times New Roman"/>
                      <w:color w:val="auto"/>
                      <w:sz w:val="21"/>
                      <w:szCs w:val="21"/>
                      <w:highlight w:val="none"/>
                      <w:vertAlign w:val="baseline"/>
                      <w:lang w:val="en-US" w:eastAsia="zh-CN"/>
                    </w:rPr>
                    <w:t>活性炭吸附装置</w:t>
                  </w:r>
                  <w:r>
                    <w:rPr>
                      <w:rFonts w:hint="eastAsia" w:cs="Times New Roman"/>
                      <w:b w:val="0"/>
                      <w:bCs w:val="0"/>
                      <w:color w:val="auto"/>
                      <w:sz w:val="21"/>
                      <w:szCs w:val="21"/>
                      <w:highlight w:val="none"/>
                      <w:u w:val="none"/>
                      <w:vertAlign w:val="baseline"/>
                      <w:lang w:val="en-US" w:eastAsia="zh-CN"/>
                    </w:rPr>
                    <w:t>+15m生产废气排气筒（DA001）</w:t>
                  </w:r>
                </w:p>
              </w:tc>
              <w:tc>
                <w:tcPr>
                  <w:tcW w:w="308" w:type="pct"/>
                  <w:tcBorders>
                    <w:tl2br w:val="nil"/>
                    <w:tr2bl w:val="nil"/>
                  </w:tcBorders>
                  <w:vAlign w:val="center"/>
                </w:tcPr>
                <w:p w14:paraId="08568E2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0.0323</w:t>
                  </w:r>
                </w:p>
              </w:tc>
              <w:tc>
                <w:tcPr>
                  <w:tcW w:w="314" w:type="pct"/>
                  <w:tcBorders>
                    <w:tl2br w:val="nil"/>
                    <w:tr2bl w:val="nil"/>
                  </w:tcBorders>
                  <w:vAlign w:val="center"/>
                </w:tcPr>
                <w:p w14:paraId="7E61A5D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0.</w:t>
                  </w:r>
                  <w:r>
                    <w:rPr>
                      <w:rFonts w:hint="eastAsia" w:cs="Times New Roman"/>
                      <w:color w:val="auto"/>
                      <w:sz w:val="21"/>
                      <w:szCs w:val="21"/>
                      <w:highlight w:val="none"/>
                      <w:vertAlign w:val="baseline"/>
                      <w:lang w:val="en-US" w:eastAsia="zh-CN"/>
                    </w:rPr>
                    <w:t>0135</w:t>
                  </w:r>
                </w:p>
              </w:tc>
              <w:tc>
                <w:tcPr>
                  <w:tcW w:w="365" w:type="pct"/>
                  <w:tcBorders>
                    <w:tl2br w:val="nil"/>
                    <w:tr2bl w:val="nil"/>
                  </w:tcBorders>
                  <w:vAlign w:val="center"/>
                </w:tcPr>
                <w:p w14:paraId="6C266D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0.5389</w:t>
                  </w:r>
                </w:p>
              </w:tc>
              <w:tc>
                <w:tcPr>
                  <w:tcW w:w="337" w:type="pct"/>
                  <w:tcBorders>
                    <w:tl2br w:val="nil"/>
                    <w:tr2bl w:val="nil"/>
                  </w:tcBorders>
                  <w:vAlign w:val="center"/>
                </w:tcPr>
                <w:p w14:paraId="0D9F5F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DA001</w:t>
                  </w:r>
                </w:p>
              </w:tc>
              <w:tc>
                <w:tcPr>
                  <w:tcW w:w="337" w:type="pct"/>
                  <w:tcBorders>
                    <w:tl2br w:val="nil"/>
                    <w:tr2bl w:val="nil"/>
                  </w:tcBorders>
                  <w:vAlign w:val="center"/>
                </w:tcPr>
                <w:p w14:paraId="5268D71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一般排放口</w:t>
                  </w:r>
                </w:p>
              </w:tc>
              <w:tc>
                <w:tcPr>
                  <w:tcW w:w="263" w:type="pct"/>
                  <w:tcBorders>
                    <w:tl2br w:val="nil"/>
                    <w:tr2bl w:val="nil"/>
                  </w:tcBorders>
                  <w:vAlign w:val="center"/>
                </w:tcPr>
                <w:p w14:paraId="7CA5FB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15m</w:t>
                  </w:r>
                </w:p>
              </w:tc>
              <w:tc>
                <w:tcPr>
                  <w:tcW w:w="247" w:type="pct"/>
                  <w:tcBorders>
                    <w:tl2br w:val="nil"/>
                    <w:tr2bl w:val="nil"/>
                  </w:tcBorders>
                  <w:vAlign w:val="center"/>
                </w:tcPr>
                <w:p w14:paraId="1918BD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25</w:t>
                  </w:r>
                  <w:r>
                    <w:rPr>
                      <w:rFonts w:hint="eastAsia" w:eastAsia="宋体" w:cs="Times New Roman"/>
                      <w:color w:val="auto"/>
                      <w:sz w:val="21"/>
                      <w:szCs w:val="21"/>
                      <w:highlight w:val="none"/>
                      <w:vertAlign w:val="baseline"/>
                      <w:lang w:val="en-US" w:eastAsia="zh-CN"/>
                    </w:rPr>
                    <w:t>℃</w:t>
                  </w:r>
                </w:p>
              </w:tc>
            </w:tr>
            <w:tr w14:paraId="0040C9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49" w:type="pct"/>
                  <w:vMerge w:val="continue"/>
                  <w:tcBorders>
                    <w:tl2br w:val="nil"/>
                    <w:tr2bl w:val="nil"/>
                  </w:tcBorders>
                  <w:vAlign w:val="center"/>
                </w:tcPr>
                <w:p w14:paraId="54F2B3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285" w:type="pct"/>
                  <w:vMerge w:val="restart"/>
                  <w:tcBorders>
                    <w:tl2br w:val="nil"/>
                    <w:tr2bl w:val="nil"/>
                  </w:tcBorders>
                  <w:vAlign w:val="center"/>
                </w:tcPr>
                <w:p w14:paraId="40EF1BFB">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green"/>
                      <w:u w:val="none"/>
                      <w:lang w:val="en-US" w:eastAsia="zh-CN"/>
                    </w:rPr>
                  </w:pPr>
                  <w:r>
                    <w:rPr>
                      <w:rFonts w:hint="eastAsia" w:cs="Times New Roman"/>
                      <w:b w:val="0"/>
                      <w:bCs w:val="0"/>
                      <w:color w:val="auto"/>
                      <w:sz w:val="21"/>
                      <w:szCs w:val="21"/>
                      <w:highlight w:val="none"/>
                      <w:u w:val="none"/>
                      <w:lang w:val="en-US" w:eastAsia="zh-CN"/>
                    </w:rPr>
                    <w:t>压铸脱模工序</w:t>
                  </w:r>
                </w:p>
              </w:tc>
              <w:tc>
                <w:tcPr>
                  <w:tcW w:w="332" w:type="pct"/>
                  <w:tcBorders>
                    <w:tl2br w:val="nil"/>
                    <w:tr2bl w:val="nil"/>
                  </w:tcBorders>
                  <w:vAlign w:val="center"/>
                </w:tcPr>
                <w:p w14:paraId="29BCF8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颗粒物</w:t>
                  </w:r>
                </w:p>
              </w:tc>
              <w:tc>
                <w:tcPr>
                  <w:tcW w:w="285" w:type="pct"/>
                  <w:tcBorders>
                    <w:tl2br w:val="nil"/>
                    <w:tr2bl w:val="nil"/>
                  </w:tcBorders>
                  <w:vAlign w:val="center"/>
                </w:tcPr>
                <w:p w14:paraId="2F6C6E9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25000</w:t>
                  </w:r>
                </w:p>
              </w:tc>
              <w:tc>
                <w:tcPr>
                  <w:tcW w:w="322" w:type="pct"/>
                  <w:tcBorders>
                    <w:tl2br w:val="nil"/>
                    <w:tr2bl w:val="nil"/>
                  </w:tcBorders>
                  <w:vAlign w:val="center"/>
                </w:tcPr>
                <w:p w14:paraId="459F3F8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1.3433</w:t>
                  </w:r>
                </w:p>
              </w:tc>
              <w:tc>
                <w:tcPr>
                  <w:tcW w:w="306" w:type="pct"/>
                  <w:tcBorders>
                    <w:tl2br w:val="nil"/>
                    <w:tr2bl w:val="nil"/>
                  </w:tcBorders>
                  <w:vAlign w:val="center"/>
                </w:tcPr>
                <w:p w14:paraId="497DF2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0.5597</w:t>
                  </w:r>
                </w:p>
              </w:tc>
              <w:tc>
                <w:tcPr>
                  <w:tcW w:w="311" w:type="pct"/>
                  <w:tcBorders>
                    <w:tl2br w:val="nil"/>
                    <w:tr2bl w:val="nil"/>
                  </w:tcBorders>
                  <w:vAlign w:val="center"/>
                </w:tcPr>
                <w:p w14:paraId="3C5805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22.39</w:t>
                  </w:r>
                </w:p>
              </w:tc>
              <w:tc>
                <w:tcPr>
                  <w:tcW w:w="830" w:type="pct"/>
                  <w:vMerge w:val="continue"/>
                  <w:tcBorders>
                    <w:tl2br w:val="nil"/>
                    <w:tr2bl w:val="nil"/>
                  </w:tcBorders>
                  <w:vAlign w:val="center"/>
                </w:tcPr>
                <w:p w14:paraId="2BFA3CC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308" w:type="pct"/>
                  <w:tcBorders>
                    <w:tl2br w:val="nil"/>
                    <w:tr2bl w:val="nil"/>
                  </w:tcBorders>
                  <w:vAlign w:val="center"/>
                </w:tcPr>
                <w:p w14:paraId="2C33F454">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0.1343</w:t>
                  </w:r>
                </w:p>
              </w:tc>
              <w:tc>
                <w:tcPr>
                  <w:tcW w:w="314" w:type="pct"/>
                  <w:tcBorders>
                    <w:tl2br w:val="nil"/>
                    <w:tr2bl w:val="nil"/>
                  </w:tcBorders>
                  <w:vAlign w:val="center"/>
                </w:tcPr>
                <w:p w14:paraId="69D36543">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highlight w:val="none"/>
                      <w:lang w:val="en-US" w:eastAsia="zh-CN"/>
                    </w:rPr>
                  </w:pPr>
                  <w:r>
                    <w:rPr>
                      <w:rFonts w:hint="eastAsia"/>
                      <w:color w:val="auto"/>
                      <w:highlight w:val="none"/>
                      <w:lang w:val="en-US" w:eastAsia="zh-CN"/>
                    </w:rPr>
                    <w:t>0.0560</w:t>
                  </w:r>
                </w:p>
              </w:tc>
              <w:tc>
                <w:tcPr>
                  <w:tcW w:w="365" w:type="pct"/>
                  <w:tcBorders>
                    <w:tl2br w:val="nil"/>
                    <w:tr2bl w:val="nil"/>
                  </w:tcBorders>
                  <w:vAlign w:val="center"/>
                </w:tcPr>
                <w:p w14:paraId="325914C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2.2388</w:t>
                  </w:r>
                </w:p>
              </w:tc>
              <w:tc>
                <w:tcPr>
                  <w:tcW w:w="337" w:type="pct"/>
                  <w:tcBorders>
                    <w:tl2br w:val="nil"/>
                    <w:tr2bl w:val="nil"/>
                  </w:tcBorders>
                  <w:shd w:val="clear" w:color="auto" w:fill="auto"/>
                  <w:vAlign w:val="center"/>
                </w:tcPr>
                <w:p w14:paraId="727297F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DA001</w:t>
                  </w:r>
                </w:p>
              </w:tc>
              <w:tc>
                <w:tcPr>
                  <w:tcW w:w="337" w:type="pct"/>
                  <w:tcBorders>
                    <w:tl2br w:val="nil"/>
                    <w:tr2bl w:val="nil"/>
                  </w:tcBorders>
                  <w:shd w:val="clear" w:color="auto" w:fill="auto"/>
                  <w:vAlign w:val="center"/>
                </w:tcPr>
                <w:p w14:paraId="25B1441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一般排放口</w:t>
                  </w:r>
                </w:p>
              </w:tc>
              <w:tc>
                <w:tcPr>
                  <w:tcW w:w="263" w:type="pct"/>
                  <w:tcBorders>
                    <w:tl2br w:val="nil"/>
                    <w:tr2bl w:val="nil"/>
                  </w:tcBorders>
                  <w:shd w:val="clear" w:color="auto" w:fill="auto"/>
                  <w:vAlign w:val="center"/>
                </w:tcPr>
                <w:p w14:paraId="374A473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15m</w:t>
                  </w:r>
                </w:p>
              </w:tc>
              <w:tc>
                <w:tcPr>
                  <w:tcW w:w="247" w:type="pct"/>
                  <w:tcBorders>
                    <w:tl2br w:val="nil"/>
                    <w:tr2bl w:val="nil"/>
                  </w:tcBorders>
                  <w:shd w:val="clear" w:color="auto" w:fill="auto"/>
                  <w:vAlign w:val="center"/>
                </w:tcPr>
                <w:p w14:paraId="7AB5B31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25</w:t>
                  </w:r>
                  <w:r>
                    <w:rPr>
                      <w:rFonts w:hint="eastAsia" w:eastAsia="宋体" w:cs="Times New Roman"/>
                      <w:color w:val="auto"/>
                      <w:sz w:val="21"/>
                      <w:szCs w:val="21"/>
                      <w:highlight w:val="none"/>
                      <w:vertAlign w:val="baseline"/>
                      <w:lang w:val="en-US" w:eastAsia="zh-CN"/>
                    </w:rPr>
                    <w:t>℃</w:t>
                  </w:r>
                </w:p>
              </w:tc>
            </w:tr>
            <w:tr w14:paraId="5D2B41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149" w:type="pct"/>
                  <w:vMerge w:val="continue"/>
                  <w:tcBorders>
                    <w:tl2br w:val="nil"/>
                    <w:tr2bl w:val="nil"/>
                  </w:tcBorders>
                  <w:vAlign w:val="center"/>
                </w:tcPr>
                <w:p w14:paraId="3B507B3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285" w:type="pct"/>
                  <w:vMerge w:val="continue"/>
                  <w:tcBorders>
                    <w:tl2br w:val="nil"/>
                    <w:tr2bl w:val="nil"/>
                  </w:tcBorders>
                  <w:vAlign w:val="center"/>
                </w:tcPr>
                <w:p w14:paraId="12C0F43E">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sz w:val="21"/>
                      <w:szCs w:val="21"/>
                      <w:highlight w:val="none"/>
                      <w:u w:val="none"/>
                      <w:lang w:val="en-US" w:eastAsia="zh-CN"/>
                    </w:rPr>
                  </w:pPr>
                </w:p>
              </w:tc>
              <w:tc>
                <w:tcPr>
                  <w:tcW w:w="332" w:type="pct"/>
                  <w:tcBorders>
                    <w:tl2br w:val="nil"/>
                    <w:tr2bl w:val="nil"/>
                  </w:tcBorders>
                  <w:vAlign w:val="center"/>
                </w:tcPr>
                <w:p w14:paraId="22CA957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挥发性有机物</w:t>
                  </w:r>
                </w:p>
              </w:tc>
              <w:tc>
                <w:tcPr>
                  <w:tcW w:w="285" w:type="pct"/>
                  <w:tcBorders>
                    <w:tl2br w:val="nil"/>
                    <w:tr2bl w:val="nil"/>
                  </w:tcBorders>
                  <w:vAlign w:val="center"/>
                </w:tcPr>
                <w:p w14:paraId="40FD1276">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25000</w:t>
                  </w:r>
                </w:p>
              </w:tc>
              <w:tc>
                <w:tcPr>
                  <w:tcW w:w="322" w:type="pct"/>
                  <w:tcBorders>
                    <w:tl2br w:val="nil"/>
                    <w:tr2bl w:val="nil"/>
                  </w:tcBorders>
                  <w:vAlign w:val="center"/>
                </w:tcPr>
                <w:p w14:paraId="45DAE6CC">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0.0810</w:t>
                  </w:r>
                </w:p>
              </w:tc>
              <w:tc>
                <w:tcPr>
                  <w:tcW w:w="306" w:type="pct"/>
                  <w:tcBorders>
                    <w:tl2br w:val="nil"/>
                    <w:tr2bl w:val="nil"/>
                  </w:tcBorders>
                  <w:vAlign w:val="center"/>
                </w:tcPr>
                <w:p w14:paraId="6BBF2E15">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0.0338</w:t>
                  </w:r>
                </w:p>
              </w:tc>
              <w:tc>
                <w:tcPr>
                  <w:tcW w:w="311" w:type="pct"/>
                  <w:tcBorders>
                    <w:tl2br w:val="nil"/>
                    <w:tr2bl w:val="nil"/>
                  </w:tcBorders>
                  <w:vAlign w:val="center"/>
                </w:tcPr>
                <w:p w14:paraId="6B6F24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1.35</w:t>
                  </w:r>
                </w:p>
              </w:tc>
              <w:tc>
                <w:tcPr>
                  <w:tcW w:w="830" w:type="pct"/>
                  <w:vMerge w:val="continue"/>
                  <w:tcBorders>
                    <w:tl2br w:val="nil"/>
                    <w:tr2bl w:val="nil"/>
                  </w:tcBorders>
                  <w:vAlign w:val="center"/>
                </w:tcPr>
                <w:p w14:paraId="54DA8E9B">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sz w:val="21"/>
                      <w:szCs w:val="21"/>
                      <w:highlight w:val="none"/>
                      <w:u w:val="none"/>
                      <w:vertAlign w:val="baseline"/>
                      <w:lang w:val="en-US" w:eastAsia="zh-CN"/>
                    </w:rPr>
                  </w:pPr>
                </w:p>
              </w:tc>
              <w:tc>
                <w:tcPr>
                  <w:tcW w:w="308" w:type="pct"/>
                  <w:tcBorders>
                    <w:tl2br w:val="nil"/>
                    <w:tr2bl w:val="nil"/>
                  </w:tcBorders>
                  <w:vAlign w:val="center"/>
                </w:tcPr>
                <w:p w14:paraId="59222D4D">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0.0203</w:t>
                  </w:r>
                </w:p>
              </w:tc>
              <w:tc>
                <w:tcPr>
                  <w:tcW w:w="314" w:type="pct"/>
                  <w:tcBorders>
                    <w:tl2br w:val="nil"/>
                    <w:tr2bl w:val="nil"/>
                  </w:tcBorders>
                  <w:vAlign w:val="center"/>
                </w:tcPr>
                <w:p w14:paraId="200E447D">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0.0084</w:t>
                  </w:r>
                </w:p>
              </w:tc>
              <w:tc>
                <w:tcPr>
                  <w:tcW w:w="365" w:type="pct"/>
                  <w:tcBorders>
                    <w:tl2br w:val="nil"/>
                    <w:tr2bl w:val="nil"/>
                  </w:tcBorders>
                  <w:vAlign w:val="center"/>
                </w:tcPr>
                <w:p w14:paraId="00D7CB03">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0.3375</w:t>
                  </w:r>
                </w:p>
              </w:tc>
              <w:tc>
                <w:tcPr>
                  <w:tcW w:w="337" w:type="pct"/>
                  <w:tcBorders>
                    <w:tl2br w:val="nil"/>
                    <w:tr2bl w:val="nil"/>
                  </w:tcBorders>
                  <w:shd w:val="clear" w:color="auto" w:fill="auto"/>
                  <w:vAlign w:val="center"/>
                </w:tcPr>
                <w:p w14:paraId="5A8F56E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DA001</w:t>
                  </w:r>
                </w:p>
              </w:tc>
              <w:tc>
                <w:tcPr>
                  <w:tcW w:w="337" w:type="pct"/>
                  <w:tcBorders>
                    <w:tl2br w:val="nil"/>
                    <w:tr2bl w:val="nil"/>
                  </w:tcBorders>
                  <w:shd w:val="clear" w:color="auto" w:fill="auto"/>
                  <w:vAlign w:val="center"/>
                </w:tcPr>
                <w:p w14:paraId="5D12FBD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一般排放口</w:t>
                  </w:r>
                </w:p>
              </w:tc>
              <w:tc>
                <w:tcPr>
                  <w:tcW w:w="263" w:type="pct"/>
                  <w:tcBorders>
                    <w:tl2br w:val="nil"/>
                    <w:tr2bl w:val="nil"/>
                  </w:tcBorders>
                  <w:shd w:val="clear" w:color="auto" w:fill="auto"/>
                  <w:vAlign w:val="center"/>
                </w:tcPr>
                <w:p w14:paraId="0628A97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15m</w:t>
                  </w:r>
                </w:p>
              </w:tc>
              <w:tc>
                <w:tcPr>
                  <w:tcW w:w="247" w:type="pct"/>
                  <w:tcBorders>
                    <w:tl2br w:val="nil"/>
                    <w:tr2bl w:val="nil"/>
                  </w:tcBorders>
                  <w:shd w:val="clear" w:color="auto" w:fill="auto"/>
                  <w:vAlign w:val="center"/>
                </w:tcPr>
                <w:p w14:paraId="71E5CE9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25</w:t>
                  </w:r>
                  <w:r>
                    <w:rPr>
                      <w:rFonts w:hint="eastAsia" w:eastAsia="宋体" w:cs="Times New Roman"/>
                      <w:color w:val="auto"/>
                      <w:sz w:val="21"/>
                      <w:szCs w:val="21"/>
                      <w:highlight w:val="none"/>
                      <w:vertAlign w:val="baseline"/>
                      <w:lang w:val="en-US" w:eastAsia="zh-CN"/>
                    </w:rPr>
                    <w:t>℃</w:t>
                  </w:r>
                </w:p>
              </w:tc>
            </w:tr>
            <w:tr w14:paraId="2E05FF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49" w:type="pct"/>
                  <w:vMerge w:val="restart"/>
                  <w:tcBorders>
                    <w:tl2br w:val="nil"/>
                    <w:tr2bl w:val="nil"/>
                  </w:tcBorders>
                  <w:vAlign w:val="center"/>
                </w:tcPr>
                <w:p w14:paraId="07ED81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无组织</w:t>
                  </w:r>
                </w:p>
              </w:tc>
              <w:tc>
                <w:tcPr>
                  <w:tcW w:w="285" w:type="pct"/>
                  <w:tcBorders>
                    <w:tl2br w:val="nil"/>
                    <w:tr2bl w:val="nil"/>
                  </w:tcBorders>
                  <w:shd w:val="clear" w:color="auto" w:fill="auto"/>
                  <w:vAlign w:val="center"/>
                </w:tcPr>
                <w:p w14:paraId="53E2343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u w:val="none"/>
                      <w:vertAlign w:val="baseline"/>
                      <w:lang w:val="en-US" w:eastAsia="zh-CN" w:bidi="ar-SA"/>
                    </w:rPr>
                  </w:pPr>
                  <w:r>
                    <w:rPr>
                      <w:rFonts w:hint="eastAsia" w:cs="Times New Roman"/>
                      <w:b w:val="0"/>
                      <w:bCs w:val="0"/>
                      <w:color w:val="auto"/>
                      <w:sz w:val="21"/>
                      <w:szCs w:val="21"/>
                      <w:u w:val="none"/>
                      <w:vertAlign w:val="baseline"/>
                      <w:lang w:val="en-US" w:eastAsia="zh-CN"/>
                    </w:rPr>
                    <w:t>熔融工序</w:t>
                  </w:r>
                </w:p>
              </w:tc>
              <w:tc>
                <w:tcPr>
                  <w:tcW w:w="332" w:type="pct"/>
                  <w:tcBorders>
                    <w:tl2br w:val="nil"/>
                    <w:tr2bl w:val="nil"/>
                  </w:tcBorders>
                  <w:shd w:val="clear" w:color="auto" w:fill="auto"/>
                  <w:vAlign w:val="center"/>
                </w:tcPr>
                <w:p w14:paraId="18ABDCF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kern w:val="2"/>
                      <w:sz w:val="21"/>
                      <w:szCs w:val="21"/>
                      <w:highlight w:val="none"/>
                      <w:u w:val="none"/>
                      <w:vertAlign w:val="baseline"/>
                      <w:lang w:val="en-US" w:eastAsia="zh-CN" w:bidi="ar-SA"/>
                    </w:rPr>
                    <w:t>颗粒物</w:t>
                  </w:r>
                </w:p>
              </w:tc>
              <w:tc>
                <w:tcPr>
                  <w:tcW w:w="285" w:type="pct"/>
                  <w:tcBorders>
                    <w:tl2br w:val="nil"/>
                    <w:tr2bl w:val="nil"/>
                  </w:tcBorders>
                  <w:vAlign w:val="center"/>
                </w:tcPr>
                <w:p w14:paraId="4086745A">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22" w:type="pct"/>
                  <w:tcBorders>
                    <w:tl2br w:val="nil"/>
                    <w:tr2bl w:val="nil"/>
                  </w:tcBorders>
                  <w:vAlign w:val="center"/>
                </w:tcPr>
                <w:p w14:paraId="4F9D722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0.</w:t>
                  </w:r>
                  <w:r>
                    <w:rPr>
                      <w:rFonts w:hint="eastAsia" w:cs="Times New Roman"/>
                      <w:b w:val="0"/>
                      <w:bCs w:val="0"/>
                      <w:color w:val="auto"/>
                      <w:sz w:val="21"/>
                      <w:szCs w:val="21"/>
                      <w:highlight w:val="none"/>
                      <w:u w:val="none"/>
                      <w:vertAlign w:val="baseline"/>
                      <w:lang w:val="en-US" w:eastAsia="zh-CN"/>
                    </w:rPr>
                    <w:t>0359</w:t>
                  </w:r>
                </w:p>
              </w:tc>
              <w:tc>
                <w:tcPr>
                  <w:tcW w:w="306" w:type="pct"/>
                  <w:tcBorders>
                    <w:tl2br w:val="nil"/>
                    <w:tr2bl w:val="nil"/>
                  </w:tcBorders>
                  <w:vAlign w:val="center"/>
                </w:tcPr>
                <w:p w14:paraId="3935E26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11" w:type="pct"/>
                  <w:tcBorders>
                    <w:tl2br w:val="nil"/>
                    <w:tr2bl w:val="nil"/>
                  </w:tcBorders>
                  <w:vAlign w:val="center"/>
                </w:tcPr>
                <w:p w14:paraId="504AA1D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830" w:type="pct"/>
                  <w:vMerge w:val="restart"/>
                  <w:tcBorders>
                    <w:tl2br w:val="nil"/>
                    <w:tr2bl w:val="nil"/>
                  </w:tcBorders>
                  <w:vAlign w:val="center"/>
                </w:tcPr>
                <w:p w14:paraId="0CFF65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color w:val="auto"/>
                      <w:spacing w:val="0"/>
                      <w:kern w:val="0"/>
                      <w:sz w:val="21"/>
                      <w:szCs w:val="21"/>
                      <w:highlight w:val="none"/>
                      <w:lang w:val="en-US" w:eastAsia="zh-CN" w:bidi="he-IL"/>
                    </w:rPr>
                    <w:t>加强废气的收集及活性炭吸附净化装置维护保养，防止废气事故无组织排放；生产过程中门窗关闭，保持一个相对密闭的空间，合理设计送排风系统</w:t>
                  </w:r>
                </w:p>
              </w:tc>
              <w:tc>
                <w:tcPr>
                  <w:tcW w:w="308" w:type="pct"/>
                  <w:tcBorders>
                    <w:tl2br w:val="nil"/>
                    <w:tr2bl w:val="nil"/>
                  </w:tcBorders>
                  <w:vAlign w:val="center"/>
                </w:tcPr>
                <w:p w14:paraId="62796361">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0.0359</w:t>
                  </w:r>
                </w:p>
              </w:tc>
              <w:tc>
                <w:tcPr>
                  <w:tcW w:w="314" w:type="pct"/>
                  <w:tcBorders>
                    <w:tl2br w:val="nil"/>
                    <w:tr2bl w:val="nil"/>
                  </w:tcBorders>
                  <w:vAlign w:val="center"/>
                </w:tcPr>
                <w:p w14:paraId="6476207A">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0.0150</w:t>
                  </w:r>
                </w:p>
              </w:tc>
              <w:tc>
                <w:tcPr>
                  <w:tcW w:w="365" w:type="pct"/>
                  <w:tcBorders>
                    <w:tl2br w:val="nil"/>
                    <w:tr2bl w:val="nil"/>
                  </w:tcBorders>
                  <w:vAlign w:val="center"/>
                </w:tcPr>
                <w:p w14:paraId="1117C84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37" w:type="pct"/>
                  <w:tcBorders>
                    <w:tl2br w:val="nil"/>
                    <w:tr2bl w:val="nil"/>
                  </w:tcBorders>
                  <w:shd w:val="clear" w:color="auto" w:fill="auto"/>
                  <w:vAlign w:val="center"/>
                </w:tcPr>
                <w:p w14:paraId="3D6AFC57">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337" w:type="pct"/>
                  <w:tcBorders>
                    <w:tl2br w:val="nil"/>
                    <w:tr2bl w:val="nil"/>
                  </w:tcBorders>
                  <w:shd w:val="clear" w:color="auto" w:fill="auto"/>
                  <w:vAlign w:val="center"/>
                </w:tcPr>
                <w:p w14:paraId="085802A7">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263" w:type="pct"/>
                  <w:tcBorders>
                    <w:tl2br w:val="nil"/>
                    <w:tr2bl w:val="nil"/>
                  </w:tcBorders>
                  <w:shd w:val="clear" w:color="auto" w:fill="auto"/>
                  <w:vAlign w:val="center"/>
                </w:tcPr>
                <w:p w14:paraId="499EA279">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247" w:type="pct"/>
                  <w:tcBorders>
                    <w:tl2br w:val="nil"/>
                    <w:tr2bl w:val="nil"/>
                  </w:tcBorders>
                  <w:shd w:val="clear" w:color="auto" w:fill="auto"/>
                  <w:vAlign w:val="center"/>
                </w:tcPr>
                <w:p w14:paraId="3A47D161">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r>
            <w:tr w14:paraId="6A692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149" w:type="pct"/>
                  <w:vMerge w:val="continue"/>
                  <w:tcBorders>
                    <w:tl2br w:val="nil"/>
                    <w:tr2bl w:val="nil"/>
                  </w:tcBorders>
                  <w:vAlign w:val="center"/>
                </w:tcPr>
                <w:p w14:paraId="6C89B3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285" w:type="pct"/>
                  <w:vMerge w:val="restart"/>
                  <w:tcBorders>
                    <w:tl2br w:val="nil"/>
                    <w:tr2bl w:val="nil"/>
                  </w:tcBorders>
                  <w:shd w:val="clear" w:color="auto" w:fill="auto"/>
                  <w:vAlign w:val="center"/>
                </w:tcPr>
                <w:p w14:paraId="4BD906E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green"/>
                      <w:u w:val="none"/>
                      <w:lang w:val="en-US" w:eastAsia="zh-CN" w:bidi="ar-SA"/>
                    </w:rPr>
                  </w:pPr>
                  <w:r>
                    <w:rPr>
                      <w:rFonts w:hint="eastAsia" w:cs="Times New Roman"/>
                      <w:b w:val="0"/>
                      <w:bCs w:val="0"/>
                      <w:color w:val="auto"/>
                      <w:sz w:val="21"/>
                      <w:szCs w:val="21"/>
                      <w:highlight w:val="none"/>
                      <w:u w:val="none"/>
                      <w:lang w:val="en-US" w:eastAsia="zh-CN"/>
                    </w:rPr>
                    <w:t>压铸脱模工序</w:t>
                  </w:r>
                </w:p>
              </w:tc>
              <w:tc>
                <w:tcPr>
                  <w:tcW w:w="332" w:type="pct"/>
                  <w:tcBorders>
                    <w:tl2br w:val="nil"/>
                    <w:tr2bl w:val="nil"/>
                  </w:tcBorders>
                  <w:shd w:val="clear" w:color="auto" w:fill="auto"/>
                  <w:vAlign w:val="center"/>
                </w:tcPr>
                <w:p w14:paraId="77D04EC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ascii="Times New Roman" w:hAnsi="Times New Roman" w:eastAsia="宋体" w:cs="Times New Roman"/>
                      <w:b w:val="0"/>
                      <w:bCs w:val="0"/>
                      <w:color w:val="auto"/>
                      <w:sz w:val="21"/>
                      <w:szCs w:val="21"/>
                      <w:highlight w:val="none"/>
                      <w:u w:val="none"/>
                      <w:vertAlign w:val="baseline"/>
                      <w:lang w:val="en-US" w:eastAsia="zh-CN"/>
                    </w:rPr>
                    <w:t>颗粒物</w:t>
                  </w:r>
                </w:p>
              </w:tc>
              <w:tc>
                <w:tcPr>
                  <w:tcW w:w="285" w:type="pct"/>
                  <w:tcBorders>
                    <w:tl2br w:val="nil"/>
                    <w:tr2bl w:val="nil"/>
                  </w:tcBorders>
                  <w:vAlign w:val="center"/>
                </w:tcPr>
                <w:p w14:paraId="4DF240F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22" w:type="pct"/>
                  <w:tcBorders>
                    <w:tl2br w:val="nil"/>
                    <w:tr2bl w:val="nil"/>
                  </w:tcBorders>
                  <w:vAlign w:val="center"/>
                </w:tcPr>
                <w:p w14:paraId="50CC55C4">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0.1493</w:t>
                  </w:r>
                </w:p>
              </w:tc>
              <w:tc>
                <w:tcPr>
                  <w:tcW w:w="306" w:type="pct"/>
                  <w:tcBorders>
                    <w:tl2br w:val="nil"/>
                    <w:tr2bl w:val="nil"/>
                  </w:tcBorders>
                  <w:vAlign w:val="center"/>
                </w:tcPr>
                <w:p w14:paraId="214B0E8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11" w:type="pct"/>
                  <w:tcBorders>
                    <w:tl2br w:val="nil"/>
                    <w:tr2bl w:val="nil"/>
                  </w:tcBorders>
                  <w:vAlign w:val="center"/>
                </w:tcPr>
                <w:p w14:paraId="545EA0A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830" w:type="pct"/>
                  <w:vMerge w:val="continue"/>
                  <w:tcBorders>
                    <w:tl2br w:val="nil"/>
                    <w:tr2bl w:val="nil"/>
                  </w:tcBorders>
                  <w:vAlign w:val="center"/>
                </w:tcPr>
                <w:p w14:paraId="4F5227D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308" w:type="pct"/>
                  <w:tcBorders>
                    <w:tl2br w:val="nil"/>
                    <w:tr2bl w:val="nil"/>
                  </w:tcBorders>
                  <w:vAlign w:val="center"/>
                </w:tcPr>
                <w:p w14:paraId="07DDCDA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0.1493</w:t>
                  </w:r>
                </w:p>
              </w:tc>
              <w:tc>
                <w:tcPr>
                  <w:tcW w:w="314" w:type="pct"/>
                  <w:tcBorders>
                    <w:tl2br w:val="nil"/>
                    <w:tr2bl w:val="nil"/>
                  </w:tcBorders>
                  <w:vAlign w:val="center"/>
                </w:tcPr>
                <w:p w14:paraId="44C63E9B">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0.0622</w:t>
                  </w:r>
                </w:p>
              </w:tc>
              <w:tc>
                <w:tcPr>
                  <w:tcW w:w="365" w:type="pct"/>
                  <w:tcBorders>
                    <w:tl2br w:val="nil"/>
                    <w:tr2bl w:val="nil"/>
                  </w:tcBorders>
                  <w:vAlign w:val="center"/>
                </w:tcPr>
                <w:p w14:paraId="2359DA33">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37" w:type="pct"/>
                  <w:tcBorders>
                    <w:tl2br w:val="nil"/>
                    <w:tr2bl w:val="nil"/>
                  </w:tcBorders>
                  <w:shd w:val="clear" w:color="auto" w:fill="auto"/>
                  <w:vAlign w:val="center"/>
                </w:tcPr>
                <w:p w14:paraId="239690DC">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337" w:type="pct"/>
                  <w:tcBorders>
                    <w:tl2br w:val="nil"/>
                    <w:tr2bl w:val="nil"/>
                  </w:tcBorders>
                  <w:shd w:val="clear" w:color="auto" w:fill="auto"/>
                  <w:vAlign w:val="center"/>
                </w:tcPr>
                <w:p w14:paraId="5316C6D9">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263" w:type="pct"/>
                  <w:tcBorders>
                    <w:tl2br w:val="nil"/>
                    <w:tr2bl w:val="nil"/>
                  </w:tcBorders>
                  <w:shd w:val="clear" w:color="auto" w:fill="auto"/>
                  <w:vAlign w:val="center"/>
                </w:tcPr>
                <w:p w14:paraId="318D004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247" w:type="pct"/>
                  <w:tcBorders>
                    <w:tl2br w:val="nil"/>
                    <w:tr2bl w:val="nil"/>
                  </w:tcBorders>
                  <w:shd w:val="clear" w:color="auto" w:fill="auto"/>
                  <w:vAlign w:val="center"/>
                </w:tcPr>
                <w:p w14:paraId="73D00C4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r>
            <w:tr w14:paraId="04D3F2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49" w:type="pct"/>
                  <w:vMerge w:val="continue"/>
                  <w:tcBorders>
                    <w:tl2br w:val="nil"/>
                    <w:tr2bl w:val="nil"/>
                  </w:tcBorders>
                  <w:vAlign w:val="center"/>
                </w:tcPr>
                <w:p w14:paraId="1EBCAAC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285" w:type="pct"/>
                  <w:vMerge w:val="continue"/>
                  <w:tcBorders>
                    <w:tl2br w:val="nil"/>
                    <w:tr2bl w:val="nil"/>
                  </w:tcBorders>
                  <w:shd w:val="clear" w:color="auto" w:fill="auto"/>
                  <w:vAlign w:val="center"/>
                </w:tcPr>
                <w:p w14:paraId="4BCE8D8B">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sz w:val="21"/>
                      <w:szCs w:val="21"/>
                      <w:highlight w:val="none"/>
                      <w:u w:val="none"/>
                      <w:lang w:val="en-US" w:eastAsia="zh-CN"/>
                    </w:rPr>
                  </w:pPr>
                </w:p>
              </w:tc>
              <w:tc>
                <w:tcPr>
                  <w:tcW w:w="332" w:type="pct"/>
                  <w:tcBorders>
                    <w:tl2br w:val="nil"/>
                    <w:tr2bl w:val="nil"/>
                  </w:tcBorders>
                  <w:shd w:val="clear" w:color="auto" w:fill="auto"/>
                  <w:vAlign w:val="center"/>
                </w:tcPr>
                <w:p w14:paraId="61BD7DE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挥发性有机物</w:t>
                  </w:r>
                </w:p>
              </w:tc>
              <w:tc>
                <w:tcPr>
                  <w:tcW w:w="285" w:type="pct"/>
                  <w:tcBorders>
                    <w:tl2br w:val="nil"/>
                    <w:tr2bl w:val="nil"/>
                  </w:tcBorders>
                  <w:vAlign w:val="center"/>
                </w:tcPr>
                <w:p w14:paraId="12C31F13">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22" w:type="pct"/>
                  <w:tcBorders>
                    <w:tl2br w:val="nil"/>
                    <w:tr2bl w:val="nil"/>
                  </w:tcBorders>
                  <w:vAlign w:val="center"/>
                </w:tcPr>
                <w:p w14:paraId="3E605C0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0.0090</w:t>
                  </w:r>
                </w:p>
              </w:tc>
              <w:tc>
                <w:tcPr>
                  <w:tcW w:w="306" w:type="pct"/>
                  <w:tcBorders>
                    <w:tl2br w:val="nil"/>
                    <w:tr2bl w:val="nil"/>
                  </w:tcBorders>
                  <w:vAlign w:val="center"/>
                </w:tcPr>
                <w:p w14:paraId="1A37461D">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11" w:type="pct"/>
                  <w:tcBorders>
                    <w:tl2br w:val="nil"/>
                    <w:tr2bl w:val="nil"/>
                  </w:tcBorders>
                  <w:vAlign w:val="center"/>
                </w:tcPr>
                <w:p w14:paraId="24AEB4C4">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830" w:type="pct"/>
                  <w:vMerge w:val="continue"/>
                  <w:tcBorders>
                    <w:tl2br w:val="nil"/>
                    <w:tr2bl w:val="nil"/>
                  </w:tcBorders>
                  <w:vAlign w:val="center"/>
                </w:tcPr>
                <w:p w14:paraId="0D522C9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308" w:type="pct"/>
                  <w:tcBorders>
                    <w:tl2br w:val="nil"/>
                    <w:tr2bl w:val="nil"/>
                  </w:tcBorders>
                  <w:vAlign w:val="center"/>
                </w:tcPr>
                <w:p w14:paraId="6A19A5E6">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0.0090</w:t>
                  </w:r>
                </w:p>
              </w:tc>
              <w:tc>
                <w:tcPr>
                  <w:tcW w:w="314" w:type="pct"/>
                  <w:tcBorders>
                    <w:tl2br w:val="nil"/>
                    <w:tr2bl w:val="nil"/>
                  </w:tcBorders>
                  <w:vAlign w:val="center"/>
                </w:tcPr>
                <w:p w14:paraId="541750CA">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0.0038</w:t>
                  </w:r>
                </w:p>
              </w:tc>
              <w:tc>
                <w:tcPr>
                  <w:tcW w:w="365" w:type="pct"/>
                  <w:tcBorders>
                    <w:tl2br w:val="nil"/>
                    <w:tr2bl w:val="nil"/>
                  </w:tcBorders>
                  <w:vAlign w:val="center"/>
                </w:tcPr>
                <w:p w14:paraId="2F0F9B0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37" w:type="pct"/>
                  <w:tcBorders>
                    <w:tl2br w:val="nil"/>
                    <w:tr2bl w:val="nil"/>
                  </w:tcBorders>
                  <w:shd w:val="clear" w:color="auto" w:fill="auto"/>
                  <w:vAlign w:val="center"/>
                </w:tcPr>
                <w:p w14:paraId="02E00D9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337" w:type="pct"/>
                  <w:tcBorders>
                    <w:tl2br w:val="nil"/>
                    <w:tr2bl w:val="nil"/>
                  </w:tcBorders>
                  <w:shd w:val="clear" w:color="auto" w:fill="auto"/>
                  <w:vAlign w:val="center"/>
                </w:tcPr>
                <w:p w14:paraId="6DAF6BD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263" w:type="pct"/>
                  <w:tcBorders>
                    <w:tl2br w:val="nil"/>
                    <w:tr2bl w:val="nil"/>
                  </w:tcBorders>
                  <w:shd w:val="clear" w:color="auto" w:fill="auto"/>
                  <w:vAlign w:val="center"/>
                </w:tcPr>
                <w:p w14:paraId="09D0A5C1">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247" w:type="pct"/>
                  <w:tcBorders>
                    <w:tl2br w:val="nil"/>
                    <w:tr2bl w:val="nil"/>
                  </w:tcBorders>
                  <w:shd w:val="clear" w:color="auto" w:fill="auto"/>
                  <w:vAlign w:val="center"/>
                </w:tcPr>
                <w:p w14:paraId="7BEA9FF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r>
            <w:tr w14:paraId="67A95D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9" w:type="pct"/>
                  <w:vMerge w:val="restart"/>
                  <w:vAlign w:val="center"/>
                </w:tcPr>
                <w:p w14:paraId="41625A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合计</w:t>
                  </w:r>
                </w:p>
              </w:tc>
              <w:tc>
                <w:tcPr>
                  <w:tcW w:w="1533" w:type="pct"/>
                  <w:gridSpan w:val="5"/>
                  <w:vAlign w:val="center"/>
                </w:tcPr>
                <w:p w14:paraId="0B0BA61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lang w:val="en-US" w:eastAsia="zh-CN"/>
                    </w:rPr>
                    <w:t>污染物名称</w:t>
                  </w:r>
                </w:p>
              </w:tc>
              <w:tc>
                <w:tcPr>
                  <w:tcW w:w="1142" w:type="pct"/>
                  <w:gridSpan w:val="2"/>
                  <w:shd w:val="clear" w:color="auto" w:fill="auto"/>
                  <w:vAlign w:val="center"/>
                </w:tcPr>
                <w:p w14:paraId="2EE6723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有组织排放量</w:t>
                  </w:r>
                </w:p>
              </w:tc>
              <w:tc>
                <w:tcPr>
                  <w:tcW w:w="989" w:type="pct"/>
                  <w:gridSpan w:val="3"/>
                  <w:shd w:val="clear" w:color="auto" w:fill="auto"/>
                  <w:vAlign w:val="center"/>
                </w:tcPr>
                <w:p w14:paraId="090236E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无组织排放量</w:t>
                  </w:r>
                </w:p>
              </w:tc>
              <w:tc>
                <w:tcPr>
                  <w:tcW w:w="1185" w:type="pct"/>
                  <w:gridSpan w:val="4"/>
                  <w:vAlign w:val="center"/>
                </w:tcPr>
                <w:p w14:paraId="28767B8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合计</w:t>
                  </w:r>
                </w:p>
              </w:tc>
            </w:tr>
            <w:tr w14:paraId="4D557A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49" w:type="pct"/>
                  <w:vMerge w:val="continue"/>
                  <w:vAlign w:val="center"/>
                </w:tcPr>
                <w:p w14:paraId="29627F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1533" w:type="pct"/>
                  <w:gridSpan w:val="5"/>
                  <w:vAlign w:val="center"/>
                </w:tcPr>
                <w:p w14:paraId="116983D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颗粒物</w:t>
                  </w:r>
                  <w:r>
                    <w:rPr>
                      <w:rFonts w:hint="eastAsia" w:cs="Times New Roman"/>
                      <w:b w:val="0"/>
                      <w:bCs w:val="0"/>
                      <w:color w:val="auto"/>
                      <w:sz w:val="21"/>
                      <w:szCs w:val="21"/>
                      <w:u w:val="none"/>
                      <w:lang w:val="en-US" w:eastAsia="zh-CN"/>
                    </w:rPr>
                    <w:t>（t/a）</w:t>
                  </w:r>
                </w:p>
              </w:tc>
              <w:tc>
                <w:tcPr>
                  <w:tcW w:w="1142" w:type="pct"/>
                  <w:gridSpan w:val="2"/>
                  <w:shd w:val="clear" w:color="auto" w:fill="auto"/>
                  <w:vAlign w:val="center"/>
                </w:tcPr>
                <w:p w14:paraId="2FD2C3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cs="Times New Roman"/>
                      <w:b w:val="0"/>
                      <w:bCs w:val="0"/>
                      <w:color w:val="auto"/>
                      <w:kern w:val="2"/>
                      <w:sz w:val="21"/>
                      <w:szCs w:val="21"/>
                      <w:u w:val="none"/>
                      <w:vertAlign w:val="baseline"/>
                      <w:lang w:val="en-US" w:eastAsia="zh-CN" w:bidi="ar-SA"/>
                    </w:rPr>
                    <w:t>0.1666</w:t>
                  </w:r>
                </w:p>
              </w:tc>
              <w:tc>
                <w:tcPr>
                  <w:tcW w:w="989" w:type="pct"/>
                  <w:gridSpan w:val="3"/>
                  <w:shd w:val="clear" w:color="auto" w:fill="auto"/>
                  <w:vAlign w:val="center"/>
                </w:tcPr>
                <w:p w14:paraId="66A036D7">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0.1852</w:t>
                  </w:r>
                </w:p>
              </w:tc>
              <w:tc>
                <w:tcPr>
                  <w:tcW w:w="1185" w:type="pct"/>
                  <w:gridSpan w:val="4"/>
                  <w:vAlign w:val="center"/>
                </w:tcPr>
                <w:p w14:paraId="4FE368D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0.3518</w:t>
                  </w:r>
                </w:p>
              </w:tc>
            </w:tr>
            <w:tr w14:paraId="16619D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49" w:type="pct"/>
                  <w:vMerge w:val="continue"/>
                  <w:vAlign w:val="center"/>
                </w:tcPr>
                <w:p w14:paraId="2CAC7D7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1533" w:type="pct"/>
                  <w:gridSpan w:val="5"/>
                  <w:vAlign w:val="center"/>
                </w:tcPr>
                <w:p w14:paraId="671C45C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挥发性有机物VOCs（t/a）</w:t>
                  </w:r>
                </w:p>
              </w:tc>
              <w:tc>
                <w:tcPr>
                  <w:tcW w:w="1142" w:type="pct"/>
                  <w:gridSpan w:val="2"/>
                  <w:shd w:val="clear" w:color="auto" w:fill="auto"/>
                  <w:vAlign w:val="center"/>
                </w:tcPr>
                <w:p w14:paraId="3F42AEBE">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kern w:val="2"/>
                      <w:sz w:val="21"/>
                      <w:szCs w:val="21"/>
                      <w:u w:val="none"/>
                      <w:vertAlign w:val="baseline"/>
                      <w:lang w:val="en-US" w:eastAsia="zh-CN" w:bidi="ar-SA"/>
                    </w:rPr>
                  </w:pPr>
                  <w:r>
                    <w:rPr>
                      <w:rFonts w:hint="eastAsia" w:cs="Times New Roman"/>
                      <w:b w:val="0"/>
                      <w:bCs w:val="0"/>
                      <w:color w:val="auto"/>
                      <w:kern w:val="2"/>
                      <w:sz w:val="21"/>
                      <w:szCs w:val="21"/>
                      <w:u w:val="none"/>
                      <w:vertAlign w:val="baseline"/>
                      <w:lang w:val="en-US" w:eastAsia="zh-CN" w:bidi="ar-SA"/>
                    </w:rPr>
                    <w:t>0.0203</w:t>
                  </w:r>
                </w:p>
              </w:tc>
              <w:tc>
                <w:tcPr>
                  <w:tcW w:w="989" w:type="pct"/>
                  <w:gridSpan w:val="3"/>
                  <w:shd w:val="clear" w:color="auto" w:fill="auto"/>
                  <w:vAlign w:val="center"/>
                </w:tcPr>
                <w:p w14:paraId="025A542D">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kern w:val="2"/>
                      <w:sz w:val="21"/>
                      <w:szCs w:val="21"/>
                      <w:u w:val="none"/>
                      <w:vertAlign w:val="baseline"/>
                      <w:lang w:val="en-US" w:eastAsia="zh-CN" w:bidi="ar-SA"/>
                    </w:rPr>
                  </w:pPr>
                  <w:r>
                    <w:rPr>
                      <w:rFonts w:hint="eastAsia" w:cs="Times New Roman"/>
                      <w:b w:val="0"/>
                      <w:bCs w:val="0"/>
                      <w:color w:val="auto"/>
                      <w:kern w:val="2"/>
                      <w:sz w:val="21"/>
                      <w:szCs w:val="21"/>
                      <w:u w:val="none"/>
                      <w:vertAlign w:val="baseline"/>
                      <w:lang w:val="en-US" w:eastAsia="zh-CN" w:bidi="ar-SA"/>
                    </w:rPr>
                    <w:t>0.0090</w:t>
                  </w:r>
                </w:p>
              </w:tc>
              <w:tc>
                <w:tcPr>
                  <w:tcW w:w="1185" w:type="pct"/>
                  <w:gridSpan w:val="4"/>
                  <w:vAlign w:val="center"/>
                </w:tcPr>
                <w:p w14:paraId="4ACDD09B">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0.0293</w:t>
                  </w:r>
                </w:p>
              </w:tc>
            </w:tr>
          </w:tbl>
          <w:p w14:paraId="1F583C7B">
            <w:pPr>
              <w:numPr>
                <w:ilvl w:val="0"/>
                <w:numId w:val="0"/>
              </w:numPr>
              <w:adjustRightInd w:val="0"/>
              <w:snapToGrid w:val="0"/>
              <w:spacing w:line="348" w:lineRule="auto"/>
              <w:rPr>
                <w:rFonts w:hint="default" w:cs="Times New Roman"/>
                <w:color w:val="262626"/>
                <w:sz w:val="24"/>
                <w:lang w:val="en-US" w:eastAsia="zh-CN"/>
              </w:rPr>
            </w:pPr>
          </w:p>
        </w:tc>
      </w:tr>
    </w:tbl>
    <w:p w14:paraId="29DDD567">
      <w:pPr>
        <w:jc w:val="center"/>
        <w:rPr>
          <w:rFonts w:hint="default" w:ascii="Times New Roman" w:hAnsi="Times New Roman" w:eastAsia="宋体" w:cs="Times New Roman"/>
          <w:color w:val="auto"/>
          <w:kern w:val="0"/>
          <w:sz w:val="24"/>
          <w:szCs w:val="24"/>
          <w:lang w:val="en-US" w:eastAsia="zh-CN"/>
        </w:rPr>
        <w:sectPr>
          <w:pgSz w:w="16838" w:h="11906" w:orient="landscape"/>
          <w:pgMar w:top="1417" w:right="1587" w:bottom="1417" w:left="158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8813"/>
      </w:tblGrid>
      <w:tr w14:paraId="0172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2" w:hRule="atLeast"/>
        </w:trPr>
        <w:tc>
          <w:tcPr>
            <w:tcW w:w="252" w:type="pct"/>
            <w:vAlign w:val="center"/>
          </w:tcPr>
          <w:p w14:paraId="7F1C2790">
            <w:pPr>
              <w:jc w:val="center"/>
              <w:rPr>
                <w:rFonts w:hint="default" w:ascii="Times New Roman" w:hAnsi="Times New Roman" w:eastAsia="宋体" w:cs="Times New Roman"/>
                <w:color w:val="auto"/>
                <w:kern w:val="0"/>
                <w:sz w:val="24"/>
                <w:szCs w:val="24"/>
                <w:lang w:val="en-US" w:eastAsia="zh-CN"/>
              </w:rPr>
            </w:pPr>
          </w:p>
        </w:tc>
        <w:tc>
          <w:tcPr>
            <w:tcW w:w="4747" w:type="pct"/>
          </w:tcPr>
          <w:p w14:paraId="11689247">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136" w:name="_Toc10109"/>
            <w:bookmarkStart w:id="137" w:name="_Toc13376"/>
            <w:r>
              <w:rPr>
                <w:rFonts w:hint="eastAsia"/>
                <w:b/>
                <w:color w:val="262626"/>
                <w:kern w:val="0"/>
                <w:sz w:val="24"/>
                <w:lang w:val="en-US" w:eastAsia="zh-CN"/>
              </w:rPr>
              <w:t>4.1.3运营期大气污染防治措施合理性分析</w:t>
            </w:r>
            <w:bookmarkEnd w:id="136"/>
            <w:bookmarkEnd w:id="137"/>
          </w:p>
          <w:p w14:paraId="4B91027D">
            <w:pPr>
              <w:pStyle w:val="45"/>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运营期产生的废气污染物因子为</w:t>
            </w:r>
            <w:r>
              <w:rPr>
                <w:rFonts w:hint="eastAsia" w:ascii="Times New Roman" w:hAnsi="Times New Roman" w:cs="Times New Roman"/>
                <w:color w:val="auto"/>
                <w:sz w:val="24"/>
                <w:szCs w:val="24"/>
                <w:lang w:val="en-US" w:eastAsia="zh-CN"/>
              </w:rPr>
              <w:t>挥发性有机物、</w:t>
            </w:r>
            <w:r>
              <w:rPr>
                <w:rFonts w:hint="default" w:ascii="Times New Roman" w:hAnsi="Times New Roman" w:cs="Times New Roman"/>
                <w:color w:val="auto"/>
                <w:sz w:val="24"/>
                <w:szCs w:val="24"/>
                <w:lang w:val="en-US" w:eastAsia="zh-CN"/>
              </w:rPr>
              <w:t>颗粒物</w:t>
            </w:r>
            <w:r>
              <w:rPr>
                <w:rFonts w:hint="default" w:ascii="Times New Roman" w:hAnsi="Times New Roman" w:eastAsia="宋体" w:cs="Times New Roman"/>
                <w:color w:val="auto"/>
                <w:sz w:val="24"/>
                <w:szCs w:val="24"/>
                <w:lang w:val="en-US" w:eastAsia="zh-CN"/>
              </w:rPr>
              <w:t>。</w:t>
            </w:r>
          </w:p>
          <w:p w14:paraId="4DE774BF">
            <w:pPr>
              <w:pStyle w:val="45"/>
              <w:keepNext w:val="0"/>
              <w:keepLines w:val="0"/>
              <w:pageBreakBefore w:val="0"/>
              <w:widowControl w:val="0"/>
              <w:numPr>
                <w:ilvl w:val="0"/>
                <w:numId w:val="0"/>
              </w:numPr>
              <w:kinsoku/>
              <w:wordWrap/>
              <w:overflowPunct/>
              <w:topLinePunct w:val="0"/>
              <w:autoSpaceDE/>
              <w:autoSpaceDN/>
              <w:bidi w:val="0"/>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（1）生产车间密闭情况分析</w:t>
            </w:r>
          </w:p>
          <w:p w14:paraId="514E5521">
            <w:pPr>
              <w:pStyle w:val="45"/>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w:t>
            </w:r>
            <w:r>
              <w:rPr>
                <w:rFonts w:hint="eastAsia" w:ascii="Times New Roman" w:hAnsi="Times New Roman" w:cs="Times New Roman"/>
                <w:color w:val="auto"/>
                <w:sz w:val="24"/>
                <w:szCs w:val="24"/>
                <w:lang w:val="en-US" w:eastAsia="zh-CN"/>
              </w:rPr>
              <w:t>购置</w:t>
            </w:r>
            <w:r>
              <w:rPr>
                <w:rFonts w:hint="eastAsia" w:ascii="Times New Roman" w:hAnsi="Times New Roman" w:eastAsia="宋体" w:cs="Times New Roman"/>
                <w:color w:val="auto"/>
                <w:sz w:val="24"/>
                <w:szCs w:val="24"/>
                <w:lang w:val="en-US" w:eastAsia="zh-CN"/>
              </w:rPr>
              <w:t>厂房总体为钢筋混凝土结构，墙体、屋顶、门窗等均采用密闭设计。本项目所使用设备均设置在车间内，</w:t>
            </w:r>
            <w:r>
              <w:rPr>
                <w:rFonts w:hint="eastAsia" w:ascii="Times New Roman" w:hAnsi="Times New Roman" w:cs="Times New Roman"/>
                <w:color w:val="auto"/>
                <w:sz w:val="24"/>
                <w:szCs w:val="24"/>
                <w:lang w:val="en-US" w:eastAsia="zh-CN"/>
              </w:rPr>
              <w:t>抛光、研磨、去毛边等设备设置密闭生产车间，加强车间管理，定期使用吸尘器对车间内进行清扫，</w:t>
            </w:r>
            <w:r>
              <w:rPr>
                <w:rFonts w:hint="eastAsia" w:ascii="Times New Roman" w:hAnsi="Times New Roman" w:eastAsia="宋体" w:cs="Times New Roman"/>
                <w:color w:val="auto"/>
                <w:sz w:val="24"/>
                <w:szCs w:val="24"/>
                <w:lang w:val="en-US" w:eastAsia="zh-CN"/>
              </w:rPr>
              <w:t>可减少污染物无组织扩散。</w:t>
            </w:r>
          </w:p>
          <w:p w14:paraId="4B0B26E6">
            <w:pPr>
              <w:pStyle w:val="45"/>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废气</w:t>
            </w:r>
            <w:r>
              <w:rPr>
                <w:rFonts w:hint="default" w:ascii="Times New Roman" w:hAnsi="Times New Roman" w:eastAsia="宋体" w:cs="Times New Roman"/>
                <w:color w:val="auto"/>
                <w:sz w:val="24"/>
                <w:szCs w:val="24"/>
                <w:highlight w:val="none"/>
                <w:lang w:val="en-US" w:eastAsia="zh-CN"/>
              </w:rPr>
              <w:t>治理措施</w:t>
            </w:r>
            <w:r>
              <w:rPr>
                <w:rFonts w:hint="eastAsia" w:ascii="Times New Roman" w:hAnsi="Times New Roman" w:cs="Times New Roman"/>
                <w:color w:val="auto"/>
                <w:sz w:val="24"/>
                <w:szCs w:val="24"/>
                <w:highlight w:val="none"/>
                <w:lang w:val="en-US" w:eastAsia="zh-CN"/>
              </w:rPr>
              <w:t>分析</w:t>
            </w:r>
          </w:p>
          <w:p w14:paraId="0F1A82A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auto"/>
                <w:kern w:val="0"/>
                <w:sz w:val="24"/>
                <w:szCs w:val="24"/>
                <w:highlight w:val="none"/>
                <w:lang w:val="en-US" w:eastAsia="zh-CN" w:bidi="ar-SA"/>
              </w:rPr>
              <w:t>项目</w:t>
            </w:r>
            <w:r>
              <w:rPr>
                <w:rFonts w:hint="eastAsia" w:cs="Times New Roman"/>
                <w:color w:val="auto"/>
                <w:kern w:val="0"/>
                <w:sz w:val="24"/>
                <w:szCs w:val="24"/>
                <w:highlight w:val="none"/>
                <w:lang w:val="en-US" w:eastAsia="zh-CN" w:bidi="ar-SA"/>
              </w:rPr>
              <w:t>熔融、压铸脱模工序生产废</w:t>
            </w:r>
            <w:r>
              <w:rPr>
                <w:rFonts w:hint="eastAsia" w:ascii="Times New Roman" w:hAnsi="Times New Roman" w:cs="Times New Roman"/>
                <w:color w:val="auto"/>
                <w:kern w:val="0"/>
                <w:sz w:val="24"/>
                <w:szCs w:val="24"/>
                <w:highlight w:val="none"/>
                <w:lang w:val="en-US" w:eastAsia="zh-CN" w:bidi="ar-SA"/>
              </w:rPr>
              <w:t>气</w:t>
            </w:r>
            <w:r>
              <w:rPr>
                <w:rFonts w:hint="eastAsia" w:cs="Times New Roman"/>
                <w:color w:val="auto"/>
                <w:kern w:val="0"/>
                <w:sz w:val="24"/>
                <w:szCs w:val="24"/>
                <w:highlight w:val="none"/>
                <w:lang w:val="en-US" w:eastAsia="zh-CN" w:bidi="ar-SA"/>
              </w:rPr>
              <w:t>（挥发性有机物、颗粒物）</w:t>
            </w:r>
            <w:r>
              <w:rPr>
                <w:rFonts w:hint="eastAsia" w:ascii="Times New Roman" w:hAnsi="Times New Roman" w:cs="Times New Roman"/>
                <w:color w:val="auto"/>
                <w:kern w:val="0"/>
                <w:sz w:val="24"/>
                <w:szCs w:val="24"/>
                <w:highlight w:val="none"/>
                <w:lang w:val="en-US" w:eastAsia="zh-CN" w:bidi="ar-SA"/>
              </w:rPr>
              <w:t>经</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t>集气罩+</w:t>
            </w:r>
            <w:r>
              <w:rPr>
                <w:rFonts w:hint="eastAsia" w:cs="Times New Roman"/>
                <w:i w:val="0"/>
                <w:iCs w:val="0"/>
                <w:caps w:val="0"/>
                <w:color w:val="auto"/>
                <w:spacing w:val="0"/>
                <w:sz w:val="24"/>
                <w:szCs w:val="24"/>
                <w:highlight w:val="none"/>
                <w:shd w:val="clear" w:color="auto" w:fill="FFFFFF"/>
                <w:lang w:val="en-US" w:eastAsia="zh-CN"/>
              </w:rPr>
              <w:t>布袋除尘器+二级</w:t>
            </w:r>
            <w:r>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t>活性炭吸附装置</w:t>
            </w:r>
            <w:r>
              <w:rPr>
                <w:rFonts w:hint="eastAsia" w:ascii="Times New Roman" w:hAnsi="Times New Roman" w:eastAsia="宋体" w:cs="Times New Roman"/>
                <w:i w:val="0"/>
                <w:iCs w:val="0"/>
                <w:caps w:val="0"/>
                <w:color w:val="auto"/>
                <w:spacing w:val="0"/>
                <w:sz w:val="24"/>
                <w:szCs w:val="24"/>
                <w:highlight w:val="none"/>
                <w:shd w:val="clear" w:color="auto" w:fill="FFFFFF"/>
                <w:lang w:val="en-US" w:eastAsia="zh-CN"/>
              </w:rPr>
              <w:t>”</w:t>
            </w:r>
            <w:r>
              <w:rPr>
                <w:rFonts w:hint="default" w:ascii="Times New Roman" w:hAnsi="Times New Roman" w:eastAsia="宋体" w:cs="Times New Roman"/>
                <w:color w:val="auto"/>
                <w:kern w:val="0"/>
                <w:sz w:val="24"/>
                <w:szCs w:val="24"/>
                <w:highlight w:val="none"/>
                <w:lang w:val="en-US" w:eastAsia="zh-CN" w:bidi="ar-SA"/>
              </w:rPr>
              <w:t>处理后通过</w:t>
            </w:r>
            <w:r>
              <w:rPr>
                <w:rFonts w:hint="eastAsia" w:ascii="Times New Roman" w:hAnsi="Times New Roman" w:eastAsia="宋体" w:cs="Times New Roman"/>
                <w:color w:val="auto"/>
                <w:kern w:val="0"/>
                <w:sz w:val="24"/>
                <w:szCs w:val="24"/>
                <w:highlight w:val="none"/>
                <w:lang w:val="en-US" w:eastAsia="zh-CN" w:bidi="ar-SA"/>
              </w:rPr>
              <w:t>15</w:t>
            </w:r>
            <w:r>
              <w:rPr>
                <w:rFonts w:hint="default" w:ascii="Times New Roman" w:hAnsi="Times New Roman" w:eastAsia="宋体" w:cs="Times New Roman"/>
                <w:color w:val="auto"/>
                <w:kern w:val="0"/>
                <w:sz w:val="24"/>
                <w:szCs w:val="24"/>
                <w:highlight w:val="none"/>
                <w:lang w:val="en-US" w:eastAsia="zh-CN" w:bidi="ar-SA"/>
              </w:rPr>
              <w:t>m高排气筒（DA001）排放</w:t>
            </w:r>
            <w:r>
              <w:rPr>
                <w:rFonts w:hint="eastAsia"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机加工（研磨、钻孔、去毛边）等工序</w:t>
            </w:r>
            <w:r>
              <w:rPr>
                <w:rFonts w:hint="eastAsia" w:ascii="Times New Roman" w:hAnsi="Times New Roman" w:cs="Times New Roman"/>
                <w:color w:val="auto"/>
                <w:sz w:val="24"/>
                <w:szCs w:val="24"/>
                <w:highlight w:val="none"/>
                <w:lang w:val="en-US" w:eastAsia="zh-CN"/>
              </w:rPr>
              <w:t>设置密闭生产车间，</w:t>
            </w:r>
            <w:r>
              <w:rPr>
                <w:rFonts w:hint="eastAsia" w:cs="Times New Roman"/>
                <w:color w:val="auto"/>
                <w:sz w:val="24"/>
                <w:szCs w:val="24"/>
                <w:highlight w:val="none"/>
                <w:lang w:val="en-US" w:eastAsia="zh-CN"/>
              </w:rPr>
              <w:t>产生的金属粉尘比重大，会沉降在设备周围，</w:t>
            </w:r>
            <w:r>
              <w:rPr>
                <w:rFonts w:hint="eastAsia" w:ascii="Times New Roman" w:hAnsi="Times New Roman" w:cs="Times New Roman"/>
                <w:color w:val="auto"/>
                <w:sz w:val="24"/>
                <w:szCs w:val="24"/>
                <w:highlight w:val="none"/>
                <w:lang w:val="en-US" w:eastAsia="zh-CN"/>
              </w:rPr>
              <w:t>加强车间管理，定期对车间内进行清扫</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r>
              <w:rPr>
                <w:rFonts w:hint="eastAsia" w:cs="Times New Roman"/>
                <w:color w:val="000000" w:themeColor="text1"/>
                <w:kern w:val="0"/>
                <w:sz w:val="24"/>
                <w:szCs w:val="24"/>
                <w:highlight w:val="none"/>
                <w:lang w:val="en-US" w:eastAsia="zh-CN" w:bidi="ar-SA"/>
                <w14:textFill>
                  <w14:solidFill>
                    <w14:schemeClr w14:val="tx1"/>
                  </w14:solidFill>
                </w14:textFill>
              </w:rPr>
              <w:t>收集后作为一般固体废物，外售综合利用。</w:t>
            </w:r>
          </w:p>
          <w:p w14:paraId="12B654F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本项目</w:t>
            </w:r>
            <w:r>
              <w:rPr>
                <w:rFonts w:hint="eastAsia" w:cs="Times New Roman"/>
                <w:color w:val="000000" w:themeColor="text1"/>
                <w:kern w:val="0"/>
                <w:sz w:val="24"/>
                <w:szCs w:val="24"/>
                <w:highlight w:val="none"/>
                <w:lang w:val="en-US" w:eastAsia="zh-CN" w:bidi="ar-SA"/>
                <w14:textFill>
                  <w14:solidFill>
                    <w14:schemeClr w14:val="tx1"/>
                  </w14:solidFill>
                </w14:textFill>
              </w:rPr>
              <w:t>熔融</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工序与</w:t>
            </w:r>
            <w:r>
              <w:rPr>
                <w:rFonts w:hint="eastAsia" w:cs="Times New Roman"/>
                <w:color w:val="000000" w:themeColor="text1"/>
                <w:kern w:val="0"/>
                <w:sz w:val="24"/>
                <w:szCs w:val="24"/>
                <w:highlight w:val="none"/>
                <w:lang w:val="en-US" w:eastAsia="zh-CN" w:bidi="ar-SA"/>
                <w14:textFill>
                  <w14:solidFill>
                    <w14:schemeClr w14:val="tx1"/>
                  </w14:solidFill>
                </w14:textFill>
              </w:rPr>
              <w:t>压铸脱模工序</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所产生的废气执行相同的排放标准</w:t>
            </w:r>
            <w:r>
              <w:rPr>
                <w:rFonts w:hint="eastAsia" w:cs="Times New Roman"/>
                <w:color w:val="000000" w:themeColor="text1"/>
                <w:kern w:val="0"/>
                <w:sz w:val="24"/>
                <w:szCs w:val="24"/>
                <w:highlight w:val="none"/>
                <w:lang w:val="en-US" w:eastAsia="zh-CN" w:bidi="ar-SA"/>
                <w14:textFill>
                  <w14:solidFill>
                    <w14:schemeClr w14:val="tx1"/>
                  </w14:solidFill>
                </w14:textFill>
              </w:rPr>
              <w:t>且</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污染源位置相近，具备合并排放的先决条件。将两根排气筒合并具有充分的合理性：技术上，合并后可建设更高规格的排气筒，利用更强的烟囱效应提升污染物扩散效率</w:t>
            </w:r>
            <w:r>
              <w:rPr>
                <w:rFonts w:hint="eastAsia" w:cs="Times New Roman"/>
                <w:color w:val="000000" w:themeColor="text1"/>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确保稳定满足环保标准</w:t>
            </w:r>
            <w:r>
              <w:rPr>
                <w:rFonts w:hint="eastAsia" w:cs="Times New Roman"/>
                <w:color w:val="000000" w:themeColor="text1"/>
                <w:kern w:val="0"/>
                <w:sz w:val="24"/>
                <w:szCs w:val="24"/>
                <w:highlight w:val="none"/>
                <w:lang w:val="en-US" w:eastAsia="zh-CN" w:bidi="ar-SA"/>
                <w14:textFill>
                  <w14:solidFill>
                    <w14:schemeClr w14:val="tx1"/>
                  </w14:solidFill>
                </w14:textFill>
              </w:rPr>
              <w:t>；在</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经济与管理上，可实现净化设施的集中配置与统一运维，显著降低投资与长期运营成本，并简化监测与监管流程。</w:t>
            </w:r>
            <w:r>
              <w:rPr>
                <w:rFonts w:hint="eastAsia" w:cs="Times New Roman"/>
                <w:color w:val="000000" w:themeColor="text1"/>
                <w:kern w:val="0"/>
                <w:sz w:val="24"/>
                <w:szCs w:val="24"/>
                <w:highlight w:val="none"/>
                <w:lang w:val="en-US" w:eastAsia="zh-CN" w:bidi="ar-SA"/>
                <w14:textFill>
                  <w14:solidFill>
                    <w14:schemeClr w14:val="tx1"/>
                  </w14:solidFill>
                </w14:textFill>
              </w:rPr>
              <w:t>熔融产生的颗粒物量较小</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，通过合理的系统设计，其运行特性不会对合并后处理系统的稳定性与处理效率构成影响。因此，</w:t>
            </w:r>
            <w:r>
              <w:rPr>
                <w:rFonts w:hint="eastAsia" w:cs="Times New Roman"/>
                <w:color w:val="000000" w:themeColor="text1"/>
                <w:kern w:val="0"/>
                <w:sz w:val="24"/>
                <w:szCs w:val="24"/>
                <w:highlight w:val="none"/>
                <w:lang w:val="en-US" w:eastAsia="zh-CN" w:bidi="ar-SA"/>
                <w14:textFill>
                  <w14:solidFill>
                    <w14:schemeClr w14:val="tx1"/>
                  </w14:solidFill>
                </w14:textFill>
              </w:rPr>
              <w:t>熔融</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废气与</w:t>
            </w:r>
            <w:r>
              <w:rPr>
                <w:rFonts w:hint="eastAsia" w:cs="Times New Roman"/>
                <w:color w:val="000000" w:themeColor="text1"/>
                <w:kern w:val="0"/>
                <w:sz w:val="24"/>
                <w:szCs w:val="24"/>
                <w:highlight w:val="none"/>
                <w:lang w:val="en-US" w:eastAsia="zh-CN" w:bidi="ar-SA"/>
                <w14:textFill>
                  <w14:solidFill>
                    <w14:schemeClr w14:val="tx1"/>
                  </w14:solidFill>
                </w14:textFill>
              </w:rPr>
              <w:t>压铸脱模</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废气合并一根排气筒排放方案可行。项目车间废气处理工艺流程图详见图4.</w:t>
            </w:r>
            <w:r>
              <w:rPr>
                <w:rFonts w:hint="eastAsia" w:ascii="Times New Roman" w:hAnsi="Times New Roman" w:cs="Times New Roman"/>
                <w:color w:val="000000" w:themeColor="text1"/>
                <w:kern w:val="0"/>
                <w:sz w:val="24"/>
                <w:szCs w:val="24"/>
                <w:highlight w:val="none"/>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-1。</w:t>
            </w:r>
          </w:p>
          <w:p w14:paraId="41EFABD6">
            <w:pPr>
              <w:pStyle w:val="50"/>
              <w:ind w:left="0" w:leftChars="0" w:firstLine="0" w:firstLineChars="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drawing>
                <wp:inline distT="0" distB="0" distL="114300" distR="114300">
                  <wp:extent cx="5447665" cy="2010410"/>
                  <wp:effectExtent l="0" t="0" r="635" b="8890"/>
                  <wp:docPr id="2" name="F360BE8B-6686-4F3D-AEAF-501FE73E4058-3" descr="C:/Users/AA/AppData/Local/Temp/瑞昌废气处理工艺流程图.png瑞昌废气处理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60BE8B-6686-4F3D-AEAF-501FE73E4058-3" descr="C:/Users/AA/AppData/Local/Temp/瑞昌废气处理工艺流程图.png瑞昌废气处理工艺流程图"/>
                          <pic:cNvPicPr>
                            <a:picLocks noChangeAspect="1"/>
                          </pic:cNvPicPr>
                        </pic:nvPicPr>
                        <pic:blipFill>
                          <a:blip r:embed="rId26"/>
                          <a:stretch>
                            <a:fillRect/>
                          </a:stretch>
                        </pic:blipFill>
                        <pic:spPr>
                          <a:xfrm>
                            <a:off x="0" y="0"/>
                            <a:ext cx="5447665" cy="2010410"/>
                          </a:xfrm>
                          <a:prstGeom prst="rect">
                            <a:avLst/>
                          </a:prstGeom>
                        </pic:spPr>
                      </pic:pic>
                    </a:graphicData>
                  </a:graphic>
                </wp:inline>
              </w:drawing>
            </w:r>
          </w:p>
          <w:p w14:paraId="2D2F3AF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图4.1-1项目废气处理工艺流程图</w:t>
            </w:r>
          </w:p>
          <w:p w14:paraId="4881748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活性炭吸附</w:t>
            </w:r>
            <w:r>
              <w:rPr>
                <w:rFonts w:hint="default" w:ascii="Times New Roman" w:hAnsi="Times New Roman" w:eastAsia="宋体" w:cs="Times New Roman"/>
                <w:b/>
                <w:bCs/>
                <w:color w:val="auto"/>
                <w:sz w:val="24"/>
                <w:szCs w:val="24"/>
                <w:highlight w:val="none"/>
                <w:lang w:eastAsia="zh-CN"/>
              </w:rPr>
              <w:t>工艺原理：</w:t>
            </w:r>
            <w:r>
              <w:rPr>
                <w:rFonts w:hint="default" w:ascii="Times New Roman" w:hAnsi="Times New Roman" w:eastAsia="宋体" w:cs="Times New Roman"/>
                <w:color w:val="auto"/>
                <w:sz w:val="24"/>
                <w:szCs w:val="24"/>
                <w:highlight w:val="none"/>
              </w:rPr>
              <w:t>有机气体进入活性炭塔，有机气体进入塔内时，风速瞬间</w:t>
            </w:r>
            <w:r>
              <w:rPr>
                <w:rFonts w:hint="eastAsia" w:ascii="Times New Roman" w:hAnsi="Times New Roman" w:eastAsia="宋体" w:cs="Times New Roman"/>
                <w:color w:val="auto"/>
                <w:sz w:val="24"/>
                <w:szCs w:val="24"/>
                <w:highlight w:val="none"/>
                <w:lang w:eastAsia="zh-CN"/>
              </w:rPr>
              <w:t>下降</w:t>
            </w:r>
            <w:r>
              <w:rPr>
                <w:rFonts w:hint="default" w:ascii="Times New Roman" w:hAnsi="Times New Roman" w:eastAsia="宋体" w:cs="Times New Roman"/>
                <w:color w:val="auto"/>
                <w:sz w:val="24"/>
                <w:szCs w:val="24"/>
                <w:highlight w:val="none"/>
              </w:rPr>
              <w:t>，气体内含的较大颗粒杂物便自然沉降入塔底部，而</w:t>
            </w:r>
            <w:r>
              <w:rPr>
                <w:rFonts w:hint="eastAsia" w:ascii="Times New Roman" w:hAnsi="Times New Roman" w:eastAsia="宋体" w:cs="Times New Roman"/>
                <w:color w:val="auto"/>
                <w:sz w:val="24"/>
                <w:szCs w:val="24"/>
                <w:highlight w:val="none"/>
                <w:lang w:eastAsia="zh-CN"/>
              </w:rPr>
              <w:t>融入</w:t>
            </w:r>
            <w:r>
              <w:rPr>
                <w:rFonts w:hint="default" w:ascii="Times New Roman" w:hAnsi="Times New Roman" w:eastAsia="宋体" w:cs="Times New Roman"/>
                <w:color w:val="auto"/>
                <w:sz w:val="24"/>
                <w:szCs w:val="24"/>
                <w:highlight w:val="none"/>
              </w:rPr>
              <w:t>气体内的有机气体部分随气体流向流进活性炭过滤层，有机气体进入炭层时，有机气体被活性炭吸附进炭内，而干净的空气穿过炭层进入出气仓，气体经过机械自吸后排入大气中。</w:t>
            </w:r>
          </w:p>
          <w:p w14:paraId="6552FED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000000"/>
                <w:sz w:val="24"/>
                <w:szCs w:val="24"/>
                <w:lang w:val="en-US" w:eastAsia="zh-CN"/>
              </w:rPr>
              <w:t>本项目采用颗粒</w:t>
            </w:r>
            <w:r>
              <w:rPr>
                <w:rFonts w:hint="default" w:ascii="Times New Roman" w:hAnsi="Times New Roman" w:eastAsia="宋体" w:cs="Times New Roman"/>
                <w:color w:val="000000"/>
                <w:sz w:val="24"/>
                <w:szCs w:val="24"/>
                <w:lang w:val="en-US" w:eastAsia="zh-CN"/>
              </w:rPr>
              <w:t>活性炭，是一种具有多孔结构和大的内部比表面积的材料。由于其大的比表面积、微孔结构、高的吸附能力和很高的表面活性而成为独特的多功能吸附剂</w:t>
            </w:r>
            <w:r>
              <w:rPr>
                <w:rFonts w:hint="eastAsia" w:cs="Times New Roman"/>
                <w:color w:val="000000"/>
                <w:sz w:val="24"/>
                <w:szCs w:val="24"/>
                <w:lang w:val="en-US" w:eastAsia="zh-CN"/>
              </w:rPr>
              <w:t>且</w:t>
            </w:r>
            <w:r>
              <w:rPr>
                <w:rFonts w:hint="default" w:ascii="Times New Roman" w:hAnsi="Times New Roman" w:eastAsia="宋体" w:cs="Times New Roman"/>
                <w:color w:val="000000"/>
                <w:sz w:val="24"/>
                <w:szCs w:val="24"/>
                <w:lang w:val="en-US" w:eastAsia="zh-CN"/>
              </w:rPr>
              <w:t>其价廉易得，可再生活化，同时它可有效去除废水、废气中的大部分有机物和某些无机物，所以它被世界各国广泛地应用于污水及废气的处理、空气净化、回收溶剂等环境保护和资源回收等领域。活性炭分为粉末活性炭、粒状活性炭及活性炭纤维，但是由于粉末活性炭产生二次污染且不能再生而被限制使用。粒状活性炭粒径500～5000μm，有机废气通过吸附床，与活性炭接触，废气中的有机污染物被吸附在活性炭表面，从而从气流中脱离出来，达到净化效果。采用颗粒活性炭作为吸附剂时，其碘值不宜低于800mg/g。一次性活性炭吸附工艺宜采用颗粒活性炭作为吸附剂。活性炭、活性炭纤维产品销售时应提供产品质量证明材料，项目计</w:t>
            </w:r>
            <w:r>
              <w:rPr>
                <w:rFonts w:hint="default" w:ascii="Times New Roman" w:hAnsi="Times New Roman" w:eastAsia="宋体" w:cs="Times New Roman"/>
                <w:color w:val="auto"/>
                <w:sz w:val="24"/>
                <w:szCs w:val="24"/>
                <w:lang w:val="en-US" w:eastAsia="zh-CN"/>
              </w:rPr>
              <w:t>划每</w:t>
            </w:r>
            <w:r>
              <w:rPr>
                <w:rFonts w:hint="eastAsia" w:ascii="Times New Roman" w:hAnsi="Times New Roman" w:eastAsia="宋体" w:cs="Times New Roman"/>
                <w:color w:val="auto"/>
                <w:sz w:val="24"/>
                <w:szCs w:val="24"/>
                <w:lang w:val="en-US" w:eastAsia="zh-CN"/>
              </w:rPr>
              <w:t>三</w:t>
            </w:r>
            <w:r>
              <w:rPr>
                <w:rFonts w:hint="default" w:ascii="Times New Roman" w:hAnsi="Times New Roman" w:eastAsia="宋体" w:cs="Times New Roman"/>
                <w:color w:val="auto"/>
                <w:sz w:val="24"/>
                <w:szCs w:val="24"/>
                <w:lang w:val="en-US" w:eastAsia="zh-CN"/>
              </w:rPr>
              <w:t>个月更换一次活性炭。活性炭对</w:t>
            </w:r>
            <w:r>
              <w:rPr>
                <w:rFonts w:hint="default" w:ascii="Times New Roman" w:hAnsi="Times New Roman" w:eastAsia="宋体" w:cs="Times New Roman"/>
                <w:color w:val="000000"/>
                <w:sz w:val="24"/>
                <w:szCs w:val="24"/>
                <w:lang w:val="en-US" w:eastAsia="zh-CN"/>
              </w:rPr>
              <w:t>有机废气具有良好的吸附效果，可使得有机废气处理能力达</w:t>
            </w:r>
            <w:r>
              <w:rPr>
                <w:rFonts w:hint="default" w:ascii="Times New Roman" w:hAnsi="Times New Roman" w:eastAsia="宋体" w:cs="Times New Roman"/>
                <w:color w:val="auto"/>
                <w:sz w:val="24"/>
                <w:szCs w:val="24"/>
                <w:lang w:val="en-US" w:eastAsia="zh-CN"/>
              </w:rPr>
              <w:t>到</w:t>
            </w:r>
            <w:r>
              <w:rPr>
                <w:rFonts w:hint="eastAsia" w:ascii="Times New Roman" w:hAnsi="Times New Roman" w:eastAsia="宋体" w:cs="Times New Roman"/>
                <w:color w:val="auto"/>
                <w:sz w:val="24"/>
                <w:szCs w:val="24"/>
                <w:lang w:val="en-US" w:eastAsia="zh-CN"/>
              </w:rPr>
              <w:t>75</w:t>
            </w:r>
            <w:r>
              <w:rPr>
                <w:rFonts w:hint="default" w:ascii="Times New Roman" w:hAnsi="Times New Roman" w:eastAsia="宋体" w:cs="Times New Roman"/>
                <w:color w:val="auto"/>
                <w:sz w:val="24"/>
                <w:szCs w:val="24"/>
                <w:lang w:val="en-US" w:eastAsia="zh-CN"/>
              </w:rPr>
              <w:t>%以上。</w:t>
            </w:r>
          </w:p>
          <w:p w14:paraId="524638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废气停留时间计算</w:t>
            </w:r>
          </w:p>
          <w:p w14:paraId="5B3360B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拟建项目</w:t>
            </w:r>
            <w:r>
              <w:rPr>
                <w:rFonts w:hint="default" w:ascii="Times New Roman" w:hAnsi="Times New Roman" w:eastAsia="宋体" w:cs="Times New Roman"/>
                <w:color w:val="auto"/>
                <w:sz w:val="24"/>
                <w:szCs w:val="24"/>
                <w:highlight w:val="none"/>
                <w:lang w:val="en-US" w:eastAsia="zh-CN"/>
              </w:rPr>
              <w:t>DA00</w:t>
            </w:r>
            <w:r>
              <w:rPr>
                <w:rFonts w:hint="eastAsia" w:ascii="Times New Roman" w:hAnsi="Times New Roman" w:eastAsia="宋体" w:cs="Times New Roman"/>
                <w:color w:val="auto"/>
                <w:sz w:val="24"/>
                <w:szCs w:val="24"/>
                <w:highlight w:val="none"/>
                <w:lang w:val="en-US" w:eastAsia="zh-CN"/>
              </w:rPr>
              <w:t>1排气筒配套的活性炭吸附装置对应的风量为</w:t>
            </w:r>
            <w:r>
              <w:rPr>
                <w:rFonts w:hint="eastAsia" w:cs="Times New Roman"/>
                <w:color w:val="auto"/>
                <w:sz w:val="24"/>
                <w:szCs w:val="24"/>
                <w:highlight w:val="none"/>
                <w:lang w:val="en-US" w:eastAsia="zh-CN"/>
              </w:rPr>
              <w:t>25000</w:t>
            </w:r>
            <w:r>
              <w:rPr>
                <w:rFonts w:hint="default"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eastAsia" w:cs="Times New Roman"/>
                <w:color w:val="auto"/>
                <w:sz w:val="24"/>
                <w:szCs w:val="24"/>
                <w:highlight w:val="none"/>
                <w:lang w:val="en-US" w:eastAsia="zh-CN"/>
              </w:rPr>
              <w:t>6.9444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/s</w:t>
            </w:r>
            <w:r>
              <w:rPr>
                <w:rFonts w:hint="eastAsia" w:ascii="Times New Roman" w:hAnsi="Times New Roman" w:eastAsia="宋体" w:cs="Times New Roman"/>
                <w:color w:val="auto"/>
                <w:sz w:val="24"/>
                <w:szCs w:val="24"/>
                <w:highlight w:val="none"/>
                <w:lang w:val="en-US" w:eastAsia="zh-CN"/>
              </w:rPr>
              <w:t>，孔隙度取</w:t>
            </w:r>
            <w:r>
              <w:rPr>
                <w:rFonts w:hint="default" w:ascii="Times New Roman" w:hAnsi="Times New Roman" w:eastAsia="宋体" w:cs="Times New Roman"/>
                <w:color w:val="auto"/>
                <w:sz w:val="24"/>
                <w:szCs w:val="24"/>
                <w:highlight w:val="none"/>
                <w:lang w:val="en-US" w:eastAsia="zh-CN"/>
              </w:rPr>
              <w:t>0.75</w:t>
            </w:r>
            <w:r>
              <w:rPr>
                <w:rFonts w:hint="eastAsia" w:ascii="Times New Roman" w:hAnsi="Times New Roman" w:eastAsia="宋体" w:cs="Times New Roman"/>
                <w:color w:val="auto"/>
                <w:sz w:val="24"/>
                <w:szCs w:val="24"/>
                <w:highlight w:val="none"/>
                <w:lang w:val="en-US" w:eastAsia="zh-CN"/>
              </w:rPr>
              <w:t>，过滤风速</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风量</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宽度</w:t>
            </w:r>
            <w:r>
              <w:rPr>
                <w:rFonts w:hint="eastAsia" w:cs="Times New Roman"/>
                <w:color w:val="auto"/>
                <w:sz w:val="24"/>
                <w:szCs w:val="24"/>
                <w:highlight w:val="none"/>
                <w:lang w:val="en-US" w:eastAsia="zh-CN"/>
              </w:rPr>
              <w:t>/长度</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高度</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孔隙率；则过滤风速</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6.9444</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2.5</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lang w:val="en-US" w:eastAsia="zh-CN"/>
              </w:rPr>
              <w:t>/0.75=</w:t>
            </w:r>
            <w:r>
              <w:rPr>
                <w:rFonts w:hint="eastAsia" w:cs="Times New Roman"/>
                <w:color w:val="auto"/>
                <w:sz w:val="24"/>
                <w:szCs w:val="24"/>
                <w:highlight w:val="none"/>
                <w:lang w:val="en-US" w:eastAsia="zh-CN"/>
              </w:rPr>
              <w:t>1.1574</w:t>
            </w:r>
            <w:r>
              <w:rPr>
                <w:rFonts w:hint="default" w:ascii="Times New Roman" w:hAnsi="Times New Roman" w:eastAsia="宋体" w:cs="Times New Roman"/>
                <w:color w:val="auto"/>
                <w:sz w:val="24"/>
                <w:szCs w:val="24"/>
                <w:highlight w:val="none"/>
                <w:lang w:val="en-US" w:eastAsia="zh-CN"/>
              </w:rPr>
              <w:t>m/s</w:t>
            </w:r>
            <w:r>
              <w:rPr>
                <w:rFonts w:hint="eastAsia" w:ascii="Times New Roman" w:hAnsi="Times New Roman" w:eastAsia="宋体" w:cs="Times New Roman"/>
                <w:color w:val="auto"/>
                <w:sz w:val="24"/>
                <w:szCs w:val="24"/>
                <w:highlight w:val="none"/>
                <w:lang w:val="en-US" w:eastAsia="zh-CN"/>
              </w:rPr>
              <w:t>满足《吸附法工业有机废气治理工程技术规范（</w:t>
            </w:r>
            <w:r>
              <w:rPr>
                <w:rFonts w:hint="default" w:ascii="Times New Roman" w:hAnsi="Times New Roman" w:eastAsia="宋体" w:cs="Times New Roman"/>
                <w:color w:val="auto"/>
                <w:sz w:val="24"/>
                <w:szCs w:val="24"/>
                <w:highlight w:val="none"/>
                <w:lang w:val="en-US" w:eastAsia="zh-CN"/>
              </w:rPr>
              <w:t>HJ2026-2013</w:t>
            </w:r>
            <w:r>
              <w:rPr>
                <w:rFonts w:hint="eastAsia" w:ascii="Times New Roman" w:hAnsi="Times New Roman" w:eastAsia="宋体" w:cs="Times New Roman"/>
                <w:color w:val="auto"/>
                <w:sz w:val="24"/>
                <w:szCs w:val="24"/>
                <w:highlight w:val="none"/>
                <w:lang w:val="en-US" w:eastAsia="zh-CN"/>
              </w:rPr>
              <w:t>）》中“</w:t>
            </w:r>
            <w:r>
              <w:rPr>
                <w:rFonts w:hint="eastAsia" w:cs="Times New Roman"/>
                <w:color w:val="auto"/>
                <w:sz w:val="24"/>
                <w:szCs w:val="24"/>
                <w:highlight w:val="none"/>
                <w:lang w:val="en-US" w:eastAsia="zh-CN"/>
              </w:rPr>
              <w:t>采用蜂窝状吸附剂时，气体流速宜低于1.2m/s</w:t>
            </w:r>
            <w:r>
              <w:rPr>
                <w:rFonts w:hint="eastAsia" w:ascii="Times New Roman" w:hAnsi="Times New Roman" w:eastAsia="宋体" w:cs="Times New Roman"/>
                <w:color w:val="auto"/>
                <w:sz w:val="24"/>
                <w:szCs w:val="24"/>
                <w:highlight w:val="none"/>
                <w:lang w:val="en-US" w:eastAsia="zh-CN"/>
              </w:rPr>
              <w:t>”的要求；活性炭吸附停留时间</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活性炭吸附长度</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过滤风速</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1.1574=2.16</w:t>
            </w:r>
            <w:r>
              <w:rPr>
                <w:rFonts w:hint="default" w:ascii="Times New Roman" w:hAnsi="Times New Roman" w:eastAsia="宋体" w:cs="Times New Roman"/>
                <w:color w:val="auto"/>
                <w:sz w:val="24"/>
                <w:szCs w:val="24"/>
                <w:highlight w:val="none"/>
                <w:lang w:val="en-US" w:eastAsia="zh-CN"/>
              </w:rPr>
              <w:t>s</w:t>
            </w:r>
            <w:r>
              <w:rPr>
                <w:rFonts w:hint="eastAsia" w:ascii="Times New Roman" w:hAnsi="Times New Roman" w:eastAsia="宋体" w:cs="Times New Roman"/>
                <w:color w:val="auto"/>
                <w:sz w:val="24"/>
                <w:szCs w:val="24"/>
                <w:highlight w:val="none"/>
                <w:lang w:val="en-US" w:eastAsia="zh-CN"/>
              </w:rPr>
              <w:t>，符合吸附工程设计要求吸附剂与气体接触时间大于</w:t>
            </w:r>
            <w:r>
              <w:rPr>
                <w:rFonts w:hint="default" w:ascii="Times New Roman" w:hAnsi="Times New Roman" w:eastAsia="宋体" w:cs="Times New Roman"/>
                <w:color w:val="auto"/>
                <w:sz w:val="24"/>
                <w:szCs w:val="24"/>
                <w:highlight w:val="none"/>
                <w:lang w:val="en-US" w:eastAsia="zh-CN"/>
              </w:rPr>
              <w:t>0.5s</w:t>
            </w:r>
            <w:r>
              <w:rPr>
                <w:rFonts w:hint="eastAsia" w:ascii="Times New Roman" w:hAnsi="Times New Roman" w:eastAsia="宋体" w:cs="Times New Roman"/>
                <w:color w:val="auto"/>
                <w:sz w:val="24"/>
                <w:szCs w:val="24"/>
                <w:highlight w:val="none"/>
                <w:lang w:val="en-US" w:eastAsia="zh-CN"/>
              </w:rPr>
              <w:t>的要求。</w:t>
            </w:r>
          </w:p>
          <w:p w14:paraId="082997C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B.</w:t>
            </w:r>
            <w:r>
              <w:rPr>
                <w:rFonts w:hint="eastAsia" w:ascii="Times New Roman" w:hAnsi="Times New Roman" w:eastAsia="宋体" w:cs="Times New Roman"/>
                <w:color w:val="auto"/>
                <w:sz w:val="24"/>
                <w:szCs w:val="24"/>
                <w:lang w:val="en-US" w:eastAsia="zh-CN"/>
              </w:rPr>
              <w:t>更换周期计算</w:t>
            </w:r>
          </w:p>
          <w:p w14:paraId="7415366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经对照《深圳市工业有机废气治理用活性炭更换技术指引（试行）》（深环办〔2023〕66号）中一次活性炭吸附工艺的更换周期计算公式，由表</w:t>
            </w:r>
            <w:r>
              <w:rPr>
                <w:rFonts w:hint="default" w:ascii="Times New Roman" w:hAnsi="Times New Roman" w:eastAsia="宋体" w:cs="Times New Roman"/>
                <w:color w:val="auto"/>
                <w:sz w:val="24"/>
                <w:szCs w:val="24"/>
                <w:highlight w:val="none"/>
                <w:lang w:val="en-US" w:eastAsia="zh-CN"/>
              </w:rPr>
              <w:t>4.</w:t>
            </w:r>
            <w:r>
              <w:rPr>
                <w:rFonts w:hint="eastAsia" w:cs="Times New Roman"/>
                <w:color w:val="auto"/>
                <w:sz w:val="24"/>
                <w:szCs w:val="24"/>
                <w:highlight w:val="none"/>
                <w:lang w:val="en-US" w:eastAsia="zh-CN"/>
              </w:rPr>
              <w:t>1-4</w:t>
            </w:r>
            <w:r>
              <w:rPr>
                <w:rFonts w:hint="eastAsia" w:ascii="Times New Roman" w:hAnsi="Times New Roman" w:eastAsia="宋体" w:cs="Times New Roman"/>
                <w:color w:val="auto"/>
                <w:sz w:val="24"/>
                <w:szCs w:val="24"/>
                <w:highlight w:val="none"/>
                <w:lang w:val="en-US" w:eastAsia="zh-CN"/>
              </w:rPr>
              <w:t>分析可知，本项目理论更换周期</w:t>
            </w:r>
            <w:r>
              <w:rPr>
                <w:rFonts w:hint="eastAsia" w:cs="Times New Roman"/>
                <w:color w:val="auto"/>
                <w:sz w:val="24"/>
                <w:szCs w:val="24"/>
                <w:highlight w:val="none"/>
                <w:lang w:val="en-US" w:eastAsia="zh-CN"/>
              </w:rPr>
              <w:t>198</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，设计</w:t>
            </w:r>
            <w:r>
              <w:rPr>
                <w:rFonts w:hint="eastAsia" w:cs="Times New Roman"/>
                <w:color w:val="auto"/>
                <w:sz w:val="24"/>
                <w:szCs w:val="24"/>
                <w:highlight w:val="none"/>
                <w:lang w:val="en-US" w:eastAsia="zh-CN"/>
              </w:rPr>
              <w:t>180</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，满足该规范要求。</w:t>
            </w:r>
          </w:p>
          <w:p w14:paraId="04E9F5A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更换周期计算公式：T=（M×S</w:t>
            </w:r>
            <w:r>
              <w:rPr>
                <w:rFonts w:hint="default" w:ascii="Times New Roman" w:hAnsi="Times New Roman" w:eastAsia="宋体" w:cs="Times New Roman"/>
                <w:color w:val="auto"/>
                <w:sz w:val="24"/>
                <w:szCs w:val="24"/>
                <w:highlight w:val="none"/>
                <w:lang w:val="en-US" w:eastAsia="zh-CN"/>
              </w:rPr>
              <w:t>×10 6</w:t>
            </w:r>
            <w:r>
              <w:rPr>
                <w:rFonts w:hint="eastAsia"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lang w:val="en-US" w:eastAsia="zh-CN"/>
              </w:rPr>
              <w:t>×Q×t</w:t>
            </w:r>
            <w:r>
              <w:rPr>
                <w:rFonts w:hint="eastAsia" w:ascii="Times New Roman" w:hAnsi="Times New Roman" w:eastAsia="宋体" w:cs="Times New Roman"/>
                <w:color w:val="auto"/>
                <w:sz w:val="24"/>
                <w:szCs w:val="24"/>
                <w:highlight w:val="none"/>
                <w:lang w:val="en-US" w:eastAsia="zh-CN"/>
              </w:rPr>
              <w:t>)</w:t>
            </w:r>
          </w:p>
          <w:p w14:paraId="4F97D8A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drawing>
                <wp:inline distT="0" distB="0" distL="114300" distR="114300">
                  <wp:extent cx="5337175" cy="2940050"/>
                  <wp:effectExtent l="0" t="0" r="15875" b="1270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7"/>
                          <a:stretch>
                            <a:fillRect/>
                          </a:stretch>
                        </pic:blipFill>
                        <pic:spPr>
                          <a:xfrm>
                            <a:off x="0" y="0"/>
                            <a:ext cx="5337175" cy="2940050"/>
                          </a:xfrm>
                          <a:prstGeom prst="rect">
                            <a:avLst/>
                          </a:prstGeom>
                          <a:noFill/>
                          <a:ln>
                            <a:noFill/>
                          </a:ln>
                        </pic:spPr>
                      </pic:pic>
                    </a:graphicData>
                  </a:graphic>
                </wp:inline>
              </w:drawing>
            </w:r>
          </w:p>
          <w:p w14:paraId="6C1A6D43">
            <w:pPr>
              <w:pStyle w:val="51"/>
              <w:keepNext w:val="0"/>
              <w:keepLines w:val="0"/>
              <w:pageBreakBefore w:val="0"/>
              <w:widowControl w:val="0"/>
              <w:kinsoku/>
              <w:wordWrap/>
              <w:overflowPunct/>
              <w:topLinePunct w:val="0"/>
              <w:autoSpaceDE/>
              <w:autoSpaceDN/>
              <w:bidi w:val="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表4.</w:t>
            </w:r>
            <w:r>
              <w:rPr>
                <w:rFonts w:hint="eastAsia" w:cs="Times New Roman"/>
                <w:color w:val="auto"/>
                <w:lang w:val="en-US" w:eastAsia="zh-CN"/>
              </w:rPr>
              <w:t>1-4</w:t>
            </w:r>
            <w:r>
              <w:rPr>
                <w:rFonts w:hint="eastAsia" w:ascii="Times New Roman" w:hAnsi="Times New Roman" w:eastAsia="宋体" w:cs="Times New Roman"/>
                <w:color w:val="auto"/>
                <w:lang w:val="en-US" w:eastAsia="zh-CN"/>
              </w:rPr>
              <w:t xml:space="preserve"> 更换周期参数表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1202"/>
              <w:gridCol w:w="1202"/>
              <w:gridCol w:w="1202"/>
              <w:gridCol w:w="1202"/>
              <w:gridCol w:w="1202"/>
              <w:gridCol w:w="1202"/>
            </w:tblGrid>
            <w:tr w14:paraId="2A17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201" w:type="dxa"/>
                  <w:noWrap w:val="0"/>
                  <w:vAlign w:val="center"/>
                </w:tcPr>
                <w:p w14:paraId="0B2C38B6">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参数</w:t>
                  </w:r>
                </w:p>
              </w:tc>
              <w:tc>
                <w:tcPr>
                  <w:tcW w:w="1202" w:type="dxa"/>
                  <w:noWrap w:val="0"/>
                  <w:vAlign w:val="center"/>
                </w:tcPr>
                <w:p w14:paraId="1F3F7B8B">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M</w:t>
                  </w:r>
                </w:p>
              </w:tc>
              <w:tc>
                <w:tcPr>
                  <w:tcW w:w="1202" w:type="dxa"/>
                  <w:noWrap w:val="0"/>
                  <w:vAlign w:val="center"/>
                </w:tcPr>
                <w:p w14:paraId="363A8EF9">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S</w:t>
                  </w:r>
                </w:p>
              </w:tc>
              <w:tc>
                <w:tcPr>
                  <w:tcW w:w="1202" w:type="dxa"/>
                  <w:noWrap w:val="0"/>
                  <w:vAlign w:val="center"/>
                </w:tcPr>
                <w:p w14:paraId="5923A629">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c</w:t>
                  </w:r>
                </w:p>
              </w:tc>
              <w:tc>
                <w:tcPr>
                  <w:tcW w:w="1202" w:type="dxa"/>
                  <w:noWrap w:val="0"/>
                  <w:vAlign w:val="center"/>
                </w:tcPr>
                <w:p w14:paraId="3964E26E">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Q</w:t>
                  </w:r>
                </w:p>
              </w:tc>
              <w:tc>
                <w:tcPr>
                  <w:tcW w:w="1202" w:type="dxa"/>
                  <w:noWrap w:val="0"/>
                  <w:vAlign w:val="center"/>
                </w:tcPr>
                <w:p w14:paraId="7577035E">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t</w:t>
                  </w:r>
                </w:p>
              </w:tc>
              <w:tc>
                <w:tcPr>
                  <w:tcW w:w="1202" w:type="dxa"/>
                  <w:noWrap w:val="0"/>
                  <w:vAlign w:val="center"/>
                </w:tcPr>
                <w:p w14:paraId="20BDF03A">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T</w:t>
                  </w:r>
                </w:p>
              </w:tc>
            </w:tr>
            <w:tr w14:paraId="62D1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201" w:type="dxa"/>
                  <w:noWrap w:val="0"/>
                  <w:vAlign w:val="center"/>
                </w:tcPr>
                <w:p w14:paraId="062C1705">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单位</w:t>
                  </w:r>
                </w:p>
              </w:tc>
              <w:tc>
                <w:tcPr>
                  <w:tcW w:w="1202" w:type="dxa"/>
                  <w:noWrap w:val="0"/>
                  <w:vAlign w:val="center"/>
                </w:tcPr>
                <w:p w14:paraId="3C4F7B25">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kg</w:t>
                  </w:r>
                </w:p>
              </w:tc>
              <w:tc>
                <w:tcPr>
                  <w:tcW w:w="1202" w:type="dxa"/>
                  <w:noWrap w:val="0"/>
                  <w:vAlign w:val="center"/>
                </w:tcPr>
                <w:p w14:paraId="7AEA8ADC">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w:t>
                  </w:r>
                </w:p>
              </w:tc>
              <w:tc>
                <w:tcPr>
                  <w:tcW w:w="1202" w:type="dxa"/>
                  <w:noWrap w:val="0"/>
                  <w:vAlign w:val="center"/>
                </w:tcPr>
                <w:p w14:paraId="0EF1D91C">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mg/m</w:t>
                  </w:r>
                  <w:r>
                    <w:rPr>
                      <w:rFonts w:hint="eastAsia" w:ascii="Times New Roman" w:hAnsi="Times New Roman" w:eastAsia="宋体" w:cs="Times New Roman"/>
                      <w:color w:val="auto"/>
                      <w:vertAlign w:val="superscript"/>
                      <w:lang w:val="en-US" w:eastAsia="zh-CN"/>
                    </w:rPr>
                    <w:t>3</w:t>
                  </w:r>
                </w:p>
              </w:tc>
              <w:tc>
                <w:tcPr>
                  <w:tcW w:w="1202" w:type="dxa"/>
                  <w:noWrap w:val="0"/>
                  <w:vAlign w:val="center"/>
                </w:tcPr>
                <w:p w14:paraId="498E41FF">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vertAlign w:val="baseline"/>
                      <w:lang w:val="en-US" w:eastAsia="zh-CN"/>
                    </w:rPr>
                    <w:t>/h</w:t>
                  </w:r>
                </w:p>
              </w:tc>
              <w:tc>
                <w:tcPr>
                  <w:tcW w:w="1202" w:type="dxa"/>
                  <w:noWrap w:val="0"/>
                  <w:vAlign w:val="center"/>
                </w:tcPr>
                <w:p w14:paraId="7E61975B">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h/d</w:t>
                  </w:r>
                </w:p>
              </w:tc>
              <w:tc>
                <w:tcPr>
                  <w:tcW w:w="1202" w:type="dxa"/>
                  <w:noWrap w:val="0"/>
                  <w:vAlign w:val="center"/>
                </w:tcPr>
                <w:p w14:paraId="7926F5DE">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d</w:t>
                  </w:r>
                </w:p>
              </w:tc>
            </w:tr>
            <w:tr w14:paraId="1168D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201" w:type="dxa"/>
                  <w:noWrap w:val="0"/>
                  <w:vAlign w:val="center"/>
                </w:tcPr>
                <w:p w14:paraId="0AD4EC05">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选取值</w:t>
                  </w:r>
                </w:p>
              </w:tc>
              <w:tc>
                <w:tcPr>
                  <w:tcW w:w="1202" w:type="dxa"/>
                  <w:noWrap w:val="0"/>
                  <w:vAlign w:val="center"/>
                </w:tcPr>
                <w:p w14:paraId="20BB5EAD">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400</w:t>
                  </w:r>
                </w:p>
              </w:tc>
              <w:tc>
                <w:tcPr>
                  <w:tcW w:w="1202" w:type="dxa"/>
                  <w:noWrap w:val="0"/>
                  <w:vAlign w:val="center"/>
                </w:tcPr>
                <w:p w14:paraId="01CA2960">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10</w:t>
                  </w:r>
                </w:p>
              </w:tc>
              <w:tc>
                <w:tcPr>
                  <w:tcW w:w="1202" w:type="dxa"/>
                  <w:noWrap w:val="0"/>
                  <w:vAlign w:val="center"/>
                </w:tcPr>
                <w:p w14:paraId="2736CC2E">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1.0125</w:t>
                  </w:r>
                </w:p>
              </w:tc>
              <w:tc>
                <w:tcPr>
                  <w:tcW w:w="1202" w:type="dxa"/>
                  <w:noWrap w:val="0"/>
                  <w:vAlign w:val="center"/>
                </w:tcPr>
                <w:p w14:paraId="249EDA23">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25000</w:t>
                  </w:r>
                </w:p>
              </w:tc>
              <w:tc>
                <w:tcPr>
                  <w:tcW w:w="1202" w:type="dxa"/>
                  <w:noWrap w:val="0"/>
                  <w:vAlign w:val="center"/>
                </w:tcPr>
                <w:p w14:paraId="6D3C0718">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8</w:t>
                  </w:r>
                </w:p>
              </w:tc>
              <w:tc>
                <w:tcPr>
                  <w:tcW w:w="1202" w:type="dxa"/>
                  <w:noWrap w:val="0"/>
                  <w:vAlign w:val="center"/>
                </w:tcPr>
                <w:p w14:paraId="189B9D38">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198</w:t>
                  </w:r>
                </w:p>
              </w:tc>
            </w:tr>
          </w:tbl>
          <w:p w14:paraId="061095AB">
            <w:pPr>
              <w:pStyle w:val="51"/>
              <w:keepNext w:val="0"/>
              <w:keepLines w:val="0"/>
              <w:pageBreakBefore w:val="0"/>
              <w:widowControl w:val="0"/>
              <w:kinsoku/>
              <w:wordWrap/>
              <w:overflowPunct/>
              <w:topLinePunct w:val="0"/>
              <w:autoSpaceDE/>
              <w:autoSpaceDN/>
              <w:bidi w:val="0"/>
              <w:textAlignment w:val="auto"/>
              <w:rPr>
                <w:rFonts w:hint="default" w:ascii="Times New Roman" w:hAnsi="Times New Roman" w:eastAsia="宋体" w:cs="Times New Roman"/>
                <w:color w:val="auto"/>
                <w:lang w:val="en-US" w:eastAsia="zh-CN"/>
              </w:rPr>
            </w:pPr>
          </w:p>
          <w:p w14:paraId="346B24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C.</w:t>
            </w:r>
            <w:r>
              <w:rPr>
                <w:rFonts w:hint="eastAsia" w:ascii="Times New Roman" w:hAnsi="Times New Roman" w:eastAsia="宋体" w:cs="Times New Roman"/>
                <w:b w:val="0"/>
                <w:bCs w:val="0"/>
                <w:color w:val="auto"/>
                <w:sz w:val="24"/>
                <w:szCs w:val="24"/>
                <w:lang w:val="en-US" w:eastAsia="zh-CN"/>
              </w:rPr>
              <w:t>治理效率要求及可靠性分析</w:t>
            </w:r>
          </w:p>
          <w:p w14:paraId="2DA63B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生态环境部发布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关于印发〈主要污染物总量减排核算技术指南（2022年修订）〉的通知》〔2022〕350号中规定</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一次性活性炭的吸附效率50%。采用二级活性炭吸附效率为1-（1</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50%）</w:t>
            </w:r>
            <w:r>
              <w:rPr>
                <w:rFonts w:hint="default" w:ascii="Arial" w:hAnsi="Arial" w:eastAsia="宋体" w:cs="Arial"/>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50%）=75%。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为保证废气与活性炭的接触时间和吸附效果，要求控制吸附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装</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置吸附层的风速，一般取0.10m/s～0.15m/s之间；吸附剂和气体的接触时间宜按不低于3s计；同时确保项目活性炭吸附装置一次性装置量，定期更换活性纤维，采取以上治理措</w:t>
            </w:r>
            <w:r>
              <w:rPr>
                <w:rFonts w:hint="eastAsia" w:cs="Times New Roman"/>
                <w:color w:val="000000" w:themeColor="text1"/>
                <w:sz w:val="24"/>
                <w:szCs w:val="24"/>
                <w:lang w:val="en-US" w:eastAsia="zh-CN"/>
                <w14:textFill>
                  <w14:solidFill>
                    <w14:schemeClr w14:val="tx1"/>
                  </w14:solidFill>
                </w14:textFill>
              </w:rPr>
              <w:t>施和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综合治理措施后，本评价废气设施去除效率按</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%计，根据预测，有机废气污染物非甲烷总烃可以达标排放，因此，项目有机废气经处理后对环境影响较小，采取的措施可行。</w:t>
            </w:r>
          </w:p>
          <w:p w14:paraId="0C9ECFA7">
            <w:pPr>
              <w:pStyle w:val="50"/>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（3）集气罩收集效率可行性分析</w:t>
            </w:r>
          </w:p>
          <w:p w14:paraId="44C82ECB">
            <w:pPr>
              <w:pStyle w:val="50"/>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根据《废气处理工程设计手册》（王纯、张殷印主编）中的经验公式：</w:t>
            </w:r>
          </w:p>
          <w:p w14:paraId="582B0C2B">
            <w:pPr>
              <w:pStyle w:val="50"/>
              <w:ind w:firstLine="48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Q=3600Fvβ</w:t>
            </w:r>
          </w:p>
          <w:p w14:paraId="1B45ED3F">
            <w:pPr>
              <w:pStyle w:val="50"/>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其中：Q为集气罩的计算风量m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/h；</w:t>
            </w:r>
          </w:p>
          <w:p w14:paraId="2C11550A">
            <w:pPr>
              <w:pStyle w:val="50"/>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V罩口平均速度，m/s。可取0.5~1.5。本项目取0.5。</w:t>
            </w:r>
          </w:p>
          <w:p w14:paraId="63300EDD">
            <w:pPr>
              <w:pStyle w:val="50"/>
              <w:ind w:firstLine="480"/>
              <w:jc w:val="both"/>
              <w:rPr>
                <w:rFonts w:hint="default" w:ascii="Times New Roman" w:hAnsi="Times New Roman" w:eastAsia="宋体" w:cs="Times New Roman"/>
                <w:color w:val="000000" w:themeColor="text1"/>
                <w:sz w:val="84"/>
                <w:szCs w:val="8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F罩口面积m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电阻炉、压铸机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上方集气罩尺寸</w:t>
            </w:r>
            <w:r>
              <w:rPr>
                <w:rFonts w:hint="eastAsia" w:cs="Times New Roman"/>
                <w:color w:val="000000" w:themeColor="text1"/>
                <w:sz w:val="24"/>
                <w:szCs w:val="24"/>
                <w:lang w:val="en-US" w:eastAsia="zh-CN"/>
                <w14:textFill>
                  <w14:solidFill>
                    <w14:schemeClr w14:val="tx1"/>
                  </w14:solidFill>
                </w14:textFill>
              </w:rPr>
              <w:t>为1.0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eastAsia"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m，共计设置</w:t>
            </w:r>
            <w:r>
              <w:rPr>
                <w:rFonts w:hint="eastAsia" w:cs="Times New Roman"/>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个，则集气罩共计面积为</w:t>
            </w:r>
            <w:r>
              <w:rPr>
                <w:rFonts w:hint="eastAsia" w:cs="Times New Roman"/>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1498DADE">
            <w:pPr>
              <w:pStyle w:val="50"/>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β—安全系数，一般取1.05~1.1，本环评取1.1：</w:t>
            </w:r>
          </w:p>
          <w:p w14:paraId="028D05E5">
            <w:pPr>
              <w:pStyle w:val="50"/>
              <w:ind w:firstLine="480"/>
              <w:jc w:val="both"/>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计算可得，风机总风量为</w:t>
            </w:r>
            <w:r>
              <w:rPr>
                <w:rFonts w:hint="eastAsia" w:cs="Times New Roman"/>
                <w:color w:val="000000" w:themeColor="text1"/>
                <w:sz w:val="24"/>
                <w:szCs w:val="24"/>
                <w:lang w:val="en-US" w:eastAsia="zh-CN"/>
                <w14:textFill>
                  <w14:solidFill>
                    <w14:schemeClr w14:val="tx1"/>
                  </w14:solidFill>
                </w14:textFill>
              </w:rPr>
              <w:t>23760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/h，考虑管阻等因素，引风机风量按不低于120%的集气罩风量进行设计，项目引风机风量按</w:t>
            </w:r>
            <w:r>
              <w:rPr>
                <w:rFonts w:hint="eastAsia" w:cs="Times New Roman"/>
                <w:color w:val="000000" w:themeColor="text1"/>
                <w:sz w:val="24"/>
                <w:szCs w:val="24"/>
                <w:lang w:val="en-US" w:eastAsia="zh-CN"/>
                <w14:textFill>
                  <w14:solidFill>
                    <w14:schemeClr w14:val="tx1"/>
                  </w14:solidFill>
                </w14:textFill>
              </w:rPr>
              <w:t>25000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/h进行设计。</w:t>
            </w:r>
          </w:p>
          <w:p w14:paraId="5636F706">
            <w:pPr>
              <w:pStyle w:val="45"/>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（3）污染物达标分析</w:t>
            </w:r>
          </w:p>
          <w:p w14:paraId="39C450D1">
            <w:pPr>
              <w:pStyle w:val="45"/>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w:t>
            </w:r>
            <w:r>
              <w:rPr>
                <w:rFonts w:hint="eastAsia" w:ascii="Times New Roman" w:hAnsi="Times New Roman" w:cs="Times New Roman"/>
                <w:color w:val="000000" w:themeColor="text1"/>
                <w:highlight w:val="none"/>
                <w:lang w:val="en-US" w:eastAsia="zh-CN"/>
                <w14:textFill>
                  <w14:solidFill>
                    <w14:schemeClr w14:val="tx1"/>
                  </w14:solidFill>
                </w14:textFill>
              </w:rPr>
              <w:t>非甲烷总烃</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有组织排放浓度为</w:t>
            </w:r>
            <w:r>
              <w:rPr>
                <w:rFonts w:hint="eastAsia" w:ascii="Times New Roman" w:hAnsi="Times New Roman" w:cs="Times New Roman"/>
                <w:color w:val="000000" w:themeColor="text1"/>
                <w:highlight w:val="none"/>
                <w:lang w:val="en-US" w:eastAsia="zh-CN"/>
                <w14:textFill>
                  <w14:solidFill>
                    <w14:schemeClr w14:val="tx1"/>
                  </w14:solidFill>
                </w14:textFill>
              </w:rPr>
              <w:t>0.3375</w:t>
            </w:r>
            <w:r>
              <w:rPr>
                <w:rFonts w:hint="eastAsia" w:ascii="Times New Roman" w:hAnsi="Times New Roman" w:eastAsia="宋体" w:cs="Times New Roman"/>
                <w:color w:val="000000" w:themeColor="text1"/>
                <w:highlight w:val="none"/>
                <w:lang w:val="en-US" w:eastAsia="zh-CN"/>
                <w14:textFill>
                  <w14:solidFill>
                    <w14:schemeClr w14:val="tx1"/>
                  </w14:solidFill>
                </w14:textFill>
              </w:rPr>
              <w:t>mg/m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，排放速率为</w:t>
            </w:r>
            <w:r>
              <w:rPr>
                <w:rFonts w:hint="eastAsia" w:ascii="Times New Roman" w:hAnsi="Times New Roman" w:cs="Times New Roman"/>
                <w:color w:val="000000" w:themeColor="text1"/>
                <w:highlight w:val="none"/>
                <w:lang w:val="en-US" w:eastAsia="zh-CN"/>
                <w14:textFill>
                  <w14:solidFill>
                    <w14:schemeClr w14:val="tx1"/>
                  </w14:solidFill>
                </w14:textFill>
              </w:rPr>
              <w:t>0.0084</w:t>
            </w:r>
            <w:r>
              <w:rPr>
                <w:rFonts w:hint="eastAsia" w:ascii="Times New Roman" w:hAnsi="Times New Roman" w:eastAsia="宋体" w:cs="Times New Roman"/>
                <w:color w:val="000000" w:themeColor="text1"/>
                <w:highlight w:val="none"/>
                <w:lang w:val="en-US" w:eastAsia="zh-CN"/>
                <w14:textFill>
                  <w14:solidFill>
                    <w14:schemeClr w14:val="tx1"/>
                  </w14:solidFill>
                </w14:textFill>
              </w:rPr>
              <w:t>kg/h；颗粒物有组织排放浓度为</w:t>
            </w:r>
            <w:r>
              <w:rPr>
                <w:rFonts w:hint="eastAsia" w:ascii="Times New Roman" w:hAnsi="Times New Roman" w:cs="Times New Roman"/>
                <w:color w:val="000000" w:themeColor="text1"/>
                <w:highlight w:val="none"/>
                <w:lang w:val="en-US" w:eastAsia="zh-CN"/>
                <w14:textFill>
                  <w14:solidFill>
                    <w14:schemeClr w14:val="tx1"/>
                  </w14:solidFill>
                </w14:textFill>
              </w:rPr>
              <w:t>1.6666</w:t>
            </w:r>
            <w:r>
              <w:rPr>
                <w:rFonts w:hint="eastAsia" w:ascii="Times New Roman" w:hAnsi="Times New Roman" w:eastAsia="宋体" w:cs="Times New Roman"/>
                <w:color w:val="000000" w:themeColor="text1"/>
                <w:highlight w:val="none"/>
                <w:lang w:val="en-US" w:eastAsia="zh-CN"/>
                <w14:textFill>
                  <w14:solidFill>
                    <w14:schemeClr w14:val="tx1"/>
                  </w14:solidFill>
                </w14:textFill>
              </w:rPr>
              <w:t>mg/m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，排放速率为</w:t>
            </w:r>
            <w:r>
              <w:rPr>
                <w:rFonts w:hint="eastAsia" w:ascii="Times New Roman" w:hAnsi="Times New Roman" w:cs="Times New Roman"/>
                <w:color w:val="000000" w:themeColor="text1"/>
                <w:highlight w:val="none"/>
                <w:lang w:val="en-US" w:eastAsia="zh-CN"/>
                <w14:textFill>
                  <w14:solidFill>
                    <w14:schemeClr w14:val="tx1"/>
                  </w14:solidFill>
                </w14:textFill>
              </w:rPr>
              <w:t>0.0695kg</w:t>
            </w:r>
            <w:r>
              <w:rPr>
                <w:rFonts w:hint="eastAsia" w:ascii="Times New Roman" w:hAnsi="Times New Roman" w:eastAsia="宋体" w:cs="Times New Roman"/>
                <w:color w:val="000000" w:themeColor="text1"/>
                <w:highlight w:val="none"/>
                <w:lang w:val="en-US" w:eastAsia="zh-CN"/>
                <w14:textFill>
                  <w14:solidFill>
                    <w14:schemeClr w14:val="tx1"/>
                  </w14:solidFill>
                </w14:textFill>
              </w:rPr>
              <w:t>/h。可达到《铸造工业大气污染物排放标准》（GB39726-2020）中表1</w:t>
            </w:r>
            <w:r>
              <w:rPr>
                <w:rFonts w:hint="eastAsia" w:ascii="Times New Roman" w:hAnsi="Times New Roman" w:cs="Times New Roman"/>
                <w:color w:val="000000" w:themeColor="text1"/>
                <w:highlight w:val="none"/>
                <w:lang w:val="en-US" w:eastAsia="zh-CN"/>
                <w14:textFill>
                  <w14:solidFill>
                    <w14:schemeClr w14:val="tx1"/>
                  </w14:solidFill>
                </w14:textFill>
              </w:rPr>
              <w:t>颗粒物</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标准限值</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《工业企业挥发性有机物排放标准》（DB35/1782-2018）表1中其他行业非甲烷总烃排放标准（即颗粒物有组织排放≤30mg/m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；非甲烷总烃有组织排放≤100mg/m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因此，</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项目废气经处理后对环境影响较小，</w:t>
            </w:r>
            <w:r>
              <w:rPr>
                <w:rFonts w:hint="default" w:ascii="Times New Roman" w:hAnsi="Times New Roman" w:eastAsia="宋体" w:cs="Times New Roman"/>
                <w:color w:val="000000" w:themeColor="text1"/>
                <w:highlight w:val="none"/>
                <w:lang w:val="en-US" w:eastAsia="zh-CN"/>
                <w14:textFill>
                  <w14:solidFill>
                    <w14:schemeClr w14:val="tx1"/>
                  </w14:solidFill>
                </w14:textFill>
              </w:rPr>
              <w:t>采取的措施可行。</w:t>
            </w:r>
          </w:p>
          <w:p w14:paraId="2A56014D">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000000" w:themeColor="text1"/>
                <w:kern w:val="0"/>
                <w:sz w:val="24"/>
                <w:lang w:val="en-US" w:eastAsia="zh-CN"/>
                <w14:textFill>
                  <w14:solidFill>
                    <w14:schemeClr w14:val="tx1"/>
                  </w14:solidFill>
                </w14:textFill>
              </w:rPr>
            </w:pPr>
            <w:bookmarkStart w:id="138" w:name="_Toc25956"/>
            <w:bookmarkStart w:id="139" w:name="_Toc31728"/>
            <w:r>
              <w:rPr>
                <w:rFonts w:hint="eastAsia"/>
                <w:b/>
                <w:color w:val="000000" w:themeColor="text1"/>
                <w:kern w:val="0"/>
                <w:sz w:val="24"/>
                <w:lang w:val="en-US" w:eastAsia="zh-CN"/>
                <w14:textFill>
                  <w14:solidFill>
                    <w14:schemeClr w14:val="tx1"/>
                  </w14:solidFill>
                </w14:textFill>
              </w:rPr>
              <w:t>4.1.4非正常工况排放量核算</w:t>
            </w:r>
            <w:bookmarkEnd w:id="138"/>
            <w:bookmarkEnd w:id="139"/>
          </w:p>
          <w:p w14:paraId="2BB07C4F">
            <w:pPr>
              <w:pStyle w:val="45"/>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（1）非正常排放情形及排放源强</w:t>
            </w:r>
          </w:p>
          <w:p w14:paraId="0DCCC08D">
            <w:pPr>
              <w:pStyle w:val="45"/>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非正常排放情况指设备检修、污染物排放控制措施达不到应有效率、工艺设备运转异常等情况下的排污。根据本项目的情况，结合同类企业运营情况，确定项目非正常排放情况为污染治理设施发生故障、运转异常（如风机故障、集气管道破裂等），或维护不到位导致废气处理设施效率降低等非正常工况，情形如下：</w:t>
            </w:r>
          </w:p>
          <w:p w14:paraId="44C6426D">
            <w:pPr>
              <w:pStyle w:val="45"/>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themeColor="text1"/>
                <w:lang w:val="en-US" w:eastAsia="zh-CN"/>
                <w14:textFill>
                  <w14:solidFill>
                    <w14:schemeClr w14:val="tx1"/>
                  </w14:solidFill>
                </w14:textFill>
              </w:rPr>
              <w:t>有机废气处理设施故障，导致有机废气非正常排放。</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本评价按最不利情况考虑，即废气处理效率降低为0</w:t>
            </w:r>
            <w:r>
              <w:rPr>
                <w:rFonts w:hint="default" w:ascii="Times New Roman" w:hAnsi="Times New Roman" w:eastAsia="宋体" w:cs="Times New Roman"/>
                <w:color w:val="000000"/>
                <w:kern w:val="2"/>
                <w:sz w:val="24"/>
                <w:szCs w:val="24"/>
                <w:lang w:val="en-US" w:eastAsia="zh-CN" w:bidi="ar-SA"/>
              </w:rPr>
              <w:t>%的情况下污染物排放对周边环境的影响。由于有机废气事故排放效果不显著，短时间内难以发现，非正常工况持续时间按1h计，发生频率按1次/年。非正常工况下废气排放源强核算结果见下表4.</w:t>
            </w:r>
            <w:r>
              <w:rPr>
                <w:rFonts w:hint="eastAsia" w:ascii="Times New Roman" w:hAnsi="Times New Roman" w:eastAsia="宋体" w:cs="Times New Roman"/>
                <w:color w:val="000000"/>
                <w:kern w:val="2"/>
                <w:sz w:val="24"/>
                <w:szCs w:val="24"/>
                <w:lang w:val="en-US" w:eastAsia="zh-CN" w:bidi="ar-SA"/>
              </w:rPr>
              <w:t>1</w:t>
            </w:r>
            <w:r>
              <w:rPr>
                <w:rFonts w:hint="default" w:ascii="Times New Roman" w:hAnsi="Times New Roman" w:eastAsia="宋体" w:cs="Times New Roman"/>
                <w:color w:val="000000"/>
                <w:kern w:val="2"/>
                <w:sz w:val="24"/>
                <w:szCs w:val="24"/>
                <w:lang w:val="en-US" w:eastAsia="zh-CN" w:bidi="ar-SA"/>
              </w:rPr>
              <w:t>-</w:t>
            </w:r>
            <w:r>
              <w:rPr>
                <w:rFonts w:hint="eastAsia" w:ascii="Times New Roman" w:hAnsi="Times New Roman" w:eastAsia="宋体" w:cs="Times New Roman"/>
                <w:color w:val="000000"/>
                <w:kern w:val="2"/>
                <w:sz w:val="24"/>
                <w:szCs w:val="24"/>
                <w:lang w:val="en-US" w:eastAsia="zh-CN" w:bidi="ar-SA"/>
              </w:rPr>
              <w:t>5</w:t>
            </w:r>
            <w:r>
              <w:rPr>
                <w:rFonts w:hint="default" w:ascii="Times New Roman" w:hAnsi="Times New Roman" w:eastAsia="宋体" w:cs="Times New Roman"/>
                <w:color w:val="000000"/>
                <w:kern w:val="2"/>
                <w:sz w:val="24"/>
                <w:szCs w:val="24"/>
                <w:lang w:val="en-US" w:eastAsia="zh-CN" w:bidi="ar-SA"/>
              </w:rPr>
              <w:t>。</w:t>
            </w:r>
          </w:p>
          <w:p w14:paraId="6EE0C6BE">
            <w:pPr>
              <w:pStyle w:val="51"/>
              <w:keepNext w:val="0"/>
              <w:keepLines w:val="0"/>
              <w:pageBreakBefore w:val="0"/>
              <w:widowControl w:val="0"/>
              <w:kinsoku/>
              <w:wordWrap/>
              <w:overflowPunct/>
              <w:topLinePunct w:val="0"/>
              <w:autoSpaceDE/>
              <w:autoSpaceDN/>
              <w:bidi w:val="0"/>
              <w:adjustRightInd w:val="0"/>
              <w:snapToGrid w:val="0"/>
              <w:spacing w:before="163" w:beforeLines="5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表4.</w:t>
            </w:r>
            <w:r>
              <w:rPr>
                <w:rFonts w:hint="eastAsia"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 xml:space="preserve"> 污染源非正常排放量核算</w:t>
            </w:r>
          </w:p>
          <w:tbl>
            <w:tblPr>
              <w:tblStyle w:val="24"/>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69"/>
              <w:gridCol w:w="696"/>
              <w:gridCol w:w="934"/>
              <w:gridCol w:w="1447"/>
              <w:gridCol w:w="1245"/>
              <w:gridCol w:w="1230"/>
              <w:gridCol w:w="720"/>
              <w:gridCol w:w="705"/>
              <w:gridCol w:w="1142"/>
            </w:tblGrid>
            <w:tr w14:paraId="276154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2" w:hRule="atLeast"/>
                <w:jc w:val="center"/>
              </w:trPr>
              <w:tc>
                <w:tcPr>
                  <w:tcW w:w="273" w:type="pct"/>
                  <w:tcBorders>
                    <w:tl2br w:val="nil"/>
                    <w:tr2bl w:val="nil"/>
                  </w:tcBorders>
                  <w:noWrap w:val="0"/>
                  <w:vAlign w:val="center"/>
                </w:tcPr>
                <w:p w14:paraId="259368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序号</w:t>
                  </w:r>
                </w:p>
              </w:tc>
              <w:tc>
                <w:tcPr>
                  <w:tcW w:w="405" w:type="pct"/>
                  <w:tcBorders>
                    <w:tl2br w:val="nil"/>
                    <w:tr2bl w:val="nil"/>
                  </w:tcBorders>
                  <w:noWrap w:val="0"/>
                  <w:vAlign w:val="center"/>
                </w:tcPr>
                <w:p w14:paraId="4810F8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排放源</w:t>
                  </w:r>
                </w:p>
              </w:tc>
              <w:tc>
                <w:tcPr>
                  <w:tcW w:w="543" w:type="pct"/>
                  <w:tcBorders>
                    <w:tl2br w:val="nil"/>
                    <w:tr2bl w:val="nil"/>
                  </w:tcBorders>
                  <w:noWrap w:val="0"/>
                  <w:vAlign w:val="center"/>
                </w:tcPr>
                <w:p w14:paraId="1B9C26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非正常排放原因</w:t>
                  </w:r>
                </w:p>
              </w:tc>
              <w:tc>
                <w:tcPr>
                  <w:tcW w:w="842" w:type="pct"/>
                  <w:tcBorders>
                    <w:tl2br w:val="nil"/>
                    <w:tr2bl w:val="nil"/>
                  </w:tcBorders>
                  <w:noWrap w:val="0"/>
                  <w:vAlign w:val="center"/>
                </w:tcPr>
                <w:p w14:paraId="283D6A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污染源</w:t>
                  </w:r>
                </w:p>
              </w:tc>
              <w:tc>
                <w:tcPr>
                  <w:tcW w:w="724" w:type="pct"/>
                  <w:tcBorders>
                    <w:tl2br w:val="nil"/>
                    <w:tr2bl w:val="nil"/>
                  </w:tcBorders>
                  <w:noWrap w:val="0"/>
                  <w:vAlign w:val="center"/>
                </w:tcPr>
                <w:p w14:paraId="503328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非正常排放浓度mg/m</w:t>
                  </w:r>
                  <w:r>
                    <w:rPr>
                      <w:rFonts w:hint="eastAsia" w:ascii="Times New Roman" w:hAnsi="Times New Roman" w:eastAsia="宋体" w:cs="Times New Roman"/>
                      <w:color w:val="000000"/>
                      <w:kern w:val="0"/>
                      <w:sz w:val="21"/>
                      <w:szCs w:val="21"/>
                      <w:vertAlign w:val="superscript"/>
                      <w:lang w:val="en-US" w:eastAsia="zh-CN" w:bidi="ar-SA"/>
                    </w:rPr>
                    <w:t>3</w:t>
                  </w:r>
                </w:p>
              </w:tc>
              <w:tc>
                <w:tcPr>
                  <w:tcW w:w="716" w:type="pct"/>
                  <w:tcBorders>
                    <w:tl2br w:val="nil"/>
                    <w:tr2bl w:val="nil"/>
                  </w:tcBorders>
                  <w:noWrap w:val="0"/>
                  <w:vAlign w:val="center"/>
                </w:tcPr>
                <w:p w14:paraId="093522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非正常排放速率kg/h</w:t>
                  </w:r>
                </w:p>
              </w:tc>
              <w:tc>
                <w:tcPr>
                  <w:tcW w:w="419" w:type="pct"/>
                  <w:tcBorders>
                    <w:tl2br w:val="nil"/>
                    <w:tr2bl w:val="nil"/>
                  </w:tcBorders>
                  <w:noWrap w:val="0"/>
                  <w:vAlign w:val="center"/>
                </w:tcPr>
                <w:p w14:paraId="00EF78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单次维持时间</w:t>
                  </w:r>
                </w:p>
              </w:tc>
              <w:tc>
                <w:tcPr>
                  <w:tcW w:w="410" w:type="pct"/>
                  <w:tcBorders>
                    <w:tl2br w:val="nil"/>
                    <w:tr2bl w:val="nil"/>
                  </w:tcBorders>
                  <w:noWrap w:val="0"/>
                  <w:vAlign w:val="center"/>
                </w:tcPr>
                <w:p w14:paraId="7D3D3A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年发生次数</w:t>
                  </w:r>
                </w:p>
              </w:tc>
              <w:tc>
                <w:tcPr>
                  <w:tcW w:w="664" w:type="pct"/>
                  <w:tcBorders>
                    <w:tl2br w:val="nil"/>
                    <w:tr2bl w:val="nil"/>
                  </w:tcBorders>
                  <w:noWrap w:val="0"/>
                  <w:vAlign w:val="center"/>
                </w:tcPr>
                <w:p w14:paraId="636303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应对措施</w:t>
                  </w:r>
                </w:p>
              </w:tc>
            </w:tr>
            <w:tr w14:paraId="71F2F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273" w:type="pct"/>
                  <w:vMerge w:val="restart"/>
                  <w:tcBorders>
                    <w:tl2br w:val="nil"/>
                    <w:tr2bl w:val="nil"/>
                  </w:tcBorders>
                  <w:noWrap w:val="0"/>
                  <w:vAlign w:val="center"/>
                </w:tcPr>
                <w:p w14:paraId="1D4084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1</w:t>
                  </w:r>
                </w:p>
              </w:tc>
              <w:tc>
                <w:tcPr>
                  <w:tcW w:w="405" w:type="pct"/>
                  <w:vMerge w:val="restart"/>
                  <w:tcBorders>
                    <w:tl2br w:val="nil"/>
                    <w:tr2bl w:val="nil"/>
                  </w:tcBorders>
                  <w:noWrap w:val="0"/>
                  <w:vAlign w:val="center"/>
                </w:tcPr>
                <w:p w14:paraId="049A75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DA001</w:t>
                  </w:r>
                </w:p>
              </w:tc>
              <w:tc>
                <w:tcPr>
                  <w:tcW w:w="543" w:type="pct"/>
                  <w:vMerge w:val="restart"/>
                  <w:tcBorders>
                    <w:tl2br w:val="nil"/>
                    <w:tr2bl w:val="nil"/>
                  </w:tcBorders>
                  <w:noWrap w:val="0"/>
                  <w:vAlign w:val="center"/>
                </w:tcPr>
                <w:p w14:paraId="54EF24D0">
                  <w:pPr>
                    <w:pStyle w:val="52"/>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sz w:val="21"/>
                      <w:szCs w:val="21"/>
                      <w:lang w:val="en-US" w:eastAsia="zh-CN"/>
                    </w:rPr>
                    <w:t>处理设施故障</w:t>
                  </w:r>
                </w:p>
              </w:tc>
              <w:tc>
                <w:tcPr>
                  <w:tcW w:w="842" w:type="pct"/>
                  <w:tcBorders>
                    <w:tl2br w:val="nil"/>
                    <w:tr2bl w:val="nil"/>
                  </w:tcBorders>
                  <w:noWrap w:val="0"/>
                  <w:vAlign w:val="center"/>
                </w:tcPr>
                <w:p w14:paraId="7E3F955F">
                  <w:pPr>
                    <w:pStyle w:val="52"/>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cs="Times New Roman"/>
                      <w:color w:val="000000"/>
                      <w:kern w:val="0"/>
                      <w:sz w:val="21"/>
                      <w:szCs w:val="21"/>
                      <w:lang w:val="en-US" w:eastAsia="zh-CN" w:bidi="ar-SA"/>
                    </w:rPr>
                    <w:t>挥发性有机物</w:t>
                  </w:r>
                </w:p>
              </w:tc>
              <w:tc>
                <w:tcPr>
                  <w:tcW w:w="724" w:type="pct"/>
                  <w:tcBorders>
                    <w:tl2br w:val="nil"/>
                    <w:tr2bl w:val="nil"/>
                  </w:tcBorders>
                  <w:noWrap w:val="0"/>
                  <w:vAlign w:val="center"/>
                </w:tcPr>
                <w:p w14:paraId="6C89B9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cs="Times New Roman"/>
                      <w:color w:val="000000"/>
                      <w:kern w:val="0"/>
                      <w:sz w:val="21"/>
                      <w:szCs w:val="21"/>
                      <w:lang w:val="en-US" w:eastAsia="zh-CN" w:bidi="ar-SA"/>
                    </w:rPr>
                    <w:t>1.3500</w:t>
                  </w:r>
                </w:p>
              </w:tc>
              <w:tc>
                <w:tcPr>
                  <w:tcW w:w="716" w:type="pct"/>
                  <w:tcBorders>
                    <w:tl2br w:val="nil"/>
                    <w:tr2bl w:val="nil"/>
                  </w:tcBorders>
                  <w:noWrap w:val="0"/>
                  <w:vAlign w:val="center"/>
                </w:tcPr>
                <w:p w14:paraId="56FBFD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cs="Times New Roman"/>
                      <w:color w:val="000000"/>
                      <w:kern w:val="0"/>
                      <w:sz w:val="21"/>
                      <w:szCs w:val="21"/>
                      <w:lang w:val="en-US" w:eastAsia="zh-CN" w:bidi="ar-SA"/>
                    </w:rPr>
                    <w:t>0.0338</w:t>
                  </w:r>
                </w:p>
              </w:tc>
              <w:tc>
                <w:tcPr>
                  <w:tcW w:w="419" w:type="pct"/>
                  <w:vMerge w:val="restart"/>
                  <w:tcBorders>
                    <w:tl2br w:val="nil"/>
                    <w:tr2bl w:val="nil"/>
                  </w:tcBorders>
                  <w:noWrap w:val="0"/>
                  <w:vAlign w:val="center"/>
                </w:tcPr>
                <w:p w14:paraId="433CD6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1h</w:t>
                  </w:r>
                </w:p>
              </w:tc>
              <w:tc>
                <w:tcPr>
                  <w:tcW w:w="410" w:type="pct"/>
                  <w:vMerge w:val="restart"/>
                  <w:tcBorders>
                    <w:tl2br w:val="nil"/>
                    <w:tr2bl w:val="nil"/>
                  </w:tcBorders>
                  <w:noWrap w:val="0"/>
                  <w:vAlign w:val="center"/>
                </w:tcPr>
                <w:p w14:paraId="5EFBD5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1次</w:t>
                  </w:r>
                </w:p>
              </w:tc>
              <w:tc>
                <w:tcPr>
                  <w:tcW w:w="664" w:type="pct"/>
                  <w:vMerge w:val="restart"/>
                  <w:tcBorders>
                    <w:tl2br w:val="nil"/>
                    <w:tr2bl w:val="nil"/>
                  </w:tcBorders>
                  <w:noWrap w:val="0"/>
                  <w:vAlign w:val="center"/>
                </w:tcPr>
                <w:p w14:paraId="16FB22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立即停产，修复后生产</w:t>
                  </w:r>
                </w:p>
              </w:tc>
            </w:tr>
            <w:tr w14:paraId="55775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1" w:hRule="atLeast"/>
                <w:jc w:val="center"/>
              </w:trPr>
              <w:tc>
                <w:tcPr>
                  <w:tcW w:w="273" w:type="pct"/>
                  <w:vMerge w:val="continue"/>
                  <w:tcBorders>
                    <w:tl2br w:val="nil"/>
                    <w:tr2bl w:val="nil"/>
                  </w:tcBorders>
                  <w:noWrap w:val="0"/>
                  <w:vAlign w:val="center"/>
                </w:tcPr>
                <w:p w14:paraId="6E64B6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p>
              </w:tc>
              <w:tc>
                <w:tcPr>
                  <w:tcW w:w="405" w:type="pct"/>
                  <w:vMerge w:val="continue"/>
                  <w:tcBorders>
                    <w:tl2br w:val="nil"/>
                    <w:tr2bl w:val="nil"/>
                  </w:tcBorders>
                  <w:noWrap w:val="0"/>
                  <w:vAlign w:val="center"/>
                </w:tcPr>
                <w:p w14:paraId="4CA320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p>
              </w:tc>
              <w:tc>
                <w:tcPr>
                  <w:tcW w:w="543" w:type="pct"/>
                  <w:vMerge w:val="continue"/>
                  <w:tcBorders>
                    <w:tl2br w:val="nil"/>
                    <w:tr2bl w:val="nil"/>
                  </w:tcBorders>
                  <w:noWrap w:val="0"/>
                  <w:vAlign w:val="center"/>
                </w:tcPr>
                <w:p w14:paraId="3E91772A">
                  <w:pPr>
                    <w:pStyle w:val="52"/>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sz w:val="21"/>
                      <w:szCs w:val="21"/>
                      <w:lang w:val="en-US" w:eastAsia="zh-CN"/>
                    </w:rPr>
                  </w:pPr>
                </w:p>
              </w:tc>
              <w:tc>
                <w:tcPr>
                  <w:tcW w:w="842" w:type="pct"/>
                  <w:tcBorders>
                    <w:tl2br w:val="nil"/>
                    <w:tr2bl w:val="nil"/>
                  </w:tcBorders>
                  <w:noWrap w:val="0"/>
                  <w:vAlign w:val="center"/>
                </w:tcPr>
                <w:p w14:paraId="1AD40362">
                  <w:pPr>
                    <w:pStyle w:val="52"/>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cs="Times New Roman"/>
                      <w:color w:val="000000"/>
                      <w:kern w:val="0"/>
                      <w:sz w:val="21"/>
                      <w:szCs w:val="21"/>
                      <w:lang w:val="en-US" w:eastAsia="zh-CN" w:bidi="ar-SA"/>
                    </w:rPr>
                  </w:pPr>
                  <w:r>
                    <w:rPr>
                      <w:rFonts w:hint="eastAsia" w:cs="Times New Roman"/>
                      <w:color w:val="000000"/>
                      <w:kern w:val="0"/>
                      <w:sz w:val="21"/>
                      <w:szCs w:val="21"/>
                      <w:lang w:val="en-US" w:eastAsia="zh-CN" w:bidi="ar-SA"/>
                    </w:rPr>
                    <w:t>颗粒物</w:t>
                  </w:r>
                </w:p>
              </w:tc>
              <w:tc>
                <w:tcPr>
                  <w:tcW w:w="724" w:type="pct"/>
                  <w:tcBorders>
                    <w:tl2br w:val="nil"/>
                    <w:tr2bl w:val="nil"/>
                  </w:tcBorders>
                  <w:noWrap w:val="0"/>
                  <w:vAlign w:val="center"/>
                </w:tcPr>
                <w:p w14:paraId="443AF3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cs="Times New Roman"/>
                      <w:color w:val="000000"/>
                      <w:kern w:val="0"/>
                      <w:sz w:val="21"/>
                      <w:szCs w:val="21"/>
                      <w:lang w:val="en-US" w:eastAsia="zh-CN" w:bidi="ar-SA"/>
                    </w:rPr>
                    <w:t>22.3875</w:t>
                  </w:r>
                </w:p>
              </w:tc>
              <w:tc>
                <w:tcPr>
                  <w:tcW w:w="716" w:type="pct"/>
                  <w:tcBorders>
                    <w:tl2br w:val="nil"/>
                    <w:tr2bl w:val="nil"/>
                  </w:tcBorders>
                  <w:noWrap w:val="0"/>
                  <w:vAlign w:val="center"/>
                </w:tcPr>
                <w:p w14:paraId="4E8661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lang w:val="en-US" w:eastAsia="zh-CN"/>
                    </w:rPr>
                  </w:pPr>
                  <w:r>
                    <w:rPr>
                      <w:rFonts w:hint="eastAsia" w:cs="Times New Roman"/>
                      <w:color w:val="000000"/>
                      <w:lang w:val="en-US" w:eastAsia="zh-CN"/>
                    </w:rPr>
                    <w:t>0.5597</w:t>
                  </w:r>
                </w:p>
              </w:tc>
              <w:tc>
                <w:tcPr>
                  <w:tcW w:w="419" w:type="pct"/>
                  <w:vMerge w:val="continue"/>
                  <w:tcBorders>
                    <w:tl2br w:val="nil"/>
                    <w:tr2bl w:val="nil"/>
                  </w:tcBorders>
                  <w:noWrap w:val="0"/>
                  <w:vAlign w:val="center"/>
                </w:tcPr>
                <w:p w14:paraId="6C1DA7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p>
              </w:tc>
              <w:tc>
                <w:tcPr>
                  <w:tcW w:w="410" w:type="pct"/>
                  <w:vMerge w:val="continue"/>
                  <w:tcBorders>
                    <w:tl2br w:val="nil"/>
                    <w:tr2bl w:val="nil"/>
                  </w:tcBorders>
                  <w:noWrap w:val="0"/>
                  <w:vAlign w:val="center"/>
                </w:tcPr>
                <w:p w14:paraId="5F14C7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p>
              </w:tc>
              <w:tc>
                <w:tcPr>
                  <w:tcW w:w="664" w:type="pct"/>
                  <w:vMerge w:val="continue"/>
                  <w:tcBorders>
                    <w:tl2br w:val="nil"/>
                    <w:tr2bl w:val="nil"/>
                  </w:tcBorders>
                  <w:noWrap w:val="0"/>
                  <w:vAlign w:val="center"/>
                </w:tcPr>
                <w:p w14:paraId="594409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p>
              </w:tc>
            </w:tr>
          </w:tbl>
          <w:p w14:paraId="0494A0D7">
            <w:pPr>
              <w:pStyle w:val="45"/>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w:t>
            </w:r>
            <w:r>
              <w:rPr>
                <w:rFonts w:hint="default" w:ascii="Times New Roman" w:hAnsi="Times New Roman" w:eastAsia="宋体" w:cs="Times New Roman"/>
                <w:color w:val="000000"/>
                <w:lang w:val="en-US" w:eastAsia="zh-CN"/>
              </w:rPr>
              <w:t>2</w:t>
            </w:r>
            <w:r>
              <w:rPr>
                <w:rFonts w:hint="eastAsia" w:ascii="Times New Roman" w:hAnsi="Times New Roman" w:eastAsia="宋体" w:cs="Times New Roman"/>
                <w:color w:val="000000"/>
                <w:lang w:val="en-US" w:eastAsia="zh-CN"/>
              </w:rPr>
              <w:t>）非正常排放防治措施</w:t>
            </w:r>
          </w:p>
          <w:p w14:paraId="0197C6D5">
            <w:pPr>
              <w:pStyle w:val="45"/>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针对以上非正常排放情形，本评价建议建设单位在生产运营期间采取以下控制措施以避免或减少废气非正常排放。</w:t>
            </w:r>
          </w:p>
          <w:p w14:paraId="04AFC87B">
            <w:pPr>
              <w:pStyle w:val="45"/>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①规范车间生产操作，避免因员工操作不当导致工艺设备、环保设施故障引发废气事故排放。</w:t>
            </w:r>
          </w:p>
          <w:p w14:paraId="34E5F8D8">
            <w:pPr>
              <w:pStyle w:val="45"/>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②定期对生产设施及废气处理设施进行检查维护，杜绝非正常工况发生，避免非正常排放出现后才采取维护措施。</w:t>
            </w:r>
          </w:p>
          <w:p w14:paraId="7C3E7621">
            <w:pPr>
              <w:pStyle w:val="45"/>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综上，项目在采取上述非正常排放防范措施后，非正常排放发生频率较低，非正常排放下污染物排放量较少，非正常工况可及时得到处理，因此本项目废气非正常排放对周边大气环境影响较小。</w:t>
            </w:r>
          </w:p>
          <w:p w14:paraId="6DE9D063">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140" w:name="_Toc15552"/>
            <w:bookmarkStart w:id="141" w:name="_Toc2614"/>
            <w:r>
              <w:rPr>
                <w:rFonts w:hint="eastAsia" w:ascii="Times New Roman" w:hAnsi="Times New Roman" w:eastAsia="宋体" w:cs="Times New Roman"/>
                <w:color w:val="auto"/>
                <w:sz w:val="28"/>
                <w:szCs w:val="28"/>
                <w:u w:val="none"/>
                <w:lang w:val="en-US" w:eastAsia="zh-CN"/>
              </w:rPr>
              <w:t>4.2水环境影响分析和污染防治措施</w:t>
            </w:r>
            <w:bookmarkEnd w:id="140"/>
            <w:bookmarkEnd w:id="141"/>
          </w:p>
          <w:p w14:paraId="6AE1F93B">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en-US" w:eastAsia="zh-CN"/>
              </w:rPr>
            </w:pPr>
            <w:bookmarkStart w:id="142" w:name="_Toc1798"/>
            <w:bookmarkStart w:id="143" w:name="_Toc22065"/>
            <w:r>
              <w:rPr>
                <w:rFonts w:hint="eastAsia"/>
                <w:b/>
                <w:color w:val="262626"/>
                <w:kern w:val="0"/>
                <w:sz w:val="24"/>
                <w:lang w:val="en-US" w:eastAsia="zh-CN"/>
              </w:rPr>
              <w:t>4.2.1运营期废水源强分析</w:t>
            </w:r>
            <w:bookmarkEnd w:id="142"/>
            <w:bookmarkEnd w:id="143"/>
          </w:p>
          <w:p w14:paraId="51E4C422">
            <w:pPr>
              <w:keepNext w:val="0"/>
              <w:pageBreakBefore w:val="0"/>
              <w:numPr>
                <w:ilvl w:val="0"/>
                <w:numId w:val="0"/>
              </w:numPr>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auto"/>
                <w:kern w:val="2"/>
                <w:sz w:val="24"/>
                <w:szCs w:val="24"/>
                <w:highlight w:val="none"/>
                <w:lang w:val="en-US" w:eastAsia="zh-CN" w:bidi="ar-SA"/>
              </w:rPr>
              <w:t>运营期</w:t>
            </w: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eastAsia="zh-CN"/>
              </w:rPr>
              <w:t>生产过程中</w:t>
            </w:r>
            <w:r>
              <w:rPr>
                <w:rFonts w:hint="default" w:ascii="Times New Roman" w:hAnsi="Times New Roman" w:eastAsia="宋体" w:cs="Times New Roman"/>
                <w:color w:val="auto"/>
                <w:sz w:val="24"/>
                <w:szCs w:val="24"/>
                <w:highlight w:val="none"/>
                <w:lang w:val="en-US" w:eastAsia="zh-CN"/>
              </w:rPr>
              <w:t>用水主要为压铸成型间接冷却水、研磨工序冷却水及半成品清洗废水。压铸工序间接冷却水不直接接触产品为间接冷却水，经冷却塔冷却后循环使用不外排。研磨工序冷却水及半成品清洗废水经循环水处理设施处理后回用于生产不外排，因此不产生生产废水排放。生活污</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水经化粪池处理后排入市政污水管网，送往福清市融元污水处理厂进行处理。</w:t>
            </w:r>
          </w:p>
          <w:p w14:paraId="2B90B117">
            <w:pPr>
              <w:keepNext w:val="0"/>
              <w:pageBreakBefore w:val="0"/>
              <w:numPr>
                <w:ilvl w:val="0"/>
                <w:numId w:val="0"/>
              </w:numPr>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（1）压铸成型间接冷却水</w:t>
            </w:r>
          </w:p>
          <w:p w14:paraId="746F0903">
            <w:pPr>
              <w:widowControl/>
              <w:spacing w:line="360" w:lineRule="auto"/>
              <w:ind w:firstLine="480" w:firstLineChars="20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根据水平衡分析可知，项目拟设置1台冷却水塔，在循环过程中因受热等因素损失的水量，约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6.88t</w:t>
            </w:r>
            <w:r>
              <w:rPr>
                <w:rFonts w:hint="default" w:ascii="Times New Roman" w:hAnsi="Times New Roman" w:eastAsia="宋体" w:cs="Times New Roman"/>
                <w:color w:val="000000" w:themeColor="text1"/>
                <w:sz w:val="24"/>
                <w:szCs w:val="24"/>
                <w:highlight w:val="none"/>
                <w14:textFill>
                  <w14:solidFill>
                    <w14:schemeClr w14:val="tx1"/>
                  </w14:solidFill>
                </w14:textFill>
              </w:rPr>
              <w:t>/d，则年补充新鲜水量约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2064</w:t>
            </w:r>
            <w:r>
              <w:rPr>
                <w:rFonts w:hint="default" w:ascii="Times New Roman" w:hAnsi="Times New Roman" w:eastAsia="宋体" w:cs="Times New Roman"/>
                <w:color w:val="000000" w:themeColor="text1"/>
                <w:sz w:val="24"/>
                <w:szCs w:val="24"/>
                <w:highlight w:val="none"/>
                <w14:textFill>
                  <w14:solidFill>
                    <w14:schemeClr w14:val="tx1"/>
                  </w14:solidFill>
                </w14:textFill>
              </w:rPr>
              <w:t>t/a。</w:t>
            </w:r>
          </w:p>
          <w:p w14:paraId="54261972">
            <w:pPr>
              <w:pStyle w:val="39"/>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（2）产品水洗用水</w:t>
            </w:r>
          </w:p>
          <w:p w14:paraId="248D1BC1">
            <w:pPr>
              <w:pStyle w:val="40"/>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本项目生产的部分产品在进行</w:t>
            </w:r>
            <w:r>
              <w:rPr>
                <w:rFonts w:hint="eastAsia" w:cs="Times New Roman"/>
                <w:color w:val="000000" w:themeColor="text1"/>
                <w:sz w:val="24"/>
                <w:szCs w:val="24"/>
                <w:highlight w:val="none"/>
                <w:lang w:val="en-US" w:eastAsia="zh-CN"/>
                <w14:textFill>
                  <w14:solidFill>
                    <w14:schemeClr w14:val="tx1"/>
                  </w14:solidFill>
                </w14:textFill>
              </w:rPr>
              <w:t>钻孔</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、攻牙等机加工后需要对产品进行清洗去除表面的铝渣或铝粉。根据业主提供资料，本项目仅对部分工件进行清洗。用水量约为0.2t/d</w:t>
            </w:r>
            <w:r>
              <w:rPr>
                <w:rFonts w:hint="eastAsia" w:cs="Times New Roman"/>
                <w:color w:val="000000" w:themeColor="text1"/>
                <w:sz w:val="24"/>
                <w:szCs w:val="24"/>
                <w:highlight w:val="none"/>
                <w:lang w:val="en-US" w:eastAsia="zh-CN"/>
                <w14:textFill>
                  <w14:solidFill>
                    <w14:schemeClr w14:val="tx1"/>
                  </w14:solidFill>
                </w14:textFill>
              </w:rPr>
              <w:t>（60t/a）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，清洗池的水经水循环处理设施处理后回用于产品水洗工序，仅处理时产生0.02t/d（6t/a）的用水损耗，定期补充新鲜用水。</w:t>
            </w:r>
          </w:p>
          <w:p w14:paraId="5C148D04">
            <w:pPr>
              <w:pStyle w:val="40"/>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（3）研磨工序冷却水，经水循环处理设施处理后循环使用不外排，需每天补充新鲜水量0.05t/d（15t/a）</w:t>
            </w:r>
          </w:p>
          <w:p w14:paraId="75E81C23">
            <w:pPr>
              <w:keepNext w:val="0"/>
              <w:pageBreakBefore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生活污水</w:t>
            </w:r>
          </w:p>
          <w:p w14:paraId="014BBD81">
            <w:pPr>
              <w:pStyle w:val="53"/>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bookmarkStart w:id="144" w:name="_Toc4624"/>
            <w:bookmarkStart w:id="145" w:name="_Toc22817"/>
            <w:bookmarkStart w:id="146" w:name="_Toc28146"/>
            <w:r>
              <w:rPr>
                <w:rFonts w:hint="default" w:ascii="Times New Roman" w:hAnsi="Times New Roman" w:eastAsia="宋体" w:cs="Times New Roman"/>
                <w:b w:val="0"/>
                <w:bCs w:val="0"/>
                <w:color w:val="auto"/>
                <w:sz w:val="24"/>
                <w:szCs w:val="24"/>
                <w:highlight w:val="none"/>
                <w:lang w:val="en-US" w:eastAsia="zh-CN"/>
              </w:rPr>
              <w:t>本项目劳动定员30人，均不住厂，根据《建筑给水排水设计标准》（GB50015-2019），车间工作人员的生活用水额定应根据车间性质确定，一般宜采用30～50L/人·班，本项目不住厂职工生活用水额定按50L/人·班计。项目年工作日按300天计，则本项目职工生活用水量约1.5t/d（450t/a），根据《排水源统计调查产排污计算方法和核算手册》中《生活源产排污系数手册》，人均日生活用水量≤150升/人·天时，折污系数取0.8，则项目生活污水产生量约1.2t/d（360t/a）。生活污水依托厂区现有的化粪池处理达标后排入市政污水管网，最终进入</w:t>
            </w:r>
            <w:bookmarkEnd w:id="144"/>
            <w:bookmarkEnd w:id="145"/>
            <w:bookmarkEnd w:id="146"/>
            <w:r>
              <w:rPr>
                <w:rFonts w:hint="default" w:ascii="Times New Roman" w:hAnsi="Times New Roman" w:eastAsia="宋体" w:cs="Times New Roman"/>
                <w:color w:val="auto"/>
                <w:sz w:val="24"/>
                <w:szCs w:val="24"/>
                <w:lang w:val="en-US" w:eastAsia="zh-CN"/>
              </w:rPr>
              <w:t>福清市融元污水处理厂集</w:t>
            </w:r>
            <w:r>
              <w:rPr>
                <w:rFonts w:hint="default" w:ascii="Times New Roman" w:hAnsi="Times New Roman" w:eastAsia="宋体" w:cs="Times New Roman"/>
                <w:b w:val="0"/>
                <w:bCs w:val="0"/>
                <w:color w:val="auto"/>
                <w:sz w:val="24"/>
                <w:szCs w:val="24"/>
                <w:highlight w:val="none"/>
                <w:lang w:val="en-US" w:eastAsia="zh-CN"/>
              </w:rPr>
              <w:t>中进行处理，污水处理厂尾水排入龙江，所处龙江“南门桥水闸至龙江入海口”断面。</w:t>
            </w:r>
          </w:p>
          <w:p w14:paraId="58887A91">
            <w:pPr>
              <w:pStyle w:val="53"/>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bookmarkStart w:id="147" w:name="_Toc22915"/>
            <w:bookmarkStart w:id="148" w:name="_Toc14324"/>
            <w:bookmarkStart w:id="149" w:name="_Toc6977"/>
            <w:r>
              <w:rPr>
                <w:rFonts w:hint="default" w:ascii="Times New Roman" w:hAnsi="Times New Roman" w:eastAsia="宋体" w:cs="Times New Roman"/>
                <w:b w:val="0"/>
                <w:bCs w:val="0"/>
                <w:color w:val="auto"/>
                <w:sz w:val="24"/>
                <w:szCs w:val="24"/>
                <w:highlight w:val="none"/>
                <w:lang w:val="en-US" w:eastAsia="zh-CN"/>
              </w:rPr>
              <w:t>参考《给排水设计手册》第五册《城镇排水》表4-1典型生活污水水质示例的低浓度；因此，不住厂职工产生的生活污水中各主要污染物浓度按CODcr：250mg/L、BOD</w:t>
            </w:r>
            <w:r>
              <w:rPr>
                <w:rFonts w:hint="default" w:ascii="Times New Roman" w:hAnsi="Times New Roman" w:eastAsia="宋体" w:cs="Times New Roman"/>
                <w:b w:val="0"/>
                <w:bCs w:val="0"/>
                <w:color w:val="auto"/>
                <w:sz w:val="24"/>
                <w:szCs w:val="24"/>
                <w:highlight w:val="none"/>
                <w:vertAlign w:val="subscript"/>
                <w:lang w:val="en-US" w:eastAsia="zh-CN"/>
              </w:rPr>
              <w:t>5:</w:t>
            </w:r>
            <w:r>
              <w:rPr>
                <w:rFonts w:hint="default" w:ascii="Times New Roman" w:hAnsi="Times New Roman" w:eastAsia="宋体" w:cs="Times New Roman"/>
                <w:b w:val="0"/>
                <w:bCs w:val="0"/>
                <w:color w:val="auto"/>
                <w:sz w:val="24"/>
                <w:szCs w:val="24"/>
                <w:highlight w:val="none"/>
                <w:lang w:val="en-US" w:eastAsia="zh-CN"/>
              </w:rPr>
              <w:t>110mg/L、NH</w:t>
            </w:r>
            <w:r>
              <w:rPr>
                <w:rFonts w:hint="default" w:ascii="Times New Roman" w:hAnsi="Times New Roman" w:eastAsia="宋体" w:cs="Times New Roman"/>
                <w:b w:val="0"/>
                <w:bCs w:val="0"/>
                <w:color w:val="auto"/>
                <w:sz w:val="24"/>
                <w:szCs w:val="24"/>
                <w:highlight w:val="none"/>
                <w:vertAlign w:val="subscript"/>
                <w:lang w:val="en-US" w:eastAsia="zh-CN"/>
              </w:rPr>
              <w:t>3</w:t>
            </w:r>
            <w:r>
              <w:rPr>
                <w:rFonts w:hint="default" w:ascii="Times New Roman" w:hAnsi="Times New Roman" w:eastAsia="宋体" w:cs="Times New Roman"/>
                <w:b w:val="0"/>
                <w:bCs w:val="0"/>
                <w:color w:val="auto"/>
                <w:sz w:val="24"/>
                <w:szCs w:val="24"/>
                <w:highlight w:val="none"/>
                <w:lang w:val="en-US" w:eastAsia="zh-CN"/>
              </w:rPr>
              <w:t>-N：24mg/L、SS：100mg/L。参考环评手册中《常用污水处理设备及去除率》，化粪池对生活污水中COD、BOD</w:t>
            </w:r>
            <w:r>
              <w:rPr>
                <w:rFonts w:hint="default" w:ascii="Times New Roman" w:hAnsi="Times New Roman" w:eastAsia="宋体" w:cs="Times New Roman"/>
                <w:b w:val="0"/>
                <w:bCs w:val="0"/>
                <w:color w:val="auto"/>
                <w:sz w:val="24"/>
                <w:szCs w:val="24"/>
                <w:highlight w:val="none"/>
                <w:vertAlign w:val="subscript"/>
                <w:lang w:val="en-US" w:eastAsia="zh-CN"/>
              </w:rPr>
              <w:t>5</w:t>
            </w:r>
            <w:r>
              <w:rPr>
                <w:rFonts w:hint="default" w:ascii="Times New Roman" w:hAnsi="Times New Roman" w:eastAsia="宋体" w:cs="Times New Roman"/>
                <w:b w:val="0"/>
                <w:bCs w:val="0"/>
                <w:color w:val="auto"/>
                <w:sz w:val="24"/>
                <w:szCs w:val="24"/>
                <w:highlight w:val="none"/>
                <w:lang w:val="en-US" w:eastAsia="zh-CN"/>
              </w:rPr>
              <w:t>、SS、NH3-N的处理效率分别为20%、15%、30%、0%，则生活污水中各污染物产排情况详见表4.2-1。</w:t>
            </w:r>
            <w:bookmarkEnd w:id="147"/>
            <w:bookmarkEnd w:id="148"/>
            <w:bookmarkEnd w:id="149"/>
          </w:p>
          <w:p w14:paraId="789F3B51">
            <w:pPr>
              <w:pStyle w:val="51"/>
              <w:keepNext w:val="0"/>
              <w:keepLines w:val="0"/>
              <w:pageBreakBefore w:val="0"/>
              <w:widowControl w:val="0"/>
              <w:kinsoku/>
              <w:wordWrap/>
              <w:overflowPunct/>
              <w:topLinePunct w:val="0"/>
              <w:autoSpaceDE/>
              <w:autoSpaceDN/>
              <w:bidi w:val="0"/>
              <w:adjustRightInd w:val="0"/>
              <w:snapToGrid w:val="0"/>
              <w:spacing w:before="163" w:beforeLines="5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表4.</w:t>
            </w:r>
            <w:r>
              <w:rPr>
                <w:rFonts w:hint="eastAsia"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-1 废水污染物产生及排放情况一览表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3741"/>
              <w:gridCol w:w="970"/>
              <w:gridCol w:w="882"/>
              <w:gridCol w:w="995"/>
              <w:gridCol w:w="848"/>
            </w:tblGrid>
            <w:tr w14:paraId="30AA19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674" w:type="pct"/>
                  <w:tcBorders>
                    <w:tl2br w:val="nil"/>
                    <w:tr2bl w:val="nil"/>
                  </w:tcBorders>
                  <w:noWrap w:val="0"/>
                  <w:vAlign w:val="center"/>
                </w:tcPr>
                <w:p w14:paraId="3620B43C">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废水量</w:t>
                  </w:r>
                </w:p>
              </w:tc>
              <w:tc>
                <w:tcPr>
                  <w:tcW w:w="2176" w:type="pct"/>
                  <w:tcBorders>
                    <w:tl2br w:val="nil"/>
                    <w:tr2bl w:val="nil"/>
                  </w:tcBorders>
                  <w:noWrap w:val="0"/>
                  <w:vAlign w:val="center"/>
                </w:tcPr>
                <w:p w14:paraId="0762AD04">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w:t>
                  </w:r>
                </w:p>
              </w:tc>
              <w:tc>
                <w:tcPr>
                  <w:tcW w:w="564" w:type="pct"/>
                  <w:tcBorders>
                    <w:tl2br w:val="nil"/>
                    <w:tr2bl w:val="nil"/>
                  </w:tcBorders>
                  <w:noWrap w:val="0"/>
                  <w:vAlign w:val="center"/>
                </w:tcPr>
                <w:p w14:paraId="4C447748">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COD</w:t>
                  </w:r>
                  <w:r>
                    <w:rPr>
                      <w:rFonts w:hint="default" w:ascii="Times New Roman" w:hAnsi="Times New Roman" w:eastAsia="宋体" w:cs="Times New Roman"/>
                      <w:color w:val="auto"/>
                      <w:sz w:val="21"/>
                      <w:szCs w:val="21"/>
                      <w:vertAlign w:val="subscript"/>
                      <w:lang w:val="en-US" w:eastAsia="zh-CN"/>
                    </w:rPr>
                    <w:t>cr</w:t>
                  </w:r>
                </w:p>
              </w:tc>
              <w:tc>
                <w:tcPr>
                  <w:tcW w:w="513" w:type="pct"/>
                  <w:tcBorders>
                    <w:tl2br w:val="nil"/>
                    <w:tr2bl w:val="nil"/>
                  </w:tcBorders>
                  <w:noWrap w:val="0"/>
                  <w:vAlign w:val="center"/>
                </w:tcPr>
                <w:p w14:paraId="6B1C1951">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579" w:type="pct"/>
                  <w:tcBorders>
                    <w:tl2br w:val="nil"/>
                    <w:tr2bl w:val="nil"/>
                  </w:tcBorders>
                  <w:noWrap w:val="0"/>
                  <w:vAlign w:val="center"/>
                </w:tcPr>
                <w:p w14:paraId="7991F674">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SS</w:t>
                  </w:r>
                </w:p>
              </w:tc>
              <w:tc>
                <w:tcPr>
                  <w:tcW w:w="491" w:type="pct"/>
                  <w:tcBorders>
                    <w:tl2br w:val="nil"/>
                    <w:tr2bl w:val="nil"/>
                  </w:tcBorders>
                  <w:noWrap w:val="0"/>
                  <w:vAlign w:val="center"/>
                </w:tcPr>
                <w:p w14:paraId="6ED9C9E6">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vertAlign w:val="baseline"/>
                      <w:lang w:val="en-US" w:eastAsia="zh-CN"/>
                    </w:rPr>
                    <w:t>-N</w:t>
                  </w:r>
                </w:p>
              </w:tc>
            </w:tr>
            <w:tr w14:paraId="54E860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674" w:type="pct"/>
                  <w:vMerge w:val="restart"/>
                  <w:tcBorders>
                    <w:tl2br w:val="nil"/>
                    <w:tr2bl w:val="nil"/>
                  </w:tcBorders>
                  <w:noWrap w:val="0"/>
                  <w:vAlign w:val="center"/>
                </w:tcPr>
                <w:p w14:paraId="35837F83">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w:t>
                  </w:r>
                  <w:r>
                    <w:rPr>
                      <w:rFonts w:hint="eastAsia" w:ascii="Times New Roman" w:hAnsi="Times New Roman" w:eastAsia="宋体" w:cs="Times New Roman"/>
                      <w:color w:val="auto"/>
                      <w:sz w:val="21"/>
                      <w:szCs w:val="21"/>
                      <w:vertAlign w:val="baseline"/>
                      <w:lang w:val="en-US" w:eastAsia="zh-CN"/>
                    </w:rPr>
                    <w:t>用水</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450</w:t>
                  </w:r>
                  <w:r>
                    <w:rPr>
                      <w:rFonts w:hint="default" w:ascii="Times New Roman" w:hAnsi="Times New Roman" w:eastAsia="宋体" w:cs="Times New Roman"/>
                      <w:color w:val="auto"/>
                      <w:sz w:val="21"/>
                      <w:szCs w:val="21"/>
                      <w:vertAlign w:val="baseline"/>
                      <w:lang w:val="en-US" w:eastAsia="zh-CN"/>
                    </w:rPr>
                    <w:t>t/a）</w:t>
                  </w:r>
                </w:p>
              </w:tc>
              <w:tc>
                <w:tcPr>
                  <w:tcW w:w="2176" w:type="pct"/>
                  <w:tcBorders>
                    <w:tl2br w:val="nil"/>
                    <w:tr2bl w:val="nil"/>
                  </w:tcBorders>
                  <w:noWrap w:val="0"/>
                  <w:vAlign w:val="center"/>
                </w:tcPr>
                <w:p w14:paraId="7F0B4B35">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污染物产生浓度（mg/L）</w:t>
                  </w:r>
                </w:p>
              </w:tc>
              <w:tc>
                <w:tcPr>
                  <w:tcW w:w="564" w:type="pct"/>
                  <w:tcBorders>
                    <w:tl2br w:val="nil"/>
                    <w:tr2bl w:val="nil"/>
                  </w:tcBorders>
                  <w:noWrap w:val="0"/>
                  <w:vAlign w:val="center"/>
                </w:tcPr>
                <w:p w14:paraId="4E797819">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250</w:t>
                  </w:r>
                </w:p>
              </w:tc>
              <w:tc>
                <w:tcPr>
                  <w:tcW w:w="513" w:type="pct"/>
                  <w:tcBorders>
                    <w:tl2br w:val="nil"/>
                    <w:tr2bl w:val="nil"/>
                  </w:tcBorders>
                  <w:noWrap w:val="0"/>
                  <w:vAlign w:val="center"/>
                </w:tcPr>
                <w:p w14:paraId="386153DC">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110</w:t>
                  </w:r>
                </w:p>
              </w:tc>
              <w:tc>
                <w:tcPr>
                  <w:tcW w:w="579" w:type="pct"/>
                  <w:tcBorders>
                    <w:tl2br w:val="nil"/>
                    <w:tr2bl w:val="nil"/>
                  </w:tcBorders>
                  <w:noWrap w:val="0"/>
                  <w:vAlign w:val="center"/>
                </w:tcPr>
                <w:p w14:paraId="26660654">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100</w:t>
                  </w:r>
                </w:p>
              </w:tc>
              <w:tc>
                <w:tcPr>
                  <w:tcW w:w="491" w:type="pct"/>
                  <w:tcBorders>
                    <w:tl2br w:val="nil"/>
                    <w:tr2bl w:val="nil"/>
                  </w:tcBorders>
                  <w:noWrap w:val="0"/>
                  <w:vAlign w:val="center"/>
                </w:tcPr>
                <w:p w14:paraId="23E4AA97">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w:t>
                  </w:r>
                </w:p>
              </w:tc>
            </w:tr>
            <w:tr w14:paraId="613DA7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674" w:type="pct"/>
                  <w:vMerge w:val="continue"/>
                  <w:tcBorders>
                    <w:tl2br w:val="nil"/>
                    <w:tr2bl w:val="nil"/>
                  </w:tcBorders>
                  <w:noWrap w:val="0"/>
                  <w:vAlign w:val="center"/>
                </w:tcPr>
                <w:p w14:paraId="7CAE4C30">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176" w:type="pct"/>
                  <w:tcBorders>
                    <w:tl2br w:val="nil"/>
                    <w:tr2bl w:val="nil"/>
                  </w:tcBorders>
                  <w:noWrap w:val="0"/>
                  <w:vAlign w:val="center"/>
                </w:tcPr>
                <w:p w14:paraId="77E86DDB">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污染物产生量（t/a）</w:t>
                  </w:r>
                </w:p>
              </w:tc>
              <w:tc>
                <w:tcPr>
                  <w:tcW w:w="564" w:type="pct"/>
                  <w:tcBorders>
                    <w:tl2br w:val="nil"/>
                    <w:tr2bl w:val="nil"/>
                  </w:tcBorders>
                  <w:noWrap w:val="0"/>
                  <w:vAlign w:val="center"/>
                </w:tcPr>
                <w:p w14:paraId="7F4EF93C">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1125</w:t>
                  </w:r>
                </w:p>
              </w:tc>
              <w:tc>
                <w:tcPr>
                  <w:tcW w:w="513" w:type="pct"/>
                  <w:tcBorders>
                    <w:tl2br w:val="nil"/>
                    <w:tr2bl w:val="nil"/>
                  </w:tcBorders>
                  <w:noWrap w:val="0"/>
                  <w:vAlign w:val="center"/>
                </w:tcPr>
                <w:p w14:paraId="34932281">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0495</w:t>
                  </w:r>
                </w:p>
              </w:tc>
              <w:tc>
                <w:tcPr>
                  <w:tcW w:w="579" w:type="pct"/>
                  <w:tcBorders>
                    <w:tl2br w:val="nil"/>
                    <w:tr2bl w:val="nil"/>
                  </w:tcBorders>
                  <w:noWrap w:val="0"/>
                  <w:vAlign w:val="center"/>
                </w:tcPr>
                <w:p w14:paraId="2DB20B87">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w:t>
                  </w:r>
                  <w:r>
                    <w:rPr>
                      <w:rFonts w:hint="eastAsia" w:ascii="Times New Roman" w:hAnsi="Times New Roman" w:eastAsia="宋体" w:cs="Times New Roman"/>
                      <w:color w:val="auto"/>
                      <w:sz w:val="21"/>
                      <w:szCs w:val="21"/>
                      <w:vertAlign w:val="baseline"/>
                      <w:lang w:val="en-US" w:eastAsia="zh-CN"/>
                    </w:rPr>
                    <w:t>45</w:t>
                  </w:r>
                </w:p>
              </w:tc>
              <w:tc>
                <w:tcPr>
                  <w:tcW w:w="491" w:type="pct"/>
                  <w:tcBorders>
                    <w:tl2br w:val="nil"/>
                    <w:tr2bl w:val="nil"/>
                  </w:tcBorders>
                  <w:noWrap w:val="0"/>
                  <w:vAlign w:val="center"/>
                </w:tcPr>
                <w:p w14:paraId="0EC0425C">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w:t>
                  </w:r>
                  <w:r>
                    <w:rPr>
                      <w:rFonts w:hint="eastAsia" w:ascii="Times New Roman" w:hAnsi="Times New Roman" w:eastAsia="宋体" w:cs="Times New Roman"/>
                      <w:color w:val="auto"/>
                      <w:sz w:val="21"/>
                      <w:szCs w:val="21"/>
                      <w:vertAlign w:val="baseline"/>
                      <w:lang w:val="en-US" w:eastAsia="zh-CN"/>
                    </w:rPr>
                    <w:t>108</w:t>
                  </w:r>
                </w:p>
              </w:tc>
            </w:tr>
            <w:tr w14:paraId="68503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674" w:type="pct"/>
                  <w:tcBorders>
                    <w:tl2br w:val="nil"/>
                    <w:tr2bl w:val="nil"/>
                  </w:tcBorders>
                  <w:noWrap w:val="0"/>
                  <w:vAlign w:val="center"/>
                </w:tcPr>
                <w:p w14:paraId="0A8A9E55">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处理措施</w:t>
                  </w:r>
                </w:p>
              </w:tc>
              <w:tc>
                <w:tcPr>
                  <w:tcW w:w="4325" w:type="pct"/>
                  <w:gridSpan w:val="5"/>
                  <w:tcBorders>
                    <w:tl2br w:val="nil"/>
                    <w:tr2bl w:val="nil"/>
                  </w:tcBorders>
                  <w:noWrap w:val="0"/>
                  <w:vAlign w:val="center"/>
                </w:tcPr>
                <w:p w14:paraId="7D3891B9">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依托厂区现有的化粪池处理达标后排入市政污水管网，最终进入</w:t>
                  </w:r>
                  <w:r>
                    <w:rPr>
                      <w:rFonts w:hint="eastAsia" w:eastAsia="宋体" w:cs="Times New Roman"/>
                      <w:color w:val="auto"/>
                      <w:sz w:val="21"/>
                      <w:szCs w:val="21"/>
                      <w:lang w:val="en-US" w:eastAsia="zh-CN"/>
                    </w:rPr>
                    <w:t>福清市融元污水处理厂</w:t>
                  </w:r>
                  <w:r>
                    <w:rPr>
                      <w:rFonts w:hint="eastAsia" w:ascii="Times New Roman" w:hAnsi="Times New Roman" w:eastAsia="宋体" w:cs="Times New Roman"/>
                      <w:color w:val="auto"/>
                      <w:sz w:val="21"/>
                      <w:szCs w:val="21"/>
                      <w:highlight w:val="none"/>
                      <w:vertAlign w:val="baseline"/>
                      <w:lang w:val="en-US" w:eastAsia="zh-CN"/>
                    </w:rPr>
                    <w:t>进行处理</w:t>
                  </w:r>
                </w:p>
              </w:tc>
            </w:tr>
            <w:tr w14:paraId="651485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74" w:type="pct"/>
                  <w:vMerge w:val="restart"/>
                  <w:tcBorders>
                    <w:tl2br w:val="nil"/>
                    <w:tr2bl w:val="nil"/>
                  </w:tcBorders>
                  <w:noWrap w:val="0"/>
                  <w:vAlign w:val="center"/>
                </w:tcPr>
                <w:p w14:paraId="2B8E296B">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生活污水（</w:t>
                  </w:r>
                  <w:r>
                    <w:rPr>
                      <w:rFonts w:hint="eastAsia" w:ascii="Times New Roman" w:hAnsi="Times New Roman" w:eastAsia="宋体" w:cs="Times New Roman"/>
                      <w:color w:val="auto"/>
                      <w:sz w:val="21"/>
                      <w:szCs w:val="21"/>
                      <w:vertAlign w:val="baseline"/>
                      <w:lang w:val="en-US" w:eastAsia="zh-CN"/>
                    </w:rPr>
                    <w:t>360</w:t>
                  </w:r>
                  <w:r>
                    <w:rPr>
                      <w:rFonts w:hint="default" w:ascii="Times New Roman" w:hAnsi="Times New Roman" w:eastAsia="宋体" w:cs="Times New Roman"/>
                      <w:color w:val="auto"/>
                      <w:sz w:val="21"/>
                      <w:szCs w:val="21"/>
                      <w:vertAlign w:val="baseline"/>
                      <w:lang w:val="en-US" w:eastAsia="zh-CN"/>
                    </w:rPr>
                    <w:t>t/a）</w:t>
                  </w:r>
                </w:p>
              </w:tc>
              <w:tc>
                <w:tcPr>
                  <w:tcW w:w="2176" w:type="pct"/>
                  <w:tcBorders>
                    <w:tl2br w:val="nil"/>
                    <w:tr2bl w:val="nil"/>
                  </w:tcBorders>
                  <w:noWrap w:val="0"/>
                  <w:vAlign w:val="center"/>
                </w:tcPr>
                <w:p w14:paraId="53010DFD">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化粪池处理效率</w:t>
                  </w:r>
                </w:p>
              </w:tc>
              <w:tc>
                <w:tcPr>
                  <w:tcW w:w="564" w:type="pct"/>
                  <w:tcBorders>
                    <w:tl2br w:val="nil"/>
                    <w:tr2bl w:val="nil"/>
                  </w:tcBorders>
                  <w:noWrap w:val="0"/>
                  <w:vAlign w:val="center"/>
                </w:tcPr>
                <w:p w14:paraId="0176807A">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w:t>
                  </w:r>
                </w:p>
              </w:tc>
              <w:tc>
                <w:tcPr>
                  <w:tcW w:w="513" w:type="pct"/>
                  <w:tcBorders>
                    <w:tl2br w:val="nil"/>
                    <w:tr2bl w:val="nil"/>
                  </w:tcBorders>
                  <w:noWrap w:val="0"/>
                  <w:vAlign w:val="center"/>
                </w:tcPr>
                <w:p w14:paraId="3DABAA38">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579" w:type="pct"/>
                  <w:tcBorders>
                    <w:tl2br w:val="nil"/>
                    <w:tr2bl w:val="nil"/>
                  </w:tcBorders>
                  <w:noWrap w:val="0"/>
                  <w:vAlign w:val="center"/>
                </w:tcPr>
                <w:p w14:paraId="12E52C8D">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w:t>
                  </w:r>
                </w:p>
              </w:tc>
              <w:tc>
                <w:tcPr>
                  <w:tcW w:w="491" w:type="pct"/>
                  <w:tcBorders>
                    <w:tl2br w:val="nil"/>
                    <w:tr2bl w:val="nil"/>
                  </w:tcBorders>
                  <w:noWrap w:val="0"/>
                  <w:vAlign w:val="center"/>
                </w:tcPr>
                <w:p w14:paraId="2A567076">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1BE90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74" w:type="pct"/>
                  <w:vMerge w:val="continue"/>
                  <w:tcBorders>
                    <w:tl2br w:val="nil"/>
                    <w:tr2bl w:val="nil"/>
                  </w:tcBorders>
                  <w:noWrap w:val="0"/>
                  <w:vAlign w:val="center"/>
                </w:tcPr>
                <w:p w14:paraId="2A5D1FDC">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176" w:type="pct"/>
                  <w:tcBorders>
                    <w:tl2br w:val="nil"/>
                    <w:tr2bl w:val="nil"/>
                  </w:tcBorders>
                  <w:noWrap w:val="0"/>
                  <w:vAlign w:val="center"/>
                </w:tcPr>
                <w:p w14:paraId="4F36C6D0">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经化粪池处理后废水排放浓度（mg/L）</w:t>
                  </w:r>
                </w:p>
              </w:tc>
              <w:tc>
                <w:tcPr>
                  <w:tcW w:w="564" w:type="pct"/>
                  <w:tcBorders>
                    <w:tl2br w:val="nil"/>
                    <w:tr2bl w:val="nil"/>
                  </w:tcBorders>
                  <w:noWrap w:val="0"/>
                  <w:vAlign w:val="center"/>
                </w:tcPr>
                <w:p w14:paraId="46F2CB0E">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200</w:t>
                  </w:r>
                </w:p>
              </w:tc>
              <w:tc>
                <w:tcPr>
                  <w:tcW w:w="513" w:type="pct"/>
                  <w:tcBorders>
                    <w:tl2br w:val="nil"/>
                    <w:tr2bl w:val="nil"/>
                  </w:tcBorders>
                  <w:noWrap w:val="0"/>
                  <w:vAlign w:val="center"/>
                </w:tcPr>
                <w:p w14:paraId="2D584260">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93.5</w:t>
                  </w:r>
                </w:p>
              </w:tc>
              <w:tc>
                <w:tcPr>
                  <w:tcW w:w="579" w:type="pct"/>
                  <w:tcBorders>
                    <w:tl2br w:val="nil"/>
                    <w:tr2bl w:val="nil"/>
                  </w:tcBorders>
                  <w:noWrap w:val="0"/>
                  <w:vAlign w:val="center"/>
                </w:tcPr>
                <w:p w14:paraId="1D360E6F">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70</w:t>
                  </w:r>
                </w:p>
              </w:tc>
              <w:tc>
                <w:tcPr>
                  <w:tcW w:w="491" w:type="pct"/>
                  <w:tcBorders>
                    <w:tl2br w:val="nil"/>
                    <w:tr2bl w:val="nil"/>
                  </w:tcBorders>
                  <w:noWrap w:val="0"/>
                  <w:vAlign w:val="center"/>
                </w:tcPr>
                <w:p w14:paraId="155169CE">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w:t>
                  </w:r>
                </w:p>
              </w:tc>
            </w:tr>
            <w:tr w14:paraId="516A0F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674" w:type="pct"/>
                  <w:vMerge w:val="continue"/>
                  <w:tcBorders>
                    <w:tl2br w:val="nil"/>
                    <w:tr2bl w:val="nil"/>
                  </w:tcBorders>
                  <w:noWrap w:val="0"/>
                  <w:vAlign w:val="center"/>
                </w:tcPr>
                <w:p w14:paraId="61AF04C2">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176" w:type="pct"/>
                  <w:tcBorders>
                    <w:tl2br w:val="nil"/>
                    <w:tr2bl w:val="nil"/>
                  </w:tcBorders>
                  <w:noWrap w:val="0"/>
                  <w:vAlign w:val="center"/>
                </w:tcPr>
                <w:p w14:paraId="7E55DF71">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经化粪池处理后废水排放量（t/a）</w:t>
                  </w:r>
                </w:p>
              </w:tc>
              <w:tc>
                <w:tcPr>
                  <w:tcW w:w="564" w:type="pct"/>
                  <w:tcBorders>
                    <w:tl2br w:val="nil"/>
                    <w:tr2bl w:val="nil"/>
                  </w:tcBorders>
                  <w:noWrap w:val="0"/>
                  <w:vAlign w:val="center"/>
                </w:tcPr>
                <w:p w14:paraId="2D273A3F">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w:t>
                  </w:r>
                  <w:r>
                    <w:rPr>
                      <w:rFonts w:hint="eastAsia" w:ascii="Times New Roman" w:hAnsi="Times New Roman" w:eastAsia="宋体" w:cs="Times New Roman"/>
                      <w:color w:val="auto"/>
                      <w:sz w:val="21"/>
                      <w:szCs w:val="21"/>
                      <w:vertAlign w:val="baseline"/>
                      <w:lang w:val="en-US" w:eastAsia="zh-CN"/>
                    </w:rPr>
                    <w:t>72</w:t>
                  </w:r>
                </w:p>
              </w:tc>
              <w:tc>
                <w:tcPr>
                  <w:tcW w:w="513" w:type="pct"/>
                  <w:tcBorders>
                    <w:tl2br w:val="nil"/>
                    <w:tr2bl w:val="nil"/>
                  </w:tcBorders>
                  <w:noWrap w:val="0"/>
                  <w:vAlign w:val="center"/>
                </w:tcPr>
                <w:p w14:paraId="1184B656">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w:t>
                  </w:r>
                  <w:r>
                    <w:rPr>
                      <w:rFonts w:hint="eastAsia" w:ascii="Times New Roman" w:hAnsi="Times New Roman" w:eastAsia="宋体" w:cs="Times New Roman"/>
                      <w:color w:val="auto"/>
                      <w:sz w:val="21"/>
                      <w:szCs w:val="21"/>
                      <w:vertAlign w:val="baseline"/>
                      <w:lang w:val="en-US" w:eastAsia="zh-CN"/>
                    </w:rPr>
                    <w:t>337</w:t>
                  </w:r>
                </w:p>
              </w:tc>
              <w:tc>
                <w:tcPr>
                  <w:tcW w:w="579" w:type="pct"/>
                  <w:tcBorders>
                    <w:tl2br w:val="nil"/>
                    <w:tr2bl w:val="nil"/>
                  </w:tcBorders>
                  <w:noWrap w:val="0"/>
                  <w:vAlign w:val="center"/>
                </w:tcPr>
                <w:p w14:paraId="3F2EF79A">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w:t>
                  </w:r>
                  <w:r>
                    <w:rPr>
                      <w:rFonts w:hint="eastAsia" w:ascii="Times New Roman" w:hAnsi="Times New Roman" w:eastAsia="宋体" w:cs="Times New Roman"/>
                      <w:color w:val="auto"/>
                      <w:sz w:val="21"/>
                      <w:szCs w:val="21"/>
                      <w:vertAlign w:val="baseline"/>
                      <w:lang w:val="en-US" w:eastAsia="zh-CN"/>
                    </w:rPr>
                    <w:t>252</w:t>
                  </w:r>
                </w:p>
              </w:tc>
              <w:tc>
                <w:tcPr>
                  <w:tcW w:w="491" w:type="pct"/>
                  <w:tcBorders>
                    <w:tl2br w:val="nil"/>
                    <w:tr2bl w:val="nil"/>
                  </w:tcBorders>
                  <w:noWrap w:val="0"/>
                  <w:vAlign w:val="center"/>
                </w:tcPr>
                <w:p w14:paraId="11A249FC">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w:t>
                  </w:r>
                  <w:r>
                    <w:rPr>
                      <w:rFonts w:hint="eastAsia" w:ascii="Times New Roman" w:hAnsi="Times New Roman" w:eastAsia="宋体" w:cs="Times New Roman"/>
                      <w:color w:val="auto"/>
                      <w:sz w:val="21"/>
                      <w:szCs w:val="21"/>
                      <w:vertAlign w:val="baseline"/>
                      <w:lang w:val="en-US" w:eastAsia="zh-CN"/>
                    </w:rPr>
                    <w:t>086</w:t>
                  </w:r>
                </w:p>
              </w:tc>
            </w:tr>
            <w:tr w14:paraId="6883C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850" w:type="pct"/>
                  <w:gridSpan w:val="2"/>
                  <w:tcBorders>
                    <w:tl2br w:val="nil"/>
                    <w:tr2bl w:val="nil"/>
                  </w:tcBorders>
                  <w:noWrap w:val="0"/>
                  <w:vAlign w:val="center"/>
                </w:tcPr>
                <w:p w14:paraId="532FE66C">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lang w:val="en-US" w:eastAsia="zh-CN"/>
                    </w:rPr>
                    <w:t>福清市融元污水处理厂</w:t>
                  </w:r>
                  <w:r>
                    <w:rPr>
                      <w:rFonts w:hint="default" w:ascii="Times New Roman" w:hAnsi="Times New Roman" w:eastAsia="宋体" w:cs="Times New Roman"/>
                      <w:color w:val="auto"/>
                      <w:sz w:val="21"/>
                      <w:szCs w:val="21"/>
                      <w:vertAlign w:val="baseline"/>
                      <w:lang w:val="en-US" w:eastAsia="zh-CN"/>
                    </w:rPr>
                    <w:t>纳污指</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mg/L</w:t>
                  </w:r>
                  <w:r>
                    <w:rPr>
                      <w:rFonts w:hint="eastAsia" w:ascii="Times New Roman" w:hAnsi="Times New Roman" w:eastAsia="宋体" w:cs="Times New Roman"/>
                      <w:color w:val="auto"/>
                      <w:sz w:val="21"/>
                      <w:szCs w:val="21"/>
                      <w:vertAlign w:val="baseline"/>
                      <w:lang w:val="en-US" w:eastAsia="zh-CN"/>
                    </w:rPr>
                    <w:t>）</w:t>
                  </w:r>
                </w:p>
              </w:tc>
              <w:tc>
                <w:tcPr>
                  <w:tcW w:w="564" w:type="pct"/>
                  <w:tcBorders>
                    <w:tl2br w:val="nil"/>
                    <w:tr2bl w:val="nil"/>
                  </w:tcBorders>
                  <w:noWrap w:val="0"/>
                  <w:vAlign w:val="center"/>
                </w:tcPr>
                <w:p w14:paraId="751BE123">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w:t>
                  </w:r>
                  <w:r>
                    <w:rPr>
                      <w:rFonts w:hint="eastAsia" w:eastAsia="宋体" w:cs="Times New Roman"/>
                      <w:color w:val="auto"/>
                      <w:kern w:val="0"/>
                      <w:sz w:val="20"/>
                      <w:szCs w:val="20"/>
                      <w:lang w:val="en-US" w:eastAsia="zh-CN" w:bidi="ar"/>
                    </w:rPr>
                    <w:t>400</w:t>
                  </w:r>
                </w:p>
              </w:tc>
              <w:tc>
                <w:tcPr>
                  <w:tcW w:w="513" w:type="pct"/>
                  <w:tcBorders>
                    <w:tl2br w:val="nil"/>
                    <w:tr2bl w:val="nil"/>
                  </w:tcBorders>
                  <w:noWrap w:val="0"/>
                  <w:vAlign w:val="center"/>
                </w:tcPr>
                <w:p w14:paraId="0EFE3FCE">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w:t>
                  </w:r>
                  <w:r>
                    <w:rPr>
                      <w:rFonts w:hint="eastAsia" w:ascii="Times New Roman" w:hAnsi="Times New Roman" w:eastAsia="宋体" w:cs="Times New Roman"/>
                      <w:color w:val="auto"/>
                      <w:kern w:val="0"/>
                      <w:sz w:val="20"/>
                      <w:szCs w:val="20"/>
                      <w:lang w:val="en-US" w:eastAsia="zh-CN" w:bidi="ar"/>
                    </w:rPr>
                    <w:t>220</w:t>
                  </w:r>
                </w:p>
              </w:tc>
              <w:tc>
                <w:tcPr>
                  <w:tcW w:w="579" w:type="pct"/>
                  <w:tcBorders>
                    <w:tl2br w:val="nil"/>
                    <w:tr2bl w:val="nil"/>
                  </w:tcBorders>
                  <w:noWrap w:val="0"/>
                  <w:vAlign w:val="center"/>
                </w:tcPr>
                <w:p w14:paraId="47738F86">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≤2</w:t>
                  </w:r>
                  <w:r>
                    <w:rPr>
                      <w:rFonts w:hint="eastAsia" w:ascii="Times New Roman" w:hAnsi="Times New Roman" w:eastAsia="宋体" w:cs="Times New Roman"/>
                      <w:color w:val="auto"/>
                      <w:kern w:val="0"/>
                      <w:sz w:val="20"/>
                      <w:szCs w:val="20"/>
                      <w:lang w:val="en-US" w:eastAsia="zh-CN" w:bidi="ar"/>
                    </w:rPr>
                    <w:t>8</w:t>
                  </w:r>
                  <w:r>
                    <w:rPr>
                      <w:rFonts w:hint="default" w:ascii="Times New Roman" w:hAnsi="Times New Roman" w:eastAsia="宋体" w:cs="Times New Roman"/>
                      <w:color w:val="auto"/>
                      <w:kern w:val="0"/>
                      <w:sz w:val="20"/>
                      <w:szCs w:val="20"/>
                      <w:lang w:val="en-US" w:eastAsia="zh-CN" w:bidi="ar"/>
                    </w:rPr>
                    <w:t>0</w:t>
                  </w:r>
                </w:p>
              </w:tc>
              <w:tc>
                <w:tcPr>
                  <w:tcW w:w="491" w:type="pct"/>
                  <w:tcBorders>
                    <w:tl2br w:val="nil"/>
                    <w:tr2bl w:val="nil"/>
                  </w:tcBorders>
                  <w:noWrap w:val="0"/>
                  <w:vAlign w:val="center"/>
                </w:tcPr>
                <w:p w14:paraId="46E5CEE0">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w:t>
                  </w:r>
                  <w:r>
                    <w:rPr>
                      <w:rFonts w:hint="eastAsia" w:eastAsia="宋体" w:cs="Times New Roman"/>
                      <w:color w:val="auto"/>
                      <w:kern w:val="0"/>
                      <w:sz w:val="20"/>
                      <w:szCs w:val="20"/>
                      <w:lang w:val="en-US" w:eastAsia="zh-CN" w:bidi="ar"/>
                    </w:rPr>
                    <w:t>37</w:t>
                  </w:r>
                </w:p>
              </w:tc>
            </w:tr>
            <w:tr w14:paraId="7F6EF0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2850" w:type="pct"/>
                  <w:gridSpan w:val="2"/>
                  <w:tcBorders>
                    <w:tl2br w:val="nil"/>
                    <w:tr2bl w:val="nil"/>
                  </w:tcBorders>
                  <w:noWrap w:val="0"/>
                  <w:vAlign w:val="center"/>
                </w:tcPr>
                <w:p w14:paraId="338AD4F5">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lang w:val="en-US" w:eastAsia="zh-CN"/>
                    </w:rPr>
                    <w:t>福清市融元污水处理厂</w:t>
                  </w:r>
                  <w:r>
                    <w:rPr>
                      <w:rFonts w:hint="eastAsia" w:ascii="Times New Roman" w:hAnsi="Times New Roman" w:eastAsia="宋体" w:cs="Times New Roman"/>
                      <w:color w:val="auto"/>
                      <w:sz w:val="21"/>
                      <w:szCs w:val="21"/>
                      <w:vertAlign w:val="baseline"/>
                      <w:lang w:val="en-US" w:eastAsia="zh-CN"/>
                    </w:rPr>
                    <w:t>尾水排放指标（</w:t>
                  </w:r>
                  <w:r>
                    <w:rPr>
                      <w:rFonts w:hint="default" w:ascii="Times New Roman" w:hAnsi="Times New Roman" w:eastAsia="宋体" w:cs="Times New Roman"/>
                      <w:color w:val="auto"/>
                      <w:sz w:val="21"/>
                      <w:szCs w:val="21"/>
                      <w:vertAlign w:val="baseline"/>
                      <w:lang w:val="en-US" w:eastAsia="zh-CN"/>
                    </w:rPr>
                    <w:t>mg/L</w:t>
                  </w:r>
                  <w:r>
                    <w:rPr>
                      <w:rFonts w:hint="eastAsia" w:ascii="Times New Roman" w:hAnsi="Times New Roman" w:eastAsia="宋体" w:cs="Times New Roman"/>
                      <w:color w:val="auto"/>
                      <w:sz w:val="21"/>
                      <w:szCs w:val="21"/>
                      <w:vertAlign w:val="baseline"/>
                      <w:lang w:val="en-US" w:eastAsia="zh-CN"/>
                    </w:rPr>
                    <w:t>）</w:t>
                  </w:r>
                </w:p>
              </w:tc>
              <w:tc>
                <w:tcPr>
                  <w:tcW w:w="564" w:type="pct"/>
                  <w:tcBorders>
                    <w:tl2br w:val="nil"/>
                    <w:tr2bl w:val="nil"/>
                  </w:tcBorders>
                  <w:noWrap w:val="0"/>
                  <w:vAlign w:val="center"/>
                </w:tcPr>
                <w:p w14:paraId="46D27B3D">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eastAsia="宋体" w:cs="Times New Roman"/>
                      <w:color w:val="auto"/>
                      <w:kern w:val="0"/>
                      <w:sz w:val="20"/>
                      <w:szCs w:val="20"/>
                      <w:lang w:val="en-US" w:eastAsia="zh-CN" w:bidi="ar"/>
                    </w:rPr>
                    <w:t>50</w:t>
                  </w:r>
                </w:p>
              </w:tc>
              <w:tc>
                <w:tcPr>
                  <w:tcW w:w="513" w:type="pct"/>
                  <w:tcBorders>
                    <w:tl2br w:val="nil"/>
                    <w:tr2bl w:val="nil"/>
                  </w:tcBorders>
                  <w:noWrap w:val="0"/>
                  <w:vAlign w:val="center"/>
                </w:tcPr>
                <w:p w14:paraId="58B567DA">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ascii="Times New Roman" w:hAnsi="Times New Roman" w:eastAsia="宋体" w:cs="Times New Roman"/>
                      <w:color w:val="auto"/>
                      <w:kern w:val="0"/>
                      <w:sz w:val="20"/>
                      <w:szCs w:val="20"/>
                      <w:lang w:val="en-US" w:eastAsia="zh-CN" w:bidi="ar"/>
                    </w:rPr>
                    <w:t>10</w:t>
                  </w:r>
                </w:p>
              </w:tc>
              <w:tc>
                <w:tcPr>
                  <w:tcW w:w="579" w:type="pct"/>
                  <w:tcBorders>
                    <w:tl2br w:val="nil"/>
                    <w:tr2bl w:val="nil"/>
                  </w:tcBorders>
                  <w:noWrap w:val="0"/>
                  <w:vAlign w:val="center"/>
                </w:tcPr>
                <w:p w14:paraId="69972B88">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ascii="Times New Roman" w:hAnsi="Times New Roman" w:eastAsia="宋体" w:cs="Times New Roman"/>
                      <w:color w:val="auto"/>
                      <w:kern w:val="0"/>
                      <w:sz w:val="20"/>
                      <w:szCs w:val="20"/>
                      <w:lang w:val="en-US" w:eastAsia="zh-CN" w:bidi="ar"/>
                    </w:rPr>
                    <w:t>10</w:t>
                  </w:r>
                </w:p>
              </w:tc>
              <w:tc>
                <w:tcPr>
                  <w:tcW w:w="491" w:type="pct"/>
                  <w:tcBorders>
                    <w:tl2br w:val="nil"/>
                    <w:tr2bl w:val="nil"/>
                  </w:tcBorders>
                  <w:noWrap w:val="0"/>
                  <w:vAlign w:val="center"/>
                </w:tcPr>
                <w:p w14:paraId="6445E4B7">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eastAsia="宋体" w:cs="Times New Roman"/>
                      <w:color w:val="auto"/>
                      <w:kern w:val="0"/>
                      <w:sz w:val="20"/>
                      <w:szCs w:val="20"/>
                      <w:lang w:val="en-US" w:eastAsia="zh-CN" w:bidi="ar"/>
                    </w:rPr>
                    <w:t>5</w:t>
                  </w:r>
                </w:p>
              </w:tc>
            </w:tr>
            <w:tr w14:paraId="019D25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850" w:type="pct"/>
                  <w:gridSpan w:val="2"/>
                  <w:tcBorders>
                    <w:tl2br w:val="nil"/>
                    <w:tr2bl w:val="nil"/>
                  </w:tcBorders>
                  <w:noWrap w:val="0"/>
                  <w:vAlign w:val="center"/>
                </w:tcPr>
                <w:p w14:paraId="1F6C3774">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排口排放达标分析</w:t>
                  </w:r>
                </w:p>
              </w:tc>
              <w:tc>
                <w:tcPr>
                  <w:tcW w:w="564" w:type="pct"/>
                  <w:tcBorders>
                    <w:tl2br w:val="nil"/>
                    <w:tr2bl w:val="nil"/>
                  </w:tcBorders>
                  <w:noWrap w:val="0"/>
                  <w:vAlign w:val="center"/>
                </w:tcPr>
                <w:p w14:paraId="565FC165">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c>
                <w:tcPr>
                  <w:tcW w:w="513" w:type="pct"/>
                  <w:tcBorders>
                    <w:tl2br w:val="nil"/>
                    <w:tr2bl w:val="nil"/>
                  </w:tcBorders>
                  <w:noWrap w:val="0"/>
                  <w:vAlign w:val="center"/>
                </w:tcPr>
                <w:p w14:paraId="7B463F63">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c>
                <w:tcPr>
                  <w:tcW w:w="579" w:type="pct"/>
                  <w:tcBorders>
                    <w:tl2br w:val="nil"/>
                    <w:tr2bl w:val="nil"/>
                  </w:tcBorders>
                  <w:noWrap w:val="0"/>
                  <w:vAlign w:val="center"/>
                </w:tcPr>
                <w:p w14:paraId="3B61A0E5">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c>
                <w:tcPr>
                  <w:tcW w:w="491" w:type="pct"/>
                  <w:tcBorders>
                    <w:tl2br w:val="nil"/>
                    <w:tr2bl w:val="nil"/>
                  </w:tcBorders>
                  <w:noWrap w:val="0"/>
                  <w:vAlign w:val="center"/>
                </w:tcPr>
                <w:p w14:paraId="2819D059">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r>
          </w:tbl>
          <w:p w14:paraId="613594C5">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en-US" w:eastAsia="zh-CN"/>
              </w:rPr>
            </w:pPr>
            <w:bookmarkStart w:id="150" w:name="_Toc14541"/>
            <w:bookmarkStart w:id="151" w:name="_Toc16893"/>
            <w:bookmarkStart w:id="152" w:name="_Toc19668"/>
          </w:p>
          <w:p w14:paraId="0FEAD7F7">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153" w:name="_Toc27773"/>
            <w:bookmarkStart w:id="154" w:name="_Toc22874"/>
            <w:r>
              <w:rPr>
                <w:rFonts w:hint="eastAsia"/>
                <w:b/>
                <w:color w:val="262626"/>
                <w:kern w:val="0"/>
                <w:sz w:val="24"/>
                <w:lang w:val="en-US" w:eastAsia="zh-CN"/>
              </w:rPr>
              <w:t>4.2.2</w:t>
            </w:r>
            <w:r>
              <w:rPr>
                <w:rFonts w:hint="default"/>
                <w:b/>
                <w:color w:val="262626"/>
                <w:kern w:val="0"/>
                <w:sz w:val="24"/>
                <w:lang w:val="en-US" w:eastAsia="zh-CN"/>
              </w:rPr>
              <w:t>运营期水环境影响及污染防治措施可行性分析</w:t>
            </w:r>
            <w:bookmarkEnd w:id="153"/>
            <w:bookmarkEnd w:id="154"/>
          </w:p>
          <w:p w14:paraId="1F4AEC20">
            <w:pPr>
              <w:widowControl/>
              <w:numPr>
                <w:ilvl w:val="0"/>
                <w:numId w:val="0"/>
              </w:numPr>
              <w:spacing w:line="360" w:lineRule="auto"/>
              <w:ind w:firstLine="480" w:firstLineChars="200"/>
              <w:jc w:val="left"/>
              <w:rPr>
                <w:rFonts w:hint="eastAsia" w:cs="Times New Roman"/>
                <w:b w:val="0"/>
                <w:bCs w:val="0"/>
                <w:strike w:val="0"/>
                <w:dstrike w:val="0"/>
                <w:color w:val="auto"/>
                <w:sz w:val="24"/>
                <w:szCs w:val="24"/>
                <w:highlight w:val="none"/>
                <w:lang w:val="en-US" w:eastAsia="zh-CN"/>
              </w:rPr>
            </w:pPr>
            <w:r>
              <w:rPr>
                <w:rFonts w:hint="eastAsia" w:cs="Times New Roman"/>
                <w:b w:val="0"/>
                <w:bCs w:val="0"/>
                <w:strike w:val="0"/>
                <w:dstrike w:val="0"/>
                <w:color w:val="auto"/>
                <w:sz w:val="24"/>
                <w:szCs w:val="24"/>
                <w:highlight w:val="none"/>
                <w:lang w:val="en-US" w:eastAsia="zh-CN"/>
              </w:rPr>
              <w:t>（1）循环水处理设施可行性分析</w:t>
            </w:r>
          </w:p>
          <w:p w14:paraId="34FE812F">
            <w:pPr>
              <w:widowControl/>
              <w:spacing w:line="360" w:lineRule="auto"/>
              <w:ind w:firstLine="480" w:firstLineChars="200"/>
              <w:jc w:val="left"/>
              <w:rPr>
                <w:rFonts w:hint="eastAsia" w:cs="Times New Roman"/>
                <w:color w:val="auto"/>
                <w:sz w:val="24"/>
                <w:szCs w:val="24"/>
                <w:highlight w:val="none"/>
                <w:lang w:val="en-US" w:eastAsia="zh-CN"/>
              </w:rPr>
            </w:pPr>
            <w:r>
              <w:rPr>
                <w:rFonts w:hint="default" w:ascii="Times New Roman" w:hAnsi="Times New Roman" w:eastAsia="宋体" w:cs="Times New Roman"/>
                <w:b w:val="0"/>
                <w:bCs w:val="0"/>
                <w:strike w:val="0"/>
                <w:dstrike w:val="0"/>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eastAsia="zh-CN"/>
              </w:rPr>
              <w:t>生产过程中</w:t>
            </w:r>
            <w:r>
              <w:rPr>
                <w:rFonts w:hint="default" w:ascii="Times New Roman" w:hAnsi="Times New Roman" w:eastAsia="宋体" w:cs="Times New Roman"/>
                <w:color w:val="auto"/>
                <w:sz w:val="24"/>
                <w:szCs w:val="24"/>
                <w:highlight w:val="none"/>
                <w:lang w:val="en-US" w:eastAsia="zh-CN"/>
              </w:rPr>
              <w:t>用水主要为压铸成型间接冷却水、研磨工序冷却水及半成品清洗废水。压铸工序间接冷却水不直接接触产品为间接冷却水，经冷却塔冷却后循环使用不外排。研磨工序冷却水及半成品清洗废水经循环水处理设施处理后回用于生产不外排，因此不产生生产废水排放。</w:t>
            </w:r>
            <w:r>
              <w:rPr>
                <w:rFonts w:hint="eastAsia" w:cs="Times New Roman"/>
                <w:color w:val="auto"/>
                <w:sz w:val="24"/>
                <w:szCs w:val="24"/>
                <w:highlight w:val="none"/>
                <w:lang w:val="en-US" w:eastAsia="zh-CN"/>
              </w:rPr>
              <w:t>循环水处理设施工艺采用“格栅+铝粉过滤器+pH调节池+混凝反应池+沉淀池+过滤泵+砂滤器+碳滤器+精密过滤器”处理后回用于生产。处理过程中沉淀的污泥通过污泥提升泵抽到污浆池中委托其他企业处理。因此，本项目生产废水通过循环水处理设施处理后回用于生产可行。循环水处理工艺流程详见图4.2-1。</w:t>
            </w:r>
          </w:p>
          <w:p w14:paraId="6C949C54">
            <w:pPr>
              <w:pStyle w:val="18"/>
              <w:rPr>
                <w:rFonts w:hint="default"/>
                <w:lang w:val="en-US" w:eastAsia="zh-CN"/>
              </w:rPr>
            </w:pPr>
            <w:r>
              <w:rPr>
                <w:sz w:val="21"/>
              </w:rPr>
              <mc:AlternateContent>
                <mc:Choice Requires="wps">
                  <w:drawing>
                    <wp:anchor distT="0" distB="0" distL="114300" distR="114300" simplePos="0" relativeHeight="251722752" behindDoc="0" locked="0" layoutInCell="1" allowOverlap="1">
                      <wp:simplePos x="0" y="0"/>
                      <wp:positionH relativeFrom="column">
                        <wp:posOffset>74295</wp:posOffset>
                      </wp:positionH>
                      <wp:positionV relativeFrom="paragraph">
                        <wp:posOffset>635</wp:posOffset>
                      </wp:positionV>
                      <wp:extent cx="5280660" cy="4544060"/>
                      <wp:effectExtent l="6350" t="6350" r="8890" b="21590"/>
                      <wp:wrapNone/>
                      <wp:docPr id="238" name="矩形 238"/>
                      <wp:cNvGraphicFramePr/>
                      <a:graphic xmlns:a="http://schemas.openxmlformats.org/drawingml/2006/main">
                        <a:graphicData uri="http://schemas.microsoft.com/office/word/2010/wordprocessingShape">
                          <wps:wsp>
                            <wps:cNvSpPr/>
                            <wps:spPr>
                              <a:xfrm>
                                <a:off x="0" y="0"/>
                                <a:ext cx="5280660" cy="454406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5pt;margin-top:0.05pt;height:357.8pt;width:415.8pt;z-index:251722752;v-text-anchor:middle;mso-width-relative:page;mso-height-relative:page;" fillcolor="#FFFFFF [3212]" filled="t" stroked="t" coordsize="21600,21600" o:gfxdata="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VZ9QI9QAAAAHAQAADwAAAAAAAAABACAAAAAiAAAAZHJzL2Rvd25yZXYueG1s&#10;UEsBAhQAFAAAAAgAh07iQKYITBduAgAA+QQAAA4AAAAAAAAAAQAgAAAAIwEAAGRycy9lMm9Eb2Mu&#10;eG1sUEsFBgAAAAAGAAYAWQEAAAMGAAAAAA==&#10;">
                      <v:fill on="t" focussize="0,0"/>
                      <v:stroke weight="1pt" color="#FFFFFF [3212]" miterlimit="8" joinstyle="miter"/>
                      <v:imagedata o:title=""/>
                      <o:lock v:ext="edit" aspectratio="f"/>
                    </v:rect>
                  </w:pict>
                </mc:Fallback>
              </mc:AlternateContent>
            </w:r>
            <w:r>
              <w:drawing>
                <wp:inline distT="0" distB="0" distL="114300" distR="114300">
                  <wp:extent cx="5458460" cy="4497705"/>
                  <wp:effectExtent l="0" t="0" r="8890" b="171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8"/>
                          <a:stretch>
                            <a:fillRect/>
                          </a:stretch>
                        </pic:blipFill>
                        <pic:spPr>
                          <a:xfrm>
                            <a:off x="0" y="0"/>
                            <a:ext cx="5458460" cy="4497705"/>
                          </a:xfrm>
                          <a:prstGeom prst="rect">
                            <a:avLst/>
                          </a:prstGeom>
                          <a:noFill/>
                          <a:ln>
                            <a:noFill/>
                          </a:ln>
                        </pic:spPr>
                      </pic:pic>
                    </a:graphicData>
                  </a:graphic>
                </wp:inline>
              </w:drawing>
            </w:r>
          </w:p>
          <w:p w14:paraId="6A44FF5F">
            <w:pPr>
              <w:widowControl/>
              <w:spacing w:line="360" w:lineRule="auto"/>
              <w:jc w:val="center"/>
              <w:rPr>
                <w:rFonts w:hint="eastAsia" w:ascii="Times New Roman" w:hAnsi="Times New Roman" w:eastAsia="宋体" w:cs="Times New Roman"/>
                <w:b w:val="0"/>
                <w:bCs w:val="0"/>
                <w:strike w:val="0"/>
                <w:dstrike w:val="0"/>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图</w:t>
            </w:r>
            <w:r>
              <w:rPr>
                <w:rFonts w:hint="eastAsia" w:ascii="Times New Roman" w:hAnsi="Times New Roman" w:eastAsia="宋体" w:cs="Times New Roman"/>
                <w:b/>
                <w:bCs/>
                <w:color w:val="auto"/>
                <w:sz w:val="24"/>
                <w:szCs w:val="24"/>
                <w:highlight w:val="none"/>
                <w:lang w:val="en-US" w:eastAsia="zh-CN"/>
              </w:rPr>
              <w:t xml:space="preserve">4.2-1 </w:t>
            </w:r>
            <w:r>
              <w:rPr>
                <w:rFonts w:hint="eastAsia" w:cs="Times New Roman"/>
                <w:b/>
                <w:bCs/>
                <w:color w:val="auto"/>
                <w:sz w:val="24"/>
                <w:szCs w:val="24"/>
                <w:highlight w:val="none"/>
                <w:lang w:val="en-US" w:eastAsia="zh-CN"/>
              </w:rPr>
              <w:t>水循环</w:t>
            </w:r>
            <w:r>
              <w:rPr>
                <w:rFonts w:hint="default" w:ascii="Times New Roman" w:hAnsi="Times New Roman" w:eastAsia="宋体" w:cs="Times New Roman"/>
                <w:b/>
                <w:bCs/>
                <w:color w:val="auto"/>
                <w:sz w:val="24"/>
                <w:szCs w:val="24"/>
                <w:highlight w:val="none"/>
                <w:lang w:val="en-US" w:eastAsia="zh-CN"/>
              </w:rPr>
              <w:t>处理</w:t>
            </w:r>
            <w:r>
              <w:rPr>
                <w:rFonts w:hint="eastAsia" w:cs="Times New Roman"/>
                <w:b/>
                <w:bCs/>
                <w:color w:val="auto"/>
                <w:sz w:val="24"/>
                <w:szCs w:val="24"/>
                <w:highlight w:val="none"/>
                <w:lang w:val="en-US" w:eastAsia="zh-CN"/>
              </w:rPr>
              <w:t>设施</w:t>
            </w:r>
            <w:r>
              <w:rPr>
                <w:rFonts w:hint="default" w:ascii="Times New Roman" w:hAnsi="Times New Roman" w:eastAsia="宋体" w:cs="Times New Roman"/>
                <w:b/>
                <w:bCs/>
                <w:color w:val="auto"/>
                <w:sz w:val="24"/>
                <w:szCs w:val="24"/>
                <w:highlight w:val="none"/>
                <w:lang w:val="en-US" w:eastAsia="zh-CN"/>
              </w:rPr>
              <w:t>工艺流程图</w:t>
            </w:r>
          </w:p>
          <w:p w14:paraId="2FD3CE07">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eastAsia" w:cs="Times New Roman"/>
                <w:b w:val="0"/>
                <w:bCs w:val="0"/>
                <w:strike w:val="0"/>
                <w:dstrike w:val="0"/>
                <w:color w:val="auto"/>
                <w:sz w:val="24"/>
                <w:szCs w:val="24"/>
                <w:highlight w:val="none"/>
                <w:lang w:val="en-US" w:eastAsia="zh-CN"/>
              </w:rPr>
              <w:t>2</w:t>
            </w:r>
            <w:r>
              <w:rPr>
                <w:rFonts w:hint="eastAsia" w:ascii="Times New Roman" w:hAnsi="Times New Roman" w:eastAsia="宋体" w:cs="Times New Roman"/>
                <w:b w:val="0"/>
                <w:bCs w:val="0"/>
                <w:strike w:val="0"/>
                <w:dstrike w:val="0"/>
                <w:color w:val="auto"/>
                <w:sz w:val="24"/>
                <w:szCs w:val="24"/>
                <w:highlight w:val="none"/>
                <w:lang w:val="en-US" w:eastAsia="zh-CN"/>
              </w:rPr>
              <w:t>）化粪池依托处理可行性分析</w:t>
            </w:r>
          </w:p>
          <w:p w14:paraId="31C88857">
            <w:pPr>
              <w:widowControl/>
              <w:spacing w:line="360" w:lineRule="auto"/>
              <w:ind w:firstLine="480" w:firstLineChars="200"/>
              <w:jc w:val="left"/>
              <w:rPr>
                <w:rFonts w:hint="default" w:ascii="Times New Roman" w:hAnsi="Times New Roman" w:eastAsia="宋体" w:cs="Times New Roman"/>
                <w:strike w:val="0"/>
                <w:dstrike w:val="0"/>
                <w:color w:val="auto"/>
                <w:sz w:val="24"/>
                <w:highlight w:val="none"/>
              </w:rPr>
            </w:pPr>
            <w:r>
              <w:rPr>
                <w:rFonts w:hint="default" w:ascii="Times New Roman" w:hAnsi="Times New Roman" w:eastAsia="宋体" w:cs="Times New Roman"/>
                <w:b w:val="0"/>
                <w:bCs w:val="0"/>
                <w:strike w:val="0"/>
                <w:dstrike w:val="0"/>
                <w:color w:val="auto"/>
                <w:sz w:val="24"/>
                <w:szCs w:val="24"/>
                <w:highlight w:val="none"/>
                <w:lang w:val="en-US" w:eastAsia="zh-CN"/>
              </w:rPr>
              <w:t>运营期外排废水为生活污水，依托厂区内现有化粪池处理后，排入市政污水管网，送往</w:t>
            </w:r>
            <w:r>
              <w:rPr>
                <w:rFonts w:hint="default" w:ascii="Times New Roman" w:hAnsi="Times New Roman" w:eastAsia="宋体" w:cs="Times New Roman"/>
                <w:strike w:val="0"/>
                <w:dstrike w:val="0"/>
                <w:color w:val="auto"/>
                <w:sz w:val="24"/>
                <w:szCs w:val="24"/>
                <w:lang w:val="en-US" w:eastAsia="zh-CN"/>
              </w:rPr>
              <w:t>福清市融元污水处理厂集</w:t>
            </w:r>
            <w:r>
              <w:rPr>
                <w:rFonts w:hint="default" w:ascii="Times New Roman" w:hAnsi="Times New Roman" w:eastAsia="宋体" w:cs="Times New Roman"/>
                <w:b w:val="0"/>
                <w:bCs w:val="0"/>
                <w:strike w:val="0"/>
                <w:dstrike w:val="0"/>
                <w:color w:val="auto"/>
                <w:sz w:val="24"/>
                <w:szCs w:val="24"/>
                <w:highlight w:val="none"/>
                <w:lang w:val="en-US" w:eastAsia="zh-CN"/>
              </w:rPr>
              <w:t>中进行处理，污水处理厂尾水排入龙江，所处龙江</w:t>
            </w:r>
            <w:r>
              <w:rPr>
                <w:rFonts w:hint="eastAsia"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南门桥水闸至龙江入海口</w:t>
            </w:r>
            <w:r>
              <w:rPr>
                <w:rFonts w:hint="eastAsia"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断面。生活污水依托厂区（均和云谷·福清科技港园区）现有的化粪池（50m</w:t>
            </w:r>
            <w:r>
              <w:rPr>
                <w:rFonts w:hint="default" w:ascii="Times New Roman" w:hAnsi="Times New Roman" w:eastAsia="宋体" w:cs="Times New Roman"/>
                <w:b w:val="0"/>
                <w:bCs w:val="0"/>
                <w:strike w:val="0"/>
                <w:dstrike w:val="0"/>
                <w:color w:val="auto"/>
                <w:sz w:val="24"/>
                <w:szCs w:val="24"/>
                <w:highlight w:val="none"/>
                <w:vertAlign w:val="superscript"/>
                <w:lang w:val="en-US" w:eastAsia="zh-CN"/>
              </w:rPr>
              <w:t>3</w:t>
            </w:r>
            <w:r>
              <w:rPr>
                <w:rFonts w:hint="default" w:ascii="Times New Roman" w:hAnsi="Times New Roman" w:eastAsia="宋体" w:cs="Times New Roman"/>
                <w:b w:val="0"/>
                <w:bCs w:val="0"/>
                <w:strike w:val="0"/>
                <w:dstrike w:val="0"/>
                <w:color w:val="auto"/>
                <w:sz w:val="24"/>
                <w:szCs w:val="24"/>
                <w:highlight w:val="none"/>
                <w:lang w:val="en-US" w:eastAsia="zh-CN"/>
              </w:rPr>
              <w:t>）处理后进入市政管网。据建设单位提供资料，</w:t>
            </w:r>
            <w:r>
              <w:rPr>
                <w:rFonts w:hint="default" w:ascii="Times New Roman" w:hAnsi="Times New Roman" w:eastAsia="宋体" w:cs="Times New Roman"/>
                <w:strike w:val="0"/>
                <w:dstrike w:val="0"/>
                <w:color w:val="auto"/>
                <w:sz w:val="24"/>
                <w:lang w:val="en-GB"/>
              </w:rPr>
              <w:t>项目所在的</w:t>
            </w:r>
            <w:r>
              <w:rPr>
                <w:rFonts w:hint="default" w:ascii="Times New Roman" w:hAnsi="Times New Roman" w:eastAsia="宋体" w:cs="Times New Roman"/>
                <w:strike w:val="0"/>
                <w:dstrike w:val="0"/>
                <w:color w:val="auto"/>
                <w:sz w:val="24"/>
              </w:rPr>
              <w:t>均和云谷</w:t>
            </w:r>
            <w:r>
              <w:rPr>
                <w:rFonts w:hint="eastAsia" w:ascii="宋体" w:hAnsi="宋体" w:eastAsia="宋体" w:cs="宋体"/>
                <w:strike w:val="0"/>
                <w:dstrike w:val="0"/>
                <w:color w:val="auto"/>
                <w:sz w:val="24"/>
              </w:rPr>
              <w:t>·</w:t>
            </w:r>
            <w:r>
              <w:rPr>
                <w:rFonts w:hint="default" w:ascii="Times New Roman" w:hAnsi="Times New Roman" w:eastAsia="宋体" w:cs="Times New Roman"/>
                <w:strike w:val="0"/>
                <w:dstrike w:val="0"/>
                <w:color w:val="auto"/>
                <w:sz w:val="24"/>
              </w:rPr>
              <w:t>福清科技港园区</w:t>
            </w:r>
            <w:r>
              <w:rPr>
                <w:rFonts w:hint="default" w:ascii="Times New Roman" w:hAnsi="Times New Roman" w:eastAsia="宋体" w:cs="Times New Roman"/>
                <w:strike w:val="0"/>
                <w:dstrike w:val="0"/>
                <w:color w:val="auto"/>
                <w:sz w:val="24"/>
                <w:lang w:val="en-US" w:eastAsia="zh-CN"/>
              </w:rPr>
              <w:t>西</w:t>
            </w:r>
            <w:r>
              <w:rPr>
                <w:rFonts w:hint="default" w:ascii="Times New Roman" w:hAnsi="Times New Roman" w:eastAsia="宋体" w:cs="Times New Roman"/>
                <w:strike w:val="0"/>
                <w:dstrike w:val="0"/>
                <w:color w:val="auto"/>
                <w:sz w:val="24"/>
              </w:rPr>
              <w:t>北侧</w:t>
            </w:r>
            <w:r>
              <w:rPr>
                <w:rFonts w:hint="default" w:ascii="Times New Roman" w:hAnsi="Times New Roman" w:eastAsia="宋体" w:cs="Times New Roman"/>
                <w:strike w:val="0"/>
                <w:dstrike w:val="0"/>
                <w:color w:val="auto"/>
                <w:sz w:val="24"/>
                <w:lang w:val="en-GB"/>
              </w:rPr>
              <w:t>设有一个有效容积约为50m</w:t>
            </w:r>
            <w:r>
              <w:rPr>
                <w:rFonts w:hint="default" w:ascii="Times New Roman" w:hAnsi="Times New Roman" w:eastAsia="宋体" w:cs="Times New Roman"/>
                <w:strike w:val="0"/>
                <w:dstrike w:val="0"/>
                <w:color w:val="auto"/>
                <w:sz w:val="24"/>
                <w:vertAlign w:val="superscript"/>
                <w:lang w:val="en-GB"/>
              </w:rPr>
              <w:t>3</w:t>
            </w:r>
            <w:r>
              <w:rPr>
                <w:rFonts w:hint="default" w:ascii="Times New Roman" w:hAnsi="Times New Roman" w:eastAsia="宋体" w:cs="Times New Roman"/>
                <w:strike w:val="0"/>
                <w:dstrike w:val="0"/>
                <w:color w:val="auto"/>
                <w:sz w:val="24"/>
                <w:lang w:val="en-GB"/>
              </w:rPr>
              <w:t>化粪池供</w:t>
            </w:r>
            <w:r>
              <w:rPr>
                <w:rFonts w:hint="default" w:ascii="Times New Roman" w:hAnsi="Times New Roman" w:eastAsia="宋体" w:cs="Times New Roman"/>
                <w:strike w:val="0"/>
                <w:dstrike w:val="0"/>
                <w:color w:val="auto"/>
                <w:sz w:val="24"/>
              </w:rPr>
              <w:t>整个厂区</w:t>
            </w:r>
            <w:r>
              <w:rPr>
                <w:rFonts w:hint="default" w:ascii="Times New Roman" w:hAnsi="Times New Roman" w:eastAsia="宋体" w:cs="Times New Roman"/>
                <w:strike w:val="0"/>
                <w:dstrike w:val="0"/>
                <w:color w:val="auto"/>
                <w:sz w:val="24"/>
                <w:lang w:val="en-GB"/>
              </w:rPr>
              <w:t>生活污水</w:t>
            </w:r>
            <w:r>
              <w:rPr>
                <w:rFonts w:hint="default" w:ascii="Times New Roman" w:hAnsi="Times New Roman" w:eastAsia="宋体" w:cs="Times New Roman"/>
                <w:strike w:val="0"/>
                <w:dstrike w:val="0"/>
                <w:color w:val="auto"/>
                <w:sz w:val="24"/>
                <w:lang w:val="en-US" w:eastAsia="zh-CN"/>
              </w:rPr>
              <w:t>处理</w:t>
            </w:r>
            <w:r>
              <w:rPr>
                <w:rFonts w:hint="default" w:ascii="Times New Roman" w:hAnsi="Times New Roman" w:eastAsia="宋体" w:cs="Times New Roman"/>
                <w:strike w:val="0"/>
                <w:dstrike w:val="0"/>
                <w:color w:val="auto"/>
                <w:sz w:val="24"/>
                <w:lang w:val="en-GB"/>
              </w:rPr>
              <w:t>使用</w:t>
            </w:r>
            <w:r>
              <w:rPr>
                <w:rFonts w:hint="default" w:ascii="Times New Roman" w:hAnsi="Times New Roman" w:eastAsia="宋体" w:cs="Times New Roman"/>
                <w:strike w:val="0"/>
                <w:dstrike w:val="0"/>
                <w:color w:val="auto"/>
                <w:sz w:val="24"/>
                <w:lang w:val="en-GB" w:eastAsia="zh-CN"/>
              </w:rPr>
              <w:t>，</w:t>
            </w:r>
            <w:r>
              <w:rPr>
                <w:rFonts w:hint="default" w:ascii="Times New Roman" w:hAnsi="Times New Roman" w:eastAsia="宋体" w:cs="Times New Roman"/>
                <w:strike w:val="0"/>
                <w:dstrike w:val="0"/>
                <w:color w:val="auto"/>
                <w:sz w:val="24"/>
                <w:lang w:val="en-US" w:eastAsia="zh-CN"/>
              </w:rPr>
              <w:t>化粪池管理、维护均由均和物业管理服务（福州）有限公司全权负责</w:t>
            </w:r>
            <w:r>
              <w:rPr>
                <w:rFonts w:hint="default" w:ascii="Times New Roman" w:hAnsi="Times New Roman" w:eastAsia="宋体" w:cs="Times New Roman"/>
                <w:strike w:val="0"/>
                <w:dstrike w:val="0"/>
                <w:color w:val="auto"/>
                <w:sz w:val="24"/>
                <w:lang w:val="en-GB"/>
              </w:rPr>
              <w:t>。根据均和产业发展（福清）有限公司提</w:t>
            </w:r>
            <w:r>
              <w:rPr>
                <w:rFonts w:hint="eastAsia" w:cs="Times New Roman"/>
                <w:strike w:val="0"/>
                <w:dstrike w:val="0"/>
                <w:color w:val="auto"/>
                <w:sz w:val="24"/>
                <w:lang w:val="en-GB" w:eastAsia="zh-CN"/>
              </w:rPr>
              <w:t>供的</w:t>
            </w:r>
            <w:r>
              <w:rPr>
                <w:rFonts w:hint="default" w:ascii="Times New Roman" w:hAnsi="Times New Roman" w:eastAsia="宋体" w:cs="Times New Roman"/>
                <w:strike w:val="0"/>
                <w:dstrike w:val="0"/>
                <w:color w:val="auto"/>
                <w:sz w:val="24"/>
                <w:lang w:val="en-GB"/>
              </w:rPr>
              <w:t>证明材料</w:t>
            </w:r>
            <w:r>
              <w:rPr>
                <w:rFonts w:hint="default" w:ascii="Times New Roman" w:hAnsi="Times New Roman" w:eastAsia="宋体" w:cs="Times New Roman"/>
                <w:bCs/>
                <w:strike w:val="0"/>
                <w:dstrike w:val="0"/>
                <w:color w:val="auto"/>
                <w:sz w:val="24"/>
                <w:szCs w:val="24"/>
                <w:lang w:val="en-US" w:eastAsia="zh-CN"/>
              </w:rPr>
              <w:t>（目前</w:t>
            </w:r>
            <w:r>
              <w:rPr>
                <w:rFonts w:hint="eastAsia" w:cs="Times New Roman"/>
                <w:bCs/>
                <w:strike w:val="0"/>
                <w:dstrike w:val="0"/>
                <w:color w:val="auto"/>
                <w:sz w:val="24"/>
                <w:szCs w:val="24"/>
                <w:lang w:val="en-US" w:eastAsia="zh-CN"/>
              </w:rPr>
              <w:t>实际处理水量约为1.575m</w:t>
            </w:r>
            <w:r>
              <w:rPr>
                <w:rFonts w:hint="eastAsia" w:cs="Times New Roman"/>
                <w:bCs/>
                <w:strike w:val="0"/>
                <w:dstrike w:val="0"/>
                <w:color w:val="auto"/>
                <w:sz w:val="24"/>
                <w:szCs w:val="24"/>
                <w:vertAlign w:val="superscript"/>
                <w:lang w:val="en-US" w:eastAsia="zh-CN"/>
              </w:rPr>
              <w:t>3</w:t>
            </w:r>
            <w:r>
              <w:rPr>
                <w:rFonts w:hint="eastAsia" w:cs="Times New Roman"/>
                <w:bCs/>
                <w:strike w:val="0"/>
                <w:dstrike w:val="0"/>
                <w:color w:val="auto"/>
                <w:sz w:val="24"/>
                <w:szCs w:val="24"/>
                <w:lang w:val="en-US" w:eastAsia="zh-CN"/>
              </w:rPr>
              <w:t>/d</w:t>
            </w:r>
            <w:r>
              <w:rPr>
                <w:rFonts w:hint="default" w:ascii="Times New Roman" w:hAnsi="Times New Roman" w:eastAsia="宋体" w:cs="Times New Roman"/>
                <w:bCs/>
                <w:strike w:val="0"/>
                <w:dstrike w:val="0"/>
                <w:color w:val="auto"/>
                <w:sz w:val="24"/>
                <w:szCs w:val="24"/>
                <w:lang w:val="en-GB" w:eastAsia="zh-CN"/>
              </w:rPr>
              <w:t>，</w:t>
            </w:r>
            <w:r>
              <w:rPr>
                <w:rFonts w:hint="default" w:ascii="Times New Roman" w:hAnsi="Times New Roman" w:eastAsia="宋体" w:cs="Times New Roman"/>
                <w:strike w:val="0"/>
                <w:dstrike w:val="0"/>
                <w:color w:val="auto"/>
                <w:sz w:val="24"/>
                <w:lang w:val="en-GB"/>
              </w:rPr>
              <w:t>项目化粪池尚有</w:t>
            </w:r>
            <w:r>
              <w:rPr>
                <w:rFonts w:hint="default" w:ascii="Times New Roman" w:hAnsi="Times New Roman" w:eastAsia="宋体" w:cs="Times New Roman"/>
                <w:strike w:val="0"/>
                <w:dstrike w:val="0"/>
                <w:color w:val="auto"/>
                <w:sz w:val="24"/>
                <w:lang w:val="en-US" w:eastAsia="zh-CN"/>
              </w:rPr>
              <w:t>4</w:t>
            </w:r>
            <w:r>
              <w:rPr>
                <w:rFonts w:hint="eastAsia" w:cs="Times New Roman"/>
                <w:strike w:val="0"/>
                <w:dstrike w:val="0"/>
                <w:color w:val="auto"/>
                <w:sz w:val="24"/>
                <w:lang w:val="en-US" w:eastAsia="zh-CN"/>
              </w:rPr>
              <w:t>8</w:t>
            </w:r>
            <w:r>
              <w:rPr>
                <w:rFonts w:hint="default" w:ascii="Times New Roman" w:hAnsi="Times New Roman" w:eastAsia="宋体" w:cs="Times New Roman"/>
                <w:strike w:val="0"/>
                <w:dstrike w:val="0"/>
                <w:color w:val="auto"/>
                <w:sz w:val="24"/>
                <w:lang w:val="en-US" w:eastAsia="zh-CN"/>
              </w:rPr>
              <w:t>.</w:t>
            </w:r>
            <w:r>
              <w:rPr>
                <w:rFonts w:hint="eastAsia" w:cs="Times New Roman"/>
                <w:strike w:val="0"/>
                <w:dstrike w:val="0"/>
                <w:color w:val="auto"/>
                <w:sz w:val="24"/>
                <w:lang w:val="en-US" w:eastAsia="zh-CN"/>
              </w:rPr>
              <w:t>428</w:t>
            </w:r>
            <w:r>
              <w:rPr>
                <w:rFonts w:hint="default" w:ascii="Times New Roman" w:hAnsi="Times New Roman" w:eastAsia="宋体" w:cs="Times New Roman"/>
                <w:strike w:val="0"/>
                <w:dstrike w:val="0"/>
                <w:color w:val="auto"/>
                <w:sz w:val="24"/>
                <w:lang w:val="en-GB"/>
              </w:rPr>
              <w:t>m</w:t>
            </w:r>
            <w:r>
              <w:rPr>
                <w:rFonts w:hint="default" w:ascii="Times New Roman" w:hAnsi="Times New Roman" w:eastAsia="宋体" w:cs="Times New Roman"/>
                <w:strike w:val="0"/>
                <w:dstrike w:val="0"/>
                <w:color w:val="auto"/>
                <w:sz w:val="24"/>
                <w:vertAlign w:val="superscript"/>
                <w:lang w:val="en-GB"/>
              </w:rPr>
              <w:t>3</w:t>
            </w:r>
            <w:r>
              <w:rPr>
                <w:rFonts w:hint="default" w:ascii="Times New Roman" w:hAnsi="Times New Roman" w:eastAsia="宋体" w:cs="Times New Roman"/>
                <w:strike w:val="0"/>
                <w:dstrike w:val="0"/>
                <w:color w:val="auto"/>
                <w:sz w:val="24"/>
                <w:lang w:val="en-GB"/>
              </w:rPr>
              <w:t>/d余量给本项目使用，</w:t>
            </w:r>
            <w:r>
              <w:rPr>
                <w:rFonts w:hint="default" w:ascii="Times New Roman" w:hAnsi="Times New Roman" w:eastAsia="宋体" w:cs="Times New Roman"/>
                <w:strike w:val="0"/>
                <w:dstrike w:val="0"/>
                <w:color w:val="auto"/>
                <w:sz w:val="24"/>
              </w:rPr>
              <w:t>本项目生活污水排放量约为</w:t>
            </w:r>
            <w:r>
              <w:rPr>
                <w:rFonts w:hint="default" w:ascii="Times New Roman" w:hAnsi="Times New Roman" w:eastAsia="宋体" w:cs="Times New Roman"/>
                <w:strike w:val="0"/>
                <w:dstrike w:val="0"/>
                <w:color w:val="auto"/>
                <w:sz w:val="24"/>
                <w:lang w:val="en-US" w:eastAsia="zh-CN"/>
              </w:rPr>
              <w:t>1.2</w:t>
            </w:r>
            <w:r>
              <w:rPr>
                <w:rFonts w:hint="default" w:ascii="Times New Roman" w:hAnsi="Times New Roman" w:eastAsia="宋体" w:cs="Times New Roman"/>
                <w:strike w:val="0"/>
                <w:dstrike w:val="0"/>
                <w:color w:val="auto"/>
                <w:sz w:val="24"/>
              </w:rPr>
              <w:t>t/d，约占剩余化粪池处理量</w:t>
            </w:r>
            <w:r>
              <w:rPr>
                <w:rFonts w:hint="eastAsia" w:cs="Times New Roman"/>
                <w:strike w:val="0"/>
                <w:dstrike w:val="0"/>
                <w:color w:val="auto"/>
                <w:sz w:val="24"/>
                <w:lang w:val="en-US" w:eastAsia="zh-CN"/>
              </w:rPr>
              <w:t>2.477</w:t>
            </w:r>
            <w:r>
              <w:rPr>
                <w:rFonts w:hint="default" w:ascii="Times New Roman" w:hAnsi="Times New Roman" w:eastAsia="宋体" w:cs="Times New Roman"/>
                <w:strike w:val="0"/>
                <w:dstrike w:val="0"/>
                <w:color w:val="auto"/>
                <w:sz w:val="24"/>
              </w:rPr>
              <w:t>%，因此本项目生活污水依托均和云谷·福清科技港园区已建的化粪池进行处理可行。</w:t>
            </w:r>
            <w:r>
              <w:rPr>
                <w:rFonts w:hint="eastAsia" w:cs="Times New Roman"/>
                <w:strike w:val="0"/>
                <w:dstrike w:val="0"/>
                <w:color w:val="auto"/>
                <w:sz w:val="24"/>
                <w:highlight w:val="none"/>
                <w:lang w:eastAsia="zh-CN"/>
              </w:rPr>
              <w:t>（</w:t>
            </w:r>
            <w:r>
              <w:rPr>
                <w:rFonts w:hint="eastAsia" w:cs="Times New Roman"/>
                <w:strike w:val="0"/>
                <w:dstrike w:val="0"/>
                <w:color w:val="auto"/>
                <w:sz w:val="24"/>
                <w:highlight w:val="none"/>
                <w:lang w:val="en-US" w:eastAsia="zh-CN"/>
              </w:rPr>
              <w:t>化粪池依托协议详见</w:t>
            </w:r>
            <w:r>
              <w:rPr>
                <w:rFonts w:hint="eastAsia" w:cs="Times New Roman"/>
                <w:b/>
                <w:bCs/>
                <w:strike w:val="0"/>
                <w:dstrike w:val="0"/>
                <w:color w:val="auto"/>
                <w:sz w:val="24"/>
                <w:highlight w:val="none"/>
                <w:lang w:val="en-US" w:eastAsia="zh-CN"/>
              </w:rPr>
              <w:t>附件八</w:t>
            </w:r>
            <w:r>
              <w:rPr>
                <w:rFonts w:hint="eastAsia" w:cs="Times New Roman"/>
                <w:strike w:val="0"/>
                <w:dstrike w:val="0"/>
                <w:color w:val="auto"/>
                <w:sz w:val="24"/>
                <w:highlight w:val="none"/>
                <w:lang w:eastAsia="zh-CN"/>
              </w:rPr>
              <w:t>）</w:t>
            </w:r>
            <w:r>
              <w:rPr>
                <w:rFonts w:hint="default" w:ascii="Times New Roman" w:hAnsi="Times New Roman" w:eastAsia="宋体" w:cs="Times New Roman"/>
                <w:strike w:val="0"/>
                <w:dstrike w:val="0"/>
                <w:color w:val="auto"/>
                <w:sz w:val="24"/>
                <w:lang w:val="en-US" w:eastAsia="zh-CN"/>
              </w:rPr>
              <w:t>根据现场勘查，目前厂区市政污水管网已经接入厂区西北侧岁金配套路市政污水管网</w:t>
            </w:r>
            <w:r>
              <w:rPr>
                <w:rFonts w:hint="eastAsia" w:cs="Times New Roman"/>
                <w:strike w:val="0"/>
                <w:dstrike w:val="0"/>
                <w:color w:val="auto"/>
                <w:sz w:val="24"/>
                <w:highlight w:val="none"/>
                <w:lang w:val="en-US" w:eastAsia="zh-CN"/>
              </w:rPr>
              <w:t>（</w:t>
            </w:r>
            <w:r>
              <w:rPr>
                <w:rFonts w:hint="default" w:ascii="Times New Roman" w:hAnsi="Times New Roman" w:eastAsia="宋体" w:cs="Times New Roman"/>
                <w:strike w:val="0"/>
                <w:dstrike w:val="0"/>
                <w:color w:val="auto"/>
                <w:sz w:val="24"/>
                <w:highlight w:val="none"/>
                <w:lang w:val="en-US" w:eastAsia="zh-CN"/>
              </w:rPr>
              <w:t>详见</w:t>
            </w:r>
            <w:r>
              <w:rPr>
                <w:rFonts w:hint="default" w:ascii="Times New Roman" w:hAnsi="Times New Roman" w:eastAsia="宋体" w:cs="Times New Roman"/>
                <w:b/>
                <w:bCs/>
                <w:strike w:val="0"/>
                <w:dstrike w:val="0"/>
                <w:color w:val="auto"/>
                <w:sz w:val="24"/>
                <w:highlight w:val="none"/>
                <w:lang w:val="en-US" w:eastAsia="zh-CN"/>
              </w:rPr>
              <w:t>附件</w:t>
            </w:r>
            <w:r>
              <w:rPr>
                <w:rFonts w:hint="eastAsia" w:cs="Times New Roman"/>
                <w:b/>
                <w:bCs/>
                <w:strike w:val="0"/>
                <w:dstrike w:val="0"/>
                <w:color w:val="auto"/>
                <w:sz w:val="24"/>
                <w:highlight w:val="none"/>
                <w:lang w:val="en-US" w:eastAsia="zh-CN"/>
              </w:rPr>
              <w:t>九</w:t>
            </w:r>
            <w:r>
              <w:rPr>
                <w:rFonts w:hint="eastAsia" w:cs="Times New Roman"/>
                <w:strike w:val="0"/>
                <w:dstrike w:val="0"/>
                <w:color w:val="auto"/>
                <w:sz w:val="24"/>
                <w:highlight w:val="none"/>
                <w:lang w:val="en-US" w:eastAsia="zh-CN"/>
              </w:rPr>
              <w:t>）</w:t>
            </w:r>
            <w:r>
              <w:rPr>
                <w:rFonts w:hint="default" w:ascii="Times New Roman" w:hAnsi="Times New Roman" w:eastAsia="宋体" w:cs="Times New Roman"/>
                <w:strike w:val="0"/>
                <w:dstrike w:val="0"/>
                <w:color w:val="auto"/>
                <w:sz w:val="24"/>
                <w:highlight w:val="none"/>
                <w:lang w:val="en-US" w:eastAsia="zh-CN"/>
              </w:rPr>
              <w:t>。</w:t>
            </w:r>
          </w:p>
          <w:p w14:paraId="01C0BF83">
            <w:pPr>
              <w:widowControl/>
              <w:spacing w:line="360" w:lineRule="auto"/>
              <w:ind w:firstLine="480" w:firstLineChars="200"/>
              <w:jc w:val="left"/>
              <w:rPr>
                <w:rFonts w:hint="eastAsia"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eastAsia" w:cs="Times New Roman"/>
                <w:b w:val="0"/>
                <w:bCs w:val="0"/>
                <w:strike w:val="0"/>
                <w:dstrike w:val="0"/>
                <w:color w:val="auto"/>
                <w:sz w:val="24"/>
                <w:szCs w:val="24"/>
                <w:highlight w:val="none"/>
                <w:lang w:val="en-US" w:eastAsia="zh-CN"/>
              </w:rPr>
              <w:t>3</w:t>
            </w:r>
            <w:r>
              <w:rPr>
                <w:rFonts w:hint="eastAsia" w:ascii="Times New Roman" w:hAnsi="Times New Roman" w:eastAsia="宋体" w:cs="Times New Roman"/>
                <w:b w:val="0"/>
                <w:bCs w:val="0"/>
                <w:strike w:val="0"/>
                <w:dstrike w:val="0"/>
                <w:color w:val="auto"/>
                <w:sz w:val="24"/>
                <w:szCs w:val="24"/>
                <w:highlight w:val="none"/>
                <w:lang w:val="en-US" w:eastAsia="zh-CN"/>
              </w:rPr>
              <w:t>）依托集中污水处理厂的可行性分析</w:t>
            </w:r>
          </w:p>
          <w:p w14:paraId="2D85C058">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default" w:ascii="Times New Roman" w:hAnsi="Times New Roman" w:eastAsia="宋体" w:cs="Times New Roman"/>
                <w:b w:val="0"/>
                <w:bCs w:val="0"/>
                <w:strike w:val="0"/>
                <w:dstrike w:val="0"/>
                <w:color w:val="auto"/>
                <w:sz w:val="24"/>
                <w:szCs w:val="24"/>
                <w:highlight w:val="none"/>
                <w:lang w:val="en-US" w:eastAsia="zh-CN"/>
              </w:rPr>
              <w:t>根据《建设项目环境影响报告表编制技术指南</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污染影响类</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试行</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环办环评〔2020〕33号</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要求，废水间接排放的建设项目应从处理能力、处理工艺、设计进出水水质等方面，分析依托集中污水处理厂的可行性。</w:t>
            </w:r>
          </w:p>
          <w:p w14:paraId="530877FA">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①福清市融元污水处理厂基本情况</w:t>
            </w:r>
          </w:p>
          <w:p w14:paraId="374AF3F5">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A.设计进出水水质</w:t>
            </w:r>
          </w:p>
          <w:p w14:paraId="4B0813EC">
            <w:pPr>
              <w:widowControl/>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strike w:val="0"/>
                <w:dstrike w:val="0"/>
                <w:color w:val="auto"/>
                <w:sz w:val="24"/>
                <w:szCs w:val="24"/>
                <w:highlight w:val="none"/>
                <w:lang w:val="en-US" w:eastAsia="zh-CN"/>
              </w:rPr>
              <w:t>根据《福清市融元污水处理厂提标及改造工程环境影响报告书</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报批稿</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可知，</w:t>
            </w:r>
            <w:r>
              <w:rPr>
                <w:rFonts w:hint="eastAsia" w:ascii="Times New Roman" w:hAnsi="Times New Roman" w:eastAsia="宋体" w:cs="Times New Roman"/>
                <w:b w:val="0"/>
                <w:bCs w:val="0"/>
                <w:strike w:val="0"/>
                <w:dstrike w:val="0"/>
                <w:color w:val="auto"/>
                <w:sz w:val="24"/>
                <w:szCs w:val="24"/>
                <w:highlight w:val="none"/>
                <w:lang w:val="en-US" w:eastAsia="zh-CN"/>
              </w:rPr>
              <w:t>福清市融元污水处理厂</w:t>
            </w:r>
            <w:r>
              <w:rPr>
                <w:rFonts w:hint="default" w:ascii="Times New Roman" w:hAnsi="Times New Roman" w:eastAsia="宋体" w:cs="Times New Roman"/>
                <w:b w:val="0"/>
                <w:bCs w:val="0"/>
                <w:strike w:val="0"/>
                <w:dstrike w:val="0"/>
                <w:color w:val="auto"/>
                <w:sz w:val="24"/>
                <w:szCs w:val="24"/>
                <w:highlight w:val="none"/>
                <w:lang w:val="en-US" w:eastAsia="zh-CN"/>
              </w:rPr>
              <w:t>进出水水质见表</w:t>
            </w:r>
            <w:r>
              <w:rPr>
                <w:rFonts w:hint="eastAsia" w:ascii="Times New Roman" w:hAnsi="Times New Roman" w:eastAsia="宋体" w:cs="Times New Roman"/>
                <w:b w:val="0"/>
                <w:bCs w:val="0"/>
                <w:strike w:val="0"/>
                <w:dstrike w:val="0"/>
                <w:color w:val="auto"/>
                <w:sz w:val="24"/>
                <w:szCs w:val="24"/>
                <w:highlight w:val="none"/>
                <w:lang w:val="en-US" w:eastAsia="zh-CN"/>
              </w:rPr>
              <w:t>4.2-2</w:t>
            </w:r>
            <w:r>
              <w:rPr>
                <w:rFonts w:hint="default" w:ascii="Times New Roman" w:hAnsi="Times New Roman" w:eastAsia="宋体" w:cs="Times New Roman"/>
                <w:b w:val="0"/>
                <w:bCs w:val="0"/>
                <w:strike w:val="0"/>
                <w:dstrike w:val="0"/>
                <w:color w:val="auto"/>
                <w:sz w:val="24"/>
                <w:szCs w:val="24"/>
                <w:highlight w:val="none"/>
                <w:lang w:val="en-US" w:eastAsia="zh-CN"/>
              </w:rPr>
              <w:t>。</w:t>
            </w:r>
          </w:p>
          <w:p w14:paraId="4E0B49BE">
            <w:pPr>
              <w:pStyle w:val="51"/>
              <w:keepNext w:val="0"/>
              <w:keepLines w:val="0"/>
              <w:pageBreakBefore w:val="0"/>
              <w:widowControl w:val="0"/>
              <w:kinsoku/>
              <w:wordWrap/>
              <w:overflowPunct/>
              <w:topLinePunct w:val="0"/>
              <w:autoSpaceDE/>
              <w:autoSpaceDN/>
              <w:bidi w:val="0"/>
              <w:adjustRightInd w:val="0"/>
              <w:snapToGrid w:val="0"/>
              <w:spacing w:before="163" w:beforeLines="5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表4.</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 污水处理厂</w:t>
            </w:r>
            <w:r>
              <w:rPr>
                <w:rFonts w:hint="default" w:ascii="Times New Roman" w:hAnsi="Times New Roman" w:eastAsia="宋体" w:cs="Times New Roman"/>
                <w:color w:val="auto"/>
                <w:sz w:val="24"/>
                <w:szCs w:val="24"/>
                <w:highlight w:val="none"/>
                <w:lang w:val="en-US" w:eastAsia="zh-CN"/>
              </w:rPr>
              <w:t>进出水水质标准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mg/L</w:t>
            </w:r>
            <w:r>
              <w:rPr>
                <w:rFonts w:hint="eastAsia" w:ascii="Times New Roman" w:hAnsi="Times New Roman" w:eastAsia="宋体" w:cs="Times New Roman"/>
                <w:color w:val="auto"/>
                <w:sz w:val="24"/>
                <w:szCs w:val="24"/>
                <w:highlight w:val="none"/>
                <w:lang w:val="en-US" w:eastAsia="zh-CN"/>
              </w:rPr>
              <w:t xml:space="preserve"> pH除外</w:t>
            </w:r>
            <w:r>
              <w:rPr>
                <w:rFonts w:hint="eastAsia" w:cs="Times New Roman"/>
                <w:color w:val="auto"/>
                <w:sz w:val="24"/>
                <w:szCs w:val="24"/>
                <w:highlight w:val="none"/>
                <w:lang w:val="en-US" w:eastAsia="zh-CN"/>
              </w:rPr>
              <w:t>）</w:t>
            </w:r>
          </w:p>
          <w:tbl>
            <w:tblPr>
              <w:tblStyle w:val="5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27"/>
              <w:gridCol w:w="1375"/>
              <w:gridCol w:w="1119"/>
              <w:gridCol w:w="1012"/>
              <w:gridCol w:w="1077"/>
              <w:gridCol w:w="998"/>
              <w:gridCol w:w="998"/>
              <w:gridCol w:w="891"/>
            </w:tblGrid>
            <w:tr w14:paraId="4ABF09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655" w:type="pct"/>
                  <w:noWrap w:val="0"/>
                  <w:vAlign w:val="center"/>
                </w:tcPr>
                <w:p w14:paraId="537D65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水质指标</w:t>
                  </w:r>
                </w:p>
              </w:tc>
              <w:tc>
                <w:tcPr>
                  <w:tcW w:w="799" w:type="pct"/>
                  <w:noWrap w:val="0"/>
                  <w:vAlign w:val="center"/>
                </w:tcPr>
                <w:p w14:paraId="6080A8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pH</w:t>
                  </w:r>
                </w:p>
              </w:tc>
              <w:tc>
                <w:tcPr>
                  <w:tcW w:w="650" w:type="pct"/>
                  <w:noWrap w:val="0"/>
                  <w:vAlign w:val="center"/>
                </w:tcPr>
                <w:p w14:paraId="5AC000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COD</w:t>
                  </w:r>
                </w:p>
              </w:tc>
              <w:tc>
                <w:tcPr>
                  <w:tcW w:w="588" w:type="pct"/>
                  <w:noWrap w:val="0"/>
                  <w:vAlign w:val="center"/>
                </w:tcPr>
                <w:p w14:paraId="3316FE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BOD5</w:t>
                  </w:r>
                </w:p>
              </w:tc>
              <w:tc>
                <w:tcPr>
                  <w:tcW w:w="626" w:type="pct"/>
                  <w:noWrap w:val="0"/>
                  <w:vAlign w:val="center"/>
                </w:tcPr>
                <w:p w14:paraId="1CE7AD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SS</w:t>
                  </w:r>
                </w:p>
              </w:tc>
              <w:tc>
                <w:tcPr>
                  <w:tcW w:w="580" w:type="pct"/>
                  <w:noWrap w:val="0"/>
                  <w:vAlign w:val="center"/>
                </w:tcPr>
                <w:p w14:paraId="06C2DA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NH3-N</w:t>
                  </w:r>
                </w:p>
              </w:tc>
              <w:tc>
                <w:tcPr>
                  <w:tcW w:w="580" w:type="pct"/>
                  <w:noWrap w:val="0"/>
                  <w:vAlign w:val="center"/>
                </w:tcPr>
                <w:p w14:paraId="3FB458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TN</w:t>
                  </w:r>
                </w:p>
              </w:tc>
              <w:tc>
                <w:tcPr>
                  <w:tcW w:w="518" w:type="pct"/>
                  <w:noWrap w:val="0"/>
                  <w:vAlign w:val="center"/>
                </w:tcPr>
                <w:p w14:paraId="78566F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TP</w:t>
                  </w:r>
                </w:p>
              </w:tc>
            </w:tr>
            <w:tr w14:paraId="45631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9" w:hRule="atLeast"/>
              </w:trPr>
              <w:tc>
                <w:tcPr>
                  <w:tcW w:w="655" w:type="pct"/>
                  <w:noWrap w:val="0"/>
                  <w:vAlign w:val="center"/>
                </w:tcPr>
                <w:p w14:paraId="557A93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进水水质</w:t>
                  </w:r>
                </w:p>
              </w:tc>
              <w:tc>
                <w:tcPr>
                  <w:tcW w:w="799" w:type="pct"/>
                  <w:noWrap w:val="0"/>
                  <w:vAlign w:val="center"/>
                </w:tcPr>
                <w:p w14:paraId="105341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6~9</w:t>
                  </w:r>
                  <w:r>
                    <w:rPr>
                      <w:rFonts w:hint="eastAsia" w:cs="Times New Roman"/>
                      <w:b w:val="0"/>
                      <w:bCs w:val="0"/>
                      <w:strike w:val="0"/>
                      <w:dstrike w:val="0"/>
                      <w:color w:val="auto"/>
                      <w:sz w:val="21"/>
                      <w:szCs w:val="21"/>
                      <w:highlight w:val="none"/>
                      <w:lang w:val="en-US" w:eastAsia="zh-CN"/>
                    </w:rPr>
                    <w:t>（</w:t>
                  </w:r>
                  <w:r>
                    <w:rPr>
                      <w:rFonts w:hint="default" w:ascii="Times New Roman" w:hAnsi="Times New Roman" w:eastAsia="宋体" w:cs="Times New Roman"/>
                      <w:b w:val="0"/>
                      <w:bCs w:val="0"/>
                      <w:strike w:val="0"/>
                      <w:dstrike w:val="0"/>
                      <w:color w:val="auto"/>
                      <w:sz w:val="21"/>
                      <w:szCs w:val="21"/>
                      <w:highlight w:val="none"/>
                      <w:lang w:val="en-US" w:eastAsia="zh-CN"/>
                    </w:rPr>
                    <w:t>无量纲</w:t>
                  </w:r>
                  <w:r>
                    <w:rPr>
                      <w:rFonts w:hint="eastAsia" w:cs="Times New Roman"/>
                      <w:b w:val="0"/>
                      <w:bCs w:val="0"/>
                      <w:strike w:val="0"/>
                      <w:dstrike w:val="0"/>
                      <w:color w:val="auto"/>
                      <w:sz w:val="21"/>
                      <w:szCs w:val="21"/>
                      <w:highlight w:val="none"/>
                      <w:lang w:val="en-US" w:eastAsia="zh-CN"/>
                    </w:rPr>
                    <w:t>）</w:t>
                  </w:r>
                </w:p>
              </w:tc>
              <w:tc>
                <w:tcPr>
                  <w:tcW w:w="650" w:type="pct"/>
                  <w:noWrap w:val="0"/>
                  <w:vAlign w:val="center"/>
                </w:tcPr>
                <w:p w14:paraId="681B8B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≤400</w:t>
                  </w:r>
                </w:p>
              </w:tc>
              <w:tc>
                <w:tcPr>
                  <w:tcW w:w="588" w:type="pct"/>
                  <w:noWrap w:val="0"/>
                  <w:vAlign w:val="center"/>
                </w:tcPr>
                <w:p w14:paraId="47DDB1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≤220</w:t>
                  </w:r>
                </w:p>
              </w:tc>
              <w:tc>
                <w:tcPr>
                  <w:tcW w:w="626" w:type="pct"/>
                  <w:noWrap w:val="0"/>
                  <w:vAlign w:val="center"/>
                </w:tcPr>
                <w:p w14:paraId="099386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≤280</w:t>
                  </w:r>
                </w:p>
              </w:tc>
              <w:tc>
                <w:tcPr>
                  <w:tcW w:w="580" w:type="pct"/>
                  <w:noWrap w:val="0"/>
                  <w:vAlign w:val="center"/>
                </w:tcPr>
                <w:p w14:paraId="12C97B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≤37</w:t>
                  </w:r>
                </w:p>
              </w:tc>
              <w:tc>
                <w:tcPr>
                  <w:tcW w:w="580" w:type="pct"/>
                  <w:noWrap w:val="0"/>
                  <w:vAlign w:val="center"/>
                </w:tcPr>
                <w:p w14:paraId="0EDFF3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≤54</w:t>
                  </w:r>
                </w:p>
              </w:tc>
              <w:tc>
                <w:tcPr>
                  <w:tcW w:w="518" w:type="pct"/>
                  <w:noWrap w:val="0"/>
                  <w:vAlign w:val="center"/>
                </w:tcPr>
                <w:p w14:paraId="7E565F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≤4</w:t>
                  </w:r>
                </w:p>
              </w:tc>
            </w:tr>
            <w:tr w14:paraId="274799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655" w:type="pct"/>
                  <w:noWrap w:val="0"/>
                  <w:vAlign w:val="center"/>
                </w:tcPr>
                <w:p w14:paraId="37B2B4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出水标准</w:t>
                  </w:r>
                </w:p>
              </w:tc>
              <w:tc>
                <w:tcPr>
                  <w:tcW w:w="799" w:type="pct"/>
                  <w:noWrap w:val="0"/>
                  <w:vAlign w:val="center"/>
                </w:tcPr>
                <w:p w14:paraId="366DA6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6~9</w:t>
                  </w:r>
                  <w:r>
                    <w:rPr>
                      <w:rFonts w:hint="eastAsia" w:cs="Times New Roman"/>
                      <w:b w:val="0"/>
                      <w:bCs w:val="0"/>
                      <w:strike w:val="0"/>
                      <w:dstrike w:val="0"/>
                      <w:color w:val="auto"/>
                      <w:sz w:val="21"/>
                      <w:szCs w:val="21"/>
                      <w:highlight w:val="none"/>
                      <w:lang w:val="en-US" w:eastAsia="zh-CN"/>
                    </w:rPr>
                    <w:t>（</w:t>
                  </w:r>
                  <w:r>
                    <w:rPr>
                      <w:rFonts w:hint="default" w:ascii="Times New Roman" w:hAnsi="Times New Roman" w:eastAsia="宋体" w:cs="Times New Roman"/>
                      <w:b w:val="0"/>
                      <w:bCs w:val="0"/>
                      <w:strike w:val="0"/>
                      <w:dstrike w:val="0"/>
                      <w:color w:val="auto"/>
                      <w:sz w:val="21"/>
                      <w:szCs w:val="21"/>
                      <w:highlight w:val="none"/>
                      <w:lang w:val="en-US" w:eastAsia="zh-CN"/>
                    </w:rPr>
                    <w:t>无量纲</w:t>
                  </w:r>
                  <w:r>
                    <w:rPr>
                      <w:rFonts w:hint="eastAsia" w:cs="Times New Roman"/>
                      <w:b w:val="0"/>
                      <w:bCs w:val="0"/>
                      <w:strike w:val="0"/>
                      <w:dstrike w:val="0"/>
                      <w:color w:val="auto"/>
                      <w:sz w:val="21"/>
                      <w:szCs w:val="21"/>
                      <w:highlight w:val="none"/>
                      <w:lang w:val="en-US" w:eastAsia="zh-CN"/>
                    </w:rPr>
                    <w:t>）</w:t>
                  </w:r>
                </w:p>
              </w:tc>
              <w:tc>
                <w:tcPr>
                  <w:tcW w:w="650" w:type="pct"/>
                  <w:noWrap w:val="0"/>
                  <w:vAlign w:val="center"/>
                </w:tcPr>
                <w:p w14:paraId="106B05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≤50</w:t>
                  </w:r>
                </w:p>
              </w:tc>
              <w:tc>
                <w:tcPr>
                  <w:tcW w:w="588" w:type="pct"/>
                  <w:noWrap w:val="0"/>
                  <w:vAlign w:val="center"/>
                </w:tcPr>
                <w:p w14:paraId="730F3B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≤10</w:t>
                  </w:r>
                </w:p>
              </w:tc>
              <w:tc>
                <w:tcPr>
                  <w:tcW w:w="626" w:type="pct"/>
                  <w:noWrap w:val="0"/>
                  <w:vAlign w:val="center"/>
                </w:tcPr>
                <w:p w14:paraId="0A117F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≤10</w:t>
                  </w:r>
                </w:p>
              </w:tc>
              <w:tc>
                <w:tcPr>
                  <w:tcW w:w="580" w:type="pct"/>
                  <w:noWrap w:val="0"/>
                  <w:vAlign w:val="center"/>
                </w:tcPr>
                <w:p w14:paraId="4EF7EE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≤5</w:t>
                  </w:r>
                </w:p>
              </w:tc>
              <w:tc>
                <w:tcPr>
                  <w:tcW w:w="580" w:type="pct"/>
                  <w:noWrap w:val="0"/>
                  <w:vAlign w:val="center"/>
                </w:tcPr>
                <w:p w14:paraId="21ABA8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≤15</w:t>
                  </w:r>
                </w:p>
              </w:tc>
              <w:tc>
                <w:tcPr>
                  <w:tcW w:w="518" w:type="pct"/>
                  <w:noWrap w:val="0"/>
                  <w:vAlign w:val="center"/>
                </w:tcPr>
                <w:p w14:paraId="0642B8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≤0.5</w:t>
                  </w:r>
                </w:p>
              </w:tc>
            </w:tr>
          </w:tbl>
          <w:p w14:paraId="6E76E4FE">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B.</w:t>
            </w:r>
            <w:r>
              <w:rPr>
                <w:rFonts w:hint="default" w:ascii="Times New Roman" w:hAnsi="Times New Roman" w:eastAsia="宋体" w:cs="Times New Roman"/>
                <w:b w:val="0"/>
                <w:bCs w:val="0"/>
                <w:strike w:val="0"/>
                <w:dstrike w:val="0"/>
                <w:color w:val="auto"/>
                <w:sz w:val="24"/>
                <w:szCs w:val="24"/>
                <w:highlight w:val="none"/>
                <w:lang w:val="en-US" w:eastAsia="zh-CN"/>
              </w:rPr>
              <w:t>处理工艺</w:t>
            </w:r>
          </w:p>
          <w:p w14:paraId="6CAE1082">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福清市融元污水处理厂</w:t>
            </w:r>
            <w:r>
              <w:rPr>
                <w:rFonts w:hint="default" w:ascii="Times New Roman" w:hAnsi="Times New Roman" w:eastAsia="宋体" w:cs="Times New Roman"/>
                <w:b w:val="0"/>
                <w:bCs w:val="0"/>
                <w:strike w:val="0"/>
                <w:dstrike w:val="0"/>
                <w:color w:val="auto"/>
                <w:sz w:val="24"/>
                <w:szCs w:val="24"/>
                <w:highlight w:val="none"/>
                <w:lang w:val="en-US" w:eastAsia="zh-CN"/>
              </w:rPr>
              <w:t>采用</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A2/O生化反应工艺</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处理工艺，属于城镇污水处理厂通用工艺，污水处理工艺流程详见图</w:t>
            </w:r>
            <w:r>
              <w:rPr>
                <w:rFonts w:hint="eastAsia" w:ascii="Times New Roman" w:hAnsi="Times New Roman" w:eastAsia="宋体" w:cs="Times New Roman"/>
                <w:b w:val="0"/>
                <w:bCs w:val="0"/>
                <w:strike w:val="0"/>
                <w:dstrike w:val="0"/>
                <w:color w:val="auto"/>
                <w:sz w:val="24"/>
                <w:szCs w:val="24"/>
                <w:highlight w:val="none"/>
                <w:lang w:val="en-US" w:eastAsia="zh-CN"/>
              </w:rPr>
              <w:t>4.2-</w:t>
            </w:r>
            <w:r>
              <w:rPr>
                <w:rFonts w:hint="eastAsia" w:cs="Times New Roman"/>
                <w:b w:val="0"/>
                <w:bCs w:val="0"/>
                <w:strike w:val="0"/>
                <w:dstrike w:val="0"/>
                <w:color w:val="auto"/>
                <w:sz w:val="24"/>
                <w:szCs w:val="24"/>
                <w:highlight w:val="none"/>
                <w:lang w:val="en-US" w:eastAsia="zh-CN"/>
              </w:rPr>
              <w:t>2</w:t>
            </w:r>
            <w:r>
              <w:rPr>
                <w:rFonts w:hint="default" w:ascii="Times New Roman" w:hAnsi="Times New Roman" w:eastAsia="宋体" w:cs="Times New Roman"/>
                <w:b w:val="0"/>
                <w:bCs w:val="0"/>
                <w:strike w:val="0"/>
                <w:dstrike w:val="0"/>
                <w:color w:val="auto"/>
                <w:sz w:val="24"/>
                <w:szCs w:val="24"/>
                <w:highlight w:val="none"/>
                <w:lang w:val="en-US" w:eastAsia="zh-CN"/>
              </w:rPr>
              <w:t>。</w:t>
            </w:r>
          </w:p>
          <w:p w14:paraId="62C5F2D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object>
                <v:shape id="_x0000_i1025" o:spt="75" type="#_x0000_t75" style="height:358.3pt;width:440.15pt;" o:ole="t" filled="f" o:preferrelative="t" stroked="f" coordsize="21600,21600">
                  <v:path/>
                  <v:fill on="f" focussize="0,0"/>
                  <v:stroke on="f"/>
                  <v:imagedata r:id="rId30" o:title=""/>
                  <o:lock v:ext="edit" aspectratio="t"/>
                  <w10:wrap type="none"/>
                  <w10:anchorlock/>
                </v:shape>
                <o:OLEObject Type="Embed" ProgID="Visio.Drawing.11" ShapeID="_x0000_i1025" DrawAspect="Content" ObjectID="_1468075725" r:id="rId29">
                  <o:LockedField>false</o:LockedField>
                </o:OLEObject>
              </w:object>
            </w:r>
          </w:p>
          <w:p w14:paraId="5FC7194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图</w:t>
            </w:r>
            <w:r>
              <w:rPr>
                <w:rFonts w:hint="eastAsia" w:ascii="Times New Roman" w:hAnsi="Times New Roman" w:eastAsia="宋体" w:cs="Times New Roman"/>
                <w:b/>
                <w:bCs/>
                <w:color w:val="auto"/>
                <w:sz w:val="24"/>
                <w:szCs w:val="24"/>
                <w:highlight w:val="none"/>
                <w:lang w:val="en-US" w:eastAsia="zh-CN"/>
              </w:rPr>
              <w:t>4.2-</w:t>
            </w:r>
            <w:r>
              <w:rPr>
                <w:rFonts w:hint="eastAsia"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lang w:val="en-US" w:eastAsia="zh-CN"/>
              </w:rPr>
              <w:t>污水处理厂处理工艺流程图</w:t>
            </w:r>
          </w:p>
          <w:p w14:paraId="45C99DA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②</w:t>
            </w:r>
            <w:r>
              <w:rPr>
                <w:rFonts w:hint="default" w:ascii="Times New Roman" w:hAnsi="Times New Roman" w:eastAsia="宋体" w:cs="Times New Roman"/>
                <w:b w:val="0"/>
                <w:bCs w:val="0"/>
                <w:strike w:val="0"/>
                <w:dstrike w:val="0"/>
                <w:color w:val="auto"/>
                <w:sz w:val="24"/>
                <w:szCs w:val="24"/>
                <w:highlight w:val="none"/>
                <w:lang w:val="en-US" w:eastAsia="zh-CN"/>
              </w:rPr>
              <w:t>依托可行性分析</w:t>
            </w:r>
          </w:p>
          <w:p w14:paraId="540C7C95">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A.</w:t>
            </w:r>
            <w:r>
              <w:rPr>
                <w:rFonts w:hint="default" w:ascii="Times New Roman" w:hAnsi="Times New Roman" w:eastAsia="宋体" w:cs="Times New Roman"/>
                <w:b w:val="0"/>
                <w:bCs w:val="0"/>
                <w:strike w:val="0"/>
                <w:dstrike w:val="0"/>
                <w:color w:val="auto"/>
                <w:sz w:val="24"/>
                <w:szCs w:val="24"/>
                <w:highlight w:val="none"/>
                <w:lang w:val="en-US" w:eastAsia="zh-CN"/>
              </w:rPr>
              <w:t>接管可行性</w:t>
            </w:r>
          </w:p>
          <w:p w14:paraId="19856300">
            <w:pPr>
              <w:widowControl/>
              <w:spacing w:line="360" w:lineRule="auto"/>
              <w:ind w:firstLine="480" w:firstLineChars="200"/>
              <w:jc w:val="left"/>
              <w:rPr>
                <w:rFonts w:hint="default"/>
                <w:lang w:val="en-US" w:eastAsia="zh-CN"/>
              </w:rPr>
            </w:pPr>
            <w:r>
              <w:rPr>
                <w:rFonts w:hint="eastAsia" w:cs="Times New Roman"/>
                <w:strike w:val="0"/>
                <w:dstrike w:val="0"/>
                <w:color w:val="auto"/>
                <w:sz w:val="24"/>
                <w:lang w:val="en-US" w:eastAsia="zh-CN"/>
              </w:rPr>
              <w:t>根据调查，</w:t>
            </w:r>
            <w:r>
              <w:rPr>
                <w:rFonts w:hint="eastAsia" w:ascii="Times New Roman" w:hAnsi="Times New Roman" w:eastAsia="宋体" w:cs="Times New Roman"/>
                <w:strike w:val="0"/>
                <w:dstrike w:val="0"/>
                <w:color w:val="auto"/>
                <w:sz w:val="24"/>
                <w:lang w:val="en-US" w:eastAsia="zh-CN"/>
              </w:rPr>
              <w:t>福清市融元污水处理厂</w:t>
            </w:r>
            <w:r>
              <w:rPr>
                <w:rFonts w:hint="default" w:ascii="Times New Roman" w:hAnsi="Times New Roman" w:eastAsia="宋体" w:cs="Times New Roman"/>
                <w:strike w:val="0"/>
                <w:dstrike w:val="0"/>
                <w:color w:val="auto"/>
                <w:sz w:val="24"/>
                <w:lang w:val="en-US" w:eastAsia="zh-CN"/>
              </w:rPr>
              <w:t>主要负责</w:t>
            </w:r>
            <w:r>
              <w:rPr>
                <w:rFonts w:hint="eastAsia" w:ascii="Times New Roman" w:hAnsi="Times New Roman" w:eastAsia="宋体" w:cs="Times New Roman"/>
                <w:strike w:val="0"/>
                <w:dstrike w:val="0"/>
                <w:color w:val="auto"/>
                <w:sz w:val="24"/>
                <w:lang w:val="en-US" w:eastAsia="zh-CN"/>
              </w:rPr>
              <w:t>城关区和洪宽区</w:t>
            </w:r>
            <w:r>
              <w:rPr>
                <w:rFonts w:hint="eastAsia" w:cs="Times New Roman"/>
                <w:strike w:val="0"/>
                <w:dstrike w:val="0"/>
                <w:color w:val="auto"/>
                <w:sz w:val="24"/>
                <w:lang w:val="en-US" w:eastAsia="zh-CN"/>
              </w:rPr>
              <w:t>（</w:t>
            </w:r>
            <w:r>
              <w:rPr>
                <w:rFonts w:hint="eastAsia" w:ascii="Times New Roman" w:hAnsi="Times New Roman" w:eastAsia="宋体" w:cs="Times New Roman"/>
                <w:strike w:val="0"/>
                <w:dstrike w:val="0"/>
                <w:color w:val="auto"/>
                <w:sz w:val="24"/>
                <w:lang w:val="en-US" w:eastAsia="zh-CN"/>
              </w:rPr>
              <w:t>增加京东方和东旭光电项目</w:t>
            </w:r>
            <w:r>
              <w:rPr>
                <w:rFonts w:hint="eastAsia" w:cs="Times New Roman"/>
                <w:strike w:val="0"/>
                <w:dstrike w:val="0"/>
                <w:color w:val="auto"/>
                <w:sz w:val="24"/>
                <w:lang w:val="en-US" w:eastAsia="zh-CN"/>
              </w:rPr>
              <w:t>）</w:t>
            </w:r>
            <w:r>
              <w:rPr>
                <w:rFonts w:hint="eastAsia" w:ascii="Times New Roman" w:hAnsi="Times New Roman" w:eastAsia="宋体" w:cs="Times New Roman"/>
                <w:strike w:val="0"/>
                <w:dstrike w:val="0"/>
                <w:color w:val="auto"/>
                <w:sz w:val="24"/>
                <w:lang w:val="en-US" w:eastAsia="zh-CN"/>
              </w:rPr>
              <w:t>的生活污水和工业污水。</w:t>
            </w:r>
            <w:r>
              <w:rPr>
                <w:rFonts w:hint="default" w:ascii="Times New Roman" w:hAnsi="Times New Roman" w:eastAsia="宋体" w:cs="Times New Roman"/>
                <w:strike w:val="0"/>
                <w:dstrike w:val="0"/>
                <w:color w:val="auto"/>
                <w:sz w:val="24"/>
                <w:lang w:val="en-US" w:eastAsia="zh-CN"/>
              </w:rPr>
              <w:t>本项目位于</w:t>
            </w:r>
            <w:r>
              <w:rPr>
                <w:rFonts w:hint="eastAsia" w:ascii="Times New Roman" w:hAnsi="Times New Roman" w:eastAsia="宋体" w:cs="Times New Roman"/>
                <w:strike w:val="0"/>
                <w:dstrike w:val="0"/>
                <w:color w:val="auto"/>
                <w:sz w:val="24"/>
                <w:lang w:val="en-US" w:eastAsia="zh-CN"/>
              </w:rPr>
              <w:t>福清市融侨经济技术开发区</w:t>
            </w:r>
            <w:r>
              <w:rPr>
                <w:rFonts w:hint="default" w:ascii="Times New Roman" w:hAnsi="Times New Roman" w:eastAsia="宋体" w:cs="Times New Roman"/>
                <w:strike w:val="0"/>
                <w:dstrike w:val="0"/>
                <w:color w:val="auto"/>
                <w:sz w:val="24"/>
                <w:lang w:val="en-US" w:eastAsia="zh-CN"/>
              </w:rPr>
              <w:t>，属于</w:t>
            </w:r>
            <w:r>
              <w:rPr>
                <w:rFonts w:hint="eastAsia" w:ascii="Times New Roman" w:hAnsi="Times New Roman" w:eastAsia="宋体" w:cs="Times New Roman"/>
                <w:strike w:val="0"/>
                <w:dstrike w:val="0"/>
                <w:color w:val="auto"/>
                <w:sz w:val="24"/>
                <w:lang w:val="en-US" w:eastAsia="zh-CN"/>
              </w:rPr>
              <w:t>福清市融元污水处理厂</w:t>
            </w:r>
            <w:r>
              <w:rPr>
                <w:rFonts w:hint="default" w:ascii="Times New Roman" w:hAnsi="Times New Roman" w:eastAsia="宋体" w:cs="Times New Roman"/>
                <w:strike w:val="0"/>
                <w:dstrike w:val="0"/>
                <w:color w:val="auto"/>
                <w:sz w:val="24"/>
                <w:lang w:val="en-US" w:eastAsia="zh-CN"/>
              </w:rPr>
              <w:t>服务范围内，根据现场勘查，目前</w:t>
            </w:r>
            <w:r>
              <w:rPr>
                <w:rFonts w:hint="eastAsia" w:ascii="Times New Roman" w:hAnsi="Times New Roman" w:eastAsia="宋体" w:cs="Times New Roman"/>
                <w:strike w:val="0"/>
                <w:dstrike w:val="0"/>
                <w:color w:val="auto"/>
                <w:sz w:val="24"/>
                <w:lang w:val="en-US" w:eastAsia="zh-CN"/>
              </w:rPr>
              <w:t>厂区周边的</w:t>
            </w:r>
            <w:r>
              <w:rPr>
                <w:rFonts w:hint="default" w:ascii="Times New Roman" w:hAnsi="Times New Roman" w:eastAsia="宋体" w:cs="Times New Roman"/>
                <w:strike w:val="0"/>
                <w:dstrike w:val="0"/>
                <w:color w:val="auto"/>
                <w:sz w:val="24"/>
                <w:lang w:val="en-US" w:eastAsia="zh-CN"/>
              </w:rPr>
              <w:t>市政污水管网已经铺设完成并已经投入正常运行，本项目厂区污水总排口已经接入</w:t>
            </w:r>
            <w:r>
              <w:rPr>
                <w:rFonts w:hint="eastAsia" w:ascii="Times New Roman" w:hAnsi="Times New Roman" w:eastAsia="宋体" w:cs="Times New Roman"/>
                <w:strike w:val="0"/>
                <w:dstrike w:val="0"/>
                <w:color w:val="auto"/>
                <w:sz w:val="24"/>
                <w:lang w:val="en-US" w:eastAsia="zh-CN"/>
              </w:rPr>
              <w:t>岁金</w:t>
            </w:r>
            <w:r>
              <w:rPr>
                <w:rFonts w:hint="eastAsia" w:cs="Times New Roman"/>
                <w:strike w:val="0"/>
                <w:dstrike w:val="0"/>
                <w:color w:val="auto"/>
                <w:sz w:val="24"/>
                <w:lang w:val="en-US" w:eastAsia="zh-CN"/>
              </w:rPr>
              <w:t>配套</w:t>
            </w:r>
            <w:r>
              <w:rPr>
                <w:rFonts w:hint="default" w:ascii="Times New Roman" w:hAnsi="Times New Roman" w:eastAsia="宋体" w:cs="Times New Roman"/>
                <w:strike w:val="0"/>
                <w:dstrike w:val="0"/>
                <w:color w:val="auto"/>
                <w:sz w:val="24"/>
                <w:lang w:val="en-US" w:eastAsia="zh-CN"/>
              </w:rPr>
              <w:t>市政污水管网</w:t>
            </w:r>
            <w:r>
              <w:rPr>
                <w:rFonts w:hint="eastAsia" w:ascii="Times New Roman" w:hAnsi="Times New Roman" w:eastAsia="宋体" w:cs="Times New Roman"/>
                <w:strike w:val="0"/>
                <w:dstrike w:val="0"/>
                <w:color w:val="auto"/>
                <w:sz w:val="24"/>
                <w:lang w:val="en-US" w:eastAsia="zh-CN"/>
              </w:rPr>
              <w:t>，项目污水排口位于厂区的西北侧区域</w:t>
            </w:r>
            <w:r>
              <w:rPr>
                <w:rFonts w:hint="default" w:ascii="Times New Roman" w:hAnsi="Times New Roman" w:eastAsia="宋体" w:cs="Times New Roman"/>
                <w:strike w:val="0"/>
                <w:dstrike w:val="0"/>
                <w:color w:val="auto"/>
                <w:sz w:val="24"/>
                <w:lang w:val="en-US" w:eastAsia="zh-CN"/>
              </w:rPr>
              <w:t>。</w:t>
            </w:r>
            <w:r>
              <w:rPr>
                <w:color w:val="auto"/>
              </w:rPr>
              <w:drawing>
                <wp:inline distT="0" distB="0" distL="114300" distR="114300">
                  <wp:extent cx="5427345" cy="3587115"/>
                  <wp:effectExtent l="0" t="0" r="1905" b="13335"/>
                  <wp:docPr id="1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4"/>
                          <pic:cNvPicPr>
                            <a:picLocks noChangeAspect="1"/>
                          </pic:cNvPicPr>
                        </pic:nvPicPr>
                        <pic:blipFill>
                          <a:blip r:embed="rId31"/>
                          <a:stretch>
                            <a:fillRect/>
                          </a:stretch>
                        </pic:blipFill>
                        <pic:spPr>
                          <a:xfrm>
                            <a:off x="0" y="0"/>
                            <a:ext cx="5427345" cy="3587115"/>
                          </a:xfrm>
                          <a:prstGeom prst="rect">
                            <a:avLst/>
                          </a:prstGeom>
                          <a:noFill/>
                          <a:ln>
                            <a:noFill/>
                          </a:ln>
                        </pic:spPr>
                      </pic:pic>
                    </a:graphicData>
                  </a:graphic>
                </wp:inline>
              </w:drawing>
            </w:r>
          </w:p>
          <w:p w14:paraId="296396FE">
            <w:pPr>
              <w:pStyle w:val="41"/>
              <w:keepNext w:val="0"/>
              <w:keepLines w:val="0"/>
              <w:pageBreakBefore w:val="0"/>
              <w:widowControl w:val="0"/>
              <w:kinsoku/>
              <w:wordWrap/>
              <w:overflowPunct/>
              <w:topLinePunct w:val="0"/>
              <w:autoSpaceDE w:val="0"/>
              <w:autoSpaceDN w:val="0"/>
              <w:bidi w:val="0"/>
              <w:adjustRightInd w:val="0"/>
              <w:snapToGrid w:val="0"/>
              <w:spacing w:before="0" w:beforeLines="0" w:after="163" w:afterLines="50"/>
              <w:ind w:left="0" w:leftChars="0" w:firstLine="0" w:firstLineChars="0"/>
              <w:jc w:val="center"/>
              <w:textAlignment w:val="baseline"/>
              <w:rPr>
                <w:rFonts w:hint="default" w:ascii="Times New Roman" w:hAnsi="Times New Roman" w:eastAsia="宋体" w:cs="Times New Roman"/>
                <w:b/>
                <w:bCs/>
                <w:strike w:val="0"/>
                <w:dstrike w:val="0"/>
                <w:color w:val="auto"/>
                <w:sz w:val="24"/>
                <w:szCs w:val="24"/>
                <w:lang w:val="en-US" w:eastAsia="zh-CN"/>
              </w:rPr>
            </w:pPr>
            <w:r>
              <w:rPr>
                <w:rFonts w:hint="default" w:ascii="Times New Roman" w:hAnsi="Times New Roman" w:eastAsia="宋体" w:cs="Times New Roman"/>
                <w:b/>
                <w:bCs/>
                <w:color w:val="auto"/>
                <w:sz w:val="24"/>
                <w:szCs w:val="24"/>
              </w:rPr>
              <w:t>图4.</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w:t>
            </w:r>
            <w:r>
              <w:rPr>
                <w:rFonts w:hint="eastAsia"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 xml:space="preserve"> 污水工程规划图</w:t>
            </w:r>
          </w:p>
          <w:p w14:paraId="2215E0B4">
            <w:pPr>
              <w:widowControl/>
              <w:spacing w:line="360" w:lineRule="auto"/>
              <w:ind w:firstLine="480" w:firstLineChars="200"/>
              <w:jc w:val="left"/>
              <w:rPr>
                <w:rFonts w:hint="default" w:ascii="Times New Roman" w:hAnsi="Times New Roman" w:eastAsia="宋体" w:cs="Times New Roman"/>
                <w:strike w:val="0"/>
                <w:dstrike w:val="0"/>
                <w:color w:val="auto"/>
                <w:sz w:val="24"/>
                <w:lang w:val="en-US" w:eastAsia="zh-CN"/>
              </w:rPr>
            </w:pPr>
            <w:r>
              <w:rPr>
                <w:rFonts w:hint="eastAsia" w:ascii="Times New Roman" w:hAnsi="Times New Roman" w:eastAsia="宋体" w:cs="Times New Roman"/>
                <w:strike w:val="0"/>
                <w:dstrike w:val="0"/>
                <w:color w:val="auto"/>
                <w:sz w:val="24"/>
                <w:lang w:val="en-US" w:eastAsia="zh-CN"/>
              </w:rPr>
              <w:t>B.</w:t>
            </w:r>
            <w:r>
              <w:rPr>
                <w:rFonts w:hint="default" w:ascii="Times New Roman" w:hAnsi="Times New Roman" w:eastAsia="宋体" w:cs="Times New Roman"/>
                <w:strike w:val="0"/>
                <w:dstrike w:val="0"/>
                <w:color w:val="auto"/>
                <w:sz w:val="24"/>
                <w:lang w:val="en-US" w:eastAsia="zh-CN"/>
              </w:rPr>
              <w:t>水质负荷</w:t>
            </w:r>
          </w:p>
          <w:p w14:paraId="7BFB5F66">
            <w:pPr>
              <w:widowControl/>
              <w:spacing w:line="360" w:lineRule="auto"/>
              <w:ind w:firstLine="480" w:firstLineChars="200"/>
              <w:jc w:val="left"/>
              <w:rPr>
                <w:rFonts w:hint="default" w:ascii="Times New Roman" w:hAnsi="Times New Roman" w:eastAsia="宋体" w:cs="Times New Roman"/>
                <w:strike w:val="0"/>
                <w:dstrike w:val="0"/>
                <w:color w:val="auto"/>
                <w:sz w:val="24"/>
                <w:lang w:val="en-US" w:eastAsia="zh-CN"/>
              </w:rPr>
            </w:pPr>
            <w:r>
              <w:rPr>
                <w:rFonts w:hint="eastAsia" w:ascii="Times New Roman" w:hAnsi="Times New Roman" w:eastAsia="宋体" w:cs="Times New Roman"/>
                <w:strike w:val="0"/>
                <w:dstrike w:val="0"/>
                <w:color w:val="auto"/>
                <w:sz w:val="24"/>
                <w:lang w:val="en-US" w:eastAsia="zh-CN"/>
              </w:rPr>
              <w:t>本项目</w:t>
            </w:r>
            <w:r>
              <w:rPr>
                <w:rFonts w:hint="default" w:ascii="Times New Roman" w:hAnsi="Times New Roman" w:eastAsia="宋体" w:cs="Times New Roman"/>
                <w:strike w:val="0"/>
                <w:dstrike w:val="0"/>
                <w:color w:val="auto"/>
                <w:sz w:val="24"/>
                <w:lang w:val="en-US" w:eastAsia="zh-CN"/>
              </w:rPr>
              <w:t>生活污水直接经化粪池预处理</w:t>
            </w:r>
            <w:r>
              <w:rPr>
                <w:rFonts w:hint="eastAsia" w:ascii="Times New Roman" w:hAnsi="Times New Roman" w:eastAsia="宋体" w:cs="Times New Roman"/>
                <w:strike w:val="0"/>
                <w:dstrike w:val="0"/>
                <w:color w:val="auto"/>
                <w:sz w:val="24"/>
                <w:lang w:val="en-US" w:eastAsia="zh-CN"/>
              </w:rPr>
              <w:t>直接依托厂区污水总排口</w:t>
            </w:r>
            <w:r>
              <w:rPr>
                <w:rFonts w:hint="default" w:ascii="Times New Roman" w:hAnsi="Times New Roman" w:eastAsia="宋体" w:cs="Times New Roman"/>
                <w:strike w:val="0"/>
                <w:dstrike w:val="0"/>
                <w:color w:val="auto"/>
                <w:sz w:val="24"/>
                <w:lang w:val="en-US" w:eastAsia="zh-CN"/>
              </w:rPr>
              <w:t>排入市政污水管网</w:t>
            </w:r>
            <w:r>
              <w:rPr>
                <w:rFonts w:hint="eastAsia" w:ascii="Times New Roman" w:hAnsi="Times New Roman" w:eastAsia="宋体"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根据</w:t>
            </w:r>
            <w:r>
              <w:rPr>
                <w:rFonts w:hint="eastAsia" w:ascii="Times New Roman" w:hAnsi="Times New Roman" w:eastAsia="宋体" w:cs="Times New Roman"/>
                <w:strike w:val="0"/>
                <w:dstrike w:val="0"/>
                <w:color w:val="auto"/>
                <w:sz w:val="24"/>
                <w:lang w:val="en-US" w:eastAsia="zh-CN"/>
              </w:rPr>
              <w:t>前文</w:t>
            </w:r>
            <w:r>
              <w:rPr>
                <w:rFonts w:hint="default" w:ascii="Times New Roman" w:hAnsi="Times New Roman" w:eastAsia="宋体" w:cs="Times New Roman"/>
                <w:strike w:val="0"/>
                <w:dstrike w:val="0"/>
                <w:color w:val="auto"/>
                <w:sz w:val="24"/>
                <w:lang w:val="en-US" w:eastAsia="zh-CN"/>
              </w:rPr>
              <w:t>分析预测可知</w:t>
            </w:r>
            <w:r>
              <w:rPr>
                <w:rFonts w:hint="eastAsia" w:ascii="Times New Roman" w:hAnsi="Times New Roman" w:eastAsia="宋体"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本项目生活污水</w:t>
            </w:r>
            <w:r>
              <w:rPr>
                <w:rFonts w:hint="eastAsia" w:ascii="Times New Roman" w:hAnsi="Times New Roman" w:eastAsia="宋体" w:cs="Times New Roman"/>
                <w:strike w:val="0"/>
                <w:dstrike w:val="0"/>
                <w:color w:val="auto"/>
                <w:sz w:val="24"/>
                <w:lang w:val="en-US" w:eastAsia="zh-CN"/>
              </w:rPr>
              <w:t>经化粪池预处理后</w:t>
            </w:r>
            <w:r>
              <w:rPr>
                <w:rFonts w:hint="default" w:ascii="Times New Roman" w:hAnsi="Times New Roman" w:eastAsia="宋体" w:cs="Times New Roman"/>
                <w:strike w:val="0"/>
                <w:dstrike w:val="0"/>
                <w:color w:val="auto"/>
                <w:sz w:val="24"/>
                <w:lang w:val="en-US" w:eastAsia="zh-CN"/>
              </w:rPr>
              <w:t>主要污染物排放浓度均能满足《污水综合排放标准》</w:t>
            </w:r>
            <w:r>
              <w:rPr>
                <w:rFonts w:hint="eastAsia"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GB8978-1996</w:t>
            </w:r>
            <w:r>
              <w:rPr>
                <w:rFonts w:hint="eastAsia"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表4三级标准及《污水排入城镇下水道水质标准》</w:t>
            </w:r>
            <w:r>
              <w:rPr>
                <w:rFonts w:hint="eastAsia"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GB/T 31962-2015</w:t>
            </w:r>
            <w:r>
              <w:rPr>
                <w:rFonts w:hint="eastAsia"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表1中B级标准限值</w:t>
            </w:r>
            <w:r>
              <w:rPr>
                <w:rFonts w:hint="eastAsia" w:ascii="Times New Roman" w:hAnsi="Times New Roman" w:eastAsia="宋体" w:cs="Times New Roman"/>
                <w:strike w:val="0"/>
                <w:dstrike w:val="0"/>
                <w:color w:val="auto"/>
                <w:sz w:val="24"/>
                <w:lang w:val="en-US" w:eastAsia="zh-CN"/>
              </w:rPr>
              <w:t>，也可以符合污水处理厂进水水质标准。</w:t>
            </w:r>
            <w:r>
              <w:rPr>
                <w:rFonts w:hint="default" w:ascii="Times New Roman" w:hAnsi="Times New Roman" w:eastAsia="宋体" w:cs="Times New Roman"/>
                <w:strike w:val="0"/>
                <w:dstrike w:val="0"/>
                <w:color w:val="auto"/>
                <w:sz w:val="24"/>
                <w:lang w:val="en-US" w:eastAsia="zh-CN"/>
              </w:rPr>
              <w:t>项目</w:t>
            </w:r>
            <w:r>
              <w:rPr>
                <w:rFonts w:hint="eastAsia" w:ascii="Times New Roman" w:hAnsi="Times New Roman" w:eastAsia="宋体" w:cs="Times New Roman"/>
                <w:strike w:val="0"/>
                <w:dstrike w:val="0"/>
                <w:color w:val="auto"/>
                <w:sz w:val="24"/>
                <w:lang w:val="en-US" w:eastAsia="zh-CN"/>
              </w:rPr>
              <w:t>生活污水</w:t>
            </w:r>
            <w:r>
              <w:rPr>
                <w:rFonts w:hint="default" w:ascii="Times New Roman" w:hAnsi="Times New Roman" w:eastAsia="宋体" w:cs="Times New Roman"/>
                <w:strike w:val="0"/>
                <w:dstrike w:val="0"/>
                <w:color w:val="auto"/>
                <w:sz w:val="24"/>
                <w:lang w:val="en-US" w:eastAsia="zh-CN"/>
              </w:rPr>
              <w:t>不涉及有毒有害污染物，不涉及持久性、重金属，也不含有腐蚀成分，因此，从水质方面分析，项目</w:t>
            </w:r>
            <w:r>
              <w:rPr>
                <w:rFonts w:hint="eastAsia" w:ascii="Times New Roman" w:hAnsi="Times New Roman" w:eastAsia="宋体" w:cs="Times New Roman"/>
                <w:strike w:val="0"/>
                <w:dstrike w:val="0"/>
                <w:color w:val="auto"/>
                <w:sz w:val="24"/>
                <w:lang w:val="en-US" w:eastAsia="zh-CN"/>
              </w:rPr>
              <w:t>生活污水</w:t>
            </w:r>
            <w:r>
              <w:rPr>
                <w:rFonts w:hint="default" w:ascii="Times New Roman" w:hAnsi="Times New Roman" w:eastAsia="宋体" w:cs="Times New Roman"/>
                <w:strike w:val="0"/>
                <w:dstrike w:val="0"/>
                <w:color w:val="auto"/>
                <w:sz w:val="24"/>
                <w:lang w:val="en-US" w:eastAsia="zh-CN"/>
              </w:rPr>
              <w:t>经处理达标后，</w:t>
            </w:r>
            <w:r>
              <w:rPr>
                <w:rFonts w:hint="eastAsia" w:ascii="Times New Roman" w:hAnsi="Times New Roman" w:eastAsia="宋体" w:cs="Times New Roman"/>
                <w:strike w:val="0"/>
                <w:dstrike w:val="0"/>
                <w:color w:val="auto"/>
                <w:sz w:val="24"/>
                <w:lang w:val="en-US" w:eastAsia="zh-CN"/>
              </w:rPr>
              <w:t>福清市融元污水处理厂</w:t>
            </w:r>
            <w:r>
              <w:rPr>
                <w:rFonts w:hint="default" w:ascii="Times New Roman" w:hAnsi="Times New Roman" w:eastAsia="宋体" w:cs="Times New Roman"/>
                <w:strike w:val="0"/>
                <w:dstrike w:val="0"/>
                <w:color w:val="auto"/>
                <w:sz w:val="24"/>
                <w:lang w:val="en-US" w:eastAsia="zh-CN"/>
              </w:rPr>
              <w:t>可接纳项目</w:t>
            </w:r>
            <w:r>
              <w:rPr>
                <w:rFonts w:hint="eastAsia" w:ascii="Times New Roman" w:hAnsi="Times New Roman" w:eastAsia="宋体" w:cs="Times New Roman"/>
                <w:strike w:val="0"/>
                <w:dstrike w:val="0"/>
                <w:color w:val="auto"/>
                <w:sz w:val="24"/>
                <w:lang w:val="en-US" w:eastAsia="zh-CN"/>
              </w:rPr>
              <w:t>污水</w:t>
            </w:r>
            <w:r>
              <w:rPr>
                <w:rFonts w:hint="default" w:ascii="Times New Roman" w:hAnsi="Times New Roman" w:eastAsia="宋体" w:cs="Times New Roman"/>
                <w:strike w:val="0"/>
                <w:dstrike w:val="0"/>
                <w:color w:val="auto"/>
                <w:sz w:val="24"/>
                <w:lang w:val="en-US" w:eastAsia="zh-CN"/>
              </w:rPr>
              <w:t>水质，不会对</w:t>
            </w:r>
            <w:r>
              <w:rPr>
                <w:rFonts w:hint="eastAsia" w:ascii="Times New Roman" w:hAnsi="Times New Roman" w:eastAsia="宋体" w:cs="Times New Roman"/>
                <w:strike w:val="0"/>
                <w:dstrike w:val="0"/>
                <w:color w:val="auto"/>
                <w:sz w:val="24"/>
                <w:lang w:val="en-US" w:eastAsia="zh-CN"/>
              </w:rPr>
              <w:t>污水处理厂</w:t>
            </w:r>
            <w:r>
              <w:rPr>
                <w:rFonts w:hint="default" w:ascii="Times New Roman" w:hAnsi="Times New Roman" w:eastAsia="宋体" w:cs="Times New Roman"/>
                <w:strike w:val="0"/>
                <w:dstrike w:val="0"/>
                <w:color w:val="auto"/>
                <w:sz w:val="24"/>
                <w:lang w:val="en-US" w:eastAsia="zh-CN"/>
              </w:rPr>
              <w:t>水质负荷造成冲击。</w:t>
            </w:r>
          </w:p>
          <w:p w14:paraId="2EACF1A2">
            <w:pPr>
              <w:widowControl/>
              <w:spacing w:line="360" w:lineRule="auto"/>
              <w:ind w:firstLine="480" w:firstLineChars="200"/>
              <w:jc w:val="left"/>
              <w:rPr>
                <w:rFonts w:hint="default" w:ascii="Times New Roman" w:hAnsi="Times New Roman" w:eastAsia="宋体" w:cs="Times New Roman"/>
                <w:strike w:val="0"/>
                <w:dstrike w:val="0"/>
                <w:color w:val="auto"/>
                <w:sz w:val="24"/>
                <w:lang w:val="en-US" w:eastAsia="zh-CN"/>
              </w:rPr>
            </w:pPr>
            <w:r>
              <w:rPr>
                <w:rFonts w:hint="eastAsia" w:ascii="Times New Roman" w:hAnsi="Times New Roman" w:eastAsia="宋体" w:cs="Times New Roman"/>
                <w:strike w:val="0"/>
                <w:dstrike w:val="0"/>
                <w:color w:val="auto"/>
                <w:sz w:val="24"/>
                <w:lang w:val="en-US" w:eastAsia="zh-CN"/>
              </w:rPr>
              <w:t>C.水量负荷</w:t>
            </w:r>
          </w:p>
          <w:p w14:paraId="63FC75E3">
            <w:pPr>
              <w:widowControl/>
              <w:spacing w:line="360" w:lineRule="auto"/>
              <w:ind w:firstLine="480" w:firstLineChars="200"/>
              <w:jc w:val="left"/>
              <w:rPr>
                <w:rFonts w:hint="default" w:ascii="Times New Roman" w:hAnsi="Times New Roman" w:eastAsia="宋体" w:cs="Times New Roman"/>
                <w:strike w:val="0"/>
                <w:dstrike w:val="0"/>
                <w:color w:val="auto"/>
                <w:sz w:val="24"/>
                <w:lang w:val="en-US" w:eastAsia="zh-CN"/>
              </w:rPr>
            </w:pPr>
            <w:r>
              <w:rPr>
                <w:rFonts w:hint="eastAsia" w:ascii="Times New Roman" w:hAnsi="Times New Roman" w:eastAsia="宋体" w:cs="Times New Roman"/>
                <w:strike w:val="0"/>
                <w:dstrike w:val="0"/>
                <w:color w:val="auto"/>
                <w:sz w:val="24"/>
                <w:lang w:val="en-US" w:eastAsia="zh-CN"/>
              </w:rPr>
              <w:t>根据调查，目前福清</w:t>
            </w:r>
            <w:r>
              <w:rPr>
                <w:rFonts w:hint="default" w:ascii="Times New Roman" w:hAnsi="Times New Roman" w:eastAsia="宋体" w:cs="Times New Roman"/>
                <w:strike w:val="0"/>
                <w:dstrike w:val="0"/>
                <w:color w:val="auto"/>
                <w:sz w:val="24"/>
                <w:lang w:val="en-US" w:eastAsia="zh-CN"/>
              </w:rPr>
              <w:t>市融元污水处理厂厂内提标及改造工程已经完成并正常使用，平均处理规模约为11.85万m³/d，剩余处理能力1500m³/d。本项目生活污水排放量</w:t>
            </w:r>
            <w:r>
              <w:rPr>
                <w:rFonts w:hint="eastAsia" w:ascii="Times New Roman" w:hAnsi="Times New Roman" w:eastAsia="宋体" w:cs="Times New Roman"/>
                <w:strike w:val="0"/>
                <w:dstrike w:val="0"/>
                <w:color w:val="auto"/>
                <w:sz w:val="24"/>
                <w:lang w:val="en-US" w:eastAsia="zh-CN"/>
              </w:rPr>
              <w:t>1.2</w:t>
            </w:r>
            <w:r>
              <w:rPr>
                <w:rFonts w:hint="default" w:ascii="Times New Roman" w:hAnsi="Times New Roman" w:eastAsia="宋体" w:cs="Times New Roman"/>
                <w:strike w:val="0"/>
                <w:dstrike w:val="0"/>
                <w:color w:val="auto"/>
                <w:sz w:val="24"/>
                <w:lang w:val="en-US" w:eastAsia="zh-CN"/>
              </w:rPr>
              <w:t>t/d，仅占福清市融元污水处理厂剩余处理规模的0.0</w:t>
            </w:r>
            <w:r>
              <w:rPr>
                <w:rFonts w:hint="eastAsia" w:ascii="Times New Roman" w:hAnsi="Times New Roman" w:eastAsia="宋体" w:cs="Times New Roman"/>
                <w:strike w:val="0"/>
                <w:dstrike w:val="0"/>
                <w:color w:val="auto"/>
                <w:sz w:val="24"/>
                <w:lang w:val="en-US" w:eastAsia="zh-CN"/>
              </w:rPr>
              <w:t>8</w:t>
            </w:r>
            <w:r>
              <w:rPr>
                <w:rFonts w:hint="default" w:ascii="Times New Roman" w:hAnsi="Times New Roman" w:eastAsia="宋体" w:cs="Times New Roman"/>
                <w:strike w:val="0"/>
                <w:dstrike w:val="0"/>
                <w:color w:val="auto"/>
                <w:sz w:val="24"/>
                <w:lang w:val="en-US" w:eastAsia="zh-CN"/>
              </w:rPr>
              <w:t>%</w:t>
            </w:r>
            <w:r>
              <w:rPr>
                <w:rFonts w:hint="eastAsia" w:ascii="Times New Roman" w:hAnsi="Times New Roman" w:eastAsia="宋体"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因此，从处理能力及处理工艺分析，</w:t>
            </w:r>
            <w:r>
              <w:rPr>
                <w:rFonts w:hint="eastAsia" w:ascii="Times New Roman" w:hAnsi="Times New Roman" w:eastAsia="宋体" w:cs="Times New Roman"/>
                <w:strike w:val="0"/>
                <w:dstrike w:val="0"/>
                <w:color w:val="auto"/>
                <w:sz w:val="24"/>
                <w:lang w:val="en-US" w:eastAsia="zh-CN"/>
              </w:rPr>
              <w:t>福清市融元污水处理厂</w:t>
            </w:r>
            <w:r>
              <w:rPr>
                <w:rFonts w:hint="default" w:ascii="Times New Roman" w:hAnsi="Times New Roman" w:eastAsia="宋体" w:cs="Times New Roman"/>
                <w:strike w:val="0"/>
                <w:dstrike w:val="0"/>
                <w:color w:val="auto"/>
                <w:sz w:val="24"/>
                <w:lang w:val="en-US" w:eastAsia="zh-CN"/>
              </w:rPr>
              <w:t>可接纳项目废水排放量，不会对</w:t>
            </w:r>
            <w:r>
              <w:rPr>
                <w:rFonts w:hint="eastAsia" w:ascii="Times New Roman" w:hAnsi="Times New Roman" w:eastAsia="宋体" w:cs="Times New Roman"/>
                <w:strike w:val="0"/>
                <w:dstrike w:val="0"/>
                <w:color w:val="auto"/>
                <w:sz w:val="24"/>
                <w:lang w:val="en-US" w:eastAsia="zh-CN"/>
              </w:rPr>
              <w:t>污水处理厂</w:t>
            </w:r>
            <w:r>
              <w:rPr>
                <w:rFonts w:hint="default" w:ascii="Times New Roman" w:hAnsi="Times New Roman" w:eastAsia="宋体" w:cs="Times New Roman"/>
                <w:strike w:val="0"/>
                <w:dstrike w:val="0"/>
                <w:color w:val="auto"/>
                <w:sz w:val="24"/>
                <w:lang w:val="en-US" w:eastAsia="zh-CN"/>
              </w:rPr>
              <w:t>水量</w:t>
            </w:r>
            <w:r>
              <w:rPr>
                <w:rFonts w:hint="eastAsia" w:ascii="Times New Roman" w:hAnsi="Times New Roman" w:eastAsia="宋体" w:cs="Times New Roman"/>
                <w:strike w:val="0"/>
                <w:dstrike w:val="0"/>
                <w:color w:val="auto"/>
                <w:sz w:val="24"/>
                <w:lang w:val="en-US" w:eastAsia="zh-CN"/>
              </w:rPr>
              <w:t>、水质</w:t>
            </w:r>
            <w:r>
              <w:rPr>
                <w:rFonts w:hint="default" w:ascii="Times New Roman" w:hAnsi="Times New Roman" w:eastAsia="宋体" w:cs="Times New Roman"/>
                <w:strike w:val="0"/>
                <w:dstrike w:val="0"/>
                <w:color w:val="auto"/>
                <w:sz w:val="24"/>
                <w:lang w:val="en-US" w:eastAsia="zh-CN"/>
              </w:rPr>
              <w:t>负荷造成冲击。</w:t>
            </w:r>
          </w:p>
          <w:p w14:paraId="33170766">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155" w:name="_Toc28655"/>
            <w:bookmarkStart w:id="156" w:name="_Toc5960"/>
            <w:r>
              <w:rPr>
                <w:rFonts w:hint="eastAsia" w:ascii="Times New Roman" w:hAnsi="Times New Roman" w:eastAsia="宋体" w:cs="Times New Roman"/>
                <w:color w:val="auto"/>
                <w:sz w:val="28"/>
                <w:szCs w:val="28"/>
                <w:u w:val="none"/>
                <w:lang w:val="en-US" w:eastAsia="zh-CN"/>
              </w:rPr>
              <w:t>4.3噪声环境影响分析和污染防治措施</w:t>
            </w:r>
            <w:bookmarkEnd w:id="155"/>
            <w:bookmarkEnd w:id="156"/>
          </w:p>
          <w:p w14:paraId="78F6E399">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157" w:name="_Toc2055"/>
            <w:bookmarkStart w:id="158" w:name="_Toc20783"/>
            <w:r>
              <w:rPr>
                <w:rFonts w:hint="default"/>
                <w:b/>
                <w:color w:val="262626"/>
                <w:kern w:val="0"/>
                <w:sz w:val="24"/>
                <w:lang w:val="en-US" w:eastAsia="zh-CN"/>
              </w:rPr>
              <w:t>4.3.1噪声源强分析</w:t>
            </w:r>
            <w:bookmarkEnd w:id="157"/>
            <w:bookmarkEnd w:id="158"/>
          </w:p>
          <w:p w14:paraId="5EE9123B">
            <w:pPr>
              <w:pStyle w:val="57"/>
              <w:spacing w:line="360" w:lineRule="auto"/>
              <w:ind w:firstLine="480"/>
              <w:rPr>
                <w:rFonts w:ascii="Times New Roman" w:hAnsi="Times New Roman"/>
                <w:bCs w:val="0"/>
                <w:color w:val="000000"/>
                <w:szCs w:val="24"/>
              </w:rPr>
            </w:pPr>
            <w:r>
              <w:rPr>
                <w:rFonts w:ascii="Times New Roman" w:hAnsi="Times New Roman"/>
                <w:bCs w:val="0"/>
                <w:color w:val="000000"/>
                <w:szCs w:val="24"/>
              </w:rPr>
              <w:t>项目的噪声源主要为项目运营时机械设备运转产生的噪声，其噪声级及治理措施见表4.3-1。</w:t>
            </w:r>
          </w:p>
          <w:p w14:paraId="2D587277">
            <w:pPr>
              <w:keepNext w:val="0"/>
              <w:keepLines w:val="0"/>
              <w:pageBreakBefore w:val="0"/>
              <w:widowControl w:val="0"/>
              <w:tabs>
                <w:tab w:val="left" w:pos="482"/>
              </w:tabs>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sz w:val="24"/>
                <w:szCs w:val="24"/>
              </w:rPr>
              <w:t>表4.3-1 噪声源强调查清单（室内声源）</w:t>
            </w:r>
          </w:p>
          <w:tbl>
            <w:tblPr>
              <w:tblStyle w:val="23"/>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06"/>
              <w:gridCol w:w="507"/>
              <w:gridCol w:w="438"/>
              <w:gridCol w:w="525"/>
              <w:gridCol w:w="675"/>
              <w:gridCol w:w="512"/>
              <w:gridCol w:w="475"/>
              <w:gridCol w:w="513"/>
              <w:gridCol w:w="525"/>
              <w:gridCol w:w="437"/>
              <w:gridCol w:w="450"/>
              <w:gridCol w:w="650"/>
              <w:gridCol w:w="500"/>
              <w:gridCol w:w="738"/>
              <w:gridCol w:w="787"/>
              <w:gridCol w:w="547"/>
            </w:tblGrid>
            <w:tr w14:paraId="4148AB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178" w:type="pct"/>
                  <w:vMerge w:val="restart"/>
                  <w:noWrap w:val="0"/>
                  <w:vAlign w:val="center"/>
                </w:tcPr>
                <w:p w14:paraId="62FA156E">
                  <w:pPr>
                    <w:jc w:val="center"/>
                    <w:rPr>
                      <w:rFonts w:hint="eastAsia"/>
                      <w:szCs w:val="21"/>
                    </w:rPr>
                  </w:pPr>
                  <w:r>
                    <w:rPr>
                      <w:rFonts w:hint="eastAsia"/>
                      <w:szCs w:val="21"/>
                    </w:rPr>
                    <w:t>序号</w:t>
                  </w:r>
                </w:p>
              </w:tc>
              <w:tc>
                <w:tcPr>
                  <w:tcW w:w="295" w:type="pct"/>
                  <w:vMerge w:val="restart"/>
                  <w:noWrap w:val="0"/>
                  <w:vAlign w:val="center"/>
                </w:tcPr>
                <w:p w14:paraId="1E78D581">
                  <w:pPr>
                    <w:jc w:val="center"/>
                    <w:rPr>
                      <w:rFonts w:hint="eastAsia"/>
                      <w:szCs w:val="21"/>
                    </w:rPr>
                  </w:pPr>
                  <w:r>
                    <w:rPr>
                      <w:rFonts w:hint="eastAsia"/>
                      <w:szCs w:val="21"/>
                    </w:rPr>
                    <w:t>建筑物名称</w:t>
                  </w:r>
                </w:p>
              </w:tc>
              <w:tc>
                <w:tcPr>
                  <w:tcW w:w="255" w:type="pct"/>
                  <w:vMerge w:val="restart"/>
                  <w:noWrap w:val="0"/>
                  <w:vAlign w:val="center"/>
                </w:tcPr>
                <w:p w14:paraId="7874F41E">
                  <w:pPr>
                    <w:jc w:val="center"/>
                    <w:rPr>
                      <w:rFonts w:hint="eastAsia"/>
                      <w:szCs w:val="21"/>
                    </w:rPr>
                  </w:pPr>
                  <w:r>
                    <w:rPr>
                      <w:rFonts w:hint="eastAsia"/>
                      <w:szCs w:val="21"/>
                    </w:rPr>
                    <w:t>声源名称</w:t>
                  </w:r>
                </w:p>
              </w:tc>
              <w:tc>
                <w:tcPr>
                  <w:tcW w:w="305" w:type="pct"/>
                  <w:vMerge w:val="restart"/>
                  <w:noWrap w:val="0"/>
                  <w:vAlign w:val="center"/>
                </w:tcPr>
                <w:p w14:paraId="2ED653C8">
                  <w:pPr>
                    <w:jc w:val="center"/>
                    <w:rPr>
                      <w:rFonts w:hint="eastAsia"/>
                      <w:szCs w:val="21"/>
                    </w:rPr>
                  </w:pPr>
                  <w:r>
                    <w:rPr>
                      <w:rFonts w:hint="eastAsia"/>
                      <w:szCs w:val="21"/>
                    </w:rPr>
                    <w:t>台/套数</w:t>
                  </w:r>
                </w:p>
              </w:tc>
              <w:tc>
                <w:tcPr>
                  <w:tcW w:w="393" w:type="pct"/>
                  <w:vMerge w:val="restart"/>
                  <w:noWrap w:val="0"/>
                  <w:vAlign w:val="center"/>
                </w:tcPr>
                <w:p w14:paraId="55821A3C">
                  <w:pPr>
                    <w:jc w:val="center"/>
                    <w:rPr>
                      <w:rFonts w:hint="eastAsia"/>
                      <w:szCs w:val="21"/>
                    </w:rPr>
                  </w:pPr>
                  <w:r>
                    <w:rPr>
                      <w:rFonts w:hint="eastAsia"/>
                      <w:szCs w:val="21"/>
                    </w:rPr>
                    <w:t>声功率级</w:t>
                  </w:r>
                </w:p>
                <w:p w14:paraId="5BF14801">
                  <w:pPr>
                    <w:jc w:val="center"/>
                    <w:rPr>
                      <w:rFonts w:hint="eastAsia"/>
                      <w:szCs w:val="21"/>
                    </w:rPr>
                  </w:pPr>
                  <w:r>
                    <w:rPr>
                      <w:rFonts w:hint="eastAsia"/>
                      <w:szCs w:val="21"/>
                    </w:rPr>
                    <w:t>/dB(A)</w:t>
                  </w:r>
                </w:p>
              </w:tc>
              <w:tc>
                <w:tcPr>
                  <w:tcW w:w="298" w:type="pct"/>
                  <w:vMerge w:val="restart"/>
                  <w:noWrap w:val="0"/>
                  <w:vAlign w:val="center"/>
                </w:tcPr>
                <w:p w14:paraId="7903167C">
                  <w:pPr>
                    <w:jc w:val="center"/>
                    <w:rPr>
                      <w:rFonts w:hint="eastAsia"/>
                      <w:szCs w:val="21"/>
                    </w:rPr>
                  </w:pPr>
                  <w:r>
                    <w:rPr>
                      <w:rFonts w:hint="eastAsia"/>
                      <w:szCs w:val="21"/>
                    </w:rPr>
                    <w:t>声源控制措施</w:t>
                  </w:r>
                </w:p>
              </w:tc>
              <w:tc>
                <w:tcPr>
                  <w:tcW w:w="881" w:type="pct"/>
                  <w:gridSpan w:val="3"/>
                  <w:noWrap w:val="0"/>
                  <w:vAlign w:val="center"/>
                </w:tcPr>
                <w:p w14:paraId="51CBB0C0">
                  <w:pPr>
                    <w:jc w:val="center"/>
                    <w:rPr>
                      <w:rFonts w:hint="eastAsia"/>
                      <w:szCs w:val="21"/>
                    </w:rPr>
                  </w:pPr>
                  <w:r>
                    <w:rPr>
                      <w:rFonts w:hint="eastAsia"/>
                      <w:szCs w:val="21"/>
                    </w:rPr>
                    <w:t>空间相对位置/m</w:t>
                  </w:r>
                </w:p>
              </w:tc>
              <w:tc>
                <w:tcPr>
                  <w:tcW w:w="516" w:type="pct"/>
                  <w:gridSpan w:val="2"/>
                  <w:vMerge w:val="restart"/>
                  <w:noWrap w:val="0"/>
                  <w:vAlign w:val="center"/>
                </w:tcPr>
                <w:p w14:paraId="369DC476">
                  <w:pPr>
                    <w:jc w:val="center"/>
                    <w:rPr>
                      <w:rFonts w:hint="eastAsia"/>
                      <w:szCs w:val="21"/>
                    </w:rPr>
                  </w:pPr>
                  <w:r>
                    <w:rPr>
                      <w:rFonts w:hint="eastAsia"/>
                      <w:szCs w:val="21"/>
                    </w:rPr>
                    <w:t>距室内边界距离/m</w:t>
                  </w:r>
                </w:p>
              </w:tc>
              <w:tc>
                <w:tcPr>
                  <w:tcW w:w="378" w:type="pct"/>
                  <w:vMerge w:val="restart"/>
                  <w:noWrap w:val="0"/>
                  <w:vAlign w:val="center"/>
                </w:tcPr>
                <w:p w14:paraId="3BD05F07">
                  <w:pPr>
                    <w:jc w:val="center"/>
                    <w:rPr>
                      <w:rFonts w:hint="eastAsia"/>
                      <w:szCs w:val="21"/>
                    </w:rPr>
                  </w:pPr>
                  <w:r>
                    <w:rPr>
                      <w:rFonts w:hint="eastAsia"/>
                      <w:szCs w:val="21"/>
                    </w:rPr>
                    <w:t>室内边界声级</w:t>
                  </w:r>
                </w:p>
                <w:p w14:paraId="01D05D15">
                  <w:pPr>
                    <w:jc w:val="center"/>
                    <w:rPr>
                      <w:rFonts w:hint="eastAsia"/>
                      <w:szCs w:val="21"/>
                    </w:rPr>
                  </w:pPr>
                  <w:r>
                    <w:rPr>
                      <w:rFonts w:hint="eastAsia"/>
                      <w:szCs w:val="21"/>
                    </w:rPr>
                    <w:t>/dB(A)</w:t>
                  </w:r>
                </w:p>
              </w:tc>
              <w:tc>
                <w:tcPr>
                  <w:tcW w:w="291" w:type="pct"/>
                  <w:vMerge w:val="restart"/>
                  <w:noWrap w:val="0"/>
                  <w:vAlign w:val="center"/>
                </w:tcPr>
                <w:p w14:paraId="3431DE61">
                  <w:pPr>
                    <w:jc w:val="center"/>
                    <w:rPr>
                      <w:rFonts w:hint="eastAsia"/>
                      <w:szCs w:val="21"/>
                    </w:rPr>
                  </w:pPr>
                  <w:r>
                    <w:rPr>
                      <w:rFonts w:hint="eastAsia"/>
                      <w:szCs w:val="21"/>
                    </w:rPr>
                    <w:t>运行时段</w:t>
                  </w:r>
                </w:p>
              </w:tc>
              <w:tc>
                <w:tcPr>
                  <w:tcW w:w="429" w:type="pct"/>
                  <w:vMerge w:val="restart"/>
                  <w:noWrap w:val="0"/>
                  <w:vAlign w:val="center"/>
                </w:tcPr>
                <w:p w14:paraId="12F67225">
                  <w:pPr>
                    <w:jc w:val="center"/>
                    <w:rPr>
                      <w:rFonts w:hint="eastAsia"/>
                      <w:szCs w:val="21"/>
                    </w:rPr>
                  </w:pPr>
                  <w:r>
                    <w:rPr>
                      <w:rFonts w:hint="eastAsia"/>
                      <w:szCs w:val="21"/>
                    </w:rPr>
                    <w:t>建筑物插入损失/dB(A)</w:t>
                  </w:r>
                </w:p>
              </w:tc>
              <w:tc>
                <w:tcPr>
                  <w:tcW w:w="776" w:type="pct"/>
                  <w:gridSpan w:val="2"/>
                  <w:noWrap w:val="0"/>
                  <w:vAlign w:val="center"/>
                </w:tcPr>
                <w:p w14:paraId="1123375D">
                  <w:pPr>
                    <w:jc w:val="center"/>
                    <w:rPr>
                      <w:rFonts w:hint="eastAsia"/>
                      <w:szCs w:val="21"/>
                    </w:rPr>
                  </w:pPr>
                  <w:r>
                    <w:rPr>
                      <w:rFonts w:hint="eastAsia"/>
                      <w:szCs w:val="21"/>
                    </w:rPr>
                    <w:t>建筑物外噪声</w:t>
                  </w:r>
                </w:p>
              </w:tc>
            </w:tr>
            <w:tr w14:paraId="0613C3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0" w:hRule="atLeast"/>
                <w:jc w:val="center"/>
              </w:trPr>
              <w:tc>
                <w:tcPr>
                  <w:tcW w:w="178" w:type="pct"/>
                  <w:vMerge w:val="continue"/>
                  <w:noWrap w:val="0"/>
                  <w:vAlign w:val="center"/>
                </w:tcPr>
                <w:p w14:paraId="2A56588D">
                  <w:pPr>
                    <w:jc w:val="center"/>
                    <w:rPr>
                      <w:rFonts w:hint="eastAsia"/>
                      <w:szCs w:val="21"/>
                    </w:rPr>
                  </w:pPr>
                </w:p>
              </w:tc>
              <w:tc>
                <w:tcPr>
                  <w:tcW w:w="295" w:type="pct"/>
                  <w:vMerge w:val="continue"/>
                  <w:noWrap w:val="0"/>
                  <w:vAlign w:val="center"/>
                </w:tcPr>
                <w:p w14:paraId="71B354A8">
                  <w:pPr>
                    <w:jc w:val="center"/>
                    <w:rPr>
                      <w:rFonts w:hint="eastAsia"/>
                      <w:szCs w:val="21"/>
                    </w:rPr>
                  </w:pPr>
                </w:p>
              </w:tc>
              <w:tc>
                <w:tcPr>
                  <w:tcW w:w="255" w:type="pct"/>
                  <w:vMerge w:val="continue"/>
                  <w:noWrap w:val="0"/>
                  <w:vAlign w:val="center"/>
                </w:tcPr>
                <w:p w14:paraId="26391101">
                  <w:pPr>
                    <w:jc w:val="center"/>
                    <w:rPr>
                      <w:rFonts w:hint="eastAsia"/>
                      <w:szCs w:val="21"/>
                    </w:rPr>
                  </w:pPr>
                </w:p>
              </w:tc>
              <w:tc>
                <w:tcPr>
                  <w:tcW w:w="305" w:type="pct"/>
                  <w:vMerge w:val="continue"/>
                  <w:noWrap w:val="0"/>
                  <w:vAlign w:val="center"/>
                </w:tcPr>
                <w:p w14:paraId="4EC4C098">
                  <w:pPr>
                    <w:jc w:val="center"/>
                    <w:rPr>
                      <w:rFonts w:hint="eastAsia"/>
                      <w:szCs w:val="21"/>
                    </w:rPr>
                  </w:pPr>
                </w:p>
              </w:tc>
              <w:tc>
                <w:tcPr>
                  <w:tcW w:w="393" w:type="pct"/>
                  <w:vMerge w:val="continue"/>
                  <w:noWrap w:val="0"/>
                  <w:vAlign w:val="center"/>
                </w:tcPr>
                <w:p w14:paraId="72455F16">
                  <w:pPr>
                    <w:jc w:val="center"/>
                    <w:rPr>
                      <w:rFonts w:hint="eastAsia"/>
                      <w:szCs w:val="21"/>
                    </w:rPr>
                  </w:pPr>
                </w:p>
              </w:tc>
              <w:tc>
                <w:tcPr>
                  <w:tcW w:w="298" w:type="pct"/>
                  <w:vMerge w:val="continue"/>
                  <w:noWrap w:val="0"/>
                  <w:vAlign w:val="center"/>
                </w:tcPr>
                <w:p w14:paraId="07BA0A6E">
                  <w:pPr>
                    <w:jc w:val="center"/>
                    <w:rPr>
                      <w:rFonts w:hint="eastAsia"/>
                      <w:szCs w:val="21"/>
                    </w:rPr>
                  </w:pPr>
                </w:p>
              </w:tc>
              <w:tc>
                <w:tcPr>
                  <w:tcW w:w="276" w:type="pct"/>
                  <w:noWrap w:val="0"/>
                  <w:vAlign w:val="center"/>
                </w:tcPr>
                <w:p w14:paraId="7A391080">
                  <w:pPr>
                    <w:jc w:val="center"/>
                    <w:rPr>
                      <w:rFonts w:hint="eastAsia"/>
                      <w:szCs w:val="21"/>
                    </w:rPr>
                  </w:pPr>
                  <w:r>
                    <w:rPr>
                      <w:rFonts w:hint="eastAsia"/>
                      <w:szCs w:val="21"/>
                    </w:rPr>
                    <w:t>X</w:t>
                  </w:r>
                </w:p>
              </w:tc>
              <w:tc>
                <w:tcPr>
                  <w:tcW w:w="298" w:type="pct"/>
                  <w:noWrap w:val="0"/>
                  <w:vAlign w:val="center"/>
                </w:tcPr>
                <w:p w14:paraId="6A09235D">
                  <w:pPr>
                    <w:jc w:val="center"/>
                    <w:rPr>
                      <w:rFonts w:hint="eastAsia"/>
                      <w:szCs w:val="21"/>
                    </w:rPr>
                  </w:pPr>
                  <w:r>
                    <w:rPr>
                      <w:rFonts w:hint="eastAsia"/>
                      <w:szCs w:val="21"/>
                    </w:rPr>
                    <w:t>Y</w:t>
                  </w:r>
                </w:p>
              </w:tc>
              <w:tc>
                <w:tcPr>
                  <w:tcW w:w="305" w:type="pct"/>
                  <w:noWrap w:val="0"/>
                  <w:vAlign w:val="center"/>
                </w:tcPr>
                <w:p w14:paraId="31AD39D7">
                  <w:pPr>
                    <w:jc w:val="center"/>
                    <w:rPr>
                      <w:rFonts w:hint="eastAsia"/>
                      <w:szCs w:val="21"/>
                    </w:rPr>
                  </w:pPr>
                  <w:r>
                    <w:rPr>
                      <w:rFonts w:hint="eastAsia"/>
                      <w:szCs w:val="21"/>
                    </w:rPr>
                    <w:t>Z</w:t>
                  </w:r>
                </w:p>
              </w:tc>
              <w:tc>
                <w:tcPr>
                  <w:tcW w:w="516" w:type="pct"/>
                  <w:gridSpan w:val="2"/>
                  <w:vMerge w:val="continue"/>
                  <w:noWrap w:val="0"/>
                  <w:vAlign w:val="center"/>
                </w:tcPr>
                <w:p w14:paraId="62F09364">
                  <w:pPr>
                    <w:jc w:val="center"/>
                    <w:rPr>
                      <w:rFonts w:hint="eastAsia"/>
                      <w:szCs w:val="21"/>
                    </w:rPr>
                  </w:pPr>
                </w:p>
              </w:tc>
              <w:tc>
                <w:tcPr>
                  <w:tcW w:w="378" w:type="pct"/>
                  <w:vMerge w:val="continue"/>
                  <w:noWrap w:val="0"/>
                  <w:vAlign w:val="center"/>
                </w:tcPr>
                <w:p w14:paraId="013391F1">
                  <w:pPr>
                    <w:jc w:val="center"/>
                    <w:rPr>
                      <w:rFonts w:hint="eastAsia"/>
                      <w:szCs w:val="21"/>
                    </w:rPr>
                  </w:pPr>
                </w:p>
              </w:tc>
              <w:tc>
                <w:tcPr>
                  <w:tcW w:w="291" w:type="pct"/>
                  <w:vMerge w:val="continue"/>
                  <w:noWrap w:val="0"/>
                  <w:vAlign w:val="center"/>
                </w:tcPr>
                <w:p w14:paraId="3A1B1726">
                  <w:pPr>
                    <w:jc w:val="center"/>
                    <w:rPr>
                      <w:rFonts w:hint="eastAsia"/>
                      <w:szCs w:val="21"/>
                    </w:rPr>
                  </w:pPr>
                </w:p>
              </w:tc>
              <w:tc>
                <w:tcPr>
                  <w:tcW w:w="429" w:type="pct"/>
                  <w:vMerge w:val="continue"/>
                  <w:noWrap w:val="0"/>
                  <w:vAlign w:val="center"/>
                </w:tcPr>
                <w:p w14:paraId="74132505">
                  <w:pPr>
                    <w:jc w:val="center"/>
                    <w:rPr>
                      <w:rFonts w:hint="eastAsia"/>
                      <w:szCs w:val="21"/>
                    </w:rPr>
                  </w:pPr>
                </w:p>
              </w:tc>
              <w:tc>
                <w:tcPr>
                  <w:tcW w:w="458" w:type="pct"/>
                  <w:noWrap w:val="0"/>
                  <w:vAlign w:val="center"/>
                </w:tcPr>
                <w:p w14:paraId="5669A91D">
                  <w:pPr>
                    <w:jc w:val="center"/>
                    <w:rPr>
                      <w:rFonts w:hint="eastAsia"/>
                      <w:szCs w:val="21"/>
                    </w:rPr>
                  </w:pPr>
                  <w:r>
                    <w:rPr>
                      <w:rFonts w:hint="eastAsia"/>
                      <w:szCs w:val="21"/>
                    </w:rPr>
                    <w:t>声压级</w:t>
                  </w:r>
                </w:p>
                <w:p w14:paraId="41B58377">
                  <w:pPr>
                    <w:jc w:val="center"/>
                    <w:rPr>
                      <w:rFonts w:hint="eastAsia"/>
                      <w:szCs w:val="21"/>
                    </w:rPr>
                  </w:pPr>
                  <w:r>
                    <w:rPr>
                      <w:rFonts w:hint="eastAsia"/>
                      <w:szCs w:val="21"/>
                    </w:rPr>
                    <w:t>/dB(A)</w:t>
                  </w:r>
                </w:p>
              </w:tc>
              <w:tc>
                <w:tcPr>
                  <w:tcW w:w="318" w:type="pct"/>
                  <w:noWrap w:val="0"/>
                  <w:vAlign w:val="center"/>
                </w:tcPr>
                <w:p w14:paraId="121D7657">
                  <w:pPr>
                    <w:jc w:val="center"/>
                    <w:rPr>
                      <w:rFonts w:hint="eastAsia"/>
                      <w:szCs w:val="21"/>
                    </w:rPr>
                  </w:pPr>
                  <w:r>
                    <w:rPr>
                      <w:rFonts w:hint="eastAsia"/>
                      <w:szCs w:val="21"/>
                    </w:rPr>
                    <w:t>建筑物外距离</w:t>
                  </w:r>
                </w:p>
              </w:tc>
            </w:tr>
            <w:tr w14:paraId="05B4BB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78" w:type="pct"/>
                  <w:vMerge w:val="restart"/>
                  <w:noWrap w:val="0"/>
                  <w:vAlign w:val="center"/>
                </w:tcPr>
                <w:p w14:paraId="20900564">
                  <w:pPr>
                    <w:jc w:val="center"/>
                    <w:rPr>
                      <w:rFonts w:hint="eastAsia"/>
                      <w:szCs w:val="21"/>
                    </w:rPr>
                  </w:pPr>
                  <w:r>
                    <w:rPr>
                      <w:rFonts w:hint="eastAsia"/>
                      <w:szCs w:val="21"/>
                    </w:rPr>
                    <w:t>1</w:t>
                  </w:r>
                </w:p>
              </w:tc>
              <w:tc>
                <w:tcPr>
                  <w:tcW w:w="295" w:type="pct"/>
                  <w:vMerge w:val="restart"/>
                  <w:noWrap w:val="0"/>
                  <w:vAlign w:val="center"/>
                </w:tcPr>
                <w:p w14:paraId="0BF64E75">
                  <w:pPr>
                    <w:jc w:val="center"/>
                    <w:rPr>
                      <w:rFonts w:hint="default" w:eastAsia="宋体"/>
                      <w:szCs w:val="21"/>
                      <w:lang w:val="en-US" w:eastAsia="zh-CN"/>
                    </w:rPr>
                  </w:pPr>
                  <w:r>
                    <w:rPr>
                      <w:rFonts w:hint="eastAsia"/>
                      <w:szCs w:val="21"/>
                      <w:lang w:val="en-US" w:eastAsia="zh-CN"/>
                    </w:rPr>
                    <w:t>一层厂房内</w:t>
                  </w:r>
                </w:p>
              </w:tc>
              <w:tc>
                <w:tcPr>
                  <w:tcW w:w="255" w:type="pct"/>
                  <w:vMerge w:val="restart"/>
                  <w:noWrap w:val="0"/>
                  <w:vAlign w:val="center"/>
                </w:tcPr>
                <w:p w14:paraId="2A13FBC5">
                  <w:pPr>
                    <w:jc w:val="center"/>
                    <w:rPr>
                      <w:rFonts w:hint="default" w:ascii="Times New Roman" w:hAnsi="Times New Roman" w:eastAsia="宋体" w:cs="Times New Roman"/>
                      <w:szCs w:val="21"/>
                      <w:lang w:val="en-US" w:eastAsia="zh-CN"/>
                    </w:rPr>
                  </w:pPr>
                  <w:r>
                    <w:rPr>
                      <w:rFonts w:hint="eastAsia" w:cs="Times New Roman"/>
                      <w:szCs w:val="21"/>
                      <w:lang w:val="en-US" w:eastAsia="zh-CN"/>
                    </w:rPr>
                    <w:t>电阻炉</w:t>
                  </w:r>
                </w:p>
              </w:tc>
              <w:tc>
                <w:tcPr>
                  <w:tcW w:w="305" w:type="pct"/>
                  <w:vMerge w:val="restart"/>
                  <w:noWrap w:val="0"/>
                  <w:vAlign w:val="center"/>
                </w:tcPr>
                <w:p w14:paraId="0CE18594">
                  <w:pPr>
                    <w:jc w:val="center"/>
                    <w:rPr>
                      <w:rFonts w:hint="default" w:ascii="Times New Roman" w:hAnsi="Times New Roman" w:eastAsia="宋体" w:cs="Times New Roman"/>
                      <w:szCs w:val="21"/>
                      <w:lang w:val="en-US" w:eastAsia="zh-CN"/>
                    </w:rPr>
                  </w:pPr>
                  <w:r>
                    <w:rPr>
                      <w:rFonts w:hint="eastAsia" w:cs="Times New Roman"/>
                      <w:szCs w:val="21"/>
                      <w:lang w:val="en-US" w:eastAsia="zh-CN"/>
                    </w:rPr>
                    <w:t>7</w:t>
                  </w:r>
                </w:p>
              </w:tc>
              <w:tc>
                <w:tcPr>
                  <w:tcW w:w="393" w:type="pct"/>
                  <w:vMerge w:val="restart"/>
                  <w:noWrap w:val="0"/>
                  <w:vAlign w:val="center"/>
                </w:tcPr>
                <w:p w14:paraId="770758CF">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w:t>
                  </w:r>
                  <w:r>
                    <w:rPr>
                      <w:rFonts w:hint="eastAsia" w:cs="Times New Roman"/>
                      <w:szCs w:val="21"/>
                      <w:lang w:val="en-US" w:eastAsia="zh-CN"/>
                    </w:rPr>
                    <w:t>0</w:t>
                  </w:r>
                  <w:r>
                    <w:rPr>
                      <w:rFonts w:hint="eastAsia" w:ascii="Times New Roman" w:hAnsi="Times New Roman" w:eastAsia="宋体" w:cs="Times New Roman"/>
                      <w:szCs w:val="21"/>
                      <w:lang w:val="en-US" w:eastAsia="zh-CN"/>
                    </w:rPr>
                    <w:t>-75</w:t>
                  </w:r>
                </w:p>
              </w:tc>
              <w:tc>
                <w:tcPr>
                  <w:tcW w:w="298" w:type="pct"/>
                  <w:vMerge w:val="restart"/>
                  <w:noWrap w:val="0"/>
                  <w:vAlign w:val="center"/>
                </w:tcPr>
                <w:p w14:paraId="47621061">
                  <w:pPr>
                    <w:jc w:val="center"/>
                    <w:rPr>
                      <w:szCs w:val="21"/>
                    </w:rPr>
                  </w:pPr>
                  <w:r>
                    <w:rPr>
                      <w:rFonts w:hint="eastAsia"/>
                      <w:szCs w:val="21"/>
                    </w:rPr>
                    <w:t>减震垫，墙体隔声</w:t>
                  </w:r>
                </w:p>
              </w:tc>
              <w:tc>
                <w:tcPr>
                  <w:tcW w:w="276" w:type="pct"/>
                  <w:vMerge w:val="restart"/>
                  <w:noWrap w:val="0"/>
                  <w:vAlign w:val="center"/>
                </w:tcPr>
                <w:p w14:paraId="3C19E2DB">
                  <w:pPr>
                    <w:jc w:val="center"/>
                    <w:rPr>
                      <w:rFonts w:hint="default" w:eastAsia="宋体"/>
                      <w:szCs w:val="21"/>
                      <w:lang w:val="en-US" w:eastAsia="zh-CN"/>
                    </w:rPr>
                  </w:pPr>
                  <w:r>
                    <w:rPr>
                      <w:rFonts w:hint="eastAsia"/>
                      <w:szCs w:val="21"/>
                      <w:lang w:val="en-US" w:eastAsia="zh-CN"/>
                    </w:rPr>
                    <w:t>1-45</w:t>
                  </w:r>
                </w:p>
              </w:tc>
              <w:tc>
                <w:tcPr>
                  <w:tcW w:w="298" w:type="pct"/>
                  <w:vMerge w:val="restart"/>
                  <w:noWrap w:val="0"/>
                  <w:vAlign w:val="center"/>
                </w:tcPr>
                <w:p w14:paraId="4936935D">
                  <w:pPr>
                    <w:jc w:val="center"/>
                    <w:rPr>
                      <w:rFonts w:hint="default" w:eastAsia="宋体"/>
                      <w:szCs w:val="21"/>
                      <w:lang w:val="en-US" w:eastAsia="zh-CN"/>
                    </w:rPr>
                  </w:pPr>
                  <w:r>
                    <w:rPr>
                      <w:rFonts w:hint="eastAsia"/>
                      <w:szCs w:val="21"/>
                      <w:lang w:val="en-US" w:eastAsia="zh-CN"/>
                    </w:rPr>
                    <w:t>2-8</w:t>
                  </w:r>
                </w:p>
              </w:tc>
              <w:tc>
                <w:tcPr>
                  <w:tcW w:w="305" w:type="pct"/>
                  <w:vMerge w:val="restart"/>
                  <w:noWrap w:val="0"/>
                  <w:vAlign w:val="center"/>
                </w:tcPr>
                <w:p w14:paraId="553ED1B7">
                  <w:pPr>
                    <w:jc w:val="center"/>
                    <w:rPr>
                      <w:rFonts w:hint="default" w:eastAsia="宋体"/>
                      <w:szCs w:val="21"/>
                      <w:lang w:val="en-US" w:eastAsia="zh-CN"/>
                    </w:rPr>
                  </w:pPr>
                  <w:r>
                    <w:rPr>
                      <w:rFonts w:hint="eastAsia" w:eastAsia="宋体"/>
                      <w:szCs w:val="21"/>
                      <w:lang w:val="en-US" w:eastAsia="zh-CN"/>
                    </w:rPr>
                    <w:t>1.2</w:t>
                  </w:r>
                </w:p>
              </w:tc>
              <w:tc>
                <w:tcPr>
                  <w:tcW w:w="254" w:type="pct"/>
                  <w:tcBorders>
                    <w:right w:val="single" w:color="000000" w:sz="4" w:space="0"/>
                  </w:tcBorders>
                  <w:noWrap w:val="0"/>
                  <w:vAlign w:val="center"/>
                </w:tcPr>
                <w:p w14:paraId="50762D2A">
                  <w:pPr>
                    <w:jc w:val="center"/>
                    <w:rPr>
                      <w:rFonts w:hint="eastAsia" w:eastAsia="宋体"/>
                      <w:szCs w:val="21"/>
                      <w:lang w:val="en-US" w:eastAsia="zh-CN"/>
                    </w:rPr>
                  </w:pPr>
                  <w:r>
                    <w:rPr>
                      <w:rFonts w:hint="eastAsia"/>
                      <w:szCs w:val="21"/>
                      <w:lang w:val="en-US" w:eastAsia="zh-CN"/>
                    </w:rPr>
                    <w:t>西北</w:t>
                  </w:r>
                </w:p>
              </w:tc>
              <w:tc>
                <w:tcPr>
                  <w:tcW w:w="262" w:type="pct"/>
                  <w:tcBorders>
                    <w:left w:val="single" w:color="000000" w:sz="4" w:space="0"/>
                  </w:tcBorders>
                  <w:noWrap w:val="0"/>
                  <w:vAlign w:val="center"/>
                </w:tcPr>
                <w:p w14:paraId="0D13013A">
                  <w:pPr>
                    <w:jc w:val="center"/>
                    <w:rPr>
                      <w:rFonts w:hint="default" w:eastAsia="宋体"/>
                      <w:szCs w:val="21"/>
                      <w:lang w:val="en-US" w:eastAsia="zh-CN"/>
                    </w:rPr>
                  </w:pPr>
                  <w:r>
                    <w:rPr>
                      <w:rFonts w:hint="eastAsia"/>
                      <w:szCs w:val="21"/>
                      <w:lang w:val="en-US" w:eastAsia="zh-CN"/>
                    </w:rPr>
                    <w:t>1</w:t>
                  </w:r>
                </w:p>
              </w:tc>
              <w:tc>
                <w:tcPr>
                  <w:tcW w:w="378" w:type="pct"/>
                  <w:noWrap w:val="0"/>
                  <w:vAlign w:val="center"/>
                </w:tcPr>
                <w:p w14:paraId="2C478B7E">
                  <w:pPr>
                    <w:jc w:val="center"/>
                    <w:rPr>
                      <w:rFonts w:hint="default" w:eastAsia="宋体"/>
                      <w:szCs w:val="21"/>
                      <w:lang w:val="en-US" w:eastAsia="zh-CN"/>
                    </w:rPr>
                  </w:pPr>
                  <w:r>
                    <w:rPr>
                      <w:rFonts w:hint="eastAsia"/>
                      <w:szCs w:val="21"/>
                      <w:lang w:val="en-US" w:eastAsia="zh-CN"/>
                    </w:rPr>
                    <w:t>70.5</w:t>
                  </w:r>
                </w:p>
              </w:tc>
              <w:tc>
                <w:tcPr>
                  <w:tcW w:w="291" w:type="pct"/>
                  <w:vMerge w:val="restart"/>
                  <w:noWrap w:val="0"/>
                  <w:vAlign w:val="center"/>
                </w:tcPr>
                <w:p w14:paraId="092B136B">
                  <w:pPr>
                    <w:jc w:val="center"/>
                    <w:rPr>
                      <w:rFonts w:hint="eastAsia"/>
                      <w:szCs w:val="21"/>
                    </w:rPr>
                  </w:pPr>
                  <w:r>
                    <w:rPr>
                      <w:rFonts w:hint="eastAsia"/>
                      <w:snapToGrid w:val="0"/>
                      <w:szCs w:val="21"/>
                      <w:lang w:val="en-US" w:eastAsia="zh-CN"/>
                    </w:rPr>
                    <w:t>8</w:t>
                  </w:r>
                  <w:r>
                    <w:rPr>
                      <w:snapToGrid w:val="0"/>
                      <w:szCs w:val="21"/>
                    </w:rPr>
                    <w:t>h</w:t>
                  </w:r>
                  <w:r>
                    <w:rPr>
                      <w:rFonts w:hint="eastAsia"/>
                      <w:snapToGrid w:val="0"/>
                      <w:szCs w:val="21"/>
                    </w:rPr>
                    <w:t>/d</w:t>
                  </w:r>
                </w:p>
              </w:tc>
              <w:tc>
                <w:tcPr>
                  <w:tcW w:w="429" w:type="pct"/>
                  <w:vMerge w:val="restart"/>
                  <w:noWrap w:val="0"/>
                  <w:vAlign w:val="center"/>
                </w:tcPr>
                <w:p w14:paraId="0EA9C8DD">
                  <w:pPr>
                    <w:jc w:val="center"/>
                    <w:rPr>
                      <w:rFonts w:hint="eastAsia"/>
                      <w:szCs w:val="21"/>
                    </w:rPr>
                  </w:pPr>
                  <w:r>
                    <w:rPr>
                      <w:rFonts w:hint="eastAsia"/>
                      <w:szCs w:val="21"/>
                    </w:rPr>
                    <w:t>-15</w:t>
                  </w:r>
                </w:p>
              </w:tc>
              <w:tc>
                <w:tcPr>
                  <w:tcW w:w="458" w:type="pct"/>
                  <w:noWrap w:val="0"/>
                  <w:vAlign w:val="center"/>
                </w:tcPr>
                <w:p w14:paraId="27DE4437">
                  <w:pPr>
                    <w:jc w:val="center"/>
                    <w:rPr>
                      <w:rFonts w:hint="default" w:eastAsia="宋体"/>
                      <w:szCs w:val="21"/>
                      <w:lang w:val="en-US" w:eastAsia="zh-CN"/>
                    </w:rPr>
                  </w:pPr>
                  <w:r>
                    <w:rPr>
                      <w:rFonts w:hint="eastAsia"/>
                      <w:szCs w:val="21"/>
                      <w:lang w:val="en-US" w:eastAsia="zh-CN"/>
                    </w:rPr>
                    <w:t>55.5</w:t>
                  </w:r>
                </w:p>
              </w:tc>
              <w:tc>
                <w:tcPr>
                  <w:tcW w:w="318" w:type="pct"/>
                  <w:vMerge w:val="restart"/>
                  <w:noWrap w:val="0"/>
                  <w:vAlign w:val="center"/>
                </w:tcPr>
                <w:p w14:paraId="00B18668">
                  <w:pPr>
                    <w:jc w:val="center"/>
                    <w:rPr>
                      <w:rFonts w:hint="eastAsia"/>
                      <w:szCs w:val="21"/>
                    </w:rPr>
                  </w:pPr>
                  <w:r>
                    <w:rPr>
                      <w:rFonts w:hint="eastAsia"/>
                      <w:szCs w:val="21"/>
                    </w:rPr>
                    <w:t>1</w:t>
                  </w:r>
                </w:p>
              </w:tc>
            </w:tr>
            <w:tr w14:paraId="19BF6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78" w:type="pct"/>
                  <w:vMerge w:val="continue"/>
                  <w:noWrap w:val="0"/>
                  <w:vAlign w:val="center"/>
                </w:tcPr>
                <w:p w14:paraId="0F224AB7">
                  <w:pPr>
                    <w:jc w:val="center"/>
                    <w:rPr>
                      <w:rFonts w:hint="eastAsia"/>
                      <w:szCs w:val="21"/>
                    </w:rPr>
                  </w:pPr>
                </w:p>
              </w:tc>
              <w:tc>
                <w:tcPr>
                  <w:tcW w:w="295" w:type="pct"/>
                  <w:vMerge w:val="continue"/>
                  <w:noWrap w:val="0"/>
                  <w:vAlign w:val="center"/>
                </w:tcPr>
                <w:p w14:paraId="034489CB">
                  <w:pPr>
                    <w:jc w:val="center"/>
                    <w:rPr>
                      <w:rFonts w:hint="eastAsia"/>
                      <w:szCs w:val="21"/>
                    </w:rPr>
                  </w:pPr>
                </w:p>
              </w:tc>
              <w:tc>
                <w:tcPr>
                  <w:tcW w:w="255" w:type="pct"/>
                  <w:vMerge w:val="continue"/>
                  <w:noWrap w:val="0"/>
                  <w:vAlign w:val="center"/>
                </w:tcPr>
                <w:p w14:paraId="531F28F1">
                  <w:pPr>
                    <w:jc w:val="center"/>
                    <w:rPr>
                      <w:rFonts w:hint="eastAsia" w:ascii="Times New Roman" w:hAnsi="Times New Roman" w:eastAsia="宋体" w:cs="Times New Roman"/>
                      <w:szCs w:val="21"/>
                      <w:lang w:val="en-US" w:eastAsia="zh-CN"/>
                    </w:rPr>
                  </w:pPr>
                </w:p>
              </w:tc>
              <w:tc>
                <w:tcPr>
                  <w:tcW w:w="305" w:type="pct"/>
                  <w:vMerge w:val="continue"/>
                  <w:noWrap w:val="0"/>
                  <w:vAlign w:val="center"/>
                </w:tcPr>
                <w:p w14:paraId="55D33786">
                  <w:pPr>
                    <w:jc w:val="center"/>
                    <w:rPr>
                      <w:rFonts w:hint="eastAsia" w:ascii="Times New Roman" w:hAnsi="Times New Roman" w:eastAsia="宋体" w:cs="Times New Roman"/>
                      <w:szCs w:val="21"/>
                      <w:lang w:val="en-US" w:eastAsia="zh-CN"/>
                    </w:rPr>
                  </w:pPr>
                </w:p>
              </w:tc>
              <w:tc>
                <w:tcPr>
                  <w:tcW w:w="393" w:type="pct"/>
                  <w:vMerge w:val="continue"/>
                  <w:noWrap w:val="0"/>
                  <w:vAlign w:val="center"/>
                </w:tcPr>
                <w:p w14:paraId="5451AFF0">
                  <w:pPr>
                    <w:jc w:val="center"/>
                    <w:rPr>
                      <w:rFonts w:hint="eastAsia" w:ascii="Times New Roman" w:hAnsi="Times New Roman" w:eastAsia="宋体" w:cs="Times New Roman"/>
                      <w:szCs w:val="21"/>
                      <w:lang w:val="en-US" w:eastAsia="zh-CN"/>
                    </w:rPr>
                  </w:pPr>
                </w:p>
              </w:tc>
              <w:tc>
                <w:tcPr>
                  <w:tcW w:w="298" w:type="pct"/>
                  <w:vMerge w:val="continue"/>
                  <w:noWrap w:val="0"/>
                  <w:vAlign w:val="center"/>
                </w:tcPr>
                <w:p w14:paraId="1383C931">
                  <w:pPr>
                    <w:jc w:val="center"/>
                    <w:rPr>
                      <w:rFonts w:hint="eastAsia"/>
                      <w:szCs w:val="21"/>
                    </w:rPr>
                  </w:pPr>
                </w:p>
              </w:tc>
              <w:tc>
                <w:tcPr>
                  <w:tcW w:w="276" w:type="pct"/>
                  <w:vMerge w:val="continue"/>
                  <w:noWrap w:val="0"/>
                  <w:vAlign w:val="center"/>
                </w:tcPr>
                <w:p w14:paraId="20B09230">
                  <w:pPr>
                    <w:jc w:val="center"/>
                    <w:rPr>
                      <w:szCs w:val="21"/>
                    </w:rPr>
                  </w:pPr>
                </w:p>
              </w:tc>
              <w:tc>
                <w:tcPr>
                  <w:tcW w:w="298" w:type="pct"/>
                  <w:vMerge w:val="continue"/>
                  <w:noWrap w:val="0"/>
                  <w:vAlign w:val="center"/>
                </w:tcPr>
                <w:p w14:paraId="0929CF9A">
                  <w:pPr>
                    <w:jc w:val="center"/>
                    <w:rPr>
                      <w:szCs w:val="21"/>
                    </w:rPr>
                  </w:pPr>
                </w:p>
              </w:tc>
              <w:tc>
                <w:tcPr>
                  <w:tcW w:w="305" w:type="pct"/>
                  <w:vMerge w:val="continue"/>
                  <w:noWrap w:val="0"/>
                  <w:vAlign w:val="center"/>
                </w:tcPr>
                <w:p w14:paraId="63F6C3F7">
                  <w:pPr>
                    <w:jc w:val="center"/>
                    <w:rPr>
                      <w:rFonts w:hint="eastAsia"/>
                      <w:szCs w:val="21"/>
                    </w:rPr>
                  </w:pPr>
                </w:p>
              </w:tc>
              <w:tc>
                <w:tcPr>
                  <w:tcW w:w="254" w:type="pct"/>
                  <w:tcBorders>
                    <w:right w:val="single" w:color="000000" w:sz="4" w:space="0"/>
                  </w:tcBorders>
                  <w:noWrap w:val="0"/>
                  <w:vAlign w:val="center"/>
                </w:tcPr>
                <w:p w14:paraId="6B845918">
                  <w:pPr>
                    <w:jc w:val="center"/>
                    <w:rPr>
                      <w:rFonts w:hint="eastAsia" w:eastAsia="宋体"/>
                      <w:szCs w:val="21"/>
                      <w:lang w:val="en-US" w:eastAsia="zh-CN"/>
                    </w:rPr>
                  </w:pPr>
                  <w:r>
                    <w:rPr>
                      <w:rFonts w:hint="eastAsia"/>
                      <w:szCs w:val="21"/>
                      <w:lang w:val="en-US" w:eastAsia="zh-CN"/>
                    </w:rPr>
                    <w:t>西南</w:t>
                  </w:r>
                </w:p>
              </w:tc>
              <w:tc>
                <w:tcPr>
                  <w:tcW w:w="262" w:type="pct"/>
                  <w:tcBorders>
                    <w:left w:val="single" w:color="000000" w:sz="4" w:space="0"/>
                  </w:tcBorders>
                  <w:noWrap w:val="0"/>
                  <w:vAlign w:val="center"/>
                </w:tcPr>
                <w:p w14:paraId="527E7CA0">
                  <w:pPr>
                    <w:jc w:val="center"/>
                    <w:rPr>
                      <w:rFonts w:hint="default" w:eastAsia="宋体"/>
                      <w:szCs w:val="21"/>
                      <w:lang w:val="en-US" w:eastAsia="zh-CN"/>
                    </w:rPr>
                  </w:pPr>
                  <w:r>
                    <w:rPr>
                      <w:rFonts w:hint="eastAsia"/>
                      <w:szCs w:val="21"/>
                      <w:lang w:val="en-US" w:eastAsia="zh-CN"/>
                    </w:rPr>
                    <w:t>12</w:t>
                  </w:r>
                </w:p>
              </w:tc>
              <w:tc>
                <w:tcPr>
                  <w:tcW w:w="378" w:type="pct"/>
                  <w:noWrap w:val="0"/>
                  <w:vAlign w:val="center"/>
                </w:tcPr>
                <w:p w14:paraId="0A3FBEEA">
                  <w:pPr>
                    <w:jc w:val="center"/>
                    <w:rPr>
                      <w:rFonts w:hint="default" w:eastAsia="宋体"/>
                      <w:szCs w:val="21"/>
                      <w:lang w:val="en-US" w:eastAsia="zh-CN"/>
                    </w:rPr>
                  </w:pPr>
                  <w:r>
                    <w:rPr>
                      <w:rFonts w:hint="eastAsia"/>
                      <w:szCs w:val="21"/>
                      <w:lang w:val="en-US" w:eastAsia="zh-CN"/>
                    </w:rPr>
                    <w:t>60.1</w:t>
                  </w:r>
                </w:p>
              </w:tc>
              <w:tc>
                <w:tcPr>
                  <w:tcW w:w="291" w:type="pct"/>
                  <w:vMerge w:val="continue"/>
                  <w:noWrap w:val="0"/>
                  <w:vAlign w:val="center"/>
                </w:tcPr>
                <w:p w14:paraId="129114D9">
                  <w:pPr>
                    <w:jc w:val="center"/>
                    <w:rPr>
                      <w:rFonts w:hint="eastAsia"/>
                      <w:snapToGrid w:val="0"/>
                      <w:szCs w:val="21"/>
                      <w:lang w:val="en-US" w:eastAsia="zh-CN"/>
                    </w:rPr>
                  </w:pPr>
                </w:p>
              </w:tc>
              <w:tc>
                <w:tcPr>
                  <w:tcW w:w="429" w:type="pct"/>
                  <w:vMerge w:val="continue"/>
                  <w:noWrap w:val="0"/>
                  <w:vAlign w:val="center"/>
                </w:tcPr>
                <w:p w14:paraId="380C412F">
                  <w:pPr>
                    <w:jc w:val="center"/>
                    <w:rPr>
                      <w:rFonts w:hint="eastAsia"/>
                      <w:szCs w:val="21"/>
                    </w:rPr>
                  </w:pPr>
                </w:p>
              </w:tc>
              <w:tc>
                <w:tcPr>
                  <w:tcW w:w="458" w:type="pct"/>
                  <w:noWrap w:val="0"/>
                  <w:vAlign w:val="center"/>
                </w:tcPr>
                <w:p w14:paraId="4CF794A9">
                  <w:pPr>
                    <w:jc w:val="center"/>
                    <w:rPr>
                      <w:rFonts w:hint="default" w:eastAsia="宋体"/>
                      <w:szCs w:val="21"/>
                      <w:lang w:val="en-US" w:eastAsia="zh-CN"/>
                    </w:rPr>
                  </w:pPr>
                  <w:r>
                    <w:rPr>
                      <w:rFonts w:hint="eastAsia"/>
                      <w:szCs w:val="21"/>
                      <w:lang w:val="en-US" w:eastAsia="zh-CN"/>
                    </w:rPr>
                    <w:t>45.1</w:t>
                  </w:r>
                </w:p>
              </w:tc>
              <w:tc>
                <w:tcPr>
                  <w:tcW w:w="318" w:type="pct"/>
                  <w:vMerge w:val="continue"/>
                  <w:noWrap w:val="0"/>
                  <w:vAlign w:val="center"/>
                </w:tcPr>
                <w:p w14:paraId="4C959A22">
                  <w:pPr>
                    <w:jc w:val="center"/>
                    <w:rPr>
                      <w:rFonts w:hint="eastAsia"/>
                      <w:szCs w:val="21"/>
                    </w:rPr>
                  </w:pPr>
                </w:p>
              </w:tc>
            </w:tr>
            <w:tr w14:paraId="21D495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78" w:type="pct"/>
                  <w:vMerge w:val="continue"/>
                  <w:noWrap w:val="0"/>
                  <w:vAlign w:val="center"/>
                </w:tcPr>
                <w:p w14:paraId="36D34A22">
                  <w:pPr>
                    <w:jc w:val="center"/>
                    <w:rPr>
                      <w:rFonts w:hint="eastAsia"/>
                      <w:szCs w:val="21"/>
                    </w:rPr>
                  </w:pPr>
                </w:p>
              </w:tc>
              <w:tc>
                <w:tcPr>
                  <w:tcW w:w="295" w:type="pct"/>
                  <w:vMerge w:val="continue"/>
                  <w:noWrap w:val="0"/>
                  <w:vAlign w:val="center"/>
                </w:tcPr>
                <w:p w14:paraId="1EEF55F7">
                  <w:pPr>
                    <w:jc w:val="center"/>
                    <w:rPr>
                      <w:rFonts w:hint="eastAsia"/>
                      <w:szCs w:val="21"/>
                    </w:rPr>
                  </w:pPr>
                </w:p>
              </w:tc>
              <w:tc>
                <w:tcPr>
                  <w:tcW w:w="255" w:type="pct"/>
                  <w:vMerge w:val="continue"/>
                  <w:noWrap w:val="0"/>
                  <w:vAlign w:val="center"/>
                </w:tcPr>
                <w:p w14:paraId="7B64C734">
                  <w:pPr>
                    <w:jc w:val="center"/>
                    <w:rPr>
                      <w:rFonts w:hint="eastAsia" w:ascii="Times New Roman" w:hAnsi="Times New Roman" w:eastAsia="宋体" w:cs="Times New Roman"/>
                      <w:szCs w:val="21"/>
                      <w:lang w:val="en-US" w:eastAsia="zh-CN"/>
                    </w:rPr>
                  </w:pPr>
                </w:p>
              </w:tc>
              <w:tc>
                <w:tcPr>
                  <w:tcW w:w="305" w:type="pct"/>
                  <w:vMerge w:val="continue"/>
                  <w:noWrap w:val="0"/>
                  <w:vAlign w:val="center"/>
                </w:tcPr>
                <w:p w14:paraId="41A04AAC">
                  <w:pPr>
                    <w:jc w:val="center"/>
                    <w:rPr>
                      <w:rFonts w:hint="eastAsia" w:ascii="Times New Roman" w:hAnsi="Times New Roman" w:eastAsia="宋体" w:cs="Times New Roman"/>
                      <w:szCs w:val="21"/>
                      <w:lang w:val="en-US" w:eastAsia="zh-CN"/>
                    </w:rPr>
                  </w:pPr>
                </w:p>
              </w:tc>
              <w:tc>
                <w:tcPr>
                  <w:tcW w:w="393" w:type="pct"/>
                  <w:vMerge w:val="continue"/>
                  <w:noWrap w:val="0"/>
                  <w:vAlign w:val="center"/>
                </w:tcPr>
                <w:p w14:paraId="485AF579">
                  <w:pPr>
                    <w:jc w:val="center"/>
                    <w:rPr>
                      <w:rFonts w:hint="eastAsia" w:ascii="Times New Roman" w:hAnsi="Times New Roman" w:eastAsia="宋体" w:cs="Times New Roman"/>
                      <w:szCs w:val="21"/>
                      <w:lang w:val="en-US" w:eastAsia="zh-CN"/>
                    </w:rPr>
                  </w:pPr>
                </w:p>
              </w:tc>
              <w:tc>
                <w:tcPr>
                  <w:tcW w:w="298" w:type="pct"/>
                  <w:vMerge w:val="continue"/>
                  <w:noWrap w:val="0"/>
                  <w:vAlign w:val="center"/>
                </w:tcPr>
                <w:p w14:paraId="7FDBC0D4">
                  <w:pPr>
                    <w:jc w:val="center"/>
                    <w:rPr>
                      <w:rFonts w:hint="eastAsia"/>
                      <w:szCs w:val="21"/>
                    </w:rPr>
                  </w:pPr>
                </w:p>
              </w:tc>
              <w:tc>
                <w:tcPr>
                  <w:tcW w:w="276" w:type="pct"/>
                  <w:vMerge w:val="continue"/>
                  <w:noWrap w:val="0"/>
                  <w:vAlign w:val="center"/>
                </w:tcPr>
                <w:p w14:paraId="1821CE39">
                  <w:pPr>
                    <w:jc w:val="center"/>
                    <w:rPr>
                      <w:rFonts w:hint="eastAsia"/>
                      <w:szCs w:val="21"/>
                    </w:rPr>
                  </w:pPr>
                </w:p>
              </w:tc>
              <w:tc>
                <w:tcPr>
                  <w:tcW w:w="298" w:type="pct"/>
                  <w:vMerge w:val="continue"/>
                  <w:noWrap w:val="0"/>
                  <w:vAlign w:val="center"/>
                </w:tcPr>
                <w:p w14:paraId="1CF1EC50">
                  <w:pPr>
                    <w:jc w:val="center"/>
                    <w:rPr>
                      <w:rFonts w:hint="eastAsia"/>
                      <w:szCs w:val="21"/>
                    </w:rPr>
                  </w:pPr>
                </w:p>
              </w:tc>
              <w:tc>
                <w:tcPr>
                  <w:tcW w:w="305" w:type="pct"/>
                  <w:vMerge w:val="continue"/>
                  <w:noWrap w:val="0"/>
                  <w:vAlign w:val="center"/>
                </w:tcPr>
                <w:p w14:paraId="3C44B57A">
                  <w:pPr>
                    <w:jc w:val="center"/>
                    <w:rPr>
                      <w:rFonts w:hint="eastAsia"/>
                      <w:szCs w:val="21"/>
                    </w:rPr>
                  </w:pPr>
                </w:p>
              </w:tc>
              <w:tc>
                <w:tcPr>
                  <w:tcW w:w="254" w:type="pct"/>
                  <w:tcBorders>
                    <w:right w:val="single" w:color="000000" w:sz="4" w:space="0"/>
                  </w:tcBorders>
                  <w:noWrap w:val="0"/>
                  <w:vAlign w:val="center"/>
                </w:tcPr>
                <w:p w14:paraId="21DC38D7">
                  <w:pPr>
                    <w:jc w:val="center"/>
                    <w:rPr>
                      <w:rFonts w:hint="eastAsia" w:eastAsia="宋体"/>
                      <w:szCs w:val="21"/>
                      <w:lang w:val="en-US" w:eastAsia="zh-CN"/>
                    </w:rPr>
                  </w:pPr>
                  <w:r>
                    <w:rPr>
                      <w:rFonts w:hint="eastAsia"/>
                      <w:szCs w:val="21"/>
                      <w:lang w:val="en-US" w:eastAsia="zh-CN"/>
                    </w:rPr>
                    <w:t>东北</w:t>
                  </w:r>
                </w:p>
              </w:tc>
              <w:tc>
                <w:tcPr>
                  <w:tcW w:w="262" w:type="pct"/>
                  <w:tcBorders>
                    <w:left w:val="single" w:color="000000" w:sz="4" w:space="0"/>
                  </w:tcBorders>
                  <w:noWrap w:val="0"/>
                  <w:vAlign w:val="center"/>
                </w:tcPr>
                <w:p w14:paraId="41BB612A">
                  <w:pPr>
                    <w:jc w:val="center"/>
                    <w:rPr>
                      <w:rFonts w:hint="default" w:eastAsia="宋体"/>
                      <w:szCs w:val="21"/>
                      <w:lang w:val="en-US" w:eastAsia="zh-CN"/>
                    </w:rPr>
                  </w:pPr>
                  <w:r>
                    <w:rPr>
                      <w:rFonts w:hint="eastAsia"/>
                      <w:szCs w:val="21"/>
                      <w:lang w:val="en-US" w:eastAsia="zh-CN"/>
                    </w:rPr>
                    <w:t>2</w:t>
                  </w:r>
                </w:p>
              </w:tc>
              <w:tc>
                <w:tcPr>
                  <w:tcW w:w="378" w:type="pct"/>
                  <w:noWrap w:val="0"/>
                  <w:vAlign w:val="center"/>
                </w:tcPr>
                <w:p w14:paraId="7F84AF43">
                  <w:pPr>
                    <w:jc w:val="center"/>
                    <w:rPr>
                      <w:rFonts w:hint="default" w:eastAsia="宋体"/>
                      <w:szCs w:val="21"/>
                      <w:lang w:val="en-US" w:eastAsia="zh-CN"/>
                    </w:rPr>
                  </w:pPr>
                  <w:r>
                    <w:rPr>
                      <w:rFonts w:hint="eastAsia"/>
                      <w:szCs w:val="21"/>
                      <w:lang w:val="en-US" w:eastAsia="zh-CN"/>
                    </w:rPr>
                    <w:t>65.6</w:t>
                  </w:r>
                </w:p>
              </w:tc>
              <w:tc>
                <w:tcPr>
                  <w:tcW w:w="291" w:type="pct"/>
                  <w:vMerge w:val="continue"/>
                  <w:noWrap w:val="0"/>
                  <w:vAlign w:val="center"/>
                </w:tcPr>
                <w:p w14:paraId="4E9F3453">
                  <w:pPr>
                    <w:jc w:val="center"/>
                    <w:rPr>
                      <w:rFonts w:hint="eastAsia"/>
                      <w:szCs w:val="21"/>
                    </w:rPr>
                  </w:pPr>
                </w:p>
              </w:tc>
              <w:tc>
                <w:tcPr>
                  <w:tcW w:w="429" w:type="pct"/>
                  <w:vMerge w:val="continue"/>
                  <w:noWrap w:val="0"/>
                  <w:vAlign w:val="center"/>
                </w:tcPr>
                <w:p w14:paraId="7AC98529">
                  <w:pPr>
                    <w:jc w:val="center"/>
                    <w:rPr>
                      <w:rFonts w:hint="eastAsia"/>
                      <w:szCs w:val="21"/>
                    </w:rPr>
                  </w:pPr>
                </w:p>
              </w:tc>
              <w:tc>
                <w:tcPr>
                  <w:tcW w:w="458" w:type="pct"/>
                  <w:noWrap w:val="0"/>
                  <w:vAlign w:val="center"/>
                </w:tcPr>
                <w:p w14:paraId="593832D0">
                  <w:pPr>
                    <w:jc w:val="center"/>
                    <w:rPr>
                      <w:rFonts w:hint="default" w:eastAsia="宋体"/>
                      <w:szCs w:val="21"/>
                      <w:lang w:val="en-US" w:eastAsia="zh-CN"/>
                    </w:rPr>
                  </w:pPr>
                  <w:r>
                    <w:rPr>
                      <w:rFonts w:hint="eastAsia"/>
                      <w:szCs w:val="21"/>
                      <w:lang w:val="en-US" w:eastAsia="zh-CN"/>
                    </w:rPr>
                    <w:t>50.6</w:t>
                  </w:r>
                </w:p>
              </w:tc>
              <w:tc>
                <w:tcPr>
                  <w:tcW w:w="318" w:type="pct"/>
                  <w:vMerge w:val="continue"/>
                  <w:noWrap w:val="0"/>
                  <w:vAlign w:val="center"/>
                </w:tcPr>
                <w:p w14:paraId="34702E43">
                  <w:pPr>
                    <w:jc w:val="center"/>
                    <w:rPr>
                      <w:rFonts w:hint="eastAsia"/>
                      <w:szCs w:val="21"/>
                    </w:rPr>
                  </w:pPr>
                </w:p>
              </w:tc>
            </w:tr>
            <w:tr w14:paraId="1BF62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3" w:hRule="atLeast"/>
                <w:jc w:val="center"/>
              </w:trPr>
              <w:tc>
                <w:tcPr>
                  <w:tcW w:w="178" w:type="pct"/>
                  <w:vMerge w:val="continue"/>
                  <w:noWrap w:val="0"/>
                  <w:vAlign w:val="center"/>
                </w:tcPr>
                <w:p w14:paraId="23EA6699">
                  <w:pPr>
                    <w:jc w:val="center"/>
                    <w:rPr>
                      <w:rFonts w:hint="eastAsia"/>
                      <w:szCs w:val="21"/>
                    </w:rPr>
                  </w:pPr>
                </w:p>
              </w:tc>
              <w:tc>
                <w:tcPr>
                  <w:tcW w:w="295" w:type="pct"/>
                  <w:vMerge w:val="continue"/>
                  <w:noWrap w:val="0"/>
                  <w:vAlign w:val="center"/>
                </w:tcPr>
                <w:p w14:paraId="26B1D270">
                  <w:pPr>
                    <w:jc w:val="center"/>
                    <w:rPr>
                      <w:rFonts w:hint="eastAsia"/>
                      <w:szCs w:val="21"/>
                    </w:rPr>
                  </w:pPr>
                </w:p>
              </w:tc>
              <w:tc>
                <w:tcPr>
                  <w:tcW w:w="255" w:type="pct"/>
                  <w:vMerge w:val="continue"/>
                  <w:noWrap w:val="0"/>
                  <w:vAlign w:val="center"/>
                </w:tcPr>
                <w:p w14:paraId="26157CA7">
                  <w:pPr>
                    <w:jc w:val="center"/>
                    <w:rPr>
                      <w:rFonts w:hint="eastAsia" w:ascii="Times New Roman" w:hAnsi="Times New Roman" w:eastAsia="宋体" w:cs="Times New Roman"/>
                      <w:szCs w:val="21"/>
                      <w:lang w:val="en-US" w:eastAsia="zh-CN"/>
                    </w:rPr>
                  </w:pPr>
                </w:p>
              </w:tc>
              <w:tc>
                <w:tcPr>
                  <w:tcW w:w="305" w:type="pct"/>
                  <w:vMerge w:val="continue"/>
                  <w:noWrap w:val="0"/>
                  <w:vAlign w:val="center"/>
                </w:tcPr>
                <w:p w14:paraId="69745296">
                  <w:pPr>
                    <w:jc w:val="center"/>
                    <w:rPr>
                      <w:rFonts w:hint="eastAsia" w:ascii="Times New Roman" w:hAnsi="Times New Roman" w:eastAsia="宋体" w:cs="Times New Roman"/>
                      <w:szCs w:val="21"/>
                      <w:lang w:val="en-US" w:eastAsia="zh-CN"/>
                    </w:rPr>
                  </w:pPr>
                </w:p>
              </w:tc>
              <w:tc>
                <w:tcPr>
                  <w:tcW w:w="393" w:type="pct"/>
                  <w:vMerge w:val="continue"/>
                  <w:noWrap w:val="0"/>
                  <w:vAlign w:val="center"/>
                </w:tcPr>
                <w:p w14:paraId="6E4D2AF2">
                  <w:pPr>
                    <w:jc w:val="center"/>
                    <w:rPr>
                      <w:rFonts w:hint="eastAsia" w:ascii="Times New Roman" w:hAnsi="Times New Roman" w:eastAsia="宋体" w:cs="Times New Roman"/>
                      <w:szCs w:val="21"/>
                      <w:lang w:val="en-US" w:eastAsia="zh-CN"/>
                    </w:rPr>
                  </w:pPr>
                </w:p>
              </w:tc>
              <w:tc>
                <w:tcPr>
                  <w:tcW w:w="298" w:type="pct"/>
                  <w:vMerge w:val="continue"/>
                  <w:noWrap w:val="0"/>
                  <w:vAlign w:val="center"/>
                </w:tcPr>
                <w:p w14:paraId="63D3BDCE">
                  <w:pPr>
                    <w:jc w:val="center"/>
                    <w:rPr>
                      <w:rFonts w:hint="eastAsia"/>
                      <w:szCs w:val="21"/>
                    </w:rPr>
                  </w:pPr>
                </w:p>
              </w:tc>
              <w:tc>
                <w:tcPr>
                  <w:tcW w:w="276" w:type="pct"/>
                  <w:vMerge w:val="continue"/>
                  <w:noWrap w:val="0"/>
                  <w:vAlign w:val="center"/>
                </w:tcPr>
                <w:p w14:paraId="42F90A44">
                  <w:pPr>
                    <w:jc w:val="center"/>
                    <w:rPr>
                      <w:rFonts w:hint="eastAsia"/>
                      <w:szCs w:val="21"/>
                    </w:rPr>
                  </w:pPr>
                </w:p>
              </w:tc>
              <w:tc>
                <w:tcPr>
                  <w:tcW w:w="298" w:type="pct"/>
                  <w:vMerge w:val="continue"/>
                  <w:noWrap w:val="0"/>
                  <w:vAlign w:val="center"/>
                </w:tcPr>
                <w:p w14:paraId="0261B98F">
                  <w:pPr>
                    <w:jc w:val="center"/>
                    <w:rPr>
                      <w:rFonts w:hint="eastAsia"/>
                      <w:szCs w:val="21"/>
                    </w:rPr>
                  </w:pPr>
                </w:p>
              </w:tc>
              <w:tc>
                <w:tcPr>
                  <w:tcW w:w="305" w:type="pct"/>
                  <w:vMerge w:val="continue"/>
                  <w:noWrap w:val="0"/>
                  <w:vAlign w:val="center"/>
                </w:tcPr>
                <w:p w14:paraId="454D2B8C">
                  <w:pPr>
                    <w:jc w:val="center"/>
                    <w:rPr>
                      <w:rFonts w:hint="eastAsia"/>
                      <w:szCs w:val="21"/>
                    </w:rPr>
                  </w:pPr>
                </w:p>
              </w:tc>
              <w:tc>
                <w:tcPr>
                  <w:tcW w:w="254" w:type="pct"/>
                  <w:tcBorders>
                    <w:right w:val="single" w:color="000000" w:sz="4" w:space="0"/>
                  </w:tcBorders>
                  <w:noWrap w:val="0"/>
                  <w:vAlign w:val="center"/>
                </w:tcPr>
                <w:p w14:paraId="21C4F1D3">
                  <w:pPr>
                    <w:jc w:val="center"/>
                    <w:rPr>
                      <w:rFonts w:hint="eastAsia" w:eastAsia="宋体"/>
                      <w:szCs w:val="21"/>
                      <w:lang w:val="en-US" w:eastAsia="zh-CN"/>
                    </w:rPr>
                  </w:pPr>
                  <w:r>
                    <w:rPr>
                      <w:rFonts w:hint="eastAsia"/>
                      <w:szCs w:val="21"/>
                      <w:lang w:val="en-US" w:eastAsia="zh-CN"/>
                    </w:rPr>
                    <w:t>东南</w:t>
                  </w:r>
                </w:p>
              </w:tc>
              <w:tc>
                <w:tcPr>
                  <w:tcW w:w="262" w:type="pct"/>
                  <w:tcBorders>
                    <w:left w:val="single" w:color="000000" w:sz="4" w:space="0"/>
                  </w:tcBorders>
                  <w:noWrap w:val="0"/>
                  <w:vAlign w:val="center"/>
                </w:tcPr>
                <w:p w14:paraId="2D925FDF">
                  <w:pPr>
                    <w:jc w:val="center"/>
                    <w:rPr>
                      <w:rFonts w:hint="default" w:eastAsia="宋体"/>
                      <w:szCs w:val="21"/>
                      <w:lang w:val="en-US" w:eastAsia="zh-CN"/>
                    </w:rPr>
                  </w:pPr>
                  <w:r>
                    <w:rPr>
                      <w:rFonts w:hint="eastAsia"/>
                      <w:szCs w:val="21"/>
                      <w:lang w:val="en-US" w:eastAsia="zh-CN"/>
                    </w:rPr>
                    <w:t>2</w:t>
                  </w:r>
                </w:p>
              </w:tc>
              <w:tc>
                <w:tcPr>
                  <w:tcW w:w="378" w:type="pct"/>
                  <w:noWrap w:val="0"/>
                  <w:vAlign w:val="center"/>
                </w:tcPr>
                <w:p w14:paraId="314F5F85">
                  <w:pPr>
                    <w:jc w:val="center"/>
                    <w:rPr>
                      <w:rFonts w:hint="default" w:eastAsia="宋体"/>
                      <w:szCs w:val="21"/>
                      <w:lang w:val="en-US" w:eastAsia="zh-CN"/>
                    </w:rPr>
                  </w:pPr>
                  <w:r>
                    <w:rPr>
                      <w:rFonts w:hint="eastAsia"/>
                      <w:szCs w:val="21"/>
                      <w:lang w:val="en-US" w:eastAsia="zh-CN"/>
                    </w:rPr>
                    <w:t>65.4</w:t>
                  </w:r>
                </w:p>
              </w:tc>
              <w:tc>
                <w:tcPr>
                  <w:tcW w:w="291" w:type="pct"/>
                  <w:vMerge w:val="continue"/>
                  <w:noWrap w:val="0"/>
                  <w:vAlign w:val="center"/>
                </w:tcPr>
                <w:p w14:paraId="6EBA34F4">
                  <w:pPr>
                    <w:jc w:val="center"/>
                    <w:rPr>
                      <w:rFonts w:hint="eastAsia"/>
                      <w:szCs w:val="21"/>
                    </w:rPr>
                  </w:pPr>
                </w:p>
              </w:tc>
              <w:tc>
                <w:tcPr>
                  <w:tcW w:w="429" w:type="pct"/>
                  <w:vMerge w:val="continue"/>
                  <w:noWrap w:val="0"/>
                  <w:vAlign w:val="center"/>
                </w:tcPr>
                <w:p w14:paraId="2E5465F8">
                  <w:pPr>
                    <w:jc w:val="center"/>
                    <w:rPr>
                      <w:rFonts w:hint="eastAsia"/>
                      <w:szCs w:val="21"/>
                    </w:rPr>
                  </w:pPr>
                </w:p>
              </w:tc>
              <w:tc>
                <w:tcPr>
                  <w:tcW w:w="458" w:type="pct"/>
                  <w:noWrap w:val="0"/>
                  <w:vAlign w:val="center"/>
                </w:tcPr>
                <w:p w14:paraId="7BD87CF3">
                  <w:pPr>
                    <w:jc w:val="center"/>
                    <w:rPr>
                      <w:rFonts w:hint="default" w:eastAsia="宋体"/>
                      <w:szCs w:val="21"/>
                      <w:lang w:val="en-US" w:eastAsia="zh-CN"/>
                    </w:rPr>
                  </w:pPr>
                  <w:r>
                    <w:rPr>
                      <w:rFonts w:hint="eastAsia"/>
                      <w:szCs w:val="21"/>
                      <w:lang w:val="en-US" w:eastAsia="zh-CN"/>
                    </w:rPr>
                    <w:t>50.4</w:t>
                  </w:r>
                </w:p>
              </w:tc>
              <w:tc>
                <w:tcPr>
                  <w:tcW w:w="318" w:type="pct"/>
                  <w:vMerge w:val="continue"/>
                  <w:noWrap w:val="0"/>
                  <w:vAlign w:val="center"/>
                </w:tcPr>
                <w:p w14:paraId="401F0159">
                  <w:pPr>
                    <w:jc w:val="center"/>
                    <w:rPr>
                      <w:rFonts w:hint="eastAsia"/>
                      <w:szCs w:val="21"/>
                    </w:rPr>
                  </w:pPr>
                </w:p>
              </w:tc>
            </w:tr>
            <w:tr w14:paraId="1A69F6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restart"/>
                  <w:vAlign w:val="center"/>
                </w:tcPr>
                <w:p w14:paraId="7C9B0B93">
                  <w:pPr>
                    <w:jc w:val="center"/>
                    <w:rPr>
                      <w:rFonts w:hint="eastAsia" w:eastAsia="宋体"/>
                      <w:szCs w:val="21"/>
                      <w:lang w:val="en-US" w:eastAsia="zh-CN"/>
                    </w:rPr>
                  </w:pPr>
                  <w:r>
                    <w:rPr>
                      <w:rFonts w:hint="eastAsia"/>
                      <w:szCs w:val="21"/>
                      <w:lang w:val="en-US" w:eastAsia="zh-CN"/>
                    </w:rPr>
                    <w:t>2</w:t>
                  </w:r>
                </w:p>
              </w:tc>
              <w:tc>
                <w:tcPr>
                  <w:tcW w:w="295" w:type="pct"/>
                  <w:vMerge w:val="continue"/>
                  <w:vAlign w:val="center"/>
                </w:tcPr>
                <w:p w14:paraId="6CBC750B">
                  <w:pPr>
                    <w:jc w:val="center"/>
                    <w:rPr>
                      <w:rFonts w:hint="eastAsia"/>
                      <w:szCs w:val="21"/>
                    </w:rPr>
                  </w:pPr>
                </w:p>
              </w:tc>
              <w:tc>
                <w:tcPr>
                  <w:tcW w:w="255" w:type="pct"/>
                  <w:vMerge w:val="restart"/>
                  <w:shd w:val="clear" w:color="auto" w:fill="auto"/>
                  <w:vAlign w:val="center"/>
                </w:tcPr>
                <w:p w14:paraId="2042F45A">
                  <w:pPr>
                    <w:jc w:val="center"/>
                    <w:rPr>
                      <w:rFonts w:hint="default" w:ascii="Times New Roman" w:hAnsi="Times New Roman" w:eastAsia="宋体" w:cs="Times New Roman"/>
                      <w:szCs w:val="21"/>
                      <w:lang w:val="en-US" w:eastAsia="zh-CN"/>
                    </w:rPr>
                  </w:pPr>
                  <w:r>
                    <w:rPr>
                      <w:rFonts w:hint="eastAsia" w:cs="Times New Roman"/>
                      <w:szCs w:val="21"/>
                      <w:lang w:val="en-US" w:eastAsia="zh-CN"/>
                    </w:rPr>
                    <w:t>压铸机</w:t>
                  </w:r>
                </w:p>
              </w:tc>
              <w:tc>
                <w:tcPr>
                  <w:tcW w:w="305" w:type="pct"/>
                  <w:vMerge w:val="restart"/>
                  <w:shd w:val="clear" w:color="auto" w:fill="auto"/>
                  <w:vAlign w:val="center"/>
                </w:tcPr>
                <w:p w14:paraId="17DD228C">
                  <w:pPr>
                    <w:jc w:val="center"/>
                    <w:rPr>
                      <w:rFonts w:hint="default" w:ascii="Times New Roman" w:hAnsi="Times New Roman" w:eastAsia="宋体" w:cs="Times New Roman"/>
                      <w:szCs w:val="21"/>
                      <w:lang w:val="en-US" w:eastAsia="zh-CN"/>
                    </w:rPr>
                  </w:pPr>
                  <w:r>
                    <w:rPr>
                      <w:rFonts w:hint="eastAsia" w:cs="Times New Roman"/>
                      <w:szCs w:val="21"/>
                      <w:lang w:val="en-US" w:eastAsia="zh-CN"/>
                    </w:rPr>
                    <w:t>7</w:t>
                  </w:r>
                </w:p>
              </w:tc>
              <w:tc>
                <w:tcPr>
                  <w:tcW w:w="393" w:type="pct"/>
                  <w:vMerge w:val="restart"/>
                  <w:vAlign w:val="center"/>
                </w:tcPr>
                <w:p w14:paraId="31958D1F">
                  <w:pPr>
                    <w:jc w:val="center"/>
                    <w:rPr>
                      <w:rFonts w:hint="default" w:ascii="Times New Roman" w:hAnsi="Times New Roman" w:eastAsia="宋体" w:cs="Times New Roman"/>
                      <w:szCs w:val="21"/>
                      <w:lang w:val="en-US" w:eastAsia="zh-CN"/>
                    </w:rPr>
                  </w:pPr>
                  <w:r>
                    <w:rPr>
                      <w:rFonts w:hint="eastAsia" w:cs="Times New Roman"/>
                      <w:szCs w:val="21"/>
                      <w:lang w:val="en-US" w:eastAsia="zh-CN"/>
                    </w:rPr>
                    <w:t>75-80</w:t>
                  </w:r>
                </w:p>
              </w:tc>
              <w:tc>
                <w:tcPr>
                  <w:tcW w:w="298" w:type="pct"/>
                  <w:vMerge w:val="continue"/>
                  <w:vAlign w:val="center"/>
                </w:tcPr>
                <w:p w14:paraId="33A21C49">
                  <w:pPr>
                    <w:jc w:val="center"/>
                    <w:rPr>
                      <w:rFonts w:hint="eastAsia"/>
                      <w:szCs w:val="21"/>
                    </w:rPr>
                  </w:pPr>
                </w:p>
              </w:tc>
              <w:tc>
                <w:tcPr>
                  <w:tcW w:w="276" w:type="pct"/>
                  <w:vMerge w:val="restart"/>
                  <w:shd w:val="clear" w:color="auto" w:fill="auto"/>
                  <w:vAlign w:val="center"/>
                </w:tcPr>
                <w:p w14:paraId="60BAB81E">
                  <w:pPr>
                    <w:jc w:val="center"/>
                    <w:rPr>
                      <w:rFonts w:hint="default"/>
                      <w:szCs w:val="21"/>
                      <w:lang w:val="en-US"/>
                    </w:rPr>
                  </w:pPr>
                  <w:r>
                    <w:rPr>
                      <w:rFonts w:hint="eastAsia" w:cs="Times New Roman"/>
                      <w:kern w:val="2"/>
                      <w:sz w:val="21"/>
                      <w:szCs w:val="21"/>
                      <w:lang w:val="en-US" w:eastAsia="zh-CN" w:bidi="ar-SA"/>
                    </w:rPr>
                    <w:t>1-45</w:t>
                  </w:r>
                </w:p>
              </w:tc>
              <w:tc>
                <w:tcPr>
                  <w:tcW w:w="298" w:type="pct"/>
                  <w:vMerge w:val="restart"/>
                  <w:shd w:val="clear" w:color="auto" w:fill="auto"/>
                  <w:vAlign w:val="center"/>
                </w:tcPr>
                <w:p w14:paraId="72898F46">
                  <w:pPr>
                    <w:jc w:val="center"/>
                    <w:rPr>
                      <w:rFonts w:hint="default" w:eastAsia="宋体"/>
                      <w:szCs w:val="21"/>
                      <w:lang w:val="en-US" w:eastAsia="zh-CN"/>
                    </w:rPr>
                  </w:pPr>
                  <w:r>
                    <w:rPr>
                      <w:rFonts w:hint="eastAsia"/>
                      <w:szCs w:val="21"/>
                      <w:lang w:val="en-US" w:eastAsia="zh-CN"/>
                    </w:rPr>
                    <w:t>9-15</w:t>
                  </w:r>
                </w:p>
              </w:tc>
              <w:tc>
                <w:tcPr>
                  <w:tcW w:w="305" w:type="pct"/>
                  <w:vMerge w:val="restart"/>
                  <w:shd w:val="clear" w:color="auto" w:fill="auto"/>
                  <w:vAlign w:val="center"/>
                </w:tcPr>
                <w:p w14:paraId="295EC59C">
                  <w:pPr>
                    <w:jc w:val="center"/>
                    <w:rPr>
                      <w:rFonts w:hint="eastAsia"/>
                      <w:szCs w:val="21"/>
                    </w:rPr>
                  </w:pPr>
                  <w:r>
                    <w:rPr>
                      <w:rFonts w:hint="eastAsia"/>
                      <w:szCs w:val="21"/>
                      <w:lang w:val="en-US" w:eastAsia="zh-CN"/>
                    </w:rPr>
                    <w:t>1.2</w:t>
                  </w:r>
                </w:p>
              </w:tc>
              <w:tc>
                <w:tcPr>
                  <w:tcW w:w="254" w:type="pct"/>
                  <w:shd w:val="clear" w:color="auto" w:fill="auto"/>
                  <w:vAlign w:val="center"/>
                </w:tcPr>
                <w:p w14:paraId="3AC916A1">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西北</w:t>
                  </w:r>
                </w:p>
              </w:tc>
              <w:tc>
                <w:tcPr>
                  <w:tcW w:w="262" w:type="pct"/>
                  <w:shd w:val="clear" w:color="auto" w:fill="auto"/>
                  <w:vAlign w:val="center"/>
                </w:tcPr>
                <w:p w14:paraId="11B35EBA">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w:t>
                  </w:r>
                </w:p>
              </w:tc>
              <w:tc>
                <w:tcPr>
                  <w:tcW w:w="378" w:type="pct"/>
                  <w:vAlign w:val="center"/>
                </w:tcPr>
                <w:p w14:paraId="2096534C">
                  <w:pPr>
                    <w:jc w:val="center"/>
                    <w:rPr>
                      <w:rFonts w:hint="default"/>
                      <w:szCs w:val="21"/>
                      <w:lang w:val="en-US" w:eastAsia="zh-CN"/>
                    </w:rPr>
                  </w:pPr>
                  <w:r>
                    <w:rPr>
                      <w:rFonts w:hint="eastAsia"/>
                      <w:szCs w:val="21"/>
                      <w:lang w:val="en-US" w:eastAsia="zh-CN"/>
                    </w:rPr>
                    <w:t>72.2</w:t>
                  </w:r>
                </w:p>
              </w:tc>
              <w:tc>
                <w:tcPr>
                  <w:tcW w:w="291" w:type="pct"/>
                  <w:vMerge w:val="continue"/>
                  <w:vAlign w:val="center"/>
                </w:tcPr>
                <w:p w14:paraId="099C2390">
                  <w:pPr>
                    <w:jc w:val="center"/>
                    <w:rPr>
                      <w:rFonts w:hint="eastAsia"/>
                      <w:szCs w:val="21"/>
                    </w:rPr>
                  </w:pPr>
                </w:p>
              </w:tc>
              <w:tc>
                <w:tcPr>
                  <w:tcW w:w="429" w:type="pct"/>
                  <w:vMerge w:val="continue"/>
                  <w:vAlign w:val="center"/>
                </w:tcPr>
                <w:p w14:paraId="51DE8630">
                  <w:pPr>
                    <w:jc w:val="center"/>
                    <w:rPr>
                      <w:rFonts w:hint="eastAsia"/>
                      <w:szCs w:val="21"/>
                    </w:rPr>
                  </w:pPr>
                </w:p>
              </w:tc>
              <w:tc>
                <w:tcPr>
                  <w:tcW w:w="458" w:type="pct"/>
                  <w:vAlign w:val="center"/>
                </w:tcPr>
                <w:p w14:paraId="12D0CA0E">
                  <w:pPr>
                    <w:jc w:val="center"/>
                    <w:rPr>
                      <w:rFonts w:hint="default"/>
                      <w:szCs w:val="21"/>
                      <w:lang w:val="en-US" w:eastAsia="zh-CN"/>
                    </w:rPr>
                  </w:pPr>
                  <w:r>
                    <w:rPr>
                      <w:rFonts w:hint="eastAsia"/>
                      <w:szCs w:val="21"/>
                      <w:lang w:val="en-US" w:eastAsia="zh-CN"/>
                    </w:rPr>
                    <w:t>57.2</w:t>
                  </w:r>
                </w:p>
              </w:tc>
              <w:tc>
                <w:tcPr>
                  <w:tcW w:w="318" w:type="pct"/>
                  <w:vMerge w:val="continue"/>
                  <w:vAlign w:val="center"/>
                </w:tcPr>
                <w:p w14:paraId="2D6FE7CD">
                  <w:pPr>
                    <w:jc w:val="center"/>
                    <w:rPr>
                      <w:rFonts w:hint="eastAsia"/>
                      <w:szCs w:val="21"/>
                    </w:rPr>
                  </w:pPr>
                </w:p>
              </w:tc>
            </w:tr>
            <w:tr w14:paraId="7161A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8" w:hRule="atLeast"/>
                <w:jc w:val="center"/>
              </w:trPr>
              <w:tc>
                <w:tcPr>
                  <w:tcW w:w="178" w:type="pct"/>
                  <w:vMerge w:val="continue"/>
                  <w:vAlign w:val="center"/>
                </w:tcPr>
                <w:p w14:paraId="5DB685E3">
                  <w:pPr>
                    <w:jc w:val="center"/>
                  </w:pPr>
                </w:p>
              </w:tc>
              <w:tc>
                <w:tcPr>
                  <w:tcW w:w="295" w:type="pct"/>
                  <w:vMerge w:val="continue"/>
                  <w:vAlign w:val="center"/>
                </w:tcPr>
                <w:p w14:paraId="02349115">
                  <w:pPr>
                    <w:jc w:val="center"/>
                  </w:pPr>
                </w:p>
              </w:tc>
              <w:tc>
                <w:tcPr>
                  <w:tcW w:w="255" w:type="pct"/>
                  <w:vMerge w:val="continue"/>
                  <w:shd w:val="clear" w:color="auto" w:fill="auto"/>
                  <w:vAlign w:val="center"/>
                </w:tcPr>
                <w:p w14:paraId="55752C50">
                  <w:pPr>
                    <w:jc w:val="center"/>
                  </w:pPr>
                </w:p>
              </w:tc>
              <w:tc>
                <w:tcPr>
                  <w:tcW w:w="305" w:type="pct"/>
                  <w:vMerge w:val="continue"/>
                  <w:shd w:val="clear" w:color="auto" w:fill="auto"/>
                  <w:vAlign w:val="center"/>
                </w:tcPr>
                <w:p w14:paraId="40AEB890">
                  <w:pPr>
                    <w:jc w:val="center"/>
                  </w:pPr>
                </w:p>
              </w:tc>
              <w:tc>
                <w:tcPr>
                  <w:tcW w:w="393" w:type="pct"/>
                  <w:vMerge w:val="continue"/>
                  <w:vAlign w:val="center"/>
                </w:tcPr>
                <w:p w14:paraId="36A8C40F">
                  <w:pPr>
                    <w:jc w:val="center"/>
                  </w:pPr>
                </w:p>
              </w:tc>
              <w:tc>
                <w:tcPr>
                  <w:tcW w:w="298" w:type="pct"/>
                  <w:vMerge w:val="continue"/>
                  <w:vAlign w:val="center"/>
                </w:tcPr>
                <w:p w14:paraId="39640948">
                  <w:pPr>
                    <w:jc w:val="center"/>
                  </w:pPr>
                </w:p>
              </w:tc>
              <w:tc>
                <w:tcPr>
                  <w:tcW w:w="276" w:type="pct"/>
                  <w:vMerge w:val="continue"/>
                  <w:vAlign w:val="center"/>
                </w:tcPr>
                <w:p w14:paraId="4D1FBA4B">
                  <w:pPr>
                    <w:jc w:val="center"/>
                  </w:pPr>
                </w:p>
              </w:tc>
              <w:tc>
                <w:tcPr>
                  <w:tcW w:w="298" w:type="pct"/>
                  <w:vMerge w:val="continue"/>
                  <w:vAlign w:val="center"/>
                </w:tcPr>
                <w:p w14:paraId="3B62F255">
                  <w:pPr>
                    <w:jc w:val="center"/>
                  </w:pPr>
                </w:p>
              </w:tc>
              <w:tc>
                <w:tcPr>
                  <w:tcW w:w="305" w:type="pct"/>
                  <w:vMerge w:val="continue"/>
                  <w:vAlign w:val="center"/>
                </w:tcPr>
                <w:p w14:paraId="0FB69189">
                  <w:pPr>
                    <w:jc w:val="center"/>
                  </w:pPr>
                </w:p>
              </w:tc>
              <w:tc>
                <w:tcPr>
                  <w:tcW w:w="254" w:type="pct"/>
                  <w:shd w:val="clear" w:color="auto" w:fill="auto"/>
                  <w:vAlign w:val="center"/>
                </w:tcPr>
                <w:p w14:paraId="41A838FF">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西南</w:t>
                  </w:r>
                </w:p>
              </w:tc>
              <w:tc>
                <w:tcPr>
                  <w:tcW w:w="262" w:type="pct"/>
                  <w:shd w:val="clear" w:color="auto" w:fill="auto"/>
                  <w:vAlign w:val="center"/>
                </w:tcPr>
                <w:p w14:paraId="7FA2B8C2">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w:t>
                  </w:r>
                </w:p>
              </w:tc>
              <w:tc>
                <w:tcPr>
                  <w:tcW w:w="378" w:type="pct"/>
                  <w:vAlign w:val="center"/>
                </w:tcPr>
                <w:p w14:paraId="20D2BD50">
                  <w:pPr>
                    <w:jc w:val="center"/>
                    <w:rPr>
                      <w:rFonts w:hint="default"/>
                      <w:szCs w:val="21"/>
                      <w:lang w:val="en-US" w:eastAsia="zh-CN"/>
                    </w:rPr>
                  </w:pPr>
                  <w:r>
                    <w:rPr>
                      <w:rFonts w:hint="eastAsia"/>
                      <w:szCs w:val="21"/>
                      <w:lang w:val="en-US" w:eastAsia="zh-CN"/>
                    </w:rPr>
                    <w:t>68.3</w:t>
                  </w:r>
                </w:p>
              </w:tc>
              <w:tc>
                <w:tcPr>
                  <w:tcW w:w="291" w:type="pct"/>
                  <w:vMerge w:val="continue"/>
                  <w:vAlign w:val="center"/>
                </w:tcPr>
                <w:p w14:paraId="6A56812A">
                  <w:pPr>
                    <w:jc w:val="center"/>
                    <w:rPr>
                      <w:rFonts w:hint="eastAsia"/>
                      <w:szCs w:val="21"/>
                      <w:lang w:val="en-US" w:eastAsia="zh-CN"/>
                    </w:rPr>
                  </w:pPr>
                </w:p>
              </w:tc>
              <w:tc>
                <w:tcPr>
                  <w:tcW w:w="429" w:type="pct"/>
                  <w:vMerge w:val="continue"/>
                  <w:vAlign w:val="center"/>
                </w:tcPr>
                <w:p w14:paraId="0F68F3A7">
                  <w:pPr>
                    <w:jc w:val="center"/>
                    <w:rPr>
                      <w:rFonts w:hint="eastAsia"/>
                      <w:szCs w:val="21"/>
                      <w:lang w:val="en-US" w:eastAsia="zh-CN"/>
                    </w:rPr>
                  </w:pPr>
                </w:p>
              </w:tc>
              <w:tc>
                <w:tcPr>
                  <w:tcW w:w="458" w:type="pct"/>
                  <w:vAlign w:val="center"/>
                </w:tcPr>
                <w:p w14:paraId="44E7418C">
                  <w:pPr>
                    <w:jc w:val="center"/>
                    <w:rPr>
                      <w:rFonts w:hint="default"/>
                      <w:szCs w:val="21"/>
                      <w:lang w:val="en-US" w:eastAsia="zh-CN"/>
                    </w:rPr>
                  </w:pPr>
                  <w:r>
                    <w:rPr>
                      <w:rFonts w:hint="eastAsia"/>
                      <w:szCs w:val="21"/>
                      <w:lang w:val="en-US" w:eastAsia="zh-CN"/>
                    </w:rPr>
                    <w:t>53.3</w:t>
                  </w:r>
                </w:p>
              </w:tc>
              <w:tc>
                <w:tcPr>
                  <w:tcW w:w="318" w:type="pct"/>
                  <w:vMerge w:val="continue"/>
                  <w:vAlign w:val="center"/>
                </w:tcPr>
                <w:p w14:paraId="502F5D0E">
                  <w:pPr>
                    <w:jc w:val="center"/>
                    <w:rPr>
                      <w:rFonts w:hint="eastAsia"/>
                      <w:szCs w:val="21"/>
                      <w:lang w:val="en-US" w:eastAsia="zh-CN"/>
                    </w:rPr>
                  </w:pPr>
                </w:p>
              </w:tc>
            </w:tr>
            <w:tr w14:paraId="2801C9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continue"/>
                  <w:vAlign w:val="center"/>
                </w:tcPr>
                <w:p w14:paraId="1DC13233">
                  <w:pPr>
                    <w:jc w:val="center"/>
                    <w:rPr>
                      <w:rFonts w:hint="eastAsia"/>
                      <w:szCs w:val="21"/>
                      <w:lang w:val="en-US" w:eastAsia="zh-CN"/>
                    </w:rPr>
                  </w:pPr>
                </w:p>
              </w:tc>
              <w:tc>
                <w:tcPr>
                  <w:tcW w:w="295" w:type="pct"/>
                  <w:vMerge w:val="continue"/>
                  <w:vAlign w:val="center"/>
                </w:tcPr>
                <w:p w14:paraId="70EDC5C2">
                  <w:pPr>
                    <w:jc w:val="center"/>
                    <w:rPr>
                      <w:rFonts w:hint="eastAsia"/>
                      <w:szCs w:val="21"/>
                      <w:lang w:val="en-US" w:eastAsia="zh-CN"/>
                    </w:rPr>
                  </w:pPr>
                </w:p>
              </w:tc>
              <w:tc>
                <w:tcPr>
                  <w:tcW w:w="255" w:type="pct"/>
                  <w:vMerge w:val="continue"/>
                  <w:shd w:val="clear" w:color="auto" w:fill="auto"/>
                  <w:vAlign w:val="center"/>
                </w:tcPr>
                <w:p w14:paraId="04AF4E53">
                  <w:pPr>
                    <w:jc w:val="center"/>
                    <w:rPr>
                      <w:rFonts w:hint="eastAsia"/>
                      <w:szCs w:val="21"/>
                      <w:lang w:val="en-US" w:eastAsia="zh-CN"/>
                    </w:rPr>
                  </w:pPr>
                </w:p>
              </w:tc>
              <w:tc>
                <w:tcPr>
                  <w:tcW w:w="305" w:type="pct"/>
                  <w:vMerge w:val="continue"/>
                  <w:shd w:val="clear" w:color="auto" w:fill="auto"/>
                  <w:vAlign w:val="center"/>
                </w:tcPr>
                <w:p w14:paraId="76CB0B33">
                  <w:pPr>
                    <w:jc w:val="center"/>
                    <w:rPr>
                      <w:rFonts w:hint="eastAsia"/>
                      <w:szCs w:val="21"/>
                      <w:lang w:val="en-US" w:eastAsia="zh-CN"/>
                    </w:rPr>
                  </w:pPr>
                </w:p>
              </w:tc>
              <w:tc>
                <w:tcPr>
                  <w:tcW w:w="393" w:type="pct"/>
                  <w:vMerge w:val="continue"/>
                  <w:vAlign w:val="center"/>
                </w:tcPr>
                <w:p w14:paraId="28372FC5">
                  <w:pPr>
                    <w:jc w:val="center"/>
                    <w:rPr>
                      <w:rFonts w:hint="eastAsia"/>
                      <w:szCs w:val="21"/>
                      <w:lang w:val="en-US" w:eastAsia="zh-CN"/>
                    </w:rPr>
                  </w:pPr>
                </w:p>
              </w:tc>
              <w:tc>
                <w:tcPr>
                  <w:tcW w:w="298" w:type="pct"/>
                  <w:vMerge w:val="continue"/>
                  <w:vAlign w:val="center"/>
                </w:tcPr>
                <w:p w14:paraId="7A6EDD92">
                  <w:pPr>
                    <w:jc w:val="center"/>
                    <w:rPr>
                      <w:rFonts w:hint="eastAsia"/>
                      <w:szCs w:val="21"/>
                      <w:lang w:val="en-US" w:eastAsia="zh-CN"/>
                    </w:rPr>
                  </w:pPr>
                </w:p>
              </w:tc>
              <w:tc>
                <w:tcPr>
                  <w:tcW w:w="276" w:type="pct"/>
                  <w:vMerge w:val="continue"/>
                  <w:vAlign w:val="center"/>
                </w:tcPr>
                <w:p w14:paraId="54768F0D">
                  <w:pPr>
                    <w:jc w:val="center"/>
                    <w:rPr>
                      <w:rFonts w:hint="eastAsia"/>
                      <w:szCs w:val="21"/>
                      <w:lang w:val="en-US" w:eastAsia="zh-CN"/>
                    </w:rPr>
                  </w:pPr>
                </w:p>
              </w:tc>
              <w:tc>
                <w:tcPr>
                  <w:tcW w:w="298" w:type="pct"/>
                  <w:vMerge w:val="continue"/>
                  <w:vAlign w:val="center"/>
                </w:tcPr>
                <w:p w14:paraId="36DE7048">
                  <w:pPr>
                    <w:jc w:val="center"/>
                    <w:rPr>
                      <w:rFonts w:hint="eastAsia"/>
                      <w:szCs w:val="21"/>
                      <w:lang w:val="en-US" w:eastAsia="zh-CN"/>
                    </w:rPr>
                  </w:pPr>
                </w:p>
              </w:tc>
              <w:tc>
                <w:tcPr>
                  <w:tcW w:w="305" w:type="pct"/>
                  <w:vMerge w:val="continue"/>
                  <w:vAlign w:val="center"/>
                </w:tcPr>
                <w:p w14:paraId="40076A50">
                  <w:pPr>
                    <w:jc w:val="center"/>
                    <w:rPr>
                      <w:rFonts w:hint="eastAsia"/>
                      <w:szCs w:val="21"/>
                      <w:lang w:val="en-US" w:eastAsia="zh-CN"/>
                    </w:rPr>
                  </w:pPr>
                </w:p>
              </w:tc>
              <w:tc>
                <w:tcPr>
                  <w:tcW w:w="254" w:type="pct"/>
                  <w:shd w:val="clear" w:color="auto" w:fill="auto"/>
                  <w:vAlign w:val="center"/>
                </w:tcPr>
                <w:p w14:paraId="145B4108">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东北</w:t>
                  </w:r>
                </w:p>
              </w:tc>
              <w:tc>
                <w:tcPr>
                  <w:tcW w:w="262" w:type="pct"/>
                  <w:shd w:val="clear" w:color="auto" w:fill="auto"/>
                  <w:vAlign w:val="center"/>
                </w:tcPr>
                <w:p w14:paraId="000054B1">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w:t>
                  </w:r>
                </w:p>
              </w:tc>
              <w:tc>
                <w:tcPr>
                  <w:tcW w:w="378" w:type="pct"/>
                  <w:vAlign w:val="center"/>
                </w:tcPr>
                <w:p w14:paraId="186D919F">
                  <w:pPr>
                    <w:jc w:val="center"/>
                    <w:rPr>
                      <w:rFonts w:hint="default"/>
                      <w:szCs w:val="21"/>
                      <w:lang w:val="en-US" w:eastAsia="zh-CN"/>
                    </w:rPr>
                  </w:pPr>
                  <w:r>
                    <w:rPr>
                      <w:rFonts w:hint="eastAsia"/>
                      <w:szCs w:val="21"/>
                      <w:lang w:val="en-US" w:eastAsia="zh-CN"/>
                    </w:rPr>
                    <w:t>71.1</w:t>
                  </w:r>
                </w:p>
              </w:tc>
              <w:tc>
                <w:tcPr>
                  <w:tcW w:w="291" w:type="pct"/>
                  <w:vMerge w:val="continue"/>
                  <w:vAlign w:val="center"/>
                </w:tcPr>
                <w:p w14:paraId="3E1AD8C9">
                  <w:pPr>
                    <w:jc w:val="center"/>
                    <w:rPr>
                      <w:rFonts w:hint="eastAsia"/>
                      <w:szCs w:val="21"/>
                      <w:lang w:val="en-US" w:eastAsia="zh-CN"/>
                    </w:rPr>
                  </w:pPr>
                </w:p>
              </w:tc>
              <w:tc>
                <w:tcPr>
                  <w:tcW w:w="429" w:type="pct"/>
                  <w:vMerge w:val="continue"/>
                  <w:vAlign w:val="center"/>
                </w:tcPr>
                <w:p w14:paraId="784D3569">
                  <w:pPr>
                    <w:jc w:val="center"/>
                    <w:rPr>
                      <w:rFonts w:hint="eastAsia"/>
                      <w:szCs w:val="21"/>
                      <w:lang w:val="en-US" w:eastAsia="zh-CN"/>
                    </w:rPr>
                  </w:pPr>
                </w:p>
              </w:tc>
              <w:tc>
                <w:tcPr>
                  <w:tcW w:w="458" w:type="pct"/>
                  <w:vAlign w:val="center"/>
                </w:tcPr>
                <w:p w14:paraId="7CD958CE">
                  <w:pPr>
                    <w:jc w:val="center"/>
                    <w:rPr>
                      <w:rFonts w:hint="default"/>
                      <w:szCs w:val="21"/>
                      <w:lang w:val="en-US" w:eastAsia="zh-CN"/>
                    </w:rPr>
                  </w:pPr>
                  <w:r>
                    <w:rPr>
                      <w:rFonts w:hint="eastAsia"/>
                      <w:szCs w:val="21"/>
                      <w:lang w:val="en-US" w:eastAsia="zh-CN"/>
                    </w:rPr>
                    <w:t>56.1</w:t>
                  </w:r>
                </w:p>
              </w:tc>
              <w:tc>
                <w:tcPr>
                  <w:tcW w:w="318" w:type="pct"/>
                  <w:vMerge w:val="continue"/>
                  <w:vAlign w:val="center"/>
                </w:tcPr>
                <w:p w14:paraId="120F8E0E">
                  <w:pPr>
                    <w:jc w:val="center"/>
                    <w:rPr>
                      <w:rFonts w:hint="eastAsia"/>
                      <w:szCs w:val="21"/>
                      <w:lang w:val="en-US" w:eastAsia="zh-CN"/>
                    </w:rPr>
                  </w:pPr>
                </w:p>
              </w:tc>
            </w:tr>
            <w:tr w14:paraId="25615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continue"/>
                  <w:vAlign w:val="center"/>
                </w:tcPr>
                <w:p w14:paraId="1E393A54">
                  <w:pPr>
                    <w:jc w:val="center"/>
                    <w:rPr>
                      <w:rFonts w:hint="eastAsia"/>
                      <w:szCs w:val="21"/>
                      <w:lang w:val="en-US" w:eastAsia="zh-CN"/>
                    </w:rPr>
                  </w:pPr>
                </w:p>
              </w:tc>
              <w:tc>
                <w:tcPr>
                  <w:tcW w:w="295" w:type="pct"/>
                  <w:vMerge w:val="continue"/>
                  <w:vAlign w:val="center"/>
                </w:tcPr>
                <w:p w14:paraId="10DDB833">
                  <w:pPr>
                    <w:jc w:val="center"/>
                    <w:rPr>
                      <w:rFonts w:hint="eastAsia"/>
                      <w:szCs w:val="21"/>
                      <w:lang w:val="en-US" w:eastAsia="zh-CN"/>
                    </w:rPr>
                  </w:pPr>
                </w:p>
              </w:tc>
              <w:tc>
                <w:tcPr>
                  <w:tcW w:w="255" w:type="pct"/>
                  <w:vMerge w:val="continue"/>
                  <w:shd w:val="clear" w:color="auto" w:fill="auto"/>
                  <w:vAlign w:val="center"/>
                </w:tcPr>
                <w:p w14:paraId="1E7E56CF">
                  <w:pPr>
                    <w:jc w:val="center"/>
                    <w:rPr>
                      <w:rFonts w:hint="eastAsia"/>
                      <w:szCs w:val="21"/>
                      <w:lang w:val="en-US" w:eastAsia="zh-CN"/>
                    </w:rPr>
                  </w:pPr>
                </w:p>
              </w:tc>
              <w:tc>
                <w:tcPr>
                  <w:tcW w:w="305" w:type="pct"/>
                  <w:vMerge w:val="continue"/>
                  <w:shd w:val="clear" w:color="auto" w:fill="auto"/>
                  <w:vAlign w:val="center"/>
                </w:tcPr>
                <w:p w14:paraId="3E503B02">
                  <w:pPr>
                    <w:jc w:val="center"/>
                    <w:rPr>
                      <w:rFonts w:hint="eastAsia"/>
                      <w:szCs w:val="21"/>
                      <w:lang w:val="en-US" w:eastAsia="zh-CN"/>
                    </w:rPr>
                  </w:pPr>
                </w:p>
              </w:tc>
              <w:tc>
                <w:tcPr>
                  <w:tcW w:w="393" w:type="pct"/>
                  <w:vMerge w:val="continue"/>
                  <w:vAlign w:val="center"/>
                </w:tcPr>
                <w:p w14:paraId="77F39276">
                  <w:pPr>
                    <w:jc w:val="center"/>
                    <w:rPr>
                      <w:rFonts w:hint="eastAsia"/>
                      <w:szCs w:val="21"/>
                      <w:lang w:val="en-US" w:eastAsia="zh-CN"/>
                    </w:rPr>
                  </w:pPr>
                </w:p>
              </w:tc>
              <w:tc>
                <w:tcPr>
                  <w:tcW w:w="298" w:type="pct"/>
                  <w:vMerge w:val="continue"/>
                  <w:vAlign w:val="center"/>
                </w:tcPr>
                <w:p w14:paraId="010F0520">
                  <w:pPr>
                    <w:jc w:val="center"/>
                    <w:rPr>
                      <w:rFonts w:hint="eastAsia"/>
                      <w:szCs w:val="21"/>
                      <w:lang w:val="en-US" w:eastAsia="zh-CN"/>
                    </w:rPr>
                  </w:pPr>
                </w:p>
              </w:tc>
              <w:tc>
                <w:tcPr>
                  <w:tcW w:w="276" w:type="pct"/>
                  <w:vMerge w:val="continue"/>
                  <w:vAlign w:val="center"/>
                </w:tcPr>
                <w:p w14:paraId="42C128FB">
                  <w:pPr>
                    <w:jc w:val="center"/>
                    <w:rPr>
                      <w:rFonts w:hint="eastAsia"/>
                      <w:szCs w:val="21"/>
                      <w:lang w:val="en-US" w:eastAsia="zh-CN"/>
                    </w:rPr>
                  </w:pPr>
                </w:p>
              </w:tc>
              <w:tc>
                <w:tcPr>
                  <w:tcW w:w="298" w:type="pct"/>
                  <w:vMerge w:val="continue"/>
                  <w:vAlign w:val="center"/>
                </w:tcPr>
                <w:p w14:paraId="54C11346">
                  <w:pPr>
                    <w:jc w:val="center"/>
                    <w:rPr>
                      <w:rFonts w:hint="eastAsia"/>
                      <w:szCs w:val="21"/>
                      <w:lang w:val="en-US" w:eastAsia="zh-CN"/>
                    </w:rPr>
                  </w:pPr>
                </w:p>
              </w:tc>
              <w:tc>
                <w:tcPr>
                  <w:tcW w:w="305" w:type="pct"/>
                  <w:vMerge w:val="continue"/>
                  <w:vAlign w:val="center"/>
                </w:tcPr>
                <w:p w14:paraId="05D955CB">
                  <w:pPr>
                    <w:jc w:val="center"/>
                    <w:rPr>
                      <w:rFonts w:hint="eastAsia"/>
                      <w:szCs w:val="21"/>
                      <w:lang w:val="en-US" w:eastAsia="zh-CN"/>
                    </w:rPr>
                  </w:pPr>
                </w:p>
              </w:tc>
              <w:tc>
                <w:tcPr>
                  <w:tcW w:w="254" w:type="pct"/>
                  <w:shd w:val="clear" w:color="auto" w:fill="auto"/>
                  <w:vAlign w:val="center"/>
                </w:tcPr>
                <w:p w14:paraId="756C1746">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东南</w:t>
                  </w:r>
                </w:p>
              </w:tc>
              <w:tc>
                <w:tcPr>
                  <w:tcW w:w="262" w:type="pct"/>
                  <w:shd w:val="clear" w:color="auto" w:fill="auto"/>
                  <w:vAlign w:val="center"/>
                </w:tcPr>
                <w:p w14:paraId="2CBB999A">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w:t>
                  </w:r>
                </w:p>
              </w:tc>
              <w:tc>
                <w:tcPr>
                  <w:tcW w:w="378" w:type="pct"/>
                  <w:vAlign w:val="center"/>
                </w:tcPr>
                <w:p w14:paraId="42F8D8D6">
                  <w:pPr>
                    <w:jc w:val="center"/>
                    <w:rPr>
                      <w:rFonts w:hint="default"/>
                      <w:szCs w:val="21"/>
                      <w:lang w:val="en-US" w:eastAsia="zh-CN"/>
                    </w:rPr>
                  </w:pPr>
                  <w:r>
                    <w:rPr>
                      <w:rFonts w:hint="eastAsia"/>
                      <w:szCs w:val="21"/>
                      <w:lang w:val="en-US" w:eastAsia="zh-CN"/>
                    </w:rPr>
                    <w:t>71.5</w:t>
                  </w:r>
                </w:p>
              </w:tc>
              <w:tc>
                <w:tcPr>
                  <w:tcW w:w="291" w:type="pct"/>
                  <w:vMerge w:val="continue"/>
                  <w:vAlign w:val="center"/>
                </w:tcPr>
                <w:p w14:paraId="1F218D4B">
                  <w:pPr>
                    <w:jc w:val="center"/>
                    <w:rPr>
                      <w:rFonts w:hint="eastAsia"/>
                      <w:szCs w:val="21"/>
                      <w:lang w:val="en-US" w:eastAsia="zh-CN"/>
                    </w:rPr>
                  </w:pPr>
                </w:p>
              </w:tc>
              <w:tc>
                <w:tcPr>
                  <w:tcW w:w="429" w:type="pct"/>
                  <w:vMerge w:val="continue"/>
                  <w:vAlign w:val="center"/>
                </w:tcPr>
                <w:p w14:paraId="7A5B7B04">
                  <w:pPr>
                    <w:jc w:val="center"/>
                    <w:rPr>
                      <w:rFonts w:hint="eastAsia"/>
                      <w:szCs w:val="21"/>
                      <w:lang w:val="en-US" w:eastAsia="zh-CN"/>
                    </w:rPr>
                  </w:pPr>
                </w:p>
              </w:tc>
              <w:tc>
                <w:tcPr>
                  <w:tcW w:w="458" w:type="pct"/>
                  <w:vAlign w:val="center"/>
                </w:tcPr>
                <w:p w14:paraId="3B1F8E44">
                  <w:pPr>
                    <w:jc w:val="center"/>
                    <w:rPr>
                      <w:rFonts w:hint="default"/>
                      <w:szCs w:val="21"/>
                      <w:lang w:val="en-US" w:eastAsia="zh-CN"/>
                    </w:rPr>
                  </w:pPr>
                  <w:r>
                    <w:rPr>
                      <w:rFonts w:hint="eastAsia"/>
                      <w:szCs w:val="21"/>
                      <w:lang w:val="en-US" w:eastAsia="zh-CN"/>
                    </w:rPr>
                    <w:t>56.5</w:t>
                  </w:r>
                </w:p>
              </w:tc>
              <w:tc>
                <w:tcPr>
                  <w:tcW w:w="318" w:type="pct"/>
                  <w:vMerge w:val="continue"/>
                  <w:vAlign w:val="center"/>
                </w:tcPr>
                <w:p w14:paraId="675D058C">
                  <w:pPr>
                    <w:jc w:val="center"/>
                    <w:rPr>
                      <w:rFonts w:hint="eastAsia"/>
                      <w:szCs w:val="21"/>
                      <w:lang w:val="en-US" w:eastAsia="zh-CN"/>
                    </w:rPr>
                  </w:pPr>
                </w:p>
              </w:tc>
            </w:tr>
            <w:tr w14:paraId="124884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78" w:type="pct"/>
                  <w:vMerge w:val="restart"/>
                  <w:vAlign w:val="center"/>
                </w:tcPr>
                <w:p w14:paraId="25F40E27">
                  <w:pPr>
                    <w:jc w:val="center"/>
                    <w:rPr>
                      <w:rFonts w:hint="default"/>
                      <w:szCs w:val="21"/>
                      <w:lang w:val="en-US" w:eastAsia="zh-CN"/>
                    </w:rPr>
                  </w:pPr>
                  <w:r>
                    <w:rPr>
                      <w:rFonts w:hint="eastAsia"/>
                      <w:szCs w:val="21"/>
                      <w:lang w:val="en-US" w:eastAsia="zh-CN"/>
                    </w:rPr>
                    <w:t>3</w:t>
                  </w:r>
                </w:p>
              </w:tc>
              <w:tc>
                <w:tcPr>
                  <w:tcW w:w="295" w:type="pct"/>
                  <w:vMerge w:val="restart"/>
                  <w:vAlign w:val="center"/>
                </w:tcPr>
                <w:p w14:paraId="533BE056">
                  <w:pPr>
                    <w:jc w:val="center"/>
                    <w:rPr>
                      <w:rFonts w:hint="default"/>
                      <w:szCs w:val="21"/>
                      <w:lang w:val="en-US" w:eastAsia="zh-CN"/>
                    </w:rPr>
                  </w:pPr>
                  <w:r>
                    <w:rPr>
                      <w:rFonts w:hint="eastAsia"/>
                      <w:szCs w:val="21"/>
                      <w:lang w:val="en-US" w:eastAsia="zh-CN"/>
                    </w:rPr>
                    <w:t>二层厂房内</w:t>
                  </w:r>
                </w:p>
              </w:tc>
              <w:tc>
                <w:tcPr>
                  <w:tcW w:w="255" w:type="pct"/>
                  <w:vMerge w:val="restart"/>
                  <w:shd w:val="clear" w:color="auto" w:fill="auto"/>
                  <w:vAlign w:val="center"/>
                </w:tcPr>
                <w:p w14:paraId="72C59E7E">
                  <w:pPr>
                    <w:jc w:val="center"/>
                    <w:rPr>
                      <w:rFonts w:hint="default"/>
                      <w:szCs w:val="21"/>
                      <w:lang w:val="en-US" w:eastAsia="zh-CN"/>
                    </w:rPr>
                  </w:pPr>
                  <w:r>
                    <w:rPr>
                      <w:rFonts w:hint="eastAsia"/>
                      <w:szCs w:val="21"/>
                      <w:lang w:val="en-US" w:eastAsia="zh-CN"/>
                    </w:rPr>
                    <w:t>机加工设备</w:t>
                  </w:r>
                </w:p>
              </w:tc>
              <w:tc>
                <w:tcPr>
                  <w:tcW w:w="305" w:type="pct"/>
                  <w:vMerge w:val="restart"/>
                  <w:shd w:val="clear" w:color="auto" w:fill="auto"/>
                  <w:vAlign w:val="center"/>
                </w:tcPr>
                <w:p w14:paraId="63CD6C08">
                  <w:pPr>
                    <w:jc w:val="center"/>
                    <w:rPr>
                      <w:rFonts w:hint="default"/>
                      <w:szCs w:val="21"/>
                      <w:lang w:val="en-US" w:eastAsia="zh-CN"/>
                    </w:rPr>
                  </w:pPr>
                  <w:r>
                    <w:rPr>
                      <w:rFonts w:hint="eastAsia"/>
                      <w:szCs w:val="21"/>
                      <w:lang w:val="en-US" w:eastAsia="zh-CN"/>
                    </w:rPr>
                    <w:t>19</w:t>
                  </w:r>
                </w:p>
              </w:tc>
              <w:tc>
                <w:tcPr>
                  <w:tcW w:w="393" w:type="pct"/>
                  <w:vMerge w:val="restart"/>
                  <w:vAlign w:val="center"/>
                </w:tcPr>
                <w:p w14:paraId="739028B1">
                  <w:pPr>
                    <w:jc w:val="center"/>
                    <w:rPr>
                      <w:rFonts w:hint="default"/>
                      <w:szCs w:val="21"/>
                      <w:lang w:val="en-US" w:eastAsia="zh-CN"/>
                    </w:rPr>
                  </w:pPr>
                  <w:r>
                    <w:rPr>
                      <w:rFonts w:hint="eastAsia"/>
                      <w:szCs w:val="21"/>
                      <w:lang w:val="en-US" w:eastAsia="zh-CN"/>
                    </w:rPr>
                    <w:t>70-80</w:t>
                  </w:r>
                </w:p>
              </w:tc>
              <w:tc>
                <w:tcPr>
                  <w:tcW w:w="298" w:type="pct"/>
                  <w:vMerge w:val="continue"/>
                  <w:vAlign w:val="center"/>
                </w:tcPr>
                <w:p w14:paraId="008A6351">
                  <w:pPr>
                    <w:jc w:val="center"/>
                    <w:rPr>
                      <w:rFonts w:hint="eastAsia"/>
                      <w:szCs w:val="21"/>
                      <w:lang w:val="en-US" w:eastAsia="zh-CN"/>
                    </w:rPr>
                  </w:pPr>
                </w:p>
              </w:tc>
              <w:tc>
                <w:tcPr>
                  <w:tcW w:w="276" w:type="pct"/>
                  <w:vMerge w:val="restart"/>
                  <w:vAlign w:val="center"/>
                </w:tcPr>
                <w:p w14:paraId="099A82F2">
                  <w:pPr>
                    <w:jc w:val="center"/>
                    <w:rPr>
                      <w:rFonts w:hint="default"/>
                      <w:szCs w:val="21"/>
                      <w:lang w:val="en-US" w:eastAsia="zh-CN"/>
                    </w:rPr>
                  </w:pPr>
                  <w:r>
                    <w:rPr>
                      <w:rFonts w:hint="eastAsia"/>
                      <w:szCs w:val="21"/>
                      <w:lang w:val="en-US" w:eastAsia="zh-CN"/>
                    </w:rPr>
                    <w:t>2-40</w:t>
                  </w:r>
                </w:p>
              </w:tc>
              <w:tc>
                <w:tcPr>
                  <w:tcW w:w="298" w:type="pct"/>
                  <w:vMerge w:val="restart"/>
                  <w:vAlign w:val="center"/>
                </w:tcPr>
                <w:p w14:paraId="51438AD7">
                  <w:pPr>
                    <w:jc w:val="center"/>
                    <w:rPr>
                      <w:rFonts w:hint="default"/>
                      <w:szCs w:val="21"/>
                      <w:lang w:val="en-US" w:eastAsia="zh-CN"/>
                    </w:rPr>
                  </w:pPr>
                  <w:r>
                    <w:rPr>
                      <w:rFonts w:hint="eastAsia"/>
                      <w:szCs w:val="21"/>
                      <w:lang w:val="en-US" w:eastAsia="zh-CN"/>
                    </w:rPr>
                    <w:t>1-10</w:t>
                  </w:r>
                </w:p>
              </w:tc>
              <w:tc>
                <w:tcPr>
                  <w:tcW w:w="305" w:type="pct"/>
                  <w:vMerge w:val="restart"/>
                  <w:vAlign w:val="center"/>
                </w:tcPr>
                <w:p w14:paraId="2B1570C3">
                  <w:pPr>
                    <w:jc w:val="center"/>
                    <w:rPr>
                      <w:rFonts w:hint="default"/>
                      <w:szCs w:val="21"/>
                      <w:lang w:val="en-US" w:eastAsia="zh-CN"/>
                    </w:rPr>
                  </w:pPr>
                  <w:r>
                    <w:rPr>
                      <w:rFonts w:hint="eastAsia"/>
                      <w:szCs w:val="21"/>
                      <w:lang w:val="en-US" w:eastAsia="zh-CN"/>
                    </w:rPr>
                    <w:t>9.2</w:t>
                  </w:r>
                </w:p>
              </w:tc>
              <w:tc>
                <w:tcPr>
                  <w:tcW w:w="254" w:type="pct"/>
                  <w:shd w:val="clear" w:color="auto" w:fill="auto"/>
                  <w:vAlign w:val="center"/>
                </w:tcPr>
                <w:p w14:paraId="11A91924">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西北</w:t>
                  </w:r>
                </w:p>
              </w:tc>
              <w:tc>
                <w:tcPr>
                  <w:tcW w:w="262" w:type="pct"/>
                  <w:shd w:val="clear" w:color="auto" w:fill="auto"/>
                  <w:vAlign w:val="center"/>
                </w:tcPr>
                <w:p w14:paraId="1F39868D">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w:t>
                  </w:r>
                </w:p>
              </w:tc>
              <w:tc>
                <w:tcPr>
                  <w:tcW w:w="378" w:type="pct"/>
                  <w:vAlign w:val="center"/>
                </w:tcPr>
                <w:p w14:paraId="6A206DF1">
                  <w:pPr>
                    <w:jc w:val="center"/>
                    <w:rPr>
                      <w:rFonts w:hint="default"/>
                      <w:szCs w:val="21"/>
                      <w:lang w:val="en-US" w:eastAsia="zh-CN"/>
                    </w:rPr>
                  </w:pPr>
                  <w:r>
                    <w:rPr>
                      <w:rFonts w:hint="eastAsia"/>
                      <w:szCs w:val="21"/>
                      <w:lang w:val="en-US" w:eastAsia="zh-CN"/>
                    </w:rPr>
                    <w:t>75.5</w:t>
                  </w:r>
                </w:p>
              </w:tc>
              <w:tc>
                <w:tcPr>
                  <w:tcW w:w="291" w:type="pct"/>
                  <w:vMerge w:val="restart"/>
                  <w:vAlign w:val="center"/>
                </w:tcPr>
                <w:p w14:paraId="06EC7D8F">
                  <w:pPr>
                    <w:jc w:val="center"/>
                    <w:rPr>
                      <w:rFonts w:hint="eastAsia"/>
                      <w:szCs w:val="21"/>
                      <w:lang w:val="en-US" w:eastAsia="zh-CN"/>
                    </w:rPr>
                  </w:pPr>
                  <w:r>
                    <w:rPr>
                      <w:rFonts w:hint="eastAsia"/>
                      <w:snapToGrid w:val="0"/>
                      <w:szCs w:val="21"/>
                      <w:lang w:val="en-US" w:eastAsia="zh-CN"/>
                    </w:rPr>
                    <w:t>8</w:t>
                  </w:r>
                  <w:r>
                    <w:rPr>
                      <w:snapToGrid w:val="0"/>
                      <w:szCs w:val="21"/>
                    </w:rPr>
                    <w:t>h</w:t>
                  </w:r>
                  <w:r>
                    <w:rPr>
                      <w:rFonts w:hint="eastAsia"/>
                      <w:snapToGrid w:val="0"/>
                      <w:szCs w:val="21"/>
                    </w:rPr>
                    <w:t>/d</w:t>
                  </w:r>
                </w:p>
              </w:tc>
              <w:tc>
                <w:tcPr>
                  <w:tcW w:w="429" w:type="pct"/>
                  <w:vMerge w:val="restart"/>
                  <w:vAlign w:val="center"/>
                </w:tcPr>
                <w:p w14:paraId="291F9BB0">
                  <w:pPr>
                    <w:jc w:val="center"/>
                    <w:rPr>
                      <w:rFonts w:hint="eastAsia"/>
                      <w:szCs w:val="21"/>
                      <w:lang w:val="en-US" w:eastAsia="zh-CN"/>
                    </w:rPr>
                  </w:pPr>
                  <w:r>
                    <w:rPr>
                      <w:rFonts w:hint="eastAsia"/>
                      <w:szCs w:val="21"/>
                    </w:rPr>
                    <w:t>-15</w:t>
                  </w:r>
                </w:p>
              </w:tc>
              <w:tc>
                <w:tcPr>
                  <w:tcW w:w="458" w:type="pct"/>
                  <w:vAlign w:val="center"/>
                </w:tcPr>
                <w:p w14:paraId="4F5C3DAF">
                  <w:pPr>
                    <w:jc w:val="center"/>
                    <w:rPr>
                      <w:rFonts w:hint="default"/>
                      <w:szCs w:val="21"/>
                      <w:lang w:val="en-US" w:eastAsia="zh-CN"/>
                    </w:rPr>
                  </w:pPr>
                  <w:r>
                    <w:rPr>
                      <w:rFonts w:hint="eastAsia"/>
                      <w:szCs w:val="21"/>
                      <w:lang w:val="en-US" w:eastAsia="zh-CN"/>
                    </w:rPr>
                    <w:t>60.5</w:t>
                  </w:r>
                </w:p>
              </w:tc>
              <w:tc>
                <w:tcPr>
                  <w:tcW w:w="318" w:type="pct"/>
                  <w:vMerge w:val="continue"/>
                  <w:vAlign w:val="center"/>
                </w:tcPr>
                <w:p w14:paraId="4E2B9964">
                  <w:pPr>
                    <w:jc w:val="center"/>
                    <w:rPr>
                      <w:rFonts w:hint="eastAsia"/>
                      <w:szCs w:val="21"/>
                      <w:lang w:val="en-US" w:eastAsia="zh-CN"/>
                    </w:rPr>
                  </w:pPr>
                </w:p>
              </w:tc>
            </w:tr>
            <w:tr w14:paraId="623EBA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78" w:type="pct"/>
                  <w:vMerge w:val="continue"/>
                  <w:vAlign w:val="center"/>
                </w:tcPr>
                <w:p w14:paraId="50407A91">
                  <w:pPr>
                    <w:jc w:val="center"/>
                  </w:pPr>
                </w:p>
              </w:tc>
              <w:tc>
                <w:tcPr>
                  <w:tcW w:w="295" w:type="pct"/>
                  <w:vMerge w:val="continue"/>
                  <w:vAlign w:val="center"/>
                </w:tcPr>
                <w:p w14:paraId="215983DB">
                  <w:pPr>
                    <w:jc w:val="center"/>
                  </w:pPr>
                </w:p>
              </w:tc>
              <w:tc>
                <w:tcPr>
                  <w:tcW w:w="255" w:type="pct"/>
                  <w:vMerge w:val="continue"/>
                  <w:shd w:val="clear" w:color="auto" w:fill="auto"/>
                  <w:vAlign w:val="center"/>
                </w:tcPr>
                <w:p w14:paraId="2ED469E5">
                  <w:pPr>
                    <w:jc w:val="center"/>
                  </w:pPr>
                </w:p>
              </w:tc>
              <w:tc>
                <w:tcPr>
                  <w:tcW w:w="305" w:type="pct"/>
                  <w:vMerge w:val="continue"/>
                  <w:shd w:val="clear" w:color="auto" w:fill="auto"/>
                  <w:vAlign w:val="center"/>
                </w:tcPr>
                <w:p w14:paraId="37567906">
                  <w:pPr>
                    <w:jc w:val="center"/>
                  </w:pPr>
                </w:p>
              </w:tc>
              <w:tc>
                <w:tcPr>
                  <w:tcW w:w="393" w:type="pct"/>
                  <w:vMerge w:val="continue"/>
                  <w:vAlign w:val="center"/>
                </w:tcPr>
                <w:p w14:paraId="577BA027">
                  <w:pPr>
                    <w:jc w:val="center"/>
                  </w:pPr>
                </w:p>
              </w:tc>
              <w:tc>
                <w:tcPr>
                  <w:tcW w:w="298" w:type="pct"/>
                  <w:vMerge w:val="continue"/>
                  <w:vAlign w:val="center"/>
                </w:tcPr>
                <w:p w14:paraId="0C8D6134">
                  <w:pPr>
                    <w:jc w:val="center"/>
                  </w:pPr>
                </w:p>
              </w:tc>
              <w:tc>
                <w:tcPr>
                  <w:tcW w:w="276" w:type="pct"/>
                  <w:vMerge w:val="continue"/>
                  <w:vAlign w:val="center"/>
                </w:tcPr>
                <w:p w14:paraId="3D326139">
                  <w:pPr>
                    <w:jc w:val="center"/>
                  </w:pPr>
                </w:p>
              </w:tc>
              <w:tc>
                <w:tcPr>
                  <w:tcW w:w="298" w:type="pct"/>
                  <w:vMerge w:val="continue"/>
                  <w:vAlign w:val="center"/>
                </w:tcPr>
                <w:p w14:paraId="40D61B3D">
                  <w:pPr>
                    <w:jc w:val="center"/>
                  </w:pPr>
                </w:p>
              </w:tc>
              <w:tc>
                <w:tcPr>
                  <w:tcW w:w="305" w:type="pct"/>
                  <w:vMerge w:val="continue"/>
                  <w:vAlign w:val="center"/>
                </w:tcPr>
                <w:p w14:paraId="12BADF8B">
                  <w:pPr>
                    <w:jc w:val="center"/>
                  </w:pPr>
                </w:p>
              </w:tc>
              <w:tc>
                <w:tcPr>
                  <w:tcW w:w="254" w:type="pct"/>
                  <w:shd w:val="clear" w:color="auto" w:fill="auto"/>
                  <w:vAlign w:val="center"/>
                </w:tcPr>
                <w:p w14:paraId="010D5A7A">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西南</w:t>
                  </w:r>
                </w:p>
              </w:tc>
              <w:tc>
                <w:tcPr>
                  <w:tcW w:w="262" w:type="pct"/>
                  <w:shd w:val="clear" w:color="auto" w:fill="auto"/>
                  <w:vAlign w:val="center"/>
                </w:tcPr>
                <w:p w14:paraId="3704FA7E">
                  <w:pPr>
                    <w:jc w:val="center"/>
                    <w:rPr>
                      <w:rFonts w:hint="default"/>
                      <w:szCs w:val="21"/>
                      <w:lang w:val="en-US" w:eastAsia="zh-CN"/>
                    </w:rPr>
                  </w:pPr>
                  <w:r>
                    <w:rPr>
                      <w:rFonts w:hint="eastAsia"/>
                      <w:szCs w:val="21"/>
                      <w:lang w:val="en-US" w:eastAsia="zh-CN"/>
                    </w:rPr>
                    <w:t>17</w:t>
                  </w:r>
                </w:p>
              </w:tc>
              <w:tc>
                <w:tcPr>
                  <w:tcW w:w="378" w:type="pct"/>
                  <w:vAlign w:val="center"/>
                </w:tcPr>
                <w:p w14:paraId="5B2335FD">
                  <w:pPr>
                    <w:jc w:val="center"/>
                    <w:rPr>
                      <w:rFonts w:hint="default"/>
                      <w:szCs w:val="21"/>
                      <w:lang w:val="en-US" w:eastAsia="zh-CN"/>
                    </w:rPr>
                  </w:pPr>
                  <w:r>
                    <w:rPr>
                      <w:rFonts w:hint="eastAsia"/>
                      <w:szCs w:val="21"/>
                      <w:lang w:val="en-US" w:eastAsia="zh-CN"/>
                    </w:rPr>
                    <w:t>67.8</w:t>
                  </w:r>
                </w:p>
              </w:tc>
              <w:tc>
                <w:tcPr>
                  <w:tcW w:w="291" w:type="pct"/>
                  <w:vMerge w:val="continue"/>
                  <w:vAlign w:val="center"/>
                </w:tcPr>
                <w:p w14:paraId="7AEFDEA6">
                  <w:pPr>
                    <w:jc w:val="center"/>
                    <w:rPr>
                      <w:rFonts w:hint="eastAsia"/>
                      <w:szCs w:val="21"/>
                      <w:lang w:val="en-US" w:eastAsia="zh-CN"/>
                    </w:rPr>
                  </w:pPr>
                </w:p>
              </w:tc>
              <w:tc>
                <w:tcPr>
                  <w:tcW w:w="429" w:type="pct"/>
                  <w:vMerge w:val="continue"/>
                  <w:vAlign w:val="center"/>
                </w:tcPr>
                <w:p w14:paraId="0525D50C">
                  <w:pPr>
                    <w:jc w:val="center"/>
                    <w:rPr>
                      <w:rFonts w:hint="eastAsia"/>
                      <w:szCs w:val="21"/>
                      <w:lang w:val="en-US" w:eastAsia="zh-CN"/>
                    </w:rPr>
                  </w:pPr>
                </w:p>
              </w:tc>
              <w:tc>
                <w:tcPr>
                  <w:tcW w:w="458" w:type="pct"/>
                  <w:vAlign w:val="center"/>
                </w:tcPr>
                <w:p w14:paraId="3E8B99A1">
                  <w:pPr>
                    <w:jc w:val="center"/>
                    <w:rPr>
                      <w:rFonts w:hint="default"/>
                      <w:szCs w:val="21"/>
                      <w:lang w:val="en-US" w:eastAsia="zh-CN"/>
                    </w:rPr>
                  </w:pPr>
                  <w:r>
                    <w:rPr>
                      <w:rFonts w:hint="eastAsia"/>
                      <w:szCs w:val="21"/>
                      <w:lang w:val="en-US" w:eastAsia="zh-CN"/>
                    </w:rPr>
                    <w:t>52.8</w:t>
                  </w:r>
                </w:p>
              </w:tc>
              <w:tc>
                <w:tcPr>
                  <w:tcW w:w="318" w:type="pct"/>
                  <w:vMerge w:val="continue"/>
                  <w:vAlign w:val="center"/>
                </w:tcPr>
                <w:p w14:paraId="662A2C35">
                  <w:pPr>
                    <w:jc w:val="center"/>
                    <w:rPr>
                      <w:rFonts w:hint="eastAsia"/>
                      <w:szCs w:val="21"/>
                      <w:lang w:val="en-US" w:eastAsia="zh-CN"/>
                    </w:rPr>
                  </w:pPr>
                </w:p>
              </w:tc>
            </w:tr>
            <w:tr w14:paraId="280938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78" w:type="pct"/>
                  <w:vMerge w:val="continue"/>
                  <w:vAlign w:val="center"/>
                </w:tcPr>
                <w:p w14:paraId="3F44C1C6">
                  <w:pPr>
                    <w:jc w:val="center"/>
                    <w:rPr>
                      <w:rFonts w:hint="eastAsia"/>
                      <w:szCs w:val="21"/>
                      <w:lang w:val="en-US" w:eastAsia="zh-CN"/>
                    </w:rPr>
                  </w:pPr>
                </w:p>
              </w:tc>
              <w:tc>
                <w:tcPr>
                  <w:tcW w:w="295" w:type="pct"/>
                  <w:vMerge w:val="continue"/>
                  <w:vAlign w:val="center"/>
                </w:tcPr>
                <w:p w14:paraId="3E0143FF">
                  <w:pPr>
                    <w:jc w:val="center"/>
                    <w:rPr>
                      <w:rFonts w:hint="eastAsia"/>
                      <w:szCs w:val="21"/>
                      <w:lang w:val="en-US" w:eastAsia="zh-CN"/>
                    </w:rPr>
                  </w:pPr>
                </w:p>
              </w:tc>
              <w:tc>
                <w:tcPr>
                  <w:tcW w:w="255" w:type="pct"/>
                  <w:vMerge w:val="continue"/>
                  <w:shd w:val="clear" w:color="auto" w:fill="auto"/>
                  <w:vAlign w:val="center"/>
                </w:tcPr>
                <w:p w14:paraId="6D2FA941">
                  <w:pPr>
                    <w:jc w:val="center"/>
                    <w:rPr>
                      <w:rFonts w:hint="eastAsia"/>
                      <w:szCs w:val="21"/>
                      <w:lang w:val="en-US" w:eastAsia="zh-CN"/>
                    </w:rPr>
                  </w:pPr>
                </w:p>
              </w:tc>
              <w:tc>
                <w:tcPr>
                  <w:tcW w:w="305" w:type="pct"/>
                  <w:vMerge w:val="continue"/>
                  <w:shd w:val="clear" w:color="auto" w:fill="auto"/>
                  <w:vAlign w:val="center"/>
                </w:tcPr>
                <w:p w14:paraId="43B749FC">
                  <w:pPr>
                    <w:jc w:val="center"/>
                    <w:rPr>
                      <w:rFonts w:hint="eastAsia"/>
                      <w:szCs w:val="21"/>
                      <w:lang w:val="en-US" w:eastAsia="zh-CN"/>
                    </w:rPr>
                  </w:pPr>
                </w:p>
              </w:tc>
              <w:tc>
                <w:tcPr>
                  <w:tcW w:w="393" w:type="pct"/>
                  <w:vMerge w:val="continue"/>
                  <w:vAlign w:val="center"/>
                </w:tcPr>
                <w:p w14:paraId="11CD1906">
                  <w:pPr>
                    <w:jc w:val="center"/>
                    <w:rPr>
                      <w:rFonts w:hint="eastAsia"/>
                      <w:szCs w:val="21"/>
                      <w:lang w:val="en-US" w:eastAsia="zh-CN"/>
                    </w:rPr>
                  </w:pPr>
                </w:p>
              </w:tc>
              <w:tc>
                <w:tcPr>
                  <w:tcW w:w="298" w:type="pct"/>
                  <w:vMerge w:val="continue"/>
                  <w:vAlign w:val="center"/>
                </w:tcPr>
                <w:p w14:paraId="008EF555">
                  <w:pPr>
                    <w:jc w:val="center"/>
                    <w:rPr>
                      <w:rFonts w:hint="eastAsia"/>
                      <w:szCs w:val="21"/>
                      <w:lang w:val="en-US" w:eastAsia="zh-CN"/>
                    </w:rPr>
                  </w:pPr>
                </w:p>
              </w:tc>
              <w:tc>
                <w:tcPr>
                  <w:tcW w:w="276" w:type="pct"/>
                  <w:vMerge w:val="continue"/>
                  <w:vAlign w:val="center"/>
                </w:tcPr>
                <w:p w14:paraId="37A0C34F">
                  <w:pPr>
                    <w:jc w:val="center"/>
                    <w:rPr>
                      <w:rFonts w:hint="eastAsia"/>
                      <w:szCs w:val="21"/>
                      <w:lang w:val="en-US" w:eastAsia="zh-CN"/>
                    </w:rPr>
                  </w:pPr>
                </w:p>
              </w:tc>
              <w:tc>
                <w:tcPr>
                  <w:tcW w:w="298" w:type="pct"/>
                  <w:vMerge w:val="continue"/>
                  <w:vAlign w:val="center"/>
                </w:tcPr>
                <w:p w14:paraId="155BA591">
                  <w:pPr>
                    <w:jc w:val="center"/>
                    <w:rPr>
                      <w:rFonts w:hint="eastAsia"/>
                      <w:szCs w:val="21"/>
                      <w:lang w:val="en-US" w:eastAsia="zh-CN"/>
                    </w:rPr>
                  </w:pPr>
                </w:p>
              </w:tc>
              <w:tc>
                <w:tcPr>
                  <w:tcW w:w="305" w:type="pct"/>
                  <w:vMerge w:val="continue"/>
                  <w:vAlign w:val="center"/>
                </w:tcPr>
                <w:p w14:paraId="6FF2FB71">
                  <w:pPr>
                    <w:jc w:val="center"/>
                    <w:rPr>
                      <w:rFonts w:hint="eastAsia"/>
                      <w:szCs w:val="21"/>
                      <w:lang w:val="en-US" w:eastAsia="zh-CN"/>
                    </w:rPr>
                  </w:pPr>
                </w:p>
              </w:tc>
              <w:tc>
                <w:tcPr>
                  <w:tcW w:w="254" w:type="pct"/>
                  <w:shd w:val="clear" w:color="auto" w:fill="auto"/>
                  <w:vAlign w:val="center"/>
                </w:tcPr>
                <w:p w14:paraId="34492132">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东北</w:t>
                  </w:r>
                </w:p>
              </w:tc>
              <w:tc>
                <w:tcPr>
                  <w:tcW w:w="262" w:type="pct"/>
                  <w:shd w:val="clear" w:color="auto" w:fill="auto"/>
                  <w:vAlign w:val="center"/>
                </w:tcPr>
                <w:p w14:paraId="1CB62F9E">
                  <w:pPr>
                    <w:jc w:val="center"/>
                    <w:rPr>
                      <w:rFonts w:hint="default"/>
                      <w:szCs w:val="21"/>
                      <w:lang w:val="en-US" w:eastAsia="zh-CN"/>
                    </w:rPr>
                  </w:pPr>
                  <w:r>
                    <w:rPr>
                      <w:rFonts w:hint="eastAsia"/>
                      <w:szCs w:val="21"/>
                      <w:lang w:val="en-US" w:eastAsia="zh-CN"/>
                    </w:rPr>
                    <w:t>2</w:t>
                  </w:r>
                </w:p>
              </w:tc>
              <w:tc>
                <w:tcPr>
                  <w:tcW w:w="378" w:type="pct"/>
                  <w:vAlign w:val="center"/>
                </w:tcPr>
                <w:p w14:paraId="1E46F559">
                  <w:pPr>
                    <w:jc w:val="center"/>
                    <w:rPr>
                      <w:rFonts w:hint="default"/>
                      <w:szCs w:val="21"/>
                      <w:lang w:val="en-US" w:eastAsia="zh-CN"/>
                    </w:rPr>
                  </w:pPr>
                  <w:r>
                    <w:rPr>
                      <w:rFonts w:hint="eastAsia"/>
                      <w:szCs w:val="21"/>
                      <w:lang w:val="en-US" w:eastAsia="zh-CN"/>
                    </w:rPr>
                    <w:t>72.7</w:t>
                  </w:r>
                </w:p>
              </w:tc>
              <w:tc>
                <w:tcPr>
                  <w:tcW w:w="291" w:type="pct"/>
                  <w:vMerge w:val="continue"/>
                  <w:vAlign w:val="center"/>
                </w:tcPr>
                <w:p w14:paraId="5766C663">
                  <w:pPr>
                    <w:jc w:val="center"/>
                    <w:rPr>
                      <w:rFonts w:hint="eastAsia"/>
                      <w:szCs w:val="21"/>
                      <w:lang w:val="en-US" w:eastAsia="zh-CN"/>
                    </w:rPr>
                  </w:pPr>
                </w:p>
              </w:tc>
              <w:tc>
                <w:tcPr>
                  <w:tcW w:w="429" w:type="pct"/>
                  <w:vMerge w:val="continue"/>
                  <w:vAlign w:val="center"/>
                </w:tcPr>
                <w:p w14:paraId="7DC38544">
                  <w:pPr>
                    <w:jc w:val="center"/>
                    <w:rPr>
                      <w:rFonts w:hint="eastAsia"/>
                      <w:szCs w:val="21"/>
                      <w:lang w:val="en-US" w:eastAsia="zh-CN"/>
                    </w:rPr>
                  </w:pPr>
                </w:p>
              </w:tc>
              <w:tc>
                <w:tcPr>
                  <w:tcW w:w="458" w:type="pct"/>
                  <w:vAlign w:val="center"/>
                </w:tcPr>
                <w:p w14:paraId="6BC72F00">
                  <w:pPr>
                    <w:jc w:val="center"/>
                    <w:rPr>
                      <w:rFonts w:hint="default"/>
                      <w:szCs w:val="21"/>
                      <w:lang w:val="en-US" w:eastAsia="zh-CN"/>
                    </w:rPr>
                  </w:pPr>
                  <w:r>
                    <w:rPr>
                      <w:rFonts w:hint="eastAsia"/>
                      <w:szCs w:val="21"/>
                      <w:lang w:val="en-US" w:eastAsia="zh-CN"/>
                    </w:rPr>
                    <w:t>58.7</w:t>
                  </w:r>
                </w:p>
              </w:tc>
              <w:tc>
                <w:tcPr>
                  <w:tcW w:w="318" w:type="pct"/>
                  <w:vMerge w:val="continue"/>
                  <w:vAlign w:val="center"/>
                </w:tcPr>
                <w:p w14:paraId="11C9F43E">
                  <w:pPr>
                    <w:jc w:val="center"/>
                    <w:rPr>
                      <w:rFonts w:hint="eastAsia"/>
                      <w:szCs w:val="21"/>
                      <w:lang w:val="en-US" w:eastAsia="zh-CN"/>
                    </w:rPr>
                  </w:pPr>
                </w:p>
              </w:tc>
            </w:tr>
            <w:tr w14:paraId="1ED755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78" w:type="pct"/>
                  <w:vMerge w:val="continue"/>
                  <w:vAlign w:val="center"/>
                </w:tcPr>
                <w:p w14:paraId="12A55470">
                  <w:pPr>
                    <w:jc w:val="center"/>
                    <w:rPr>
                      <w:rFonts w:hint="eastAsia"/>
                      <w:szCs w:val="21"/>
                      <w:lang w:val="en-US" w:eastAsia="zh-CN"/>
                    </w:rPr>
                  </w:pPr>
                </w:p>
              </w:tc>
              <w:tc>
                <w:tcPr>
                  <w:tcW w:w="295" w:type="pct"/>
                  <w:vMerge w:val="continue"/>
                  <w:vAlign w:val="center"/>
                </w:tcPr>
                <w:p w14:paraId="4794ADD9">
                  <w:pPr>
                    <w:jc w:val="center"/>
                    <w:rPr>
                      <w:rFonts w:hint="eastAsia"/>
                      <w:szCs w:val="21"/>
                      <w:lang w:val="en-US" w:eastAsia="zh-CN"/>
                    </w:rPr>
                  </w:pPr>
                </w:p>
              </w:tc>
              <w:tc>
                <w:tcPr>
                  <w:tcW w:w="255" w:type="pct"/>
                  <w:vMerge w:val="continue"/>
                  <w:shd w:val="clear" w:color="auto" w:fill="auto"/>
                  <w:vAlign w:val="center"/>
                </w:tcPr>
                <w:p w14:paraId="31037E2C">
                  <w:pPr>
                    <w:jc w:val="center"/>
                    <w:rPr>
                      <w:rFonts w:hint="eastAsia"/>
                      <w:szCs w:val="21"/>
                      <w:lang w:val="en-US" w:eastAsia="zh-CN"/>
                    </w:rPr>
                  </w:pPr>
                </w:p>
              </w:tc>
              <w:tc>
                <w:tcPr>
                  <w:tcW w:w="305" w:type="pct"/>
                  <w:vMerge w:val="continue"/>
                  <w:shd w:val="clear" w:color="auto" w:fill="auto"/>
                  <w:vAlign w:val="center"/>
                </w:tcPr>
                <w:p w14:paraId="3751D23E">
                  <w:pPr>
                    <w:jc w:val="center"/>
                    <w:rPr>
                      <w:rFonts w:hint="eastAsia"/>
                      <w:szCs w:val="21"/>
                      <w:lang w:val="en-US" w:eastAsia="zh-CN"/>
                    </w:rPr>
                  </w:pPr>
                </w:p>
              </w:tc>
              <w:tc>
                <w:tcPr>
                  <w:tcW w:w="393" w:type="pct"/>
                  <w:vMerge w:val="continue"/>
                  <w:vAlign w:val="center"/>
                </w:tcPr>
                <w:p w14:paraId="48F3A760">
                  <w:pPr>
                    <w:jc w:val="center"/>
                    <w:rPr>
                      <w:rFonts w:hint="eastAsia"/>
                      <w:szCs w:val="21"/>
                      <w:lang w:val="en-US" w:eastAsia="zh-CN"/>
                    </w:rPr>
                  </w:pPr>
                </w:p>
              </w:tc>
              <w:tc>
                <w:tcPr>
                  <w:tcW w:w="298" w:type="pct"/>
                  <w:vMerge w:val="continue"/>
                  <w:vAlign w:val="center"/>
                </w:tcPr>
                <w:p w14:paraId="4BE1FB8C">
                  <w:pPr>
                    <w:jc w:val="center"/>
                    <w:rPr>
                      <w:rFonts w:hint="eastAsia"/>
                      <w:szCs w:val="21"/>
                      <w:lang w:val="en-US" w:eastAsia="zh-CN"/>
                    </w:rPr>
                  </w:pPr>
                </w:p>
              </w:tc>
              <w:tc>
                <w:tcPr>
                  <w:tcW w:w="276" w:type="pct"/>
                  <w:vMerge w:val="continue"/>
                  <w:vAlign w:val="center"/>
                </w:tcPr>
                <w:p w14:paraId="71702123">
                  <w:pPr>
                    <w:jc w:val="center"/>
                    <w:rPr>
                      <w:rFonts w:hint="eastAsia"/>
                      <w:szCs w:val="21"/>
                      <w:lang w:val="en-US" w:eastAsia="zh-CN"/>
                    </w:rPr>
                  </w:pPr>
                </w:p>
              </w:tc>
              <w:tc>
                <w:tcPr>
                  <w:tcW w:w="298" w:type="pct"/>
                  <w:vMerge w:val="continue"/>
                  <w:vAlign w:val="center"/>
                </w:tcPr>
                <w:p w14:paraId="7D9CB57F">
                  <w:pPr>
                    <w:jc w:val="center"/>
                    <w:rPr>
                      <w:rFonts w:hint="eastAsia"/>
                      <w:szCs w:val="21"/>
                      <w:lang w:val="en-US" w:eastAsia="zh-CN"/>
                    </w:rPr>
                  </w:pPr>
                </w:p>
              </w:tc>
              <w:tc>
                <w:tcPr>
                  <w:tcW w:w="305" w:type="pct"/>
                  <w:vMerge w:val="continue"/>
                  <w:vAlign w:val="center"/>
                </w:tcPr>
                <w:p w14:paraId="58B6D4CC">
                  <w:pPr>
                    <w:jc w:val="center"/>
                    <w:rPr>
                      <w:rFonts w:hint="eastAsia"/>
                      <w:szCs w:val="21"/>
                      <w:lang w:val="en-US" w:eastAsia="zh-CN"/>
                    </w:rPr>
                  </w:pPr>
                </w:p>
              </w:tc>
              <w:tc>
                <w:tcPr>
                  <w:tcW w:w="254" w:type="pct"/>
                  <w:shd w:val="clear" w:color="auto" w:fill="auto"/>
                  <w:vAlign w:val="center"/>
                </w:tcPr>
                <w:p w14:paraId="40033515">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东南</w:t>
                  </w:r>
                </w:p>
              </w:tc>
              <w:tc>
                <w:tcPr>
                  <w:tcW w:w="262" w:type="pct"/>
                  <w:shd w:val="clear" w:color="auto" w:fill="auto"/>
                  <w:vAlign w:val="center"/>
                </w:tcPr>
                <w:p w14:paraId="2FC8B47C">
                  <w:pPr>
                    <w:jc w:val="center"/>
                    <w:rPr>
                      <w:rFonts w:hint="default"/>
                      <w:szCs w:val="21"/>
                      <w:lang w:val="en-US" w:eastAsia="zh-CN"/>
                    </w:rPr>
                  </w:pPr>
                  <w:r>
                    <w:rPr>
                      <w:rFonts w:hint="eastAsia"/>
                      <w:szCs w:val="21"/>
                      <w:lang w:val="en-US" w:eastAsia="zh-CN"/>
                    </w:rPr>
                    <w:t>30</w:t>
                  </w:r>
                </w:p>
              </w:tc>
              <w:tc>
                <w:tcPr>
                  <w:tcW w:w="378" w:type="pct"/>
                  <w:vAlign w:val="center"/>
                </w:tcPr>
                <w:p w14:paraId="2410C73C">
                  <w:pPr>
                    <w:jc w:val="center"/>
                    <w:rPr>
                      <w:rFonts w:hint="default"/>
                      <w:szCs w:val="21"/>
                      <w:lang w:val="en-US" w:eastAsia="zh-CN"/>
                    </w:rPr>
                  </w:pPr>
                  <w:r>
                    <w:rPr>
                      <w:rFonts w:hint="eastAsia"/>
                      <w:szCs w:val="21"/>
                      <w:lang w:val="en-US" w:eastAsia="zh-CN"/>
                    </w:rPr>
                    <w:t>60.9</w:t>
                  </w:r>
                </w:p>
              </w:tc>
              <w:tc>
                <w:tcPr>
                  <w:tcW w:w="291" w:type="pct"/>
                  <w:vMerge w:val="continue"/>
                  <w:vAlign w:val="center"/>
                </w:tcPr>
                <w:p w14:paraId="6FC9D04D">
                  <w:pPr>
                    <w:jc w:val="center"/>
                    <w:rPr>
                      <w:rFonts w:hint="eastAsia"/>
                      <w:szCs w:val="21"/>
                      <w:lang w:val="en-US" w:eastAsia="zh-CN"/>
                    </w:rPr>
                  </w:pPr>
                </w:p>
              </w:tc>
              <w:tc>
                <w:tcPr>
                  <w:tcW w:w="429" w:type="pct"/>
                  <w:vMerge w:val="continue"/>
                  <w:vAlign w:val="center"/>
                </w:tcPr>
                <w:p w14:paraId="40EA7AA7">
                  <w:pPr>
                    <w:jc w:val="center"/>
                    <w:rPr>
                      <w:rFonts w:hint="eastAsia"/>
                      <w:szCs w:val="21"/>
                      <w:lang w:val="en-US" w:eastAsia="zh-CN"/>
                    </w:rPr>
                  </w:pPr>
                </w:p>
              </w:tc>
              <w:tc>
                <w:tcPr>
                  <w:tcW w:w="458" w:type="pct"/>
                  <w:vAlign w:val="center"/>
                </w:tcPr>
                <w:p w14:paraId="6B6CE51D">
                  <w:pPr>
                    <w:jc w:val="center"/>
                    <w:rPr>
                      <w:rFonts w:hint="default"/>
                      <w:szCs w:val="21"/>
                      <w:lang w:val="en-US" w:eastAsia="zh-CN"/>
                    </w:rPr>
                  </w:pPr>
                  <w:r>
                    <w:rPr>
                      <w:rFonts w:hint="eastAsia"/>
                      <w:szCs w:val="21"/>
                      <w:lang w:val="en-US" w:eastAsia="zh-CN"/>
                    </w:rPr>
                    <w:t>45.9</w:t>
                  </w:r>
                </w:p>
              </w:tc>
              <w:tc>
                <w:tcPr>
                  <w:tcW w:w="318" w:type="pct"/>
                  <w:vMerge w:val="continue"/>
                  <w:vAlign w:val="center"/>
                </w:tcPr>
                <w:p w14:paraId="5B3C7526">
                  <w:pPr>
                    <w:jc w:val="center"/>
                    <w:rPr>
                      <w:rFonts w:hint="eastAsia"/>
                      <w:szCs w:val="21"/>
                      <w:lang w:val="en-US" w:eastAsia="zh-CN"/>
                    </w:rPr>
                  </w:pPr>
                </w:p>
              </w:tc>
            </w:tr>
            <w:tr w14:paraId="099C4A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78" w:type="pct"/>
                  <w:vMerge w:val="continue"/>
                  <w:vAlign w:val="center"/>
                </w:tcPr>
                <w:p w14:paraId="010C3825">
                  <w:pPr>
                    <w:jc w:val="center"/>
                    <w:rPr>
                      <w:rFonts w:hint="eastAsia"/>
                      <w:szCs w:val="21"/>
                      <w:lang w:val="en-US" w:eastAsia="zh-CN"/>
                    </w:rPr>
                  </w:pPr>
                </w:p>
              </w:tc>
              <w:tc>
                <w:tcPr>
                  <w:tcW w:w="295" w:type="pct"/>
                  <w:vMerge w:val="continue"/>
                  <w:vAlign w:val="center"/>
                </w:tcPr>
                <w:p w14:paraId="569EF258">
                  <w:pPr>
                    <w:jc w:val="center"/>
                    <w:rPr>
                      <w:rFonts w:hint="eastAsia"/>
                      <w:szCs w:val="21"/>
                      <w:lang w:val="en-US" w:eastAsia="zh-CN"/>
                    </w:rPr>
                  </w:pPr>
                </w:p>
              </w:tc>
              <w:tc>
                <w:tcPr>
                  <w:tcW w:w="255" w:type="pct"/>
                  <w:vMerge w:val="restart"/>
                  <w:shd w:val="clear" w:color="auto" w:fill="auto"/>
                  <w:vAlign w:val="center"/>
                </w:tcPr>
                <w:p w14:paraId="3E4D9900">
                  <w:pPr>
                    <w:jc w:val="center"/>
                    <w:rPr>
                      <w:rFonts w:hint="default"/>
                      <w:szCs w:val="21"/>
                      <w:lang w:val="en-US" w:eastAsia="zh-CN"/>
                    </w:rPr>
                  </w:pPr>
                  <w:r>
                    <w:rPr>
                      <w:rFonts w:hint="eastAsia"/>
                      <w:szCs w:val="21"/>
                      <w:lang w:val="en-US" w:eastAsia="zh-CN"/>
                    </w:rPr>
                    <w:t>清洗线</w:t>
                  </w:r>
                </w:p>
              </w:tc>
              <w:tc>
                <w:tcPr>
                  <w:tcW w:w="305" w:type="pct"/>
                  <w:vMerge w:val="restart"/>
                  <w:shd w:val="clear" w:color="auto" w:fill="auto"/>
                  <w:vAlign w:val="center"/>
                </w:tcPr>
                <w:p w14:paraId="4A3643DB">
                  <w:pPr>
                    <w:jc w:val="center"/>
                    <w:rPr>
                      <w:rFonts w:hint="default"/>
                      <w:szCs w:val="21"/>
                      <w:lang w:val="en-US" w:eastAsia="zh-CN"/>
                    </w:rPr>
                  </w:pPr>
                  <w:r>
                    <w:rPr>
                      <w:rFonts w:hint="eastAsia"/>
                      <w:szCs w:val="21"/>
                      <w:lang w:val="en-US" w:eastAsia="zh-CN"/>
                    </w:rPr>
                    <w:t>4</w:t>
                  </w:r>
                </w:p>
              </w:tc>
              <w:tc>
                <w:tcPr>
                  <w:tcW w:w="393" w:type="pct"/>
                  <w:vMerge w:val="restart"/>
                  <w:vAlign w:val="center"/>
                </w:tcPr>
                <w:p w14:paraId="72725570">
                  <w:pPr>
                    <w:jc w:val="center"/>
                    <w:rPr>
                      <w:rFonts w:hint="default"/>
                      <w:szCs w:val="21"/>
                      <w:lang w:val="en-US" w:eastAsia="zh-CN"/>
                    </w:rPr>
                  </w:pPr>
                  <w:r>
                    <w:rPr>
                      <w:rFonts w:hint="eastAsia"/>
                      <w:szCs w:val="21"/>
                      <w:lang w:val="en-US" w:eastAsia="zh-CN"/>
                    </w:rPr>
                    <w:t>50-55</w:t>
                  </w:r>
                </w:p>
              </w:tc>
              <w:tc>
                <w:tcPr>
                  <w:tcW w:w="298" w:type="pct"/>
                  <w:vMerge w:val="continue"/>
                  <w:vAlign w:val="center"/>
                </w:tcPr>
                <w:p w14:paraId="2A40482C">
                  <w:pPr>
                    <w:jc w:val="center"/>
                    <w:rPr>
                      <w:rFonts w:hint="eastAsia"/>
                      <w:szCs w:val="21"/>
                      <w:lang w:val="en-US" w:eastAsia="zh-CN"/>
                    </w:rPr>
                  </w:pPr>
                </w:p>
              </w:tc>
              <w:tc>
                <w:tcPr>
                  <w:tcW w:w="276" w:type="pct"/>
                  <w:vMerge w:val="restart"/>
                  <w:vAlign w:val="center"/>
                </w:tcPr>
                <w:p w14:paraId="32857641">
                  <w:pPr>
                    <w:jc w:val="center"/>
                    <w:rPr>
                      <w:rFonts w:hint="default"/>
                      <w:szCs w:val="21"/>
                      <w:lang w:val="en-US" w:eastAsia="zh-CN"/>
                    </w:rPr>
                  </w:pPr>
                  <w:r>
                    <w:rPr>
                      <w:rFonts w:hint="eastAsia"/>
                      <w:szCs w:val="21"/>
                      <w:lang w:val="en-US" w:eastAsia="zh-CN"/>
                    </w:rPr>
                    <w:t>1-12</w:t>
                  </w:r>
                </w:p>
              </w:tc>
              <w:tc>
                <w:tcPr>
                  <w:tcW w:w="298" w:type="pct"/>
                  <w:vMerge w:val="restart"/>
                  <w:vAlign w:val="center"/>
                </w:tcPr>
                <w:p w14:paraId="0E3F4FDC">
                  <w:pPr>
                    <w:jc w:val="center"/>
                    <w:rPr>
                      <w:rFonts w:hint="default"/>
                      <w:szCs w:val="21"/>
                      <w:lang w:val="en-US" w:eastAsia="zh-CN"/>
                    </w:rPr>
                  </w:pPr>
                  <w:r>
                    <w:rPr>
                      <w:rFonts w:hint="eastAsia"/>
                      <w:szCs w:val="21"/>
                      <w:lang w:val="en-US" w:eastAsia="zh-CN"/>
                    </w:rPr>
                    <w:t>22-24</w:t>
                  </w:r>
                </w:p>
              </w:tc>
              <w:tc>
                <w:tcPr>
                  <w:tcW w:w="305" w:type="pct"/>
                  <w:vMerge w:val="restart"/>
                  <w:vAlign w:val="center"/>
                </w:tcPr>
                <w:p w14:paraId="4B4244F5">
                  <w:pPr>
                    <w:jc w:val="center"/>
                    <w:rPr>
                      <w:rFonts w:hint="default"/>
                      <w:szCs w:val="21"/>
                      <w:lang w:val="en-US" w:eastAsia="zh-CN"/>
                    </w:rPr>
                  </w:pPr>
                  <w:r>
                    <w:rPr>
                      <w:rFonts w:hint="eastAsia"/>
                      <w:szCs w:val="21"/>
                      <w:lang w:val="en-US" w:eastAsia="zh-CN"/>
                    </w:rPr>
                    <w:t>8.8</w:t>
                  </w:r>
                </w:p>
              </w:tc>
              <w:tc>
                <w:tcPr>
                  <w:tcW w:w="254" w:type="pct"/>
                  <w:shd w:val="clear" w:color="auto" w:fill="auto"/>
                  <w:vAlign w:val="center"/>
                </w:tcPr>
                <w:p w14:paraId="01DA1E0A">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西北</w:t>
                  </w:r>
                </w:p>
              </w:tc>
              <w:tc>
                <w:tcPr>
                  <w:tcW w:w="262" w:type="pct"/>
                  <w:shd w:val="clear" w:color="auto" w:fill="auto"/>
                  <w:vAlign w:val="center"/>
                </w:tcPr>
                <w:p w14:paraId="20DDE3AD">
                  <w:pPr>
                    <w:jc w:val="center"/>
                    <w:rPr>
                      <w:rFonts w:hint="default"/>
                      <w:szCs w:val="21"/>
                      <w:lang w:val="en-US" w:eastAsia="zh-CN"/>
                    </w:rPr>
                  </w:pPr>
                  <w:r>
                    <w:rPr>
                      <w:rFonts w:hint="eastAsia"/>
                      <w:szCs w:val="21"/>
                      <w:lang w:val="en-US" w:eastAsia="zh-CN"/>
                    </w:rPr>
                    <w:t>1</w:t>
                  </w:r>
                </w:p>
              </w:tc>
              <w:tc>
                <w:tcPr>
                  <w:tcW w:w="378" w:type="pct"/>
                  <w:vAlign w:val="center"/>
                </w:tcPr>
                <w:p w14:paraId="7E46EB29">
                  <w:pPr>
                    <w:jc w:val="center"/>
                    <w:rPr>
                      <w:rFonts w:hint="default"/>
                      <w:szCs w:val="21"/>
                      <w:lang w:val="en-US" w:eastAsia="zh-CN"/>
                    </w:rPr>
                  </w:pPr>
                  <w:r>
                    <w:rPr>
                      <w:rFonts w:hint="eastAsia"/>
                      <w:szCs w:val="21"/>
                      <w:lang w:val="en-US" w:eastAsia="zh-CN"/>
                    </w:rPr>
                    <w:t>54.1</w:t>
                  </w:r>
                </w:p>
              </w:tc>
              <w:tc>
                <w:tcPr>
                  <w:tcW w:w="291" w:type="pct"/>
                  <w:vMerge w:val="restart"/>
                  <w:vAlign w:val="center"/>
                </w:tcPr>
                <w:p w14:paraId="37AFAED7">
                  <w:pPr>
                    <w:jc w:val="center"/>
                    <w:rPr>
                      <w:rFonts w:hint="eastAsia"/>
                      <w:szCs w:val="21"/>
                      <w:lang w:val="en-US" w:eastAsia="zh-CN"/>
                    </w:rPr>
                  </w:pPr>
                  <w:r>
                    <w:rPr>
                      <w:rFonts w:hint="eastAsia"/>
                      <w:snapToGrid w:val="0"/>
                      <w:szCs w:val="21"/>
                      <w:lang w:val="en-US" w:eastAsia="zh-CN"/>
                    </w:rPr>
                    <w:t>8</w:t>
                  </w:r>
                  <w:r>
                    <w:rPr>
                      <w:snapToGrid w:val="0"/>
                      <w:szCs w:val="21"/>
                    </w:rPr>
                    <w:t>h</w:t>
                  </w:r>
                  <w:r>
                    <w:rPr>
                      <w:rFonts w:hint="eastAsia"/>
                      <w:snapToGrid w:val="0"/>
                      <w:szCs w:val="21"/>
                    </w:rPr>
                    <w:t>/d</w:t>
                  </w:r>
                </w:p>
              </w:tc>
              <w:tc>
                <w:tcPr>
                  <w:tcW w:w="429" w:type="pct"/>
                  <w:vMerge w:val="restart"/>
                  <w:vAlign w:val="center"/>
                </w:tcPr>
                <w:p w14:paraId="572B4501">
                  <w:pPr>
                    <w:jc w:val="center"/>
                    <w:rPr>
                      <w:rFonts w:hint="eastAsia"/>
                      <w:szCs w:val="21"/>
                      <w:lang w:val="en-US" w:eastAsia="zh-CN"/>
                    </w:rPr>
                  </w:pPr>
                  <w:r>
                    <w:rPr>
                      <w:rFonts w:hint="eastAsia"/>
                      <w:szCs w:val="21"/>
                    </w:rPr>
                    <w:t>-15</w:t>
                  </w:r>
                </w:p>
              </w:tc>
              <w:tc>
                <w:tcPr>
                  <w:tcW w:w="458" w:type="pct"/>
                  <w:vAlign w:val="center"/>
                </w:tcPr>
                <w:p w14:paraId="5F809B95">
                  <w:pPr>
                    <w:jc w:val="center"/>
                    <w:rPr>
                      <w:rFonts w:hint="default"/>
                      <w:szCs w:val="21"/>
                      <w:lang w:val="en-US" w:eastAsia="zh-CN"/>
                    </w:rPr>
                  </w:pPr>
                  <w:r>
                    <w:rPr>
                      <w:rFonts w:hint="eastAsia"/>
                      <w:szCs w:val="21"/>
                      <w:lang w:val="en-US" w:eastAsia="zh-CN"/>
                    </w:rPr>
                    <w:t>39.1</w:t>
                  </w:r>
                </w:p>
              </w:tc>
              <w:tc>
                <w:tcPr>
                  <w:tcW w:w="318" w:type="pct"/>
                  <w:vMerge w:val="continue"/>
                  <w:vAlign w:val="center"/>
                </w:tcPr>
                <w:p w14:paraId="67BE6584">
                  <w:pPr>
                    <w:jc w:val="center"/>
                    <w:rPr>
                      <w:rFonts w:hint="eastAsia"/>
                      <w:szCs w:val="21"/>
                      <w:lang w:val="en-US" w:eastAsia="zh-CN"/>
                    </w:rPr>
                  </w:pPr>
                </w:p>
              </w:tc>
            </w:tr>
            <w:tr w14:paraId="42DD66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78" w:type="pct"/>
                  <w:vMerge w:val="continue"/>
                  <w:vAlign w:val="center"/>
                </w:tcPr>
                <w:p w14:paraId="0A34DDEC">
                  <w:pPr>
                    <w:jc w:val="center"/>
                    <w:rPr>
                      <w:rFonts w:hint="eastAsia"/>
                      <w:szCs w:val="21"/>
                      <w:lang w:val="en-US" w:eastAsia="zh-CN"/>
                    </w:rPr>
                  </w:pPr>
                </w:p>
              </w:tc>
              <w:tc>
                <w:tcPr>
                  <w:tcW w:w="295" w:type="pct"/>
                  <w:vMerge w:val="continue"/>
                  <w:vAlign w:val="center"/>
                </w:tcPr>
                <w:p w14:paraId="526AF426">
                  <w:pPr>
                    <w:jc w:val="center"/>
                    <w:rPr>
                      <w:rFonts w:hint="eastAsia"/>
                      <w:szCs w:val="21"/>
                      <w:lang w:val="en-US" w:eastAsia="zh-CN"/>
                    </w:rPr>
                  </w:pPr>
                </w:p>
              </w:tc>
              <w:tc>
                <w:tcPr>
                  <w:tcW w:w="255" w:type="pct"/>
                  <w:vMerge w:val="continue"/>
                  <w:shd w:val="clear" w:color="auto" w:fill="auto"/>
                  <w:vAlign w:val="center"/>
                </w:tcPr>
                <w:p w14:paraId="2D06858E">
                  <w:pPr>
                    <w:jc w:val="center"/>
                    <w:rPr>
                      <w:rFonts w:hint="eastAsia"/>
                      <w:szCs w:val="21"/>
                      <w:lang w:val="en-US" w:eastAsia="zh-CN"/>
                    </w:rPr>
                  </w:pPr>
                </w:p>
              </w:tc>
              <w:tc>
                <w:tcPr>
                  <w:tcW w:w="305" w:type="pct"/>
                  <w:vMerge w:val="continue"/>
                  <w:shd w:val="clear" w:color="auto" w:fill="auto"/>
                  <w:vAlign w:val="center"/>
                </w:tcPr>
                <w:p w14:paraId="563A7B4F">
                  <w:pPr>
                    <w:jc w:val="center"/>
                    <w:rPr>
                      <w:rFonts w:hint="eastAsia"/>
                      <w:szCs w:val="21"/>
                      <w:lang w:val="en-US" w:eastAsia="zh-CN"/>
                    </w:rPr>
                  </w:pPr>
                </w:p>
              </w:tc>
              <w:tc>
                <w:tcPr>
                  <w:tcW w:w="393" w:type="pct"/>
                  <w:vMerge w:val="continue"/>
                  <w:vAlign w:val="center"/>
                </w:tcPr>
                <w:p w14:paraId="0743E72C">
                  <w:pPr>
                    <w:jc w:val="center"/>
                    <w:rPr>
                      <w:rFonts w:hint="eastAsia"/>
                      <w:szCs w:val="21"/>
                      <w:lang w:val="en-US" w:eastAsia="zh-CN"/>
                    </w:rPr>
                  </w:pPr>
                </w:p>
              </w:tc>
              <w:tc>
                <w:tcPr>
                  <w:tcW w:w="298" w:type="pct"/>
                  <w:vMerge w:val="continue"/>
                  <w:vAlign w:val="center"/>
                </w:tcPr>
                <w:p w14:paraId="185D953C">
                  <w:pPr>
                    <w:jc w:val="center"/>
                    <w:rPr>
                      <w:rFonts w:hint="eastAsia"/>
                      <w:szCs w:val="21"/>
                      <w:lang w:val="en-US" w:eastAsia="zh-CN"/>
                    </w:rPr>
                  </w:pPr>
                </w:p>
              </w:tc>
              <w:tc>
                <w:tcPr>
                  <w:tcW w:w="276" w:type="pct"/>
                  <w:vMerge w:val="continue"/>
                  <w:vAlign w:val="center"/>
                </w:tcPr>
                <w:p w14:paraId="050308A0">
                  <w:pPr>
                    <w:jc w:val="center"/>
                    <w:rPr>
                      <w:rFonts w:hint="eastAsia"/>
                      <w:szCs w:val="21"/>
                      <w:lang w:val="en-US" w:eastAsia="zh-CN"/>
                    </w:rPr>
                  </w:pPr>
                </w:p>
              </w:tc>
              <w:tc>
                <w:tcPr>
                  <w:tcW w:w="298" w:type="pct"/>
                  <w:vMerge w:val="continue"/>
                  <w:vAlign w:val="center"/>
                </w:tcPr>
                <w:p w14:paraId="638349FF">
                  <w:pPr>
                    <w:jc w:val="center"/>
                    <w:rPr>
                      <w:rFonts w:hint="eastAsia"/>
                      <w:szCs w:val="21"/>
                      <w:lang w:val="en-US" w:eastAsia="zh-CN"/>
                    </w:rPr>
                  </w:pPr>
                </w:p>
              </w:tc>
              <w:tc>
                <w:tcPr>
                  <w:tcW w:w="305" w:type="pct"/>
                  <w:vMerge w:val="continue"/>
                  <w:vAlign w:val="center"/>
                </w:tcPr>
                <w:p w14:paraId="2401C814">
                  <w:pPr>
                    <w:jc w:val="center"/>
                    <w:rPr>
                      <w:rFonts w:hint="eastAsia"/>
                      <w:szCs w:val="21"/>
                      <w:lang w:val="en-US" w:eastAsia="zh-CN"/>
                    </w:rPr>
                  </w:pPr>
                </w:p>
              </w:tc>
              <w:tc>
                <w:tcPr>
                  <w:tcW w:w="254" w:type="pct"/>
                  <w:shd w:val="clear" w:color="auto" w:fill="auto"/>
                  <w:vAlign w:val="center"/>
                </w:tcPr>
                <w:p w14:paraId="502E326E">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西南</w:t>
                  </w:r>
                </w:p>
              </w:tc>
              <w:tc>
                <w:tcPr>
                  <w:tcW w:w="262" w:type="pct"/>
                  <w:shd w:val="clear" w:color="auto" w:fill="auto"/>
                  <w:vAlign w:val="center"/>
                </w:tcPr>
                <w:p w14:paraId="7E23026B">
                  <w:pPr>
                    <w:jc w:val="center"/>
                    <w:rPr>
                      <w:rFonts w:hint="default"/>
                      <w:szCs w:val="21"/>
                      <w:lang w:val="en-US" w:eastAsia="zh-CN"/>
                    </w:rPr>
                  </w:pPr>
                  <w:r>
                    <w:rPr>
                      <w:rFonts w:hint="eastAsia"/>
                      <w:szCs w:val="21"/>
                      <w:lang w:val="en-US" w:eastAsia="zh-CN"/>
                    </w:rPr>
                    <w:t>11</w:t>
                  </w:r>
                </w:p>
              </w:tc>
              <w:tc>
                <w:tcPr>
                  <w:tcW w:w="378" w:type="pct"/>
                  <w:vAlign w:val="center"/>
                </w:tcPr>
                <w:p w14:paraId="55A2E7B7">
                  <w:pPr>
                    <w:jc w:val="center"/>
                    <w:rPr>
                      <w:rFonts w:hint="default"/>
                      <w:szCs w:val="21"/>
                      <w:lang w:val="en-US" w:eastAsia="zh-CN"/>
                    </w:rPr>
                  </w:pPr>
                  <w:r>
                    <w:rPr>
                      <w:rFonts w:hint="eastAsia"/>
                      <w:szCs w:val="21"/>
                      <w:lang w:val="en-US" w:eastAsia="zh-CN"/>
                    </w:rPr>
                    <w:t>49.5</w:t>
                  </w:r>
                </w:p>
              </w:tc>
              <w:tc>
                <w:tcPr>
                  <w:tcW w:w="291" w:type="pct"/>
                  <w:vMerge w:val="continue"/>
                  <w:vAlign w:val="center"/>
                </w:tcPr>
                <w:p w14:paraId="23126542">
                  <w:pPr>
                    <w:jc w:val="center"/>
                    <w:rPr>
                      <w:rFonts w:hint="eastAsia"/>
                      <w:szCs w:val="21"/>
                      <w:lang w:val="en-US" w:eastAsia="zh-CN"/>
                    </w:rPr>
                  </w:pPr>
                </w:p>
              </w:tc>
              <w:tc>
                <w:tcPr>
                  <w:tcW w:w="429" w:type="pct"/>
                  <w:vMerge w:val="continue"/>
                  <w:vAlign w:val="center"/>
                </w:tcPr>
                <w:p w14:paraId="71E646BD">
                  <w:pPr>
                    <w:jc w:val="center"/>
                    <w:rPr>
                      <w:rFonts w:hint="eastAsia"/>
                      <w:szCs w:val="21"/>
                      <w:lang w:val="en-US" w:eastAsia="zh-CN"/>
                    </w:rPr>
                  </w:pPr>
                </w:p>
              </w:tc>
              <w:tc>
                <w:tcPr>
                  <w:tcW w:w="458" w:type="pct"/>
                  <w:vAlign w:val="center"/>
                </w:tcPr>
                <w:p w14:paraId="756A8DFD">
                  <w:pPr>
                    <w:jc w:val="center"/>
                    <w:rPr>
                      <w:rFonts w:hint="default"/>
                      <w:szCs w:val="21"/>
                      <w:lang w:val="en-US" w:eastAsia="zh-CN"/>
                    </w:rPr>
                  </w:pPr>
                  <w:r>
                    <w:rPr>
                      <w:rFonts w:hint="eastAsia"/>
                      <w:szCs w:val="21"/>
                      <w:lang w:val="en-US" w:eastAsia="zh-CN"/>
                    </w:rPr>
                    <w:t>34.5</w:t>
                  </w:r>
                </w:p>
              </w:tc>
              <w:tc>
                <w:tcPr>
                  <w:tcW w:w="318" w:type="pct"/>
                  <w:vMerge w:val="continue"/>
                  <w:vAlign w:val="center"/>
                </w:tcPr>
                <w:p w14:paraId="1E371C42">
                  <w:pPr>
                    <w:jc w:val="center"/>
                    <w:rPr>
                      <w:rFonts w:hint="eastAsia"/>
                      <w:szCs w:val="21"/>
                      <w:lang w:val="en-US" w:eastAsia="zh-CN"/>
                    </w:rPr>
                  </w:pPr>
                </w:p>
              </w:tc>
            </w:tr>
            <w:tr w14:paraId="32DA70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78" w:type="pct"/>
                  <w:vMerge w:val="continue"/>
                  <w:vAlign w:val="center"/>
                </w:tcPr>
                <w:p w14:paraId="48B31354">
                  <w:pPr>
                    <w:jc w:val="center"/>
                    <w:rPr>
                      <w:rFonts w:hint="eastAsia"/>
                      <w:szCs w:val="21"/>
                      <w:lang w:val="en-US" w:eastAsia="zh-CN"/>
                    </w:rPr>
                  </w:pPr>
                </w:p>
              </w:tc>
              <w:tc>
                <w:tcPr>
                  <w:tcW w:w="295" w:type="pct"/>
                  <w:vMerge w:val="continue"/>
                  <w:vAlign w:val="center"/>
                </w:tcPr>
                <w:p w14:paraId="12CB5679">
                  <w:pPr>
                    <w:jc w:val="center"/>
                    <w:rPr>
                      <w:rFonts w:hint="eastAsia"/>
                      <w:szCs w:val="21"/>
                      <w:lang w:val="en-US" w:eastAsia="zh-CN"/>
                    </w:rPr>
                  </w:pPr>
                </w:p>
              </w:tc>
              <w:tc>
                <w:tcPr>
                  <w:tcW w:w="255" w:type="pct"/>
                  <w:vMerge w:val="continue"/>
                  <w:shd w:val="clear" w:color="auto" w:fill="auto"/>
                  <w:vAlign w:val="center"/>
                </w:tcPr>
                <w:p w14:paraId="351DB4E8">
                  <w:pPr>
                    <w:jc w:val="center"/>
                    <w:rPr>
                      <w:rFonts w:hint="eastAsia"/>
                      <w:szCs w:val="21"/>
                      <w:lang w:val="en-US" w:eastAsia="zh-CN"/>
                    </w:rPr>
                  </w:pPr>
                </w:p>
              </w:tc>
              <w:tc>
                <w:tcPr>
                  <w:tcW w:w="305" w:type="pct"/>
                  <w:vMerge w:val="continue"/>
                  <w:shd w:val="clear" w:color="auto" w:fill="auto"/>
                  <w:vAlign w:val="center"/>
                </w:tcPr>
                <w:p w14:paraId="06963B21">
                  <w:pPr>
                    <w:jc w:val="center"/>
                    <w:rPr>
                      <w:rFonts w:hint="eastAsia"/>
                      <w:szCs w:val="21"/>
                      <w:lang w:val="en-US" w:eastAsia="zh-CN"/>
                    </w:rPr>
                  </w:pPr>
                </w:p>
              </w:tc>
              <w:tc>
                <w:tcPr>
                  <w:tcW w:w="393" w:type="pct"/>
                  <w:vMerge w:val="continue"/>
                  <w:vAlign w:val="center"/>
                </w:tcPr>
                <w:p w14:paraId="44530FB7">
                  <w:pPr>
                    <w:jc w:val="center"/>
                    <w:rPr>
                      <w:rFonts w:hint="eastAsia"/>
                      <w:szCs w:val="21"/>
                      <w:lang w:val="en-US" w:eastAsia="zh-CN"/>
                    </w:rPr>
                  </w:pPr>
                </w:p>
              </w:tc>
              <w:tc>
                <w:tcPr>
                  <w:tcW w:w="298" w:type="pct"/>
                  <w:vMerge w:val="continue"/>
                  <w:vAlign w:val="center"/>
                </w:tcPr>
                <w:p w14:paraId="503D11BB">
                  <w:pPr>
                    <w:jc w:val="center"/>
                    <w:rPr>
                      <w:rFonts w:hint="eastAsia"/>
                      <w:szCs w:val="21"/>
                      <w:lang w:val="en-US" w:eastAsia="zh-CN"/>
                    </w:rPr>
                  </w:pPr>
                </w:p>
              </w:tc>
              <w:tc>
                <w:tcPr>
                  <w:tcW w:w="276" w:type="pct"/>
                  <w:vMerge w:val="continue"/>
                  <w:vAlign w:val="center"/>
                </w:tcPr>
                <w:p w14:paraId="627F5B6D">
                  <w:pPr>
                    <w:jc w:val="center"/>
                    <w:rPr>
                      <w:rFonts w:hint="eastAsia"/>
                      <w:szCs w:val="21"/>
                      <w:lang w:val="en-US" w:eastAsia="zh-CN"/>
                    </w:rPr>
                  </w:pPr>
                </w:p>
              </w:tc>
              <w:tc>
                <w:tcPr>
                  <w:tcW w:w="298" w:type="pct"/>
                  <w:vMerge w:val="continue"/>
                  <w:vAlign w:val="center"/>
                </w:tcPr>
                <w:p w14:paraId="38A8F545">
                  <w:pPr>
                    <w:jc w:val="center"/>
                    <w:rPr>
                      <w:rFonts w:hint="eastAsia"/>
                      <w:szCs w:val="21"/>
                      <w:lang w:val="en-US" w:eastAsia="zh-CN"/>
                    </w:rPr>
                  </w:pPr>
                </w:p>
              </w:tc>
              <w:tc>
                <w:tcPr>
                  <w:tcW w:w="305" w:type="pct"/>
                  <w:vMerge w:val="continue"/>
                  <w:vAlign w:val="center"/>
                </w:tcPr>
                <w:p w14:paraId="235C066A">
                  <w:pPr>
                    <w:jc w:val="center"/>
                    <w:rPr>
                      <w:rFonts w:hint="eastAsia"/>
                      <w:szCs w:val="21"/>
                      <w:lang w:val="en-US" w:eastAsia="zh-CN"/>
                    </w:rPr>
                  </w:pPr>
                </w:p>
              </w:tc>
              <w:tc>
                <w:tcPr>
                  <w:tcW w:w="254" w:type="pct"/>
                  <w:shd w:val="clear" w:color="auto" w:fill="auto"/>
                  <w:vAlign w:val="center"/>
                </w:tcPr>
                <w:p w14:paraId="23F5E42F">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东北</w:t>
                  </w:r>
                </w:p>
              </w:tc>
              <w:tc>
                <w:tcPr>
                  <w:tcW w:w="262" w:type="pct"/>
                  <w:shd w:val="clear" w:color="auto" w:fill="auto"/>
                  <w:vAlign w:val="center"/>
                </w:tcPr>
                <w:p w14:paraId="0F49DF48">
                  <w:pPr>
                    <w:jc w:val="center"/>
                    <w:rPr>
                      <w:rFonts w:hint="default"/>
                      <w:szCs w:val="21"/>
                      <w:lang w:val="en-US" w:eastAsia="zh-CN"/>
                    </w:rPr>
                  </w:pPr>
                  <w:r>
                    <w:rPr>
                      <w:rFonts w:hint="eastAsia"/>
                      <w:szCs w:val="21"/>
                      <w:lang w:val="en-US" w:eastAsia="zh-CN"/>
                    </w:rPr>
                    <w:t>2</w:t>
                  </w:r>
                </w:p>
              </w:tc>
              <w:tc>
                <w:tcPr>
                  <w:tcW w:w="378" w:type="pct"/>
                  <w:vAlign w:val="center"/>
                </w:tcPr>
                <w:p w14:paraId="67EDF0B2">
                  <w:pPr>
                    <w:jc w:val="center"/>
                    <w:rPr>
                      <w:rFonts w:hint="default"/>
                      <w:szCs w:val="21"/>
                      <w:lang w:val="en-US" w:eastAsia="zh-CN"/>
                    </w:rPr>
                  </w:pPr>
                  <w:r>
                    <w:rPr>
                      <w:rFonts w:hint="eastAsia"/>
                      <w:szCs w:val="21"/>
                      <w:lang w:val="en-US" w:eastAsia="zh-CN"/>
                    </w:rPr>
                    <w:t>50.8</w:t>
                  </w:r>
                </w:p>
              </w:tc>
              <w:tc>
                <w:tcPr>
                  <w:tcW w:w="291" w:type="pct"/>
                  <w:vMerge w:val="continue"/>
                  <w:vAlign w:val="center"/>
                </w:tcPr>
                <w:p w14:paraId="51642D7A">
                  <w:pPr>
                    <w:jc w:val="center"/>
                    <w:rPr>
                      <w:rFonts w:hint="eastAsia"/>
                      <w:szCs w:val="21"/>
                      <w:lang w:val="en-US" w:eastAsia="zh-CN"/>
                    </w:rPr>
                  </w:pPr>
                </w:p>
              </w:tc>
              <w:tc>
                <w:tcPr>
                  <w:tcW w:w="429" w:type="pct"/>
                  <w:vMerge w:val="continue"/>
                  <w:vAlign w:val="center"/>
                </w:tcPr>
                <w:p w14:paraId="5C4B10D4">
                  <w:pPr>
                    <w:jc w:val="center"/>
                    <w:rPr>
                      <w:rFonts w:hint="eastAsia"/>
                      <w:szCs w:val="21"/>
                      <w:lang w:val="en-US" w:eastAsia="zh-CN"/>
                    </w:rPr>
                  </w:pPr>
                </w:p>
              </w:tc>
              <w:tc>
                <w:tcPr>
                  <w:tcW w:w="458" w:type="pct"/>
                  <w:vAlign w:val="center"/>
                </w:tcPr>
                <w:p w14:paraId="32C7E8E7">
                  <w:pPr>
                    <w:jc w:val="center"/>
                    <w:rPr>
                      <w:rFonts w:hint="default"/>
                      <w:szCs w:val="21"/>
                      <w:lang w:val="en-US" w:eastAsia="zh-CN"/>
                    </w:rPr>
                  </w:pPr>
                  <w:r>
                    <w:rPr>
                      <w:rFonts w:hint="eastAsia"/>
                      <w:szCs w:val="21"/>
                      <w:lang w:val="en-US" w:eastAsia="zh-CN"/>
                    </w:rPr>
                    <w:t>35.8</w:t>
                  </w:r>
                </w:p>
              </w:tc>
              <w:tc>
                <w:tcPr>
                  <w:tcW w:w="318" w:type="pct"/>
                  <w:vMerge w:val="continue"/>
                  <w:vAlign w:val="center"/>
                </w:tcPr>
                <w:p w14:paraId="461D1079">
                  <w:pPr>
                    <w:jc w:val="center"/>
                    <w:rPr>
                      <w:rFonts w:hint="eastAsia"/>
                      <w:szCs w:val="21"/>
                      <w:lang w:val="en-US" w:eastAsia="zh-CN"/>
                    </w:rPr>
                  </w:pPr>
                </w:p>
              </w:tc>
            </w:tr>
            <w:tr w14:paraId="19A839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78" w:type="pct"/>
                  <w:vMerge w:val="continue"/>
                  <w:vAlign w:val="center"/>
                </w:tcPr>
                <w:p w14:paraId="15FF5E5E">
                  <w:pPr>
                    <w:jc w:val="center"/>
                    <w:rPr>
                      <w:rFonts w:hint="eastAsia"/>
                      <w:szCs w:val="21"/>
                      <w:lang w:val="en-US" w:eastAsia="zh-CN"/>
                    </w:rPr>
                  </w:pPr>
                </w:p>
              </w:tc>
              <w:tc>
                <w:tcPr>
                  <w:tcW w:w="295" w:type="pct"/>
                  <w:vMerge w:val="continue"/>
                  <w:vAlign w:val="center"/>
                </w:tcPr>
                <w:p w14:paraId="568D534F">
                  <w:pPr>
                    <w:jc w:val="center"/>
                    <w:rPr>
                      <w:rFonts w:hint="eastAsia"/>
                      <w:szCs w:val="21"/>
                      <w:lang w:val="en-US" w:eastAsia="zh-CN"/>
                    </w:rPr>
                  </w:pPr>
                </w:p>
              </w:tc>
              <w:tc>
                <w:tcPr>
                  <w:tcW w:w="255" w:type="pct"/>
                  <w:vMerge w:val="continue"/>
                  <w:shd w:val="clear" w:color="auto" w:fill="auto"/>
                  <w:vAlign w:val="center"/>
                </w:tcPr>
                <w:p w14:paraId="343F4821">
                  <w:pPr>
                    <w:jc w:val="center"/>
                    <w:rPr>
                      <w:rFonts w:hint="eastAsia"/>
                      <w:szCs w:val="21"/>
                      <w:lang w:val="en-US" w:eastAsia="zh-CN"/>
                    </w:rPr>
                  </w:pPr>
                </w:p>
              </w:tc>
              <w:tc>
                <w:tcPr>
                  <w:tcW w:w="305" w:type="pct"/>
                  <w:vMerge w:val="continue"/>
                  <w:shd w:val="clear" w:color="auto" w:fill="auto"/>
                  <w:vAlign w:val="center"/>
                </w:tcPr>
                <w:p w14:paraId="1211E17E">
                  <w:pPr>
                    <w:jc w:val="center"/>
                    <w:rPr>
                      <w:rFonts w:hint="eastAsia"/>
                      <w:szCs w:val="21"/>
                      <w:lang w:val="en-US" w:eastAsia="zh-CN"/>
                    </w:rPr>
                  </w:pPr>
                </w:p>
              </w:tc>
              <w:tc>
                <w:tcPr>
                  <w:tcW w:w="393" w:type="pct"/>
                  <w:vMerge w:val="continue"/>
                  <w:vAlign w:val="center"/>
                </w:tcPr>
                <w:p w14:paraId="14A49443">
                  <w:pPr>
                    <w:jc w:val="center"/>
                    <w:rPr>
                      <w:rFonts w:hint="eastAsia"/>
                      <w:szCs w:val="21"/>
                      <w:lang w:val="en-US" w:eastAsia="zh-CN"/>
                    </w:rPr>
                  </w:pPr>
                </w:p>
              </w:tc>
              <w:tc>
                <w:tcPr>
                  <w:tcW w:w="298" w:type="pct"/>
                  <w:vMerge w:val="continue"/>
                  <w:vAlign w:val="center"/>
                </w:tcPr>
                <w:p w14:paraId="38898C8D">
                  <w:pPr>
                    <w:jc w:val="center"/>
                    <w:rPr>
                      <w:rFonts w:hint="eastAsia"/>
                      <w:szCs w:val="21"/>
                      <w:lang w:val="en-US" w:eastAsia="zh-CN"/>
                    </w:rPr>
                  </w:pPr>
                </w:p>
              </w:tc>
              <w:tc>
                <w:tcPr>
                  <w:tcW w:w="276" w:type="pct"/>
                  <w:vMerge w:val="continue"/>
                  <w:vAlign w:val="center"/>
                </w:tcPr>
                <w:p w14:paraId="6EAB0569">
                  <w:pPr>
                    <w:jc w:val="center"/>
                    <w:rPr>
                      <w:rFonts w:hint="eastAsia"/>
                      <w:szCs w:val="21"/>
                      <w:lang w:val="en-US" w:eastAsia="zh-CN"/>
                    </w:rPr>
                  </w:pPr>
                </w:p>
              </w:tc>
              <w:tc>
                <w:tcPr>
                  <w:tcW w:w="298" w:type="pct"/>
                  <w:vMerge w:val="continue"/>
                  <w:vAlign w:val="center"/>
                </w:tcPr>
                <w:p w14:paraId="2B99003D">
                  <w:pPr>
                    <w:jc w:val="center"/>
                    <w:rPr>
                      <w:rFonts w:hint="eastAsia"/>
                      <w:szCs w:val="21"/>
                      <w:lang w:val="en-US" w:eastAsia="zh-CN"/>
                    </w:rPr>
                  </w:pPr>
                </w:p>
              </w:tc>
              <w:tc>
                <w:tcPr>
                  <w:tcW w:w="305" w:type="pct"/>
                  <w:vMerge w:val="continue"/>
                  <w:vAlign w:val="center"/>
                </w:tcPr>
                <w:p w14:paraId="0CD3A510">
                  <w:pPr>
                    <w:jc w:val="center"/>
                    <w:rPr>
                      <w:rFonts w:hint="eastAsia"/>
                      <w:szCs w:val="21"/>
                      <w:lang w:val="en-US" w:eastAsia="zh-CN"/>
                    </w:rPr>
                  </w:pPr>
                </w:p>
              </w:tc>
              <w:tc>
                <w:tcPr>
                  <w:tcW w:w="254" w:type="pct"/>
                  <w:shd w:val="clear" w:color="auto" w:fill="auto"/>
                  <w:vAlign w:val="center"/>
                </w:tcPr>
                <w:p w14:paraId="19275F83">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东南</w:t>
                  </w:r>
                </w:p>
              </w:tc>
              <w:tc>
                <w:tcPr>
                  <w:tcW w:w="262" w:type="pct"/>
                  <w:shd w:val="clear" w:color="auto" w:fill="auto"/>
                  <w:vAlign w:val="center"/>
                </w:tcPr>
                <w:p w14:paraId="5A3F80E3">
                  <w:pPr>
                    <w:jc w:val="center"/>
                    <w:rPr>
                      <w:rFonts w:hint="default"/>
                      <w:szCs w:val="21"/>
                      <w:lang w:val="en-US" w:eastAsia="zh-CN"/>
                    </w:rPr>
                  </w:pPr>
                  <w:r>
                    <w:rPr>
                      <w:rFonts w:hint="eastAsia"/>
                      <w:szCs w:val="21"/>
                      <w:lang w:val="en-US" w:eastAsia="zh-CN"/>
                    </w:rPr>
                    <w:t>29</w:t>
                  </w:r>
                </w:p>
              </w:tc>
              <w:tc>
                <w:tcPr>
                  <w:tcW w:w="378" w:type="pct"/>
                  <w:vAlign w:val="center"/>
                </w:tcPr>
                <w:p w14:paraId="3290F138">
                  <w:pPr>
                    <w:jc w:val="center"/>
                    <w:rPr>
                      <w:rFonts w:hint="default"/>
                      <w:szCs w:val="21"/>
                      <w:lang w:val="en-US" w:eastAsia="zh-CN"/>
                    </w:rPr>
                  </w:pPr>
                  <w:r>
                    <w:rPr>
                      <w:rFonts w:hint="eastAsia"/>
                      <w:szCs w:val="21"/>
                      <w:lang w:val="en-US" w:eastAsia="zh-CN"/>
                    </w:rPr>
                    <w:t>44.6</w:t>
                  </w:r>
                </w:p>
              </w:tc>
              <w:tc>
                <w:tcPr>
                  <w:tcW w:w="291" w:type="pct"/>
                  <w:vMerge w:val="continue"/>
                  <w:vAlign w:val="center"/>
                </w:tcPr>
                <w:p w14:paraId="42C96108">
                  <w:pPr>
                    <w:jc w:val="center"/>
                    <w:rPr>
                      <w:rFonts w:hint="eastAsia"/>
                      <w:szCs w:val="21"/>
                      <w:lang w:val="en-US" w:eastAsia="zh-CN"/>
                    </w:rPr>
                  </w:pPr>
                </w:p>
              </w:tc>
              <w:tc>
                <w:tcPr>
                  <w:tcW w:w="429" w:type="pct"/>
                  <w:vMerge w:val="continue"/>
                  <w:vAlign w:val="center"/>
                </w:tcPr>
                <w:p w14:paraId="133FB658">
                  <w:pPr>
                    <w:jc w:val="center"/>
                    <w:rPr>
                      <w:rFonts w:hint="eastAsia"/>
                      <w:szCs w:val="21"/>
                      <w:lang w:val="en-US" w:eastAsia="zh-CN"/>
                    </w:rPr>
                  </w:pPr>
                </w:p>
              </w:tc>
              <w:tc>
                <w:tcPr>
                  <w:tcW w:w="458" w:type="pct"/>
                  <w:vAlign w:val="center"/>
                </w:tcPr>
                <w:p w14:paraId="45A78DC3">
                  <w:pPr>
                    <w:jc w:val="center"/>
                    <w:rPr>
                      <w:rFonts w:hint="default"/>
                      <w:szCs w:val="21"/>
                      <w:lang w:val="en-US" w:eastAsia="zh-CN"/>
                    </w:rPr>
                  </w:pPr>
                  <w:r>
                    <w:rPr>
                      <w:rFonts w:hint="eastAsia"/>
                      <w:szCs w:val="21"/>
                      <w:lang w:val="en-US" w:eastAsia="zh-CN"/>
                    </w:rPr>
                    <w:t>29.6</w:t>
                  </w:r>
                </w:p>
              </w:tc>
              <w:tc>
                <w:tcPr>
                  <w:tcW w:w="318" w:type="pct"/>
                  <w:vMerge w:val="continue"/>
                  <w:vAlign w:val="center"/>
                </w:tcPr>
                <w:p w14:paraId="68D72A0F">
                  <w:pPr>
                    <w:jc w:val="center"/>
                    <w:rPr>
                      <w:rFonts w:hint="eastAsia"/>
                      <w:szCs w:val="21"/>
                      <w:lang w:val="en-US" w:eastAsia="zh-CN"/>
                    </w:rPr>
                  </w:pPr>
                </w:p>
              </w:tc>
            </w:tr>
            <w:tr w14:paraId="24A0A5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78" w:type="pct"/>
                  <w:vMerge w:val="continue"/>
                  <w:vAlign w:val="center"/>
                </w:tcPr>
                <w:p w14:paraId="1D3A04D6">
                  <w:pPr>
                    <w:jc w:val="center"/>
                    <w:rPr>
                      <w:rFonts w:hint="eastAsia"/>
                      <w:szCs w:val="21"/>
                      <w:lang w:val="en-US" w:eastAsia="zh-CN"/>
                    </w:rPr>
                  </w:pPr>
                </w:p>
              </w:tc>
              <w:tc>
                <w:tcPr>
                  <w:tcW w:w="295" w:type="pct"/>
                  <w:vMerge w:val="continue"/>
                  <w:vAlign w:val="center"/>
                </w:tcPr>
                <w:p w14:paraId="61AB1FE9">
                  <w:pPr>
                    <w:jc w:val="center"/>
                    <w:rPr>
                      <w:rFonts w:hint="eastAsia"/>
                      <w:szCs w:val="21"/>
                      <w:lang w:val="en-US" w:eastAsia="zh-CN"/>
                    </w:rPr>
                  </w:pPr>
                </w:p>
              </w:tc>
              <w:tc>
                <w:tcPr>
                  <w:tcW w:w="255" w:type="pct"/>
                  <w:vMerge w:val="restart"/>
                  <w:shd w:val="clear" w:color="auto" w:fill="auto"/>
                  <w:vAlign w:val="center"/>
                </w:tcPr>
                <w:p w14:paraId="778812C6">
                  <w:pPr>
                    <w:jc w:val="center"/>
                    <w:rPr>
                      <w:rFonts w:hint="default"/>
                      <w:szCs w:val="21"/>
                      <w:lang w:val="en-US" w:eastAsia="zh-CN"/>
                    </w:rPr>
                  </w:pPr>
                  <w:r>
                    <w:rPr>
                      <w:rFonts w:hint="eastAsia"/>
                      <w:szCs w:val="21"/>
                      <w:lang w:val="en-US" w:eastAsia="zh-CN"/>
                    </w:rPr>
                    <w:t>打磨流水线</w:t>
                  </w:r>
                </w:p>
              </w:tc>
              <w:tc>
                <w:tcPr>
                  <w:tcW w:w="305" w:type="pct"/>
                  <w:vMerge w:val="restart"/>
                  <w:shd w:val="clear" w:color="auto" w:fill="auto"/>
                  <w:vAlign w:val="center"/>
                </w:tcPr>
                <w:p w14:paraId="3C2803E2">
                  <w:pPr>
                    <w:jc w:val="center"/>
                    <w:rPr>
                      <w:rFonts w:hint="default"/>
                      <w:szCs w:val="21"/>
                      <w:lang w:val="en-US" w:eastAsia="zh-CN"/>
                    </w:rPr>
                  </w:pPr>
                  <w:r>
                    <w:rPr>
                      <w:rFonts w:hint="eastAsia"/>
                      <w:szCs w:val="21"/>
                      <w:lang w:val="en-US" w:eastAsia="zh-CN"/>
                    </w:rPr>
                    <w:t>4</w:t>
                  </w:r>
                </w:p>
              </w:tc>
              <w:tc>
                <w:tcPr>
                  <w:tcW w:w="393" w:type="pct"/>
                  <w:vMerge w:val="restart"/>
                  <w:vAlign w:val="center"/>
                </w:tcPr>
                <w:p w14:paraId="337D2398">
                  <w:pPr>
                    <w:jc w:val="center"/>
                    <w:rPr>
                      <w:rFonts w:hint="default"/>
                      <w:szCs w:val="21"/>
                      <w:lang w:val="en-US" w:eastAsia="zh-CN"/>
                    </w:rPr>
                  </w:pPr>
                  <w:r>
                    <w:rPr>
                      <w:rFonts w:hint="eastAsia"/>
                      <w:szCs w:val="21"/>
                      <w:lang w:val="en-US" w:eastAsia="zh-CN"/>
                    </w:rPr>
                    <w:t>55-60</w:t>
                  </w:r>
                </w:p>
              </w:tc>
              <w:tc>
                <w:tcPr>
                  <w:tcW w:w="298" w:type="pct"/>
                  <w:vMerge w:val="continue"/>
                  <w:vAlign w:val="center"/>
                </w:tcPr>
                <w:p w14:paraId="5B259B7E">
                  <w:pPr>
                    <w:jc w:val="center"/>
                    <w:rPr>
                      <w:rFonts w:hint="eastAsia"/>
                      <w:szCs w:val="21"/>
                      <w:lang w:val="en-US" w:eastAsia="zh-CN"/>
                    </w:rPr>
                  </w:pPr>
                </w:p>
              </w:tc>
              <w:tc>
                <w:tcPr>
                  <w:tcW w:w="276" w:type="pct"/>
                  <w:vMerge w:val="restart"/>
                  <w:vAlign w:val="center"/>
                </w:tcPr>
                <w:p w14:paraId="39065B1D">
                  <w:pPr>
                    <w:jc w:val="center"/>
                    <w:rPr>
                      <w:rFonts w:hint="default"/>
                      <w:szCs w:val="21"/>
                      <w:lang w:val="en-US" w:eastAsia="zh-CN"/>
                    </w:rPr>
                  </w:pPr>
                  <w:r>
                    <w:rPr>
                      <w:rFonts w:hint="eastAsia"/>
                      <w:szCs w:val="21"/>
                      <w:lang w:val="en-US" w:eastAsia="zh-CN"/>
                    </w:rPr>
                    <w:t>1-12</w:t>
                  </w:r>
                </w:p>
              </w:tc>
              <w:tc>
                <w:tcPr>
                  <w:tcW w:w="298" w:type="pct"/>
                  <w:vMerge w:val="restart"/>
                  <w:vAlign w:val="center"/>
                </w:tcPr>
                <w:p w14:paraId="5706A019">
                  <w:pPr>
                    <w:jc w:val="center"/>
                    <w:rPr>
                      <w:rFonts w:hint="default"/>
                      <w:szCs w:val="21"/>
                      <w:lang w:val="en-US" w:eastAsia="zh-CN"/>
                    </w:rPr>
                  </w:pPr>
                  <w:r>
                    <w:rPr>
                      <w:rFonts w:hint="eastAsia"/>
                      <w:szCs w:val="21"/>
                      <w:lang w:val="en-US" w:eastAsia="zh-CN"/>
                    </w:rPr>
                    <w:t>12-20</w:t>
                  </w:r>
                </w:p>
              </w:tc>
              <w:tc>
                <w:tcPr>
                  <w:tcW w:w="305" w:type="pct"/>
                  <w:vMerge w:val="restart"/>
                  <w:vAlign w:val="center"/>
                </w:tcPr>
                <w:p w14:paraId="1E6B7A9F">
                  <w:pPr>
                    <w:jc w:val="center"/>
                    <w:rPr>
                      <w:rFonts w:hint="default"/>
                      <w:szCs w:val="21"/>
                      <w:lang w:val="en-US" w:eastAsia="zh-CN"/>
                    </w:rPr>
                  </w:pPr>
                  <w:r>
                    <w:rPr>
                      <w:rFonts w:hint="eastAsia"/>
                      <w:szCs w:val="21"/>
                      <w:lang w:val="en-US" w:eastAsia="zh-CN"/>
                    </w:rPr>
                    <w:t>9.6</w:t>
                  </w:r>
                </w:p>
              </w:tc>
              <w:tc>
                <w:tcPr>
                  <w:tcW w:w="254" w:type="pct"/>
                  <w:shd w:val="clear" w:color="auto" w:fill="auto"/>
                  <w:vAlign w:val="center"/>
                </w:tcPr>
                <w:p w14:paraId="27264497">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西北</w:t>
                  </w:r>
                </w:p>
              </w:tc>
              <w:tc>
                <w:tcPr>
                  <w:tcW w:w="262" w:type="pct"/>
                  <w:shd w:val="clear" w:color="auto" w:fill="auto"/>
                  <w:vAlign w:val="center"/>
                </w:tcPr>
                <w:p w14:paraId="6D2B3C50">
                  <w:pPr>
                    <w:jc w:val="center"/>
                    <w:rPr>
                      <w:rFonts w:hint="default"/>
                      <w:szCs w:val="21"/>
                      <w:lang w:val="en-US" w:eastAsia="zh-CN"/>
                    </w:rPr>
                  </w:pPr>
                  <w:r>
                    <w:rPr>
                      <w:rFonts w:hint="eastAsia"/>
                      <w:szCs w:val="21"/>
                      <w:lang w:val="en-US" w:eastAsia="zh-CN"/>
                    </w:rPr>
                    <w:t>1</w:t>
                  </w:r>
                </w:p>
              </w:tc>
              <w:tc>
                <w:tcPr>
                  <w:tcW w:w="378" w:type="pct"/>
                  <w:vAlign w:val="center"/>
                </w:tcPr>
                <w:p w14:paraId="42EB4B3E">
                  <w:pPr>
                    <w:jc w:val="center"/>
                    <w:rPr>
                      <w:rFonts w:hint="default"/>
                      <w:szCs w:val="21"/>
                      <w:lang w:val="en-US" w:eastAsia="zh-CN"/>
                    </w:rPr>
                  </w:pPr>
                  <w:r>
                    <w:rPr>
                      <w:rFonts w:hint="eastAsia"/>
                      <w:szCs w:val="21"/>
                      <w:lang w:val="en-US" w:eastAsia="zh-CN"/>
                    </w:rPr>
                    <w:t>59.4</w:t>
                  </w:r>
                </w:p>
              </w:tc>
              <w:tc>
                <w:tcPr>
                  <w:tcW w:w="291" w:type="pct"/>
                  <w:vMerge w:val="restart"/>
                  <w:vAlign w:val="center"/>
                </w:tcPr>
                <w:p w14:paraId="3E62F814">
                  <w:pPr>
                    <w:jc w:val="center"/>
                    <w:rPr>
                      <w:rFonts w:hint="eastAsia"/>
                      <w:szCs w:val="21"/>
                      <w:lang w:val="en-US" w:eastAsia="zh-CN"/>
                    </w:rPr>
                  </w:pPr>
                  <w:r>
                    <w:rPr>
                      <w:rFonts w:hint="eastAsia"/>
                      <w:snapToGrid w:val="0"/>
                      <w:szCs w:val="21"/>
                      <w:lang w:val="en-US" w:eastAsia="zh-CN"/>
                    </w:rPr>
                    <w:t>8</w:t>
                  </w:r>
                  <w:r>
                    <w:rPr>
                      <w:snapToGrid w:val="0"/>
                      <w:szCs w:val="21"/>
                    </w:rPr>
                    <w:t>h</w:t>
                  </w:r>
                  <w:r>
                    <w:rPr>
                      <w:rFonts w:hint="eastAsia"/>
                      <w:snapToGrid w:val="0"/>
                      <w:szCs w:val="21"/>
                    </w:rPr>
                    <w:t>/d</w:t>
                  </w:r>
                </w:p>
              </w:tc>
              <w:tc>
                <w:tcPr>
                  <w:tcW w:w="429" w:type="pct"/>
                  <w:vMerge w:val="restart"/>
                  <w:vAlign w:val="center"/>
                </w:tcPr>
                <w:p w14:paraId="04A3DA9E">
                  <w:pPr>
                    <w:jc w:val="center"/>
                    <w:rPr>
                      <w:rFonts w:hint="eastAsia"/>
                      <w:szCs w:val="21"/>
                      <w:lang w:val="en-US" w:eastAsia="zh-CN"/>
                    </w:rPr>
                  </w:pPr>
                  <w:r>
                    <w:rPr>
                      <w:rFonts w:hint="eastAsia"/>
                      <w:szCs w:val="21"/>
                    </w:rPr>
                    <w:t>-15</w:t>
                  </w:r>
                </w:p>
              </w:tc>
              <w:tc>
                <w:tcPr>
                  <w:tcW w:w="458" w:type="pct"/>
                  <w:vAlign w:val="center"/>
                </w:tcPr>
                <w:p w14:paraId="04A39359">
                  <w:pPr>
                    <w:jc w:val="center"/>
                    <w:rPr>
                      <w:rFonts w:hint="default"/>
                      <w:szCs w:val="21"/>
                      <w:lang w:val="en-US" w:eastAsia="zh-CN"/>
                    </w:rPr>
                  </w:pPr>
                  <w:r>
                    <w:rPr>
                      <w:rFonts w:hint="eastAsia"/>
                      <w:szCs w:val="21"/>
                      <w:lang w:val="en-US" w:eastAsia="zh-CN"/>
                    </w:rPr>
                    <w:t>44.4</w:t>
                  </w:r>
                </w:p>
              </w:tc>
              <w:tc>
                <w:tcPr>
                  <w:tcW w:w="318" w:type="pct"/>
                  <w:vMerge w:val="continue"/>
                  <w:vAlign w:val="center"/>
                </w:tcPr>
                <w:p w14:paraId="338FF732">
                  <w:pPr>
                    <w:jc w:val="center"/>
                    <w:rPr>
                      <w:rFonts w:hint="eastAsia"/>
                      <w:szCs w:val="21"/>
                      <w:lang w:val="en-US" w:eastAsia="zh-CN"/>
                    </w:rPr>
                  </w:pPr>
                </w:p>
              </w:tc>
            </w:tr>
            <w:tr w14:paraId="17E7B9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78" w:type="pct"/>
                  <w:vMerge w:val="continue"/>
                  <w:vAlign w:val="center"/>
                </w:tcPr>
                <w:p w14:paraId="6F99D8B5">
                  <w:pPr>
                    <w:jc w:val="center"/>
                  </w:pPr>
                </w:p>
              </w:tc>
              <w:tc>
                <w:tcPr>
                  <w:tcW w:w="295" w:type="pct"/>
                  <w:vMerge w:val="continue"/>
                  <w:vAlign w:val="center"/>
                </w:tcPr>
                <w:p w14:paraId="76FD189F">
                  <w:pPr>
                    <w:jc w:val="center"/>
                  </w:pPr>
                </w:p>
              </w:tc>
              <w:tc>
                <w:tcPr>
                  <w:tcW w:w="255" w:type="pct"/>
                  <w:vMerge w:val="continue"/>
                  <w:shd w:val="clear" w:color="auto" w:fill="auto"/>
                  <w:vAlign w:val="center"/>
                </w:tcPr>
                <w:p w14:paraId="14933718">
                  <w:pPr>
                    <w:jc w:val="center"/>
                  </w:pPr>
                </w:p>
              </w:tc>
              <w:tc>
                <w:tcPr>
                  <w:tcW w:w="305" w:type="pct"/>
                  <w:vMerge w:val="continue"/>
                  <w:shd w:val="clear" w:color="auto" w:fill="auto"/>
                  <w:vAlign w:val="center"/>
                </w:tcPr>
                <w:p w14:paraId="16EE1D29">
                  <w:pPr>
                    <w:jc w:val="center"/>
                  </w:pPr>
                </w:p>
              </w:tc>
              <w:tc>
                <w:tcPr>
                  <w:tcW w:w="393" w:type="pct"/>
                  <w:vMerge w:val="continue"/>
                  <w:vAlign w:val="center"/>
                </w:tcPr>
                <w:p w14:paraId="0510121E">
                  <w:pPr>
                    <w:jc w:val="center"/>
                  </w:pPr>
                </w:p>
              </w:tc>
              <w:tc>
                <w:tcPr>
                  <w:tcW w:w="298" w:type="pct"/>
                  <w:vMerge w:val="continue"/>
                  <w:vAlign w:val="center"/>
                </w:tcPr>
                <w:p w14:paraId="6622F20D">
                  <w:pPr>
                    <w:jc w:val="center"/>
                  </w:pPr>
                </w:p>
              </w:tc>
              <w:tc>
                <w:tcPr>
                  <w:tcW w:w="276" w:type="pct"/>
                  <w:vMerge w:val="continue"/>
                  <w:vAlign w:val="center"/>
                </w:tcPr>
                <w:p w14:paraId="5571B66D">
                  <w:pPr>
                    <w:jc w:val="center"/>
                  </w:pPr>
                </w:p>
              </w:tc>
              <w:tc>
                <w:tcPr>
                  <w:tcW w:w="298" w:type="pct"/>
                  <w:vMerge w:val="continue"/>
                  <w:vAlign w:val="center"/>
                </w:tcPr>
                <w:p w14:paraId="55C026EC">
                  <w:pPr>
                    <w:jc w:val="center"/>
                  </w:pPr>
                </w:p>
              </w:tc>
              <w:tc>
                <w:tcPr>
                  <w:tcW w:w="305" w:type="pct"/>
                  <w:vMerge w:val="continue"/>
                  <w:vAlign w:val="center"/>
                </w:tcPr>
                <w:p w14:paraId="69159A1E">
                  <w:pPr>
                    <w:jc w:val="center"/>
                  </w:pPr>
                </w:p>
              </w:tc>
              <w:tc>
                <w:tcPr>
                  <w:tcW w:w="254" w:type="pct"/>
                  <w:shd w:val="clear" w:color="auto" w:fill="auto"/>
                  <w:vAlign w:val="center"/>
                </w:tcPr>
                <w:p w14:paraId="15B9D08D">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西南</w:t>
                  </w:r>
                </w:p>
              </w:tc>
              <w:tc>
                <w:tcPr>
                  <w:tcW w:w="262" w:type="pct"/>
                  <w:shd w:val="clear" w:color="auto" w:fill="auto"/>
                  <w:vAlign w:val="center"/>
                </w:tcPr>
                <w:p w14:paraId="7E06F6E5">
                  <w:pPr>
                    <w:jc w:val="center"/>
                    <w:rPr>
                      <w:rFonts w:hint="default"/>
                      <w:szCs w:val="21"/>
                      <w:lang w:val="en-US" w:eastAsia="zh-CN"/>
                    </w:rPr>
                  </w:pPr>
                  <w:r>
                    <w:rPr>
                      <w:rFonts w:hint="eastAsia"/>
                      <w:szCs w:val="21"/>
                      <w:lang w:val="en-US" w:eastAsia="zh-CN"/>
                    </w:rPr>
                    <w:t>20</w:t>
                  </w:r>
                </w:p>
              </w:tc>
              <w:tc>
                <w:tcPr>
                  <w:tcW w:w="378" w:type="pct"/>
                  <w:vAlign w:val="center"/>
                </w:tcPr>
                <w:p w14:paraId="25358B4B">
                  <w:pPr>
                    <w:jc w:val="center"/>
                    <w:rPr>
                      <w:rFonts w:hint="default"/>
                      <w:szCs w:val="21"/>
                      <w:lang w:val="en-US" w:eastAsia="zh-CN"/>
                    </w:rPr>
                  </w:pPr>
                  <w:r>
                    <w:rPr>
                      <w:rFonts w:hint="eastAsia"/>
                      <w:szCs w:val="21"/>
                      <w:lang w:val="en-US" w:eastAsia="zh-CN"/>
                    </w:rPr>
                    <w:t>48.9</w:t>
                  </w:r>
                </w:p>
              </w:tc>
              <w:tc>
                <w:tcPr>
                  <w:tcW w:w="291" w:type="pct"/>
                  <w:vMerge w:val="continue"/>
                  <w:vAlign w:val="center"/>
                </w:tcPr>
                <w:p w14:paraId="318E1EAD">
                  <w:pPr>
                    <w:jc w:val="center"/>
                    <w:rPr>
                      <w:rFonts w:hint="eastAsia"/>
                      <w:szCs w:val="21"/>
                      <w:lang w:val="en-US" w:eastAsia="zh-CN"/>
                    </w:rPr>
                  </w:pPr>
                </w:p>
              </w:tc>
              <w:tc>
                <w:tcPr>
                  <w:tcW w:w="429" w:type="pct"/>
                  <w:vMerge w:val="continue"/>
                  <w:vAlign w:val="center"/>
                </w:tcPr>
                <w:p w14:paraId="3EFDB7F2">
                  <w:pPr>
                    <w:jc w:val="center"/>
                    <w:rPr>
                      <w:rFonts w:hint="eastAsia"/>
                      <w:szCs w:val="21"/>
                      <w:lang w:val="en-US" w:eastAsia="zh-CN"/>
                    </w:rPr>
                  </w:pPr>
                </w:p>
              </w:tc>
              <w:tc>
                <w:tcPr>
                  <w:tcW w:w="458" w:type="pct"/>
                  <w:vAlign w:val="center"/>
                </w:tcPr>
                <w:p w14:paraId="115FF108">
                  <w:pPr>
                    <w:jc w:val="center"/>
                    <w:rPr>
                      <w:rFonts w:hint="default"/>
                      <w:szCs w:val="21"/>
                      <w:lang w:val="en-US" w:eastAsia="zh-CN"/>
                    </w:rPr>
                  </w:pPr>
                  <w:r>
                    <w:rPr>
                      <w:rFonts w:hint="eastAsia"/>
                      <w:szCs w:val="21"/>
                      <w:lang w:val="en-US" w:eastAsia="zh-CN"/>
                    </w:rPr>
                    <w:t>33.9</w:t>
                  </w:r>
                </w:p>
              </w:tc>
              <w:tc>
                <w:tcPr>
                  <w:tcW w:w="318" w:type="pct"/>
                  <w:vMerge w:val="continue"/>
                  <w:vAlign w:val="center"/>
                </w:tcPr>
                <w:p w14:paraId="579A0E9F">
                  <w:pPr>
                    <w:jc w:val="center"/>
                    <w:rPr>
                      <w:rFonts w:hint="eastAsia"/>
                      <w:szCs w:val="21"/>
                      <w:lang w:val="en-US" w:eastAsia="zh-CN"/>
                    </w:rPr>
                  </w:pPr>
                </w:p>
              </w:tc>
            </w:tr>
            <w:tr w14:paraId="111A9B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78" w:type="pct"/>
                  <w:vMerge w:val="continue"/>
                  <w:vAlign w:val="center"/>
                </w:tcPr>
                <w:p w14:paraId="754AD130">
                  <w:pPr>
                    <w:jc w:val="center"/>
                    <w:rPr>
                      <w:rFonts w:hint="eastAsia"/>
                      <w:szCs w:val="21"/>
                      <w:lang w:val="en-US" w:eastAsia="zh-CN"/>
                    </w:rPr>
                  </w:pPr>
                </w:p>
              </w:tc>
              <w:tc>
                <w:tcPr>
                  <w:tcW w:w="295" w:type="pct"/>
                  <w:vMerge w:val="continue"/>
                  <w:vAlign w:val="center"/>
                </w:tcPr>
                <w:p w14:paraId="6713EF8F">
                  <w:pPr>
                    <w:jc w:val="center"/>
                    <w:rPr>
                      <w:rFonts w:hint="eastAsia"/>
                      <w:szCs w:val="21"/>
                      <w:lang w:val="en-US" w:eastAsia="zh-CN"/>
                    </w:rPr>
                  </w:pPr>
                </w:p>
              </w:tc>
              <w:tc>
                <w:tcPr>
                  <w:tcW w:w="255" w:type="pct"/>
                  <w:vMerge w:val="continue"/>
                  <w:shd w:val="clear" w:color="auto" w:fill="auto"/>
                  <w:vAlign w:val="center"/>
                </w:tcPr>
                <w:p w14:paraId="3F67347D">
                  <w:pPr>
                    <w:jc w:val="center"/>
                    <w:rPr>
                      <w:rFonts w:hint="eastAsia"/>
                      <w:szCs w:val="21"/>
                      <w:lang w:val="en-US" w:eastAsia="zh-CN"/>
                    </w:rPr>
                  </w:pPr>
                </w:p>
              </w:tc>
              <w:tc>
                <w:tcPr>
                  <w:tcW w:w="305" w:type="pct"/>
                  <w:vMerge w:val="continue"/>
                  <w:shd w:val="clear" w:color="auto" w:fill="auto"/>
                  <w:vAlign w:val="center"/>
                </w:tcPr>
                <w:p w14:paraId="38FF9755">
                  <w:pPr>
                    <w:jc w:val="center"/>
                    <w:rPr>
                      <w:rFonts w:hint="eastAsia"/>
                      <w:szCs w:val="21"/>
                      <w:lang w:val="en-US" w:eastAsia="zh-CN"/>
                    </w:rPr>
                  </w:pPr>
                </w:p>
              </w:tc>
              <w:tc>
                <w:tcPr>
                  <w:tcW w:w="393" w:type="pct"/>
                  <w:vMerge w:val="continue"/>
                  <w:vAlign w:val="center"/>
                </w:tcPr>
                <w:p w14:paraId="7486D99E">
                  <w:pPr>
                    <w:jc w:val="center"/>
                    <w:rPr>
                      <w:rFonts w:hint="eastAsia"/>
                      <w:szCs w:val="21"/>
                      <w:lang w:val="en-US" w:eastAsia="zh-CN"/>
                    </w:rPr>
                  </w:pPr>
                </w:p>
              </w:tc>
              <w:tc>
                <w:tcPr>
                  <w:tcW w:w="298" w:type="pct"/>
                  <w:vMerge w:val="continue"/>
                  <w:vAlign w:val="center"/>
                </w:tcPr>
                <w:p w14:paraId="7C40747B">
                  <w:pPr>
                    <w:jc w:val="center"/>
                    <w:rPr>
                      <w:rFonts w:hint="eastAsia"/>
                      <w:szCs w:val="21"/>
                      <w:lang w:val="en-US" w:eastAsia="zh-CN"/>
                    </w:rPr>
                  </w:pPr>
                </w:p>
              </w:tc>
              <w:tc>
                <w:tcPr>
                  <w:tcW w:w="276" w:type="pct"/>
                  <w:vMerge w:val="continue"/>
                  <w:vAlign w:val="center"/>
                </w:tcPr>
                <w:p w14:paraId="777B719A">
                  <w:pPr>
                    <w:jc w:val="center"/>
                    <w:rPr>
                      <w:rFonts w:hint="eastAsia"/>
                      <w:szCs w:val="21"/>
                      <w:lang w:val="en-US" w:eastAsia="zh-CN"/>
                    </w:rPr>
                  </w:pPr>
                </w:p>
              </w:tc>
              <w:tc>
                <w:tcPr>
                  <w:tcW w:w="298" w:type="pct"/>
                  <w:vMerge w:val="continue"/>
                  <w:vAlign w:val="center"/>
                </w:tcPr>
                <w:p w14:paraId="22C1E18B">
                  <w:pPr>
                    <w:jc w:val="center"/>
                    <w:rPr>
                      <w:rFonts w:hint="eastAsia"/>
                      <w:szCs w:val="21"/>
                      <w:lang w:val="en-US" w:eastAsia="zh-CN"/>
                    </w:rPr>
                  </w:pPr>
                </w:p>
              </w:tc>
              <w:tc>
                <w:tcPr>
                  <w:tcW w:w="305" w:type="pct"/>
                  <w:vMerge w:val="continue"/>
                  <w:vAlign w:val="center"/>
                </w:tcPr>
                <w:p w14:paraId="76FFBD0E">
                  <w:pPr>
                    <w:jc w:val="center"/>
                    <w:rPr>
                      <w:rFonts w:hint="eastAsia"/>
                      <w:szCs w:val="21"/>
                      <w:lang w:val="en-US" w:eastAsia="zh-CN"/>
                    </w:rPr>
                  </w:pPr>
                </w:p>
              </w:tc>
              <w:tc>
                <w:tcPr>
                  <w:tcW w:w="254" w:type="pct"/>
                  <w:shd w:val="clear" w:color="auto" w:fill="auto"/>
                  <w:vAlign w:val="center"/>
                </w:tcPr>
                <w:p w14:paraId="28BE90ED">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东北</w:t>
                  </w:r>
                </w:p>
              </w:tc>
              <w:tc>
                <w:tcPr>
                  <w:tcW w:w="262" w:type="pct"/>
                  <w:shd w:val="clear" w:color="auto" w:fill="auto"/>
                  <w:vAlign w:val="center"/>
                </w:tcPr>
                <w:p w14:paraId="6EC60FC2">
                  <w:pPr>
                    <w:jc w:val="center"/>
                    <w:rPr>
                      <w:rFonts w:hint="default"/>
                      <w:szCs w:val="21"/>
                      <w:lang w:val="en-US" w:eastAsia="zh-CN"/>
                    </w:rPr>
                  </w:pPr>
                  <w:r>
                    <w:rPr>
                      <w:rFonts w:hint="eastAsia"/>
                      <w:szCs w:val="21"/>
                      <w:lang w:val="en-US" w:eastAsia="zh-CN"/>
                    </w:rPr>
                    <w:t>2</w:t>
                  </w:r>
                </w:p>
              </w:tc>
              <w:tc>
                <w:tcPr>
                  <w:tcW w:w="378" w:type="pct"/>
                  <w:vAlign w:val="center"/>
                </w:tcPr>
                <w:p w14:paraId="7DE12157">
                  <w:pPr>
                    <w:jc w:val="center"/>
                    <w:rPr>
                      <w:rFonts w:hint="default"/>
                      <w:szCs w:val="21"/>
                      <w:lang w:val="en-US" w:eastAsia="zh-CN"/>
                    </w:rPr>
                  </w:pPr>
                  <w:r>
                    <w:rPr>
                      <w:rFonts w:hint="eastAsia"/>
                      <w:szCs w:val="21"/>
                      <w:lang w:val="en-US" w:eastAsia="zh-CN"/>
                    </w:rPr>
                    <w:t>56.4</w:t>
                  </w:r>
                </w:p>
              </w:tc>
              <w:tc>
                <w:tcPr>
                  <w:tcW w:w="291" w:type="pct"/>
                  <w:vMerge w:val="continue"/>
                  <w:vAlign w:val="center"/>
                </w:tcPr>
                <w:p w14:paraId="22C80C65">
                  <w:pPr>
                    <w:jc w:val="center"/>
                    <w:rPr>
                      <w:rFonts w:hint="eastAsia"/>
                      <w:szCs w:val="21"/>
                      <w:lang w:val="en-US" w:eastAsia="zh-CN"/>
                    </w:rPr>
                  </w:pPr>
                </w:p>
              </w:tc>
              <w:tc>
                <w:tcPr>
                  <w:tcW w:w="429" w:type="pct"/>
                  <w:vMerge w:val="continue"/>
                  <w:vAlign w:val="center"/>
                </w:tcPr>
                <w:p w14:paraId="7F98FE0D">
                  <w:pPr>
                    <w:jc w:val="center"/>
                    <w:rPr>
                      <w:rFonts w:hint="eastAsia"/>
                      <w:szCs w:val="21"/>
                      <w:lang w:val="en-US" w:eastAsia="zh-CN"/>
                    </w:rPr>
                  </w:pPr>
                </w:p>
              </w:tc>
              <w:tc>
                <w:tcPr>
                  <w:tcW w:w="458" w:type="pct"/>
                  <w:vAlign w:val="center"/>
                </w:tcPr>
                <w:p w14:paraId="548F8950">
                  <w:pPr>
                    <w:jc w:val="center"/>
                    <w:rPr>
                      <w:rFonts w:hint="default"/>
                      <w:szCs w:val="21"/>
                      <w:lang w:val="en-US" w:eastAsia="zh-CN"/>
                    </w:rPr>
                  </w:pPr>
                  <w:r>
                    <w:rPr>
                      <w:rFonts w:hint="eastAsia"/>
                      <w:szCs w:val="21"/>
                      <w:lang w:val="en-US" w:eastAsia="zh-CN"/>
                    </w:rPr>
                    <w:t>41.4</w:t>
                  </w:r>
                </w:p>
              </w:tc>
              <w:tc>
                <w:tcPr>
                  <w:tcW w:w="318" w:type="pct"/>
                  <w:vMerge w:val="continue"/>
                  <w:vAlign w:val="center"/>
                </w:tcPr>
                <w:p w14:paraId="1D0DE8E1">
                  <w:pPr>
                    <w:jc w:val="center"/>
                    <w:rPr>
                      <w:rFonts w:hint="eastAsia"/>
                      <w:szCs w:val="21"/>
                      <w:lang w:val="en-US" w:eastAsia="zh-CN"/>
                    </w:rPr>
                  </w:pPr>
                </w:p>
              </w:tc>
            </w:tr>
            <w:tr w14:paraId="0AC6EB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78" w:type="pct"/>
                  <w:vMerge w:val="continue"/>
                  <w:vAlign w:val="center"/>
                </w:tcPr>
                <w:p w14:paraId="21CC42F8">
                  <w:pPr>
                    <w:jc w:val="center"/>
                    <w:rPr>
                      <w:rFonts w:hint="eastAsia"/>
                      <w:szCs w:val="21"/>
                      <w:lang w:val="en-US" w:eastAsia="zh-CN"/>
                    </w:rPr>
                  </w:pPr>
                </w:p>
              </w:tc>
              <w:tc>
                <w:tcPr>
                  <w:tcW w:w="295" w:type="pct"/>
                  <w:vMerge w:val="continue"/>
                  <w:vAlign w:val="center"/>
                </w:tcPr>
                <w:p w14:paraId="18688A55">
                  <w:pPr>
                    <w:jc w:val="center"/>
                    <w:rPr>
                      <w:rFonts w:hint="eastAsia"/>
                      <w:szCs w:val="21"/>
                      <w:lang w:val="en-US" w:eastAsia="zh-CN"/>
                    </w:rPr>
                  </w:pPr>
                </w:p>
              </w:tc>
              <w:tc>
                <w:tcPr>
                  <w:tcW w:w="255" w:type="pct"/>
                  <w:vMerge w:val="continue"/>
                  <w:shd w:val="clear" w:color="auto" w:fill="auto"/>
                  <w:vAlign w:val="center"/>
                </w:tcPr>
                <w:p w14:paraId="00C94760">
                  <w:pPr>
                    <w:jc w:val="center"/>
                    <w:rPr>
                      <w:rFonts w:hint="eastAsia"/>
                      <w:szCs w:val="21"/>
                      <w:lang w:val="en-US" w:eastAsia="zh-CN"/>
                    </w:rPr>
                  </w:pPr>
                </w:p>
              </w:tc>
              <w:tc>
                <w:tcPr>
                  <w:tcW w:w="305" w:type="pct"/>
                  <w:vMerge w:val="continue"/>
                  <w:shd w:val="clear" w:color="auto" w:fill="auto"/>
                  <w:vAlign w:val="center"/>
                </w:tcPr>
                <w:p w14:paraId="261A5058">
                  <w:pPr>
                    <w:jc w:val="center"/>
                    <w:rPr>
                      <w:rFonts w:hint="eastAsia"/>
                      <w:szCs w:val="21"/>
                      <w:lang w:val="en-US" w:eastAsia="zh-CN"/>
                    </w:rPr>
                  </w:pPr>
                </w:p>
              </w:tc>
              <w:tc>
                <w:tcPr>
                  <w:tcW w:w="393" w:type="pct"/>
                  <w:vMerge w:val="continue"/>
                  <w:vAlign w:val="center"/>
                </w:tcPr>
                <w:p w14:paraId="0385DE0C">
                  <w:pPr>
                    <w:jc w:val="center"/>
                    <w:rPr>
                      <w:rFonts w:hint="eastAsia"/>
                      <w:szCs w:val="21"/>
                      <w:lang w:val="en-US" w:eastAsia="zh-CN"/>
                    </w:rPr>
                  </w:pPr>
                </w:p>
              </w:tc>
              <w:tc>
                <w:tcPr>
                  <w:tcW w:w="298" w:type="pct"/>
                  <w:vMerge w:val="continue"/>
                  <w:vAlign w:val="center"/>
                </w:tcPr>
                <w:p w14:paraId="5DB37AD9">
                  <w:pPr>
                    <w:jc w:val="center"/>
                    <w:rPr>
                      <w:rFonts w:hint="eastAsia"/>
                      <w:szCs w:val="21"/>
                      <w:lang w:val="en-US" w:eastAsia="zh-CN"/>
                    </w:rPr>
                  </w:pPr>
                </w:p>
              </w:tc>
              <w:tc>
                <w:tcPr>
                  <w:tcW w:w="276" w:type="pct"/>
                  <w:vMerge w:val="continue"/>
                  <w:vAlign w:val="center"/>
                </w:tcPr>
                <w:p w14:paraId="36B0F0EF">
                  <w:pPr>
                    <w:jc w:val="center"/>
                    <w:rPr>
                      <w:rFonts w:hint="eastAsia"/>
                      <w:szCs w:val="21"/>
                      <w:lang w:val="en-US" w:eastAsia="zh-CN"/>
                    </w:rPr>
                  </w:pPr>
                </w:p>
              </w:tc>
              <w:tc>
                <w:tcPr>
                  <w:tcW w:w="298" w:type="pct"/>
                  <w:vMerge w:val="continue"/>
                  <w:vAlign w:val="center"/>
                </w:tcPr>
                <w:p w14:paraId="4AB89476">
                  <w:pPr>
                    <w:jc w:val="center"/>
                    <w:rPr>
                      <w:rFonts w:hint="eastAsia"/>
                      <w:szCs w:val="21"/>
                      <w:lang w:val="en-US" w:eastAsia="zh-CN"/>
                    </w:rPr>
                  </w:pPr>
                </w:p>
              </w:tc>
              <w:tc>
                <w:tcPr>
                  <w:tcW w:w="305" w:type="pct"/>
                  <w:vMerge w:val="continue"/>
                  <w:vAlign w:val="center"/>
                </w:tcPr>
                <w:p w14:paraId="199DA8C0">
                  <w:pPr>
                    <w:jc w:val="center"/>
                    <w:rPr>
                      <w:rFonts w:hint="eastAsia"/>
                      <w:szCs w:val="21"/>
                      <w:lang w:val="en-US" w:eastAsia="zh-CN"/>
                    </w:rPr>
                  </w:pPr>
                </w:p>
              </w:tc>
              <w:tc>
                <w:tcPr>
                  <w:tcW w:w="254" w:type="pct"/>
                  <w:shd w:val="clear" w:color="auto" w:fill="auto"/>
                  <w:vAlign w:val="center"/>
                </w:tcPr>
                <w:p w14:paraId="657162CB">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东南</w:t>
                  </w:r>
                </w:p>
              </w:tc>
              <w:tc>
                <w:tcPr>
                  <w:tcW w:w="262" w:type="pct"/>
                  <w:shd w:val="clear" w:color="auto" w:fill="auto"/>
                  <w:vAlign w:val="center"/>
                </w:tcPr>
                <w:p w14:paraId="574196CE">
                  <w:pPr>
                    <w:jc w:val="center"/>
                    <w:rPr>
                      <w:rFonts w:hint="default"/>
                      <w:szCs w:val="21"/>
                      <w:lang w:val="en-US" w:eastAsia="zh-CN"/>
                    </w:rPr>
                  </w:pPr>
                  <w:r>
                    <w:rPr>
                      <w:rFonts w:hint="eastAsia"/>
                      <w:szCs w:val="21"/>
                      <w:lang w:val="en-US" w:eastAsia="zh-CN"/>
                    </w:rPr>
                    <w:t>29</w:t>
                  </w:r>
                </w:p>
              </w:tc>
              <w:tc>
                <w:tcPr>
                  <w:tcW w:w="378" w:type="pct"/>
                  <w:vAlign w:val="center"/>
                </w:tcPr>
                <w:p w14:paraId="6AB44301">
                  <w:pPr>
                    <w:jc w:val="center"/>
                    <w:rPr>
                      <w:rFonts w:hint="default"/>
                      <w:szCs w:val="21"/>
                      <w:lang w:val="en-US" w:eastAsia="zh-CN"/>
                    </w:rPr>
                  </w:pPr>
                  <w:r>
                    <w:rPr>
                      <w:rFonts w:hint="eastAsia"/>
                      <w:szCs w:val="21"/>
                      <w:lang w:val="en-US" w:eastAsia="zh-CN"/>
                    </w:rPr>
                    <w:t>43.3</w:t>
                  </w:r>
                </w:p>
              </w:tc>
              <w:tc>
                <w:tcPr>
                  <w:tcW w:w="291" w:type="pct"/>
                  <w:vMerge w:val="continue"/>
                  <w:vAlign w:val="center"/>
                </w:tcPr>
                <w:p w14:paraId="519FC70C">
                  <w:pPr>
                    <w:jc w:val="center"/>
                    <w:rPr>
                      <w:rFonts w:hint="eastAsia"/>
                      <w:szCs w:val="21"/>
                      <w:lang w:val="en-US" w:eastAsia="zh-CN"/>
                    </w:rPr>
                  </w:pPr>
                </w:p>
              </w:tc>
              <w:tc>
                <w:tcPr>
                  <w:tcW w:w="429" w:type="pct"/>
                  <w:vMerge w:val="continue"/>
                  <w:vAlign w:val="center"/>
                </w:tcPr>
                <w:p w14:paraId="40156BD0">
                  <w:pPr>
                    <w:jc w:val="center"/>
                    <w:rPr>
                      <w:rFonts w:hint="eastAsia"/>
                      <w:szCs w:val="21"/>
                      <w:lang w:val="en-US" w:eastAsia="zh-CN"/>
                    </w:rPr>
                  </w:pPr>
                </w:p>
              </w:tc>
              <w:tc>
                <w:tcPr>
                  <w:tcW w:w="458" w:type="pct"/>
                  <w:vAlign w:val="center"/>
                </w:tcPr>
                <w:p w14:paraId="486C1191">
                  <w:pPr>
                    <w:jc w:val="center"/>
                    <w:rPr>
                      <w:rFonts w:hint="default"/>
                      <w:szCs w:val="21"/>
                      <w:lang w:val="en-US" w:eastAsia="zh-CN"/>
                    </w:rPr>
                  </w:pPr>
                  <w:r>
                    <w:rPr>
                      <w:rFonts w:hint="eastAsia"/>
                      <w:szCs w:val="21"/>
                      <w:lang w:val="en-US" w:eastAsia="zh-CN"/>
                    </w:rPr>
                    <w:t>27.3</w:t>
                  </w:r>
                </w:p>
              </w:tc>
              <w:tc>
                <w:tcPr>
                  <w:tcW w:w="318" w:type="pct"/>
                  <w:vMerge w:val="continue"/>
                  <w:vAlign w:val="center"/>
                </w:tcPr>
                <w:p w14:paraId="089CFC1C">
                  <w:pPr>
                    <w:jc w:val="center"/>
                    <w:rPr>
                      <w:rFonts w:hint="eastAsia"/>
                      <w:szCs w:val="21"/>
                      <w:lang w:val="en-US" w:eastAsia="zh-CN"/>
                    </w:rPr>
                  </w:pPr>
                </w:p>
              </w:tc>
            </w:tr>
            <w:tr w14:paraId="070152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78" w:type="pct"/>
                  <w:vMerge w:val="restart"/>
                  <w:vAlign w:val="center"/>
                </w:tcPr>
                <w:p w14:paraId="295AE290">
                  <w:pPr>
                    <w:jc w:val="center"/>
                    <w:rPr>
                      <w:rFonts w:hint="default" w:eastAsia="宋体"/>
                      <w:color w:val="auto"/>
                      <w:szCs w:val="21"/>
                      <w:lang w:val="en-US" w:eastAsia="zh-CN"/>
                    </w:rPr>
                  </w:pPr>
                  <w:r>
                    <w:rPr>
                      <w:rFonts w:hint="eastAsia"/>
                      <w:color w:val="auto"/>
                      <w:szCs w:val="21"/>
                      <w:lang w:val="en-US" w:eastAsia="zh-CN"/>
                    </w:rPr>
                    <w:t>3</w:t>
                  </w:r>
                </w:p>
              </w:tc>
              <w:tc>
                <w:tcPr>
                  <w:tcW w:w="295" w:type="pct"/>
                  <w:vMerge w:val="restart"/>
                  <w:vAlign w:val="center"/>
                </w:tcPr>
                <w:p w14:paraId="7A3EB786">
                  <w:pPr>
                    <w:jc w:val="center"/>
                    <w:rPr>
                      <w:rFonts w:hint="default" w:eastAsia="宋体"/>
                      <w:color w:val="auto"/>
                      <w:szCs w:val="21"/>
                      <w:lang w:val="en-US" w:eastAsia="zh-CN"/>
                    </w:rPr>
                  </w:pPr>
                  <w:r>
                    <w:rPr>
                      <w:rFonts w:hint="eastAsia"/>
                      <w:color w:val="auto"/>
                      <w:szCs w:val="21"/>
                      <w:lang w:val="en-US" w:eastAsia="zh-CN"/>
                    </w:rPr>
                    <w:t>一层生产车间外</w:t>
                  </w:r>
                </w:p>
              </w:tc>
              <w:tc>
                <w:tcPr>
                  <w:tcW w:w="255" w:type="pct"/>
                  <w:vMerge w:val="restart"/>
                  <w:vAlign w:val="center"/>
                </w:tcPr>
                <w:p w14:paraId="00FC735D">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冷却塔</w:t>
                  </w:r>
                </w:p>
              </w:tc>
              <w:tc>
                <w:tcPr>
                  <w:tcW w:w="305" w:type="pct"/>
                  <w:vMerge w:val="restart"/>
                  <w:shd w:val="clear" w:color="auto" w:fill="auto"/>
                  <w:vAlign w:val="center"/>
                </w:tcPr>
                <w:p w14:paraId="543004BB">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393" w:type="pct"/>
                  <w:vMerge w:val="restart"/>
                  <w:vAlign w:val="center"/>
                </w:tcPr>
                <w:p w14:paraId="15EAD538">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70</w:t>
                  </w:r>
                  <w:r>
                    <w:rPr>
                      <w:rFonts w:hint="eastAsia" w:ascii="Times New Roman" w:hAnsi="Times New Roman" w:eastAsia="宋体" w:cs="Times New Roman"/>
                      <w:color w:val="auto"/>
                      <w:szCs w:val="21"/>
                      <w:lang w:val="en-US" w:eastAsia="zh-CN"/>
                    </w:rPr>
                    <w:t>-</w:t>
                  </w:r>
                  <w:r>
                    <w:rPr>
                      <w:rFonts w:hint="eastAsia" w:cs="Times New Roman"/>
                      <w:color w:val="auto"/>
                      <w:szCs w:val="21"/>
                      <w:lang w:val="en-US" w:eastAsia="zh-CN"/>
                    </w:rPr>
                    <w:t>75</w:t>
                  </w:r>
                </w:p>
              </w:tc>
              <w:tc>
                <w:tcPr>
                  <w:tcW w:w="298" w:type="pct"/>
                  <w:vMerge w:val="restart"/>
                  <w:vAlign w:val="center"/>
                </w:tcPr>
                <w:p w14:paraId="4A3105E3">
                  <w:pPr>
                    <w:jc w:val="center"/>
                    <w:rPr>
                      <w:rFonts w:hint="default" w:eastAsia="宋体"/>
                      <w:color w:val="auto"/>
                      <w:szCs w:val="21"/>
                      <w:lang w:val="en-US" w:eastAsia="zh-CN"/>
                    </w:rPr>
                  </w:pPr>
                  <w:r>
                    <w:rPr>
                      <w:rFonts w:hint="eastAsia"/>
                      <w:color w:val="auto"/>
                      <w:szCs w:val="21"/>
                      <w:lang w:val="en-US" w:eastAsia="zh-CN"/>
                    </w:rPr>
                    <w:t>减振垫</w:t>
                  </w:r>
                </w:p>
              </w:tc>
              <w:tc>
                <w:tcPr>
                  <w:tcW w:w="276" w:type="pct"/>
                  <w:vMerge w:val="restart"/>
                  <w:vAlign w:val="center"/>
                </w:tcPr>
                <w:p w14:paraId="798B316A">
                  <w:pPr>
                    <w:jc w:val="center"/>
                    <w:rPr>
                      <w:rFonts w:hint="default" w:eastAsia="宋体"/>
                      <w:color w:val="auto"/>
                      <w:szCs w:val="21"/>
                      <w:lang w:val="en-US" w:eastAsia="zh-CN"/>
                    </w:rPr>
                  </w:pPr>
                  <w:r>
                    <w:rPr>
                      <w:rFonts w:hint="eastAsia"/>
                      <w:color w:val="auto"/>
                      <w:szCs w:val="21"/>
                      <w:lang w:val="en-US" w:eastAsia="zh-CN"/>
                    </w:rPr>
                    <w:t>4</w:t>
                  </w:r>
                </w:p>
              </w:tc>
              <w:tc>
                <w:tcPr>
                  <w:tcW w:w="298" w:type="pct"/>
                  <w:vMerge w:val="restart"/>
                  <w:vAlign w:val="center"/>
                </w:tcPr>
                <w:p w14:paraId="5C04B6E0">
                  <w:pPr>
                    <w:jc w:val="center"/>
                    <w:rPr>
                      <w:rFonts w:hint="default" w:eastAsia="宋体"/>
                      <w:color w:val="auto"/>
                      <w:szCs w:val="21"/>
                      <w:lang w:val="en-US" w:eastAsia="zh-CN"/>
                    </w:rPr>
                  </w:pPr>
                  <w:r>
                    <w:rPr>
                      <w:rFonts w:hint="eastAsia"/>
                      <w:color w:val="auto"/>
                      <w:szCs w:val="21"/>
                      <w:lang w:val="en-US" w:eastAsia="zh-CN"/>
                    </w:rPr>
                    <w:t>-2</w:t>
                  </w:r>
                </w:p>
              </w:tc>
              <w:tc>
                <w:tcPr>
                  <w:tcW w:w="305" w:type="pct"/>
                  <w:vMerge w:val="restart"/>
                  <w:vAlign w:val="center"/>
                </w:tcPr>
                <w:p w14:paraId="4A717B99">
                  <w:pPr>
                    <w:jc w:val="center"/>
                    <w:rPr>
                      <w:rFonts w:hint="default" w:eastAsia="宋体"/>
                      <w:color w:val="auto"/>
                      <w:szCs w:val="21"/>
                      <w:lang w:val="en-US" w:eastAsia="zh-CN"/>
                    </w:rPr>
                  </w:pPr>
                  <w:r>
                    <w:rPr>
                      <w:rFonts w:hint="eastAsia"/>
                      <w:color w:val="auto"/>
                      <w:szCs w:val="21"/>
                      <w:lang w:val="en-US" w:eastAsia="zh-CN"/>
                    </w:rPr>
                    <w:t>2</w:t>
                  </w:r>
                </w:p>
              </w:tc>
              <w:tc>
                <w:tcPr>
                  <w:tcW w:w="254" w:type="pct"/>
                  <w:shd w:val="clear" w:color="auto" w:fill="auto"/>
                  <w:vAlign w:val="center"/>
                </w:tcPr>
                <w:p w14:paraId="1FF477CE">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西北</w:t>
                  </w:r>
                </w:p>
              </w:tc>
              <w:tc>
                <w:tcPr>
                  <w:tcW w:w="262" w:type="pct"/>
                  <w:shd w:val="clear" w:color="auto" w:fill="auto"/>
                  <w:vAlign w:val="center"/>
                </w:tcPr>
                <w:p w14:paraId="59F00CD7">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13</w:t>
                  </w:r>
                </w:p>
              </w:tc>
              <w:tc>
                <w:tcPr>
                  <w:tcW w:w="378" w:type="pct"/>
                  <w:vAlign w:val="center"/>
                </w:tcPr>
                <w:p w14:paraId="7CF06F72">
                  <w:pPr>
                    <w:jc w:val="center"/>
                    <w:rPr>
                      <w:rFonts w:hint="default"/>
                      <w:color w:val="auto"/>
                      <w:szCs w:val="21"/>
                      <w:lang w:val="en-US" w:eastAsia="zh-CN"/>
                    </w:rPr>
                  </w:pPr>
                  <w:r>
                    <w:rPr>
                      <w:rFonts w:hint="eastAsia"/>
                      <w:color w:val="auto"/>
                      <w:szCs w:val="21"/>
                      <w:lang w:val="en-US" w:eastAsia="zh-CN"/>
                    </w:rPr>
                    <w:t>/</w:t>
                  </w:r>
                </w:p>
              </w:tc>
              <w:tc>
                <w:tcPr>
                  <w:tcW w:w="291" w:type="pct"/>
                  <w:vMerge w:val="restart"/>
                  <w:vAlign w:val="center"/>
                </w:tcPr>
                <w:p w14:paraId="29C4A3F5">
                  <w:pPr>
                    <w:jc w:val="center"/>
                    <w:rPr>
                      <w:rFonts w:hint="default" w:eastAsia="宋体"/>
                      <w:color w:val="auto"/>
                      <w:szCs w:val="21"/>
                      <w:lang w:val="en-US" w:eastAsia="zh-CN"/>
                    </w:rPr>
                  </w:pPr>
                  <w:r>
                    <w:rPr>
                      <w:rFonts w:hint="eastAsia"/>
                      <w:color w:val="auto"/>
                      <w:szCs w:val="21"/>
                      <w:lang w:val="en-US" w:eastAsia="zh-CN"/>
                    </w:rPr>
                    <w:t>8h/d</w:t>
                  </w:r>
                </w:p>
              </w:tc>
              <w:tc>
                <w:tcPr>
                  <w:tcW w:w="429" w:type="pct"/>
                  <w:vMerge w:val="restart"/>
                  <w:vAlign w:val="center"/>
                </w:tcPr>
                <w:p w14:paraId="3D116CCD">
                  <w:pPr>
                    <w:jc w:val="center"/>
                    <w:rPr>
                      <w:rFonts w:hint="eastAsia" w:eastAsia="宋体"/>
                      <w:color w:val="auto"/>
                      <w:szCs w:val="21"/>
                      <w:lang w:val="en-US" w:eastAsia="zh-CN"/>
                    </w:rPr>
                  </w:pPr>
                  <w:r>
                    <w:rPr>
                      <w:rFonts w:hint="eastAsia"/>
                      <w:color w:val="auto"/>
                      <w:szCs w:val="21"/>
                      <w:lang w:val="en-US" w:eastAsia="zh-CN"/>
                    </w:rPr>
                    <w:t>/</w:t>
                  </w:r>
                </w:p>
              </w:tc>
              <w:tc>
                <w:tcPr>
                  <w:tcW w:w="458" w:type="pct"/>
                  <w:vAlign w:val="center"/>
                </w:tcPr>
                <w:p w14:paraId="6A5D169D">
                  <w:pPr>
                    <w:jc w:val="center"/>
                    <w:rPr>
                      <w:rFonts w:hint="default"/>
                      <w:color w:val="auto"/>
                      <w:szCs w:val="21"/>
                      <w:lang w:val="en-US" w:eastAsia="zh-CN"/>
                    </w:rPr>
                  </w:pPr>
                  <w:r>
                    <w:rPr>
                      <w:rFonts w:hint="eastAsia"/>
                      <w:color w:val="auto"/>
                      <w:szCs w:val="21"/>
                      <w:lang w:val="en-US" w:eastAsia="zh-CN"/>
                    </w:rPr>
                    <w:t>54.5</w:t>
                  </w:r>
                </w:p>
              </w:tc>
              <w:tc>
                <w:tcPr>
                  <w:tcW w:w="318" w:type="pct"/>
                  <w:vMerge w:val="continue"/>
                  <w:vAlign w:val="center"/>
                </w:tcPr>
                <w:p w14:paraId="251180D1">
                  <w:pPr>
                    <w:jc w:val="center"/>
                    <w:rPr>
                      <w:rFonts w:hint="eastAsia"/>
                      <w:color w:val="auto"/>
                      <w:szCs w:val="21"/>
                    </w:rPr>
                  </w:pPr>
                </w:p>
              </w:tc>
            </w:tr>
            <w:tr w14:paraId="56633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78" w:type="pct"/>
                  <w:vMerge w:val="continue"/>
                  <w:vAlign w:val="center"/>
                </w:tcPr>
                <w:p w14:paraId="42958CD5">
                  <w:pPr>
                    <w:jc w:val="center"/>
                    <w:rPr>
                      <w:color w:val="auto"/>
                    </w:rPr>
                  </w:pPr>
                </w:p>
              </w:tc>
              <w:tc>
                <w:tcPr>
                  <w:tcW w:w="295" w:type="pct"/>
                  <w:vMerge w:val="continue"/>
                  <w:vAlign w:val="center"/>
                </w:tcPr>
                <w:p w14:paraId="275B4D7C">
                  <w:pPr>
                    <w:jc w:val="center"/>
                    <w:rPr>
                      <w:color w:val="auto"/>
                    </w:rPr>
                  </w:pPr>
                </w:p>
              </w:tc>
              <w:tc>
                <w:tcPr>
                  <w:tcW w:w="255" w:type="pct"/>
                  <w:vMerge w:val="continue"/>
                  <w:vAlign w:val="center"/>
                </w:tcPr>
                <w:p w14:paraId="65B05271">
                  <w:pPr>
                    <w:jc w:val="center"/>
                    <w:rPr>
                      <w:color w:val="auto"/>
                    </w:rPr>
                  </w:pPr>
                </w:p>
              </w:tc>
              <w:tc>
                <w:tcPr>
                  <w:tcW w:w="305" w:type="pct"/>
                  <w:vMerge w:val="continue"/>
                  <w:shd w:val="clear" w:color="auto" w:fill="auto"/>
                  <w:vAlign w:val="center"/>
                </w:tcPr>
                <w:p w14:paraId="3970EB57">
                  <w:pPr>
                    <w:jc w:val="center"/>
                    <w:rPr>
                      <w:color w:val="auto"/>
                    </w:rPr>
                  </w:pPr>
                </w:p>
              </w:tc>
              <w:tc>
                <w:tcPr>
                  <w:tcW w:w="393" w:type="pct"/>
                  <w:vMerge w:val="continue"/>
                  <w:vAlign w:val="center"/>
                </w:tcPr>
                <w:p w14:paraId="04D091D8">
                  <w:pPr>
                    <w:jc w:val="center"/>
                    <w:rPr>
                      <w:color w:val="auto"/>
                    </w:rPr>
                  </w:pPr>
                </w:p>
              </w:tc>
              <w:tc>
                <w:tcPr>
                  <w:tcW w:w="298" w:type="pct"/>
                  <w:vMerge w:val="continue"/>
                  <w:vAlign w:val="center"/>
                </w:tcPr>
                <w:p w14:paraId="1D1AE173">
                  <w:pPr>
                    <w:jc w:val="center"/>
                    <w:rPr>
                      <w:color w:val="auto"/>
                    </w:rPr>
                  </w:pPr>
                </w:p>
              </w:tc>
              <w:tc>
                <w:tcPr>
                  <w:tcW w:w="276" w:type="pct"/>
                  <w:vMerge w:val="continue"/>
                  <w:vAlign w:val="center"/>
                </w:tcPr>
                <w:p w14:paraId="5269E961">
                  <w:pPr>
                    <w:jc w:val="center"/>
                    <w:rPr>
                      <w:color w:val="auto"/>
                    </w:rPr>
                  </w:pPr>
                </w:p>
              </w:tc>
              <w:tc>
                <w:tcPr>
                  <w:tcW w:w="298" w:type="pct"/>
                  <w:vMerge w:val="continue"/>
                  <w:vAlign w:val="center"/>
                </w:tcPr>
                <w:p w14:paraId="32D2378E">
                  <w:pPr>
                    <w:jc w:val="center"/>
                    <w:rPr>
                      <w:color w:val="auto"/>
                    </w:rPr>
                  </w:pPr>
                </w:p>
              </w:tc>
              <w:tc>
                <w:tcPr>
                  <w:tcW w:w="305" w:type="pct"/>
                  <w:vMerge w:val="continue"/>
                  <w:vAlign w:val="center"/>
                </w:tcPr>
                <w:p w14:paraId="2920ACF3">
                  <w:pPr>
                    <w:jc w:val="center"/>
                    <w:rPr>
                      <w:color w:val="auto"/>
                    </w:rPr>
                  </w:pPr>
                </w:p>
              </w:tc>
              <w:tc>
                <w:tcPr>
                  <w:tcW w:w="254" w:type="pct"/>
                  <w:shd w:val="clear" w:color="auto" w:fill="auto"/>
                  <w:vAlign w:val="center"/>
                </w:tcPr>
                <w:p w14:paraId="54B740DC">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西南</w:t>
                  </w:r>
                </w:p>
              </w:tc>
              <w:tc>
                <w:tcPr>
                  <w:tcW w:w="262" w:type="pct"/>
                  <w:shd w:val="clear" w:color="auto" w:fill="auto"/>
                  <w:vAlign w:val="center"/>
                </w:tcPr>
                <w:p w14:paraId="60F3AF64">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w:t>
                  </w:r>
                </w:p>
              </w:tc>
              <w:tc>
                <w:tcPr>
                  <w:tcW w:w="378" w:type="pct"/>
                  <w:vAlign w:val="center"/>
                </w:tcPr>
                <w:p w14:paraId="18130458">
                  <w:pPr>
                    <w:jc w:val="center"/>
                    <w:rPr>
                      <w:rFonts w:hint="default"/>
                      <w:color w:val="auto"/>
                      <w:szCs w:val="21"/>
                      <w:lang w:val="en-US" w:eastAsia="zh-CN"/>
                    </w:rPr>
                  </w:pPr>
                  <w:r>
                    <w:rPr>
                      <w:rFonts w:hint="eastAsia"/>
                      <w:color w:val="auto"/>
                      <w:szCs w:val="21"/>
                      <w:lang w:val="en-US" w:eastAsia="zh-CN"/>
                    </w:rPr>
                    <w:t>/</w:t>
                  </w:r>
                </w:p>
              </w:tc>
              <w:tc>
                <w:tcPr>
                  <w:tcW w:w="291" w:type="pct"/>
                  <w:vMerge w:val="continue"/>
                  <w:vAlign w:val="center"/>
                </w:tcPr>
                <w:p w14:paraId="602971D4">
                  <w:pPr>
                    <w:jc w:val="center"/>
                    <w:rPr>
                      <w:rFonts w:hint="eastAsia"/>
                      <w:color w:val="auto"/>
                      <w:szCs w:val="21"/>
                      <w:lang w:val="en-US" w:eastAsia="zh-CN"/>
                    </w:rPr>
                  </w:pPr>
                </w:p>
              </w:tc>
              <w:tc>
                <w:tcPr>
                  <w:tcW w:w="429" w:type="pct"/>
                  <w:vMerge w:val="continue"/>
                  <w:vAlign w:val="center"/>
                </w:tcPr>
                <w:p w14:paraId="5C6130D9">
                  <w:pPr>
                    <w:jc w:val="center"/>
                    <w:rPr>
                      <w:rFonts w:hint="eastAsia"/>
                      <w:color w:val="auto"/>
                      <w:szCs w:val="21"/>
                      <w:lang w:val="en-US" w:eastAsia="zh-CN"/>
                    </w:rPr>
                  </w:pPr>
                </w:p>
              </w:tc>
              <w:tc>
                <w:tcPr>
                  <w:tcW w:w="458" w:type="pct"/>
                  <w:vAlign w:val="center"/>
                </w:tcPr>
                <w:p w14:paraId="4036EB57">
                  <w:pPr>
                    <w:jc w:val="center"/>
                    <w:rPr>
                      <w:rFonts w:hint="default"/>
                      <w:color w:val="auto"/>
                      <w:szCs w:val="21"/>
                      <w:lang w:val="en-US" w:eastAsia="zh-CN"/>
                    </w:rPr>
                  </w:pPr>
                  <w:r>
                    <w:rPr>
                      <w:rFonts w:hint="eastAsia"/>
                      <w:color w:val="auto"/>
                      <w:szCs w:val="21"/>
                      <w:lang w:val="en-US" w:eastAsia="zh-CN"/>
                    </w:rPr>
                    <w:t>53.5</w:t>
                  </w:r>
                </w:p>
              </w:tc>
              <w:tc>
                <w:tcPr>
                  <w:tcW w:w="318" w:type="pct"/>
                  <w:vMerge w:val="continue"/>
                  <w:vAlign w:val="center"/>
                </w:tcPr>
                <w:p w14:paraId="5EEDA2CB">
                  <w:pPr>
                    <w:jc w:val="center"/>
                    <w:rPr>
                      <w:rFonts w:hint="eastAsia"/>
                      <w:color w:val="auto"/>
                      <w:szCs w:val="21"/>
                      <w:lang w:val="en-US" w:eastAsia="zh-CN"/>
                    </w:rPr>
                  </w:pPr>
                </w:p>
              </w:tc>
            </w:tr>
            <w:tr w14:paraId="6A3469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78" w:type="pct"/>
                  <w:vMerge w:val="continue"/>
                  <w:vAlign w:val="center"/>
                </w:tcPr>
                <w:p w14:paraId="3E557AF5">
                  <w:pPr>
                    <w:jc w:val="center"/>
                    <w:rPr>
                      <w:rFonts w:hint="eastAsia"/>
                      <w:color w:val="auto"/>
                      <w:szCs w:val="21"/>
                      <w:lang w:val="en-US" w:eastAsia="zh-CN"/>
                    </w:rPr>
                  </w:pPr>
                </w:p>
              </w:tc>
              <w:tc>
                <w:tcPr>
                  <w:tcW w:w="295" w:type="pct"/>
                  <w:vMerge w:val="continue"/>
                  <w:vAlign w:val="center"/>
                </w:tcPr>
                <w:p w14:paraId="39B81BB3">
                  <w:pPr>
                    <w:jc w:val="center"/>
                    <w:rPr>
                      <w:rFonts w:hint="eastAsia"/>
                      <w:color w:val="auto"/>
                      <w:szCs w:val="21"/>
                      <w:lang w:val="en-US" w:eastAsia="zh-CN"/>
                    </w:rPr>
                  </w:pPr>
                </w:p>
              </w:tc>
              <w:tc>
                <w:tcPr>
                  <w:tcW w:w="255" w:type="pct"/>
                  <w:vMerge w:val="continue"/>
                  <w:vAlign w:val="center"/>
                </w:tcPr>
                <w:p w14:paraId="3F2DCB5D">
                  <w:pPr>
                    <w:jc w:val="center"/>
                    <w:rPr>
                      <w:rFonts w:hint="eastAsia"/>
                      <w:color w:val="auto"/>
                      <w:szCs w:val="21"/>
                      <w:lang w:val="en-US" w:eastAsia="zh-CN"/>
                    </w:rPr>
                  </w:pPr>
                </w:p>
              </w:tc>
              <w:tc>
                <w:tcPr>
                  <w:tcW w:w="305" w:type="pct"/>
                  <w:vMerge w:val="continue"/>
                  <w:shd w:val="clear" w:color="auto" w:fill="auto"/>
                  <w:vAlign w:val="center"/>
                </w:tcPr>
                <w:p w14:paraId="61DF4D10">
                  <w:pPr>
                    <w:jc w:val="center"/>
                    <w:rPr>
                      <w:rFonts w:hint="eastAsia"/>
                      <w:color w:val="auto"/>
                      <w:szCs w:val="21"/>
                      <w:lang w:val="en-US" w:eastAsia="zh-CN"/>
                    </w:rPr>
                  </w:pPr>
                </w:p>
              </w:tc>
              <w:tc>
                <w:tcPr>
                  <w:tcW w:w="393" w:type="pct"/>
                  <w:vMerge w:val="continue"/>
                  <w:vAlign w:val="center"/>
                </w:tcPr>
                <w:p w14:paraId="0642A964">
                  <w:pPr>
                    <w:jc w:val="center"/>
                    <w:rPr>
                      <w:rFonts w:hint="eastAsia"/>
                      <w:color w:val="auto"/>
                      <w:szCs w:val="21"/>
                      <w:lang w:val="en-US" w:eastAsia="zh-CN"/>
                    </w:rPr>
                  </w:pPr>
                </w:p>
              </w:tc>
              <w:tc>
                <w:tcPr>
                  <w:tcW w:w="298" w:type="pct"/>
                  <w:vMerge w:val="continue"/>
                  <w:vAlign w:val="center"/>
                </w:tcPr>
                <w:p w14:paraId="077B6BE8">
                  <w:pPr>
                    <w:jc w:val="center"/>
                    <w:rPr>
                      <w:rFonts w:hint="eastAsia"/>
                      <w:color w:val="auto"/>
                      <w:szCs w:val="21"/>
                      <w:lang w:val="en-US" w:eastAsia="zh-CN"/>
                    </w:rPr>
                  </w:pPr>
                </w:p>
              </w:tc>
              <w:tc>
                <w:tcPr>
                  <w:tcW w:w="276" w:type="pct"/>
                  <w:vMerge w:val="continue"/>
                  <w:vAlign w:val="center"/>
                </w:tcPr>
                <w:p w14:paraId="37745E3C">
                  <w:pPr>
                    <w:jc w:val="center"/>
                    <w:rPr>
                      <w:rFonts w:hint="eastAsia"/>
                      <w:color w:val="auto"/>
                      <w:szCs w:val="21"/>
                      <w:lang w:val="en-US" w:eastAsia="zh-CN"/>
                    </w:rPr>
                  </w:pPr>
                </w:p>
              </w:tc>
              <w:tc>
                <w:tcPr>
                  <w:tcW w:w="298" w:type="pct"/>
                  <w:vMerge w:val="continue"/>
                  <w:vAlign w:val="center"/>
                </w:tcPr>
                <w:p w14:paraId="53B0324C">
                  <w:pPr>
                    <w:jc w:val="center"/>
                    <w:rPr>
                      <w:rFonts w:hint="eastAsia"/>
                      <w:color w:val="auto"/>
                      <w:szCs w:val="21"/>
                      <w:lang w:val="en-US" w:eastAsia="zh-CN"/>
                    </w:rPr>
                  </w:pPr>
                </w:p>
              </w:tc>
              <w:tc>
                <w:tcPr>
                  <w:tcW w:w="305" w:type="pct"/>
                  <w:vMerge w:val="continue"/>
                  <w:vAlign w:val="center"/>
                </w:tcPr>
                <w:p w14:paraId="4DD8D670">
                  <w:pPr>
                    <w:jc w:val="center"/>
                    <w:rPr>
                      <w:rFonts w:hint="eastAsia"/>
                      <w:color w:val="auto"/>
                      <w:szCs w:val="21"/>
                      <w:lang w:val="en-US" w:eastAsia="zh-CN"/>
                    </w:rPr>
                  </w:pPr>
                </w:p>
              </w:tc>
              <w:tc>
                <w:tcPr>
                  <w:tcW w:w="254" w:type="pct"/>
                  <w:shd w:val="clear" w:color="auto" w:fill="auto"/>
                  <w:vAlign w:val="center"/>
                </w:tcPr>
                <w:p w14:paraId="6500009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东北</w:t>
                  </w:r>
                </w:p>
              </w:tc>
              <w:tc>
                <w:tcPr>
                  <w:tcW w:w="262" w:type="pct"/>
                  <w:shd w:val="clear" w:color="auto" w:fill="auto"/>
                  <w:vAlign w:val="center"/>
                </w:tcPr>
                <w:p w14:paraId="0738A50A">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2</w:t>
                  </w:r>
                </w:p>
              </w:tc>
              <w:tc>
                <w:tcPr>
                  <w:tcW w:w="378" w:type="pct"/>
                  <w:vAlign w:val="center"/>
                </w:tcPr>
                <w:p w14:paraId="5C70B424">
                  <w:pPr>
                    <w:jc w:val="center"/>
                    <w:rPr>
                      <w:rFonts w:hint="default"/>
                      <w:color w:val="auto"/>
                      <w:szCs w:val="21"/>
                      <w:lang w:val="en-US" w:eastAsia="zh-CN"/>
                    </w:rPr>
                  </w:pPr>
                  <w:r>
                    <w:rPr>
                      <w:rFonts w:hint="eastAsia"/>
                      <w:color w:val="auto"/>
                      <w:szCs w:val="21"/>
                      <w:lang w:val="en-US" w:eastAsia="zh-CN"/>
                    </w:rPr>
                    <w:t>/</w:t>
                  </w:r>
                </w:p>
              </w:tc>
              <w:tc>
                <w:tcPr>
                  <w:tcW w:w="291" w:type="pct"/>
                  <w:vMerge w:val="continue"/>
                  <w:vAlign w:val="center"/>
                </w:tcPr>
                <w:p w14:paraId="4471E2FF">
                  <w:pPr>
                    <w:jc w:val="center"/>
                    <w:rPr>
                      <w:rFonts w:hint="eastAsia"/>
                      <w:color w:val="auto"/>
                      <w:szCs w:val="21"/>
                      <w:lang w:val="en-US" w:eastAsia="zh-CN"/>
                    </w:rPr>
                  </w:pPr>
                </w:p>
              </w:tc>
              <w:tc>
                <w:tcPr>
                  <w:tcW w:w="429" w:type="pct"/>
                  <w:vMerge w:val="continue"/>
                  <w:vAlign w:val="center"/>
                </w:tcPr>
                <w:p w14:paraId="1A862696">
                  <w:pPr>
                    <w:jc w:val="center"/>
                    <w:rPr>
                      <w:rFonts w:hint="eastAsia"/>
                      <w:color w:val="auto"/>
                      <w:szCs w:val="21"/>
                      <w:lang w:val="en-US" w:eastAsia="zh-CN"/>
                    </w:rPr>
                  </w:pPr>
                </w:p>
              </w:tc>
              <w:tc>
                <w:tcPr>
                  <w:tcW w:w="458" w:type="pct"/>
                  <w:vAlign w:val="center"/>
                </w:tcPr>
                <w:p w14:paraId="07BD97A8">
                  <w:pPr>
                    <w:jc w:val="center"/>
                    <w:rPr>
                      <w:rFonts w:hint="default"/>
                      <w:color w:val="auto"/>
                      <w:szCs w:val="21"/>
                      <w:lang w:val="en-US" w:eastAsia="zh-CN"/>
                    </w:rPr>
                  </w:pPr>
                  <w:r>
                    <w:rPr>
                      <w:rFonts w:hint="eastAsia"/>
                      <w:color w:val="auto"/>
                      <w:szCs w:val="21"/>
                      <w:lang w:val="en-US" w:eastAsia="zh-CN"/>
                    </w:rPr>
                    <w:t>54.1</w:t>
                  </w:r>
                </w:p>
              </w:tc>
              <w:tc>
                <w:tcPr>
                  <w:tcW w:w="318" w:type="pct"/>
                  <w:vMerge w:val="continue"/>
                  <w:vAlign w:val="center"/>
                </w:tcPr>
                <w:p w14:paraId="5E55B2EF">
                  <w:pPr>
                    <w:jc w:val="center"/>
                    <w:rPr>
                      <w:rFonts w:hint="eastAsia"/>
                      <w:color w:val="auto"/>
                      <w:szCs w:val="21"/>
                      <w:lang w:val="en-US" w:eastAsia="zh-CN"/>
                    </w:rPr>
                  </w:pPr>
                </w:p>
              </w:tc>
            </w:tr>
            <w:tr w14:paraId="23C50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78" w:type="pct"/>
                  <w:vMerge w:val="continue"/>
                  <w:vAlign w:val="center"/>
                </w:tcPr>
                <w:p w14:paraId="68AE5B0B">
                  <w:pPr>
                    <w:jc w:val="center"/>
                    <w:rPr>
                      <w:rFonts w:hint="eastAsia"/>
                      <w:color w:val="auto"/>
                      <w:szCs w:val="21"/>
                      <w:lang w:val="en-US" w:eastAsia="zh-CN"/>
                    </w:rPr>
                  </w:pPr>
                </w:p>
              </w:tc>
              <w:tc>
                <w:tcPr>
                  <w:tcW w:w="295" w:type="pct"/>
                  <w:vMerge w:val="continue"/>
                  <w:vAlign w:val="center"/>
                </w:tcPr>
                <w:p w14:paraId="4583F70F">
                  <w:pPr>
                    <w:jc w:val="center"/>
                    <w:rPr>
                      <w:rFonts w:hint="eastAsia"/>
                      <w:color w:val="auto"/>
                      <w:szCs w:val="21"/>
                      <w:lang w:val="en-US" w:eastAsia="zh-CN"/>
                    </w:rPr>
                  </w:pPr>
                </w:p>
              </w:tc>
              <w:tc>
                <w:tcPr>
                  <w:tcW w:w="255" w:type="pct"/>
                  <w:vMerge w:val="continue"/>
                  <w:vAlign w:val="center"/>
                </w:tcPr>
                <w:p w14:paraId="56372C3A">
                  <w:pPr>
                    <w:jc w:val="center"/>
                    <w:rPr>
                      <w:rFonts w:hint="eastAsia"/>
                      <w:color w:val="auto"/>
                      <w:szCs w:val="21"/>
                      <w:lang w:val="en-US" w:eastAsia="zh-CN"/>
                    </w:rPr>
                  </w:pPr>
                </w:p>
              </w:tc>
              <w:tc>
                <w:tcPr>
                  <w:tcW w:w="305" w:type="pct"/>
                  <w:vMerge w:val="continue"/>
                  <w:shd w:val="clear" w:color="auto" w:fill="auto"/>
                  <w:vAlign w:val="center"/>
                </w:tcPr>
                <w:p w14:paraId="198E7188">
                  <w:pPr>
                    <w:jc w:val="center"/>
                    <w:rPr>
                      <w:rFonts w:hint="eastAsia"/>
                      <w:color w:val="auto"/>
                      <w:szCs w:val="21"/>
                      <w:lang w:val="en-US" w:eastAsia="zh-CN"/>
                    </w:rPr>
                  </w:pPr>
                </w:p>
              </w:tc>
              <w:tc>
                <w:tcPr>
                  <w:tcW w:w="393" w:type="pct"/>
                  <w:vMerge w:val="continue"/>
                  <w:vAlign w:val="center"/>
                </w:tcPr>
                <w:p w14:paraId="63A21675">
                  <w:pPr>
                    <w:jc w:val="center"/>
                    <w:rPr>
                      <w:rFonts w:hint="eastAsia"/>
                      <w:color w:val="auto"/>
                      <w:szCs w:val="21"/>
                      <w:lang w:val="en-US" w:eastAsia="zh-CN"/>
                    </w:rPr>
                  </w:pPr>
                </w:p>
              </w:tc>
              <w:tc>
                <w:tcPr>
                  <w:tcW w:w="298" w:type="pct"/>
                  <w:vMerge w:val="continue"/>
                  <w:vAlign w:val="center"/>
                </w:tcPr>
                <w:p w14:paraId="56FB0A4A">
                  <w:pPr>
                    <w:jc w:val="center"/>
                    <w:rPr>
                      <w:rFonts w:hint="eastAsia"/>
                      <w:color w:val="auto"/>
                      <w:szCs w:val="21"/>
                      <w:lang w:val="en-US" w:eastAsia="zh-CN"/>
                    </w:rPr>
                  </w:pPr>
                </w:p>
              </w:tc>
              <w:tc>
                <w:tcPr>
                  <w:tcW w:w="276" w:type="pct"/>
                  <w:vMerge w:val="continue"/>
                  <w:vAlign w:val="center"/>
                </w:tcPr>
                <w:p w14:paraId="2CBCE560">
                  <w:pPr>
                    <w:jc w:val="center"/>
                    <w:rPr>
                      <w:rFonts w:hint="eastAsia"/>
                      <w:color w:val="auto"/>
                      <w:szCs w:val="21"/>
                      <w:lang w:val="en-US" w:eastAsia="zh-CN"/>
                    </w:rPr>
                  </w:pPr>
                </w:p>
              </w:tc>
              <w:tc>
                <w:tcPr>
                  <w:tcW w:w="298" w:type="pct"/>
                  <w:vMerge w:val="continue"/>
                  <w:vAlign w:val="center"/>
                </w:tcPr>
                <w:p w14:paraId="5A50DBCE">
                  <w:pPr>
                    <w:jc w:val="center"/>
                    <w:rPr>
                      <w:rFonts w:hint="eastAsia"/>
                      <w:color w:val="auto"/>
                      <w:szCs w:val="21"/>
                      <w:lang w:val="en-US" w:eastAsia="zh-CN"/>
                    </w:rPr>
                  </w:pPr>
                </w:p>
              </w:tc>
              <w:tc>
                <w:tcPr>
                  <w:tcW w:w="305" w:type="pct"/>
                  <w:vMerge w:val="continue"/>
                  <w:vAlign w:val="center"/>
                </w:tcPr>
                <w:p w14:paraId="1B1FDCE5">
                  <w:pPr>
                    <w:jc w:val="center"/>
                    <w:rPr>
                      <w:rFonts w:hint="eastAsia"/>
                      <w:color w:val="auto"/>
                      <w:szCs w:val="21"/>
                      <w:lang w:val="en-US" w:eastAsia="zh-CN"/>
                    </w:rPr>
                  </w:pPr>
                </w:p>
              </w:tc>
              <w:tc>
                <w:tcPr>
                  <w:tcW w:w="254" w:type="pct"/>
                  <w:shd w:val="clear" w:color="auto" w:fill="auto"/>
                  <w:vAlign w:val="center"/>
                </w:tcPr>
                <w:p w14:paraId="25312CA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东南</w:t>
                  </w:r>
                </w:p>
              </w:tc>
              <w:tc>
                <w:tcPr>
                  <w:tcW w:w="262" w:type="pct"/>
                  <w:shd w:val="clear" w:color="auto" w:fill="auto"/>
                  <w:vAlign w:val="center"/>
                </w:tcPr>
                <w:p w14:paraId="2D4B59A7">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19</w:t>
                  </w:r>
                </w:p>
              </w:tc>
              <w:tc>
                <w:tcPr>
                  <w:tcW w:w="378" w:type="pct"/>
                  <w:vAlign w:val="center"/>
                </w:tcPr>
                <w:p w14:paraId="7E4AD793">
                  <w:pPr>
                    <w:jc w:val="center"/>
                    <w:rPr>
                      <w:rFonts w:hint="default"/>
                      <w:color w:val="auto"/>
                      <w:szCs w:val="21"/>
                      <w:lang w:val="en-US" w:eastAsia="zh-CN"/>
                    </w:rPr>
                  </w:pPr>
                  <w:r>
                    <w:rPr>
                      <w:rFonts w:hint="eastAsia"/>
                      <w:color w:val="auto"/>
                      <w:szCs w:val="21"/>
                      <w:lang w:val="en-US" w:eastAsia="zh-CN"/>
                    </w:rPr>
                    <w:t>/</w:t>
                  </w:r>
                </w:p>
              </w:tc>
              <w:tc>
                <w:tcPr>
                  <w:tcW w:w="291" w:type="pct"/>
                  <w:vMerge w:val="continue"/>
                  <w:vAlign w:val="center"/>
                </w:tcPr>
                <w:p w14:paraId="01F711B9">
                  <w:pPr>
                    <w:jc w:val="center"/>
                    <w:rPr>
                      <w:rFonts w:hint="eastAsia"/>
                      <w:color w:val="auto"/>
                      <w:szCs w:val="21"/>
                      <w:lang w:val="en-US" w:eastAsia="zh-CN"/>
                    </w:rPr>
                  </w:pPr>
                </w:p>
              </w:tc>
              <w:tc>
                <w:tcPr>
                  <w:tcW w:w="429" w:type="pct"/>
                  <w:vMerge w:val="continue"/>
                  <w:vAlign w:val="center"/>
                </w:tcPr>
                <w:p w14:paraId="3D1FBB23">
                  <w:pPr>
                    <w:jc w:val="center"/>
                    <w:rPr>
                      <w:rFonts w:hint="eastAsia"/>
                      <w:color w:val="auto"/>
                      <w:szCs w:val="21"/>
                      <w:lang w:val="en-US" w:eastAsia="zh-CN"/>
                    </w:rPr>
                  </w:pPr>
                </w:p>
              </w:tc>
              <w:tc>
                <w:tcPr>
                  <w:tcW w:w="458" w:type="pct"/>
                  <w:vAlign w:val="center"/>
                </w:tcPr>
                <w:p w14:paraId="5AE03D73">
                  <w:pPr>
                    <w:jc w:val="center"/>
                    <w:rPr>
                      <w:rFonts w:hint="default"/>
                      <w:color w:val="auto"/>
                      <w:szCs w:val="21"/>
                      <w:lang w:val="en-US" w:eastAsia="zh-CN"/>
                    </w:rPr>
                  </w:pPr>
                  <w:r>
                    <w:rPr>
                      <w:rFonts w:hint="eastAsia"/>
                      <w:color w:val="auto"/>
                      <w:szCs w:val="21"/>
                      <w:lang w:val="en-US" w:eastAsia="zh-CN"/>
                    </w:rPr>
                    <w:t>50.2</w:t>
                  </w:r>
                </w:p>
              </w:tc>
              <w:tc>
                <w:tcPr>
                  <w:tcW w:w="318" w:type="pct"/>
                  <w:vMerge w:val="continue"/>
                  <w:vAlign w:val="center"/>
                </w:tcPr>
                <w:p w14:paraId="5D259290">
                  <w:pPr>
                    <w:jc w:val="center"/>
                    <w:rPr>
                      <w:rFonts w:hint="eastAsia"/>
                      <w:color w:val="auto"/>
                      <w:szCs w:val="21"/>
                      <w:lang w:val="en-US" w:eastAsia="zh-CN"/>
                    </w:rPr>
                  </w:pPr>
                </w:p>
              </w:tc>
            </w:tr>
            <w:tr w14:paraId="0C0E55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restart"/>
                  <w:vAlign w:val="center"/>
                </w:tcPr>
                <w:p w14:paraId="106A68AA">
                  <w:pPr>
                    <w:jc w:val="center"/>
                    <w:rPr>
                      <w:rFonts w:hint="eastAsia"/>
                      <w:color w:val="auto"/>
                      <w:szCs w:val="21"/>
                      <w:lang w:val="en-US" w:eastAsia="zh-CN"/>
                    </w:rPr>
                  </w:pPr>
                </w:p>
              </w:tc>
              <w:tc>
                <w:tcPr>
                  <w:tcW w:w="295" w:type="pct"/>
                  <w:vMerge w:val="continue"/>
                  <w:vAlign w:val="center"/>
                </w:tcPr>
                <w:p w14:paraId="14D57DC9">
                  <w:pPr>
                    <w:jc w:val="center"/>
                    <w:rPr>
                      <w:rFonts w:hint="eastAsia"/>
                      <w:color w:val="auto"/>
                      <w:szCs w:val="21"/>
                      <w:lang w:val="en-US" w:eastAsia="zh-CN"/>
                    </w:rPr>
                  </w:pPr>
                </w:p>
              </w:tc>
              <w:tc>
                <w:tcPr>
                  <w:tcW w:w="255" w:type="pct"/>
                  <w:vMerge w:val="restart"/>
                  <w:shd w:val="clear" w:color="auto" w:fill="auto"/>
                  <w:vAlign w:val="center"/>
                </w:tcPr>
                <w:p w14:paraId="7F30C51B">
                  <w:pPr>
                    <w:jc w:val="center"/>
                    <w:rPr>
                      <w:rFonts w:hint="eastAsia"/>
                      <w:color w:val="auto"/>
                      <w:szCs w:val="21"/>
                      <w:lang w:val="en-US" w:eastAsia="zh-CN"/>
                    </w:rPr>
                  </w:pPr>
                  <w:r>
                    <w:rPr>
                      <w:rFonts w:hint="eastAsia" w:ascii="Times New Roman" w:hAnsi="Times New Roman" w:cs="Times New Roman"/>
                      <w:color w:val="auto"/>
                      <w:kern w:val="2"/>
                      <w:sz w:val="21"/>
                      <w:szCs w:val="21"/>
                      <w:lang w:val="en-US" w:eastAsia="zh-CN" w:bidi="ar-SA"/>
                    </w:rPr>
                    <w:t>风机</w:t>
                  </w:r>
                </w:p>
              </w:tc>
              <w:tc>
                <w:tcPr>
                  <w:tcW w:w="305" w:type="pct"/>
                  <w:vMerge w:val="restart"/>
                  <w:shd w:val="clear" w:color="auto" w:fill="auto"/>
                  <w:vAlign w:val="center"/>
                </w:tcPr>
                <w:p w14:paraId="0E3EABC7">
                  <w:pPr>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1</w:t>
                  </w:r>
                </w:p>
              </w:tc>
              <w:tc>
                <w:tcPr>
                  <w:tcW w:w="393" w:type="pct"/>
                  <w:vMerge w:val="restart"/>
                  <w:shd w:val="clear" w:color="auto" w:fill="auto"/>
                  <w:vAlign w:val="center"/>
                </w:tcPr>
                <w:p w14:paraId="7331EC0D">
                  <w:pPr>
                    <w:jc w:val="center"/>
                    <w:rPr>
                      <w:rFonts w:hint="eastAsia"/>
                      <w:color w:val="auto"/>
                      <w:szCs w:val="21"/>
                      <w:lang w:val="en-US" w:eastAsia="zh-CN"/>
                    </w:rPr>
                  </w:pPr>
                  <w:r>
                    <w:rPr>
                      <w:rFonts w:hint="eastAsia" w:ascii="Times New Roman" w:hAnsi="Times New Roman" w:cs="Times New Roman"/>
                      <w:color w:val="auto"/>
                      <w:szCs w:val="21"/>
                      <w:lang w:val="en-US" w:eastAsia="zh-CN"/>
                    </w:rPr>
                    <w:t>85</w:t>
                  </w:r>
                  <w:r>
                    <w:rPr>
                      <w:rFonts w:hint="eastAsia" w:ascii="Times New Roman" w:hAnsi="Times New Roman" w:eastAsia="宋体" w:cs="Times New Roman"/>
                      <w:color w:val="auto"/>
                      <w:szCs w:val="21"/>
                      <w:lang w:val="en-US" w:eastAsia="zh-CN"/>
                    </w:rPr>
                    <w:t>-</w:t>
                  </w:r>
                  <w:r>
                    <w:rPr>
                      <w:rFonts w:hint="eastAsia" w:ascii="Times New Roman" w:hAnsi="Times New Roman" w:cs="Times New Roman"/>
                      <w:color w:val="auto"/>
                      <w:szCs w:val="21"/>
                      <w:lang w:val="en-US" w:eastAsia="zh-CN"/>
                    </w:rPr>
                    <w:t>90</w:t>
                  </w:r>
                </w:p>
              </w:tc>
              <w:tc>
                <w:tcPr>
                  <w:tcW w:w="298" w:type="pct"/>
                  <w:vMerge w:val="restart"/>
                  <w:shd w:val="clear" w:color="auto" w:fill="auto"/>
                  <w:vAlign w:val="center"/>
                </w:tcPr>
                <w:p w14:paraId="61D5CB24">
                  <w:pPr>
                    <w:jc w:val="center"/>
                    <w:rPr>
                      <w:rFonts w:hint="eastAsia"/>
                      <w:color w:val="auto"/>
                      <w:szCs w:val="21"/>
                      <w:lang w:val="en-US" w:eastAsia="zh-CN"/>
                    </w:rPr>
                  </w:pPr>
                  <w:r>
                    <w:rPr>
                      <w:rFonts w:hint="eastAsia"/>
                      <w:color w:val="auto"/>
                      <w:szCs w:val="21"/>
                      <w:lang w:val="en-US" w:eastAsia="zh-CN"/>
                    </w:rPr>
                    <w:t>减振垫</w:t>
                  </w:r>
                </w:p>
              </w:tc>
              <w:tc>
                <w:tcPr>
                  <w:tcW w:w="276" w:type="pct"/>
                  <w:vMerge w:val="restart"/>
                  <w:shd w:val="clear" w:color="auto" w:fill="auto"/>
                  <w:vAlign w:val="center"/>
                </w:tcPr>
                <w:p w14:paraId="6CA75152">
                  <w:pPr>
                    <w:jc w:val="center"/>
                    <w:rPr>
                      <w:rFonts w:hint="default"/>
                      <w:color w:val="auto"/>
                      <w:szCs w:val="21"/>
                      <w:lang w:val="en-US" w:eastAsia="zh-CN"/>
                    </w:rPr>
                  </w:pPr>
                  <w:r>
                    <w:rPr>
                      <w:rFonts w:hint="eastAsia"/>
                      <w:color w:val="auto"/>
                      <w:szCs w:val="21"/>
                      <w:lang w:val="en-US" w:eastAsia="zh-CN"/>
                    </w:rPr>
                    <w:t>6</w:t>
                  </w:r>
                </w:p>
              </w:tc>
              <w:tc>
                <w:tcPr>
                  <w:tcW w:w="298" w:type="pct"/>
                  <w:vMerge w:val="restart"/>
                  <w:shd w:val="clear" w:color="auto" w:fill="auto"/>
                  <w:vAlign w:val="center"/>
                </w:tcPr>
                <w:p w14:paraId="065FE826">
                  <w:pPr>
                    <w:jc w:val="center"/>
                    <w:rPr>
                      <w:rFonts w:hint="default"/>
                      <w:color w:val="auto"/>
                      <w:szCs w:val="21"/>
                      <w:lang w:val="en-US" w:eastAsia="zh-CN"/>
                    </w:rPr>
                  </w:pPr>
                  <w:r>
                    <w:rPr>
                      <w:rFonts w:hint="eastAsia"/>
                      <w:color w:val="auto"/>
                      <w:szCs w:val="21"/>
                      <w:lang w:val="en-US" w:eastAsia="zh-CN"/>
                    </w:rPr>
                    <w:t>-3</w:t>
                  </w:r>
                </w:p>
              </w:tc>
              <w:tc>
                <w:tcPr>
                  <w:tcW w:w="305" w:type="pct"/>
                  <w:vMerge w:val="restart"/>
                  <w:shd w:val="clear" w:color="auto" w:fill="auto"/>
                  <w:vAlign w:val="center"/>
                </w:tcPr>
                <w:p w14:paraId="1B4AD870">
                  <w:pPr>
                    <w:jc w:val="center"/>
                    <w:rPr>
                      <w:rFonts w:hint="default"/>
                      <w:color w:val="auto"/>
                      <w:szCs w:val="21"/>
                      <w:lang w:val="en-US" w:eastAsia="zh-CN"/>
                    </w:rPr>
                  </w:pPr>
                  <w:r>
                    <w:rPr>
                      <w:rFonts w:hint="eastAsia"/>
                      <w:color w:val="auto"/>
                      <w:szCs w:val="21"/>
                      <w:lang w:val="en-US" w:eastAsia="zh-CN"/>
                    </w:rPr>
                    <w:t>0.5</w:t>
                  </w:r>
                </w:p>
              </w:tc>
              <w:tc>
                <w:tcPr>
                  <w:tcW w:w="254" w:type="pct"/>
                  <w:shd w:val="clear" w:color="auto" w:fill="auto"/>
                  <w:vAlign w:val="center"/>
                </w:tcPr>
                <w:p w14:paraId="439F9FB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西北</w:t>
                  </w:r>
                </w:p>
              </w:tc>
              <w:tc>
                <w:tcPr>
                  <w:tcW w:w="262" w:type="pct"/>
                  <w:shd w:val="clear" w:color="auto" w:fill="auto"/>
                  <w:vAlign w:val="center"/>
                </w:tcPr>
                <w:p w14:paraId="2DD3C11F">
                  <w:pPr>
                    <w:jc w:val="center"/>
                    <w:rPr>
                      <w:rFonts w:hint="default"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w:t>
                  </w:r>
                  <w:r>
                    <w:rPr>
                      <w:rFonts w:hint="eastAsia"/>
                      <w:color w:val="auto"/>
                      <w:szCs w:val="21"/>
                      <w:lang w:val="en-US" w:eastAsia="zh-CN"/>
                    </w:rPr>
                    <w:t>5</w:t>
                  </w:r>
                </w:p>
              </w:tc>
              <w:tc>
                <w:tcPr>
                  <w:tcW w:w="378" w:type="pct"/>
                  <w:shd w:val="clear" w:color="auto" w:fill="auto"/>
                  <w:vAlign w:val="center"/>
                </w:tcPr>
                <w:p w14:paraId="22D59ACD">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p>
              </w:tc>
              <w:tc>
                <w:tcPr>
                  <w:tcW w:w="291" w:type="pct"/>
                  <w:vMerge w:val="restart"/>
                  <w:shd w:val="clear" w:color="auto" w:fill="auto"/>
                  <w:vAlign w:val="center"/>
                </w:tcPr>
                <w:p w14:paraId="3D47042A">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8h/d</w:t>
                  </w:r>
                </w:p>
                <w:p w14:paraId="34A55C98">
                  <w:pPr>
                    <w:jc w:val="center"/>
                    <w:rPr>
                      <w:rFonts w:hint="eastAsia"/>
                      <w:color w:val="auto"/>
                      <w:szCs w:val="21"/>
                      <w:lang w:val="en-US" w:eastAsia="zh-CN"/>
                    </w:rPr>
                  </w:pPr>
                </w:p>
              </w:tc>
              <w:tc>
                <w:tcPr>
                  <w:tcW w:w="429" w:type="pct"/>
                  <w:vMerge w:val="restart"/>
                  <w:shd w:val="clear" w:color="auto" w:fill="auto"/>
                  <w:vAlign w:val="center"/>
                </w:tcPr>
                <w:p w14:paraId="0E1EE660">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p>
                <w:p w14:paraId="049FA714">
                  <w:pPr>
                    <w:jc w:val="center"/>
                    <w:rPr>
                      <w:rFonts w:hint="eastAsia"/>
                      <w:color w:val="auto"/>
                      <w:szCs w:val="21"/>
                      <w:lang w:val="en-US" w:eastAsia="zh-CN"/>
                    </w:rPr>
                  </w:pPr>
                </w:p>
              </w:tc>
              <w:tc>
                <w:tcPr>
                  <w:tcW w:w="458" w:type="pct"/>
                  <w:shd w:val="clear" w:color="auto" w:fill="auto"/>
                  <w:vAlign w:val="center"/>
                </w:tcPr>
                <w:p w14:paraId="4C344094">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52.2</w:t>
                  </w:r>
                </w:p>
              </w:tc>
              <w:tc>
                <w:tcPr>
                  <w:tcW w:w="318" w:type="pct"/>
                  <w:vMerge w:val="continue"/>
                  <w:vAlign w:val="center"/>
                </w:tcPr>
                <w:p w14:paraId="246D3C2B">
                  <w:pPr>
                    <w:jc w:val="center"/>
                    <w:rPr>
                      <w:rFonts w:hint="eastAsia"/>
                      <w:color w:val="auto"/>
                      <w:szCs w:val="21"/>
                      <w:lang w:val="en-US" w:eastAsia="zh-CN"/>
                    </w:rPr>
                  </w:pPr>
                </w:p>
              </w:tc>
            </w:tr>
            <w:tr w14:paraId="713164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continue"/>
                  <w:vAlign w:val="center"/>
                </w:tcPr>
                <w:p w14:paraId="6EC2C8C3">
                  <w:pPr>
                    <w:jc w:val="center"/>
                  </w:pPr>
                </w:p>
              </w:tc>
              <w:tc>
                <w:tcPr>
                  <w:tcW w:w="295" w:type="pct"/>
                  <w:vMerge w:val="continue"/>
                  <w:vAlign w:val="center"/>
                </w:tcPr>
                <w:p w14:paraId="6C8E17EC">
                  <w:pPr>
                    <w:jc w:val="center"/>
                  </w:pPr>
                </w:p>
              </w:tc>
              <w:tc>
                <w:tcPr>
                  <w:tcW w:w="255" w:type="pct"/>
                  <w:vMerge w:val="continue"/>
                  <w:vAlign w:val="center"/>
                </w:tcPr>
                <w:p w14:paraId="5247C416">
                  <w:pPr>
                    <w:jc w:val="center"/>
                  </w:pPr>
                </w:p>
              </w:tc>
              <w:tc>
                <w:tcPr>
                  <w:tcW w:w="305" w:type="pct"/>
                  <w:vMerge w:val="continue"/>
                  <w:shd w:val="clear" w:color="auto" w:fill="auto"/>
                  <w:vAlign w:val="center"/>
                </w:tcPr>
                <w:p w14:paraId="50E96F44">
                  <w:pPr>
                    <w:jc w:val="center"/>
                  </w:pPr>
                </w:p>
              </w:tc>
              <w:tc>
                <w:tcPr>
                  <w:tcW w:w="393" w:type="pct"/>
                  <w:vMerge w:val="continue"/>
                  <w:vAlign w:val="center"/>
                </w:tcPr>
                <w:p w14:paraId="7D3D5B3F">
                  <w:pPr>
                    <w:jc w:val="center"/>
                  </w:pPr>
                </w:p>
              </w:tc>
              <w:tc>
                <w:tcPr>
                  <w:tcW w:w="298" w:type="pct"/>
                  <w:vMerge w:val="continue"/>
                  <w:vAlign w:val="center"/>
                </w:tcPr>
                <w:p w14:paraId="6B55A98A">
                  <w:pPr>
                    <w:jc w:val="center"/>
                  </w:pPr>
                </w:p>
              </w:tc>
              <w:tc>
                <w:tcPr>
                  <w:tcW w:w="276" w:type="pct"/>
                  <w:vMerge w:val="continue"/>
                  <w:vAlign w:val="center"/>
                </w:tcPr>
                <w:p w14:paraId="4BBDE070">
                  <w:pPr>
                    <w:jc w:val="center"/>
                  </w:pPr>
                </w:p>
              </w:tc>
              <w:tc>
                <w:tcPr>
                  <w:tcW w:w="298" w:type="pct"/>
                  <w:vMerge w:val="continue"/>
                  <w:vAlign w:val="center"/>
                </w:tcPr>
                <w:p w14:paraId="7DAB9FB1">
                  <w:pPr>
                    <w:jc w:val="center"/>
                  </w:pPr>
                </w:p>
              </w:tc>
              <w:tc>
                <w:tcPr>
                  <w:tcW w:w="305" w:type="pct"/>
                  <w:vMerge w:val="continue"/>
                  <w:vAlign w:val="center"/>
                </w:tcPr>
                <w:p w14:paraId="7DE05F9E">
                  <w:pPr>
                    <w:jc w:val="center"/>
                  </w:pPr>
                </w:p>
              </w:tc>
              <w:tc>
                <w:tcPr>
                  <w:tcW w:w="254" w:type="pct"/>
                  <w:shd w:val="clear" w:color="auto" w:fill="auto"/>
                  <w:vAlign w:val="center"/>
                </w:tcPr>
                <w:p w14:paraId="102095C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西南</w:t>
                  </w:r>
                </w:p>
              </w:tc>
              <w:tc>
                <w:tcPr>
                  <w:tcW w:w="262" w:type="pct"/>
                  <w:shd w:val="clear" w:color="auto" w:fill="auto"/>
                  <w:vAlign w:val="center"/>
                </w:tcPr>
                <w:p w14:paraId="291B9AC0">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w:t>
                  </w:r>
                </w:p>
              </w:tc>
              <w:tc>
                <w:tcPr>
                  <w:tcW w:w="378" w:type="pct"/>
                  <w:shd w:val="clear" w:color="auto" w:fill="auto"/>
                  <w:vAlign w:val="center"/>
                </w:tcPr>
                <w:p w14:paraId="10B90545">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p>
              </w:tc>
              <w:tc>
                <w:tcPr>
                  <w:tcW w:w="291" w:type="pct"/>
                  <w:vMerge w:val="continue"/>
                  <w:vAlign w:val="center"/>
                </w:tcPr>
                <w:p w14:paraId="08EE7675">
                  <w:pPr>
                    <w:jc w:val="center"/>
                    <w:rPr>
                      <w:rFonts w:hint="eastAsia"/>
                      <w:color w:val="auto"/>
                      <w:szCs w:val="21"/>
                      <w:lang w:val="en-US" w:eastAsia="zh-CN"/>
                    </w:rPr>
                  </w:pPr>
                </w:p>
              </w:tc>
              <w:tc>
                <w:tcPr>
                  <w:tcW w:w="429" w:type="pct"/>
                  <w:vMerge w:val="continue"/>
                  <w:vAlign w:val="center"/>
                </w:tcPr>
                <w:p w14:paraId="560FF61E">
                  <w:pPr>
                    <w:jc w:val="center"/>
                    <w:rPr>
                      <w:rFonts w:hint="eastAsia"/>
                      <w:color w:val="auto"/>
                      <w:szCs w:val="21"/>
                      <w:lang w:val="en-US" w:eastAsia="zh-CN"/>
                    </w:rPr>
                  </w:pPr>
                </w:p>
              </w:tc>
              <w:tc>
                <w:tcPr>
                  <w:tcW w:w="458" w:type="pct"/>
                  <w:shd w:val="clear" w:color="auto" w:fill="auto"/>
                  <w:vAlign w:val="center"/>
                </w:tcPr>
                <w:p w14:paraId="4AF4DF42">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53.5</w:t>
                  </w:r>
                </w:p>
              </w:tc>
              <w:tc>
                <w:tcPr>
                  <w:tcW w:w="318" w:type="pct"/>
                  <w:vMerge w:val="continue"/>
                  <w:vAlign w:val="center"/>
                </w:tcPr>
                <w:p w14:paraId="438D2221">
                  <w:pPr>
                    <w:jc w:val="center"/>
                    <w:rPr>
                      <w:rFonts w:hint="eastAsia"/>
                      <w:color w:val="auto"/>
                      <w:szCs w:val="21"/>
                      <w:lang w:val="en-US" w:eastAsia="zh-CN"/>
                    </w:rPr>
                  </w:pPr>
                </w:p>
              </w:tc>
            </w:tr>
            <w:tr w14:paraId="4FD3DA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continue"/>
                  <w:vAlign w:val="center"/>
                </w:tcPr>
                <w:p w14:paraId="72D2BF8A">
                  <w:pPr>
                    <w:jc w:val="center"/>
                    <w:rPr>
                      <w:rFonts w:hint="eastAsia"/>
                      <w:color w:val="auto"/>
                      <w:szCs w:val="21"/>
                      <w:lang w:val="en-US" w:eastAsia="zh-CN"/>
                    </w:rPr>
                  </w:pPr>
                </w:p>
              </w:tc>
              <w:tc>
                <w:tcPr>
                  <w:tcW w:w="295" w:type="pct"/>
                  <w:vMerge w:val="continue"/>
                  <w:vAlign w:val="center"/>
                </w:tcPr>
                <w:p w14:paraId="6A3E5CDD">
                  <w:pPr>
                    <w:jc w:val="center"/>
                    <w:rPr>
                      <w:rFonts w:hint="eastAsia"/>
                      <w:color w:val="auto"/>
                      <w:szCs w:val="21"/>
                      <w:lang w:val="en-US" w:eastAsia="zh-CN"/>
                    </w:rPr>
                  </w:pPr>
                </w:p>
              </w:tc>
              <w:tc>
                <w:tcPr>
                  <w:tcW w:w="255" w:type="pct"/>
                  <w:vMerge w:val="continue"/>
                  <w:vAlign w:val="center"/>
                </w:tcPr>
                <w:p w14:paraId="58405704">
                  <w:pPr>
                    <w:jc w:val="center"/>
                    <w:rPr>
                      <w:rFonts w:hint="eastAsia"/>
                      <w:color w:val="auto"/>
                      <w:szCs w:val="21"/>
                      <w:lang w:val="en-US" w:eastAsia="zh-CN"/>
                    </w:rPr>
                  </w:pPr>
                </w:p>
              </w:tc>
              <w:tc>
                <w:tcPr>
                  <w:tcW w:w="305" w:type="pct"/>
                  <w:vMerge w:val="continue"/>
                  <w:shd w:val="clear" w:color="auto" w:fill="auto"/>
                  <w:vAlign w:val="center"/>
                </w:tcPr>
                <w:p w14:paraId="20B2CDB6">
                  <w:pPr>
                    <w:jc w:val="center"/>
                    <w:rPr>
                      <w:rFonts w:hint="eastAsia"/>
                      <w:color w:val="auto"/>
                      <w:szCs w:val="21"/>
                      <w:lang w:val="en-US" w:eastAsia="zh-CN"/>
                    </w:rPr>
                  </w:pPr>
                </w:p>
              </w:tc>
              <w:tc>
                <w:tcPr>
                  <w:tcW w:w="393" w:type="pct"/>
                  <w:vMerge w:val="continue"/>
                  <w:vAlign w:val="center"/>
                </w:tcPr>
                <w:p w14:paraId="2610CDE6">
                  <w:pPr>
                    <w:jc w:val="center"/>
                    <w:rPr>
                      <w:rFonts w:hint="eastAsia"/>
                      <w:color w:val="auto"/>
                      <w:szCs w:val="21"/>
                      <w:lang w:val="en-US" w:eastAsia="zh-CN"/>
                    </w:rPr>
                  </w:pPr>
                </w:p>
              </w:tc>
              <w:tc>
                <w:tcPr>
                  <w:tcW w:w="298" w:type="pct"/>
                  <w:vMerge w:val="continue"/>
                  <w:vAlign w:val="center"/>
                </w:tcPr>
                <w:p w14:paraId="720AE31E">
                  <w:pPr>
                    <w:jc w:val="center"/>
                    <w:rPr>
                      <w:rFonts w:hint="eastAsia"/>
                      <w:color w:val="auto"/>
                      <w:szCs w:val="21"/>
                      <w:lang w:val="en-US" w:eastAsia="zh-CN"/>
                    </w:rPr>
                  </w:pPr>
                </w:p>
              </w:tc>
              <w:tc>
                <w:tcPr>
                  <w:tcW w:w="276" w:type="pct"/>
                  <w:vMerge w:val="continue"/>
                  <w:vAlign w:val="center"/>
                </w:tcPr>
                <w:p w14:paraId="5C1C42D0">
                  <w:pPr>
                    <w:jc w:val="center"/>
                    <w:rPr>
                      <w:rFonts w:hint="eastAsia"/>
                      <w:color w:val="auto"/>
                      <w:szCs w:val="21"/>
                      <w:lang w:val="en-US" w:eastAsia="zh-CN"/>
                    </w:rPr>
                  </w:pPr>
                </w:p>
              </w:tc>
              <w:tc>
                <w:tcPr>
                  <w:tcW w:w="298" w:type="pct"/>
                  <w:vMerge w:val="continue"/>
                  <w:vAlign w:val="center"/>
                </w:tcPr>
                <w:p w14:paraId="3341010F">
                  <w:pPr>
                    <w:jc w:val="center"/>
                    <w:rPr>
                      <w:rFonts w:hint="eastAsia"/>
                      <w:color w:val="auto"/>
                      <w:szCs w:val="21"/>
                      <w:lang w:val="en-US" w:eastAsia="zh-CN"/>
                    </w:rPr>
                  </w:pPr>
                </w:p>
              </w:tc>
              <w:tc>
                <w:tcPr>
                  <w:tcW w:w="305" w:type="pct"/>
                  <w:vMerge w:val="continue"/>
                  <w:vAlign w:val="center"/>
                </w:tcPr>
                <w:p w14:paraId="68499E82">
                  <w:pPr>
                    <w:jc w:val="center"/>
                    <w:rPr>
                      <w:rFonts w:hint="eastAsia"/>
                      <w:color w:val="auto"/>
                      <w:szCs w:val="21"/>
                      <w:lang w:val="en-US" w:eastAsia="zh-CN"/>
                    </w:rPr>
                  </w:pPr>
                </w:p>
              </w:tc>
              <w:tc>
                <w:tcPr>
                  <w:tcW w:w="254" w:type="pct"/>
                  <w:shd w:val="clear" w:color="auto" w:fill="auto"/>
                  <w:vAlign w:val="center"/>
                </w:tcPr>
                <w:p w14:paraId="17FB4FFB">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东北</w:t>
                  </w:r>
                </w:p>
              </w:tc>
              <w:tc>
                <w:tcPr>
                  <w:tcW w:w="262" w:type="pct"/>
                  <w:shd w:val="clear" w:color="auto" w:fill="auto"/>
                  <w:vAlign w:val="center"/>
                </w:tcPr>
                <w:p w14:paraId="47423152">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2</w:t>
                  </w:r>
                </w:p>
              </w:tc>
              <w:tc>
                <w:tcPr>
                  <w:tcW w:w="378" w:type="pct"/>
                  <w:shd w:val="clear" w:color="auto" w:fill="auto"/>
                  <w:vAlign w:val="center"/>
                </w:tcPr>
                <w:p w14:paraId="4078842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p>
              </w:tc>
              <w:tc>
                <w:tcPr>
                  <w:tcW w:w="291" w:type="pct"/>
                  <w:vMerge w:val="continue"/>
                  <w:vAlign w:val="center"/>
                </w:tcPr>
                <w:p w14:paraId="2954CDD9">
                  <w:pPr>
                    <w:jc w:val="center"/>
                    <w:rPr>
                      <w:rFonts w:hint="eastAsia"/>
                      <w:color w:val="auto"/>
                      <w:szCs w:val="21"/>
                      <w:lang w:val="en-US" w:eastAsia="zh-CN"/>
                    </w:rPr>
                  </w:pPr>
                </w:p>
              </w:tc>
              <w:tc>
                <w:tcPr>
                  <w:tcW w:w="429" w:type="pct"/>
                  <w:vMerge w:val="continue"/>
                  <w:vAlign w:val="center"/>
                </w:tcPr>
                <w:p w14:paraId="73124DBE">
                  <w:pPr>
                    <w:jc w:val="center"/>
                    <w:rPr>
                      <w:rFonts w:hint="eastAsia"/>
                      <w:color w:val="auto"/>
                      <w:szCs w:val="21"/>
                      <w:lang w:val="en-US" w:eastAsia="zh-CN"/>
                    </w:rPr>
                  </w:pPr>
                </w:p>
              </w:tc>
              <w:tc>
                <w:tcPr>
                  <w:tcW w:w="458" w:type="pct"/>
                  <w:shd w:val="clear" w:color="auto" w:fill="auto"/>
                  <w:vAlign w:val="center"/>
                </w:tcPr>
                <w:p w14:paraId="577EE570">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50.1</w:t>
                  </w:r>
                </w:p>
              </w:tc>
              <w:tc>
                <w:tcPr>
                  <w:tcW w:w="318" w:type="pct"/>
                  <w:vMerge w:val="continue"/>
                  <w:vAlign w:val="center"/>
                </w:tcPr>
                <w:p w14:paraId="345B2E97">
                  <w:pPr>
                    <w:jc w:val="center"/>
                    <w:rPr>
                      <w:rFonts w:hint="eastAsia"/>
                      <w:color w:val="auto"/>
                      <w:szCs w:val="21"/>
                      <w:lang w:val="en-US" w:eastAsia="zh-CN"/>
                    </w:rPr>
                  </w:pPr>
                </w:p>
              </w:tc>
            </w:tr>
            <w:tr w14:paraId="42DF1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continue"/>
                  <w:vAlign w:val="center"/>
                </w:tcPr>
                <w:p w14:paraId="15AA2D66">
                  <w:pPr>
                    <w:jc w:val="center"/>
                    <w:rPr>
                      <w:rFonts w:hint="eastAsia"/>
                      <w:color w:val="auto"/>
                      <w:szCs w:val="21"/>
                      <w:lang w:val="en-US" w:eastAsia="zh-CN"/>
                    </w:rPr>
                  </w:pPr>
                </w:p>
              </w:tc>
              <w:tc>
                <w:tcPr>
                  <w:tcW w:w="295" w:type="pct"/>
                  <w:vMerge w:val="continue"/>
                  <w:vAlign w:val="center"/>
                </w:tcPr>
                <w:p w14:paraId="2E4DE4A6">
                  <w:pPr>
                    <w:jc w:val="center"/>
                    <w:rPr>
                      <w:rFonts w:hint="eastAsia"/>
                      <w:color w:val="auto"/>
                      <w:szCs w:val="21"/>
                      <w:lang w:val="en-US" w:eastAsia="zh-CN"/>
                    </w:rPr>
                  </w:pPr>
                </w:p>
              </w:tc>
              <w:tc>
                <w:tcPr>
                  <w:tcW w:w="255" w:type="pct"/>
                  <w:vMerge w:val="continue"/>
                  <w:vAlign w:val="center"/>
                </w:tcPr>
                <w:p w14:paraId="10D9F8A5">
                  <w:pPr>
                    <w:jc w:val="center"/>
                    <w:rPr>
                      <w:rFonts w:hint="eastAsia"/>
                      <w:color w:val="auto"/>
                      <w:szCs w:val="21"/>
                      <w:lang w:val="en-US" w:eastAsia="zh-CN"/>
                    </w:rPr>
                  </w:pPr>
                </w:p>
              </w:tc>
              <w:tc>
                <w:tcPr>
                  <w:tcW w:w="305" w:type="pct"/>
                  <w:vMerge w:val="continue"/>
                  <w:shd w:val="clear" w:color="auto" w:fill="auto"/>
                  <w:vAlign w:val="center"/>
                </w:tcPr>
                <w:p w14:paraId="1C985FD5">
                  <w:pPr>
                    <w:jc w:val="center"/>
                    <w:rPr>
                      <w:rFonts w:hint="eastAsia"/>
                      <w:color w:val="auto"/>
                      <w:szCs w:val="21"/>
                      <w:lang w:val="en-US" w:eastAsia="zh-CN"/>
                    </w:rPr>
                  </w:pPr>
                </w:p>
              </w:tc>
              <w:tc>
                <w:tcPr>
                  <w:tcW w:w="393" w:type="pct"/>
                  <w:vMerge w:val="continue"/>
                  <w:vAlign w:val="center"/>
                </w:tcPr>
                <w:p w14:paraId="61241C47">
                  <w:pPr>
                    <w:jc w:val="center"/>
                    <w:rPr>
                      <w:rFonts w:hint="eastAsia"/>
                      <w:color w:val="auto"/>
                      <w:szCs w:val="21"/>
                      <w:lang w:val="en-US" w:eastAsia="zh-CN"/>
                    </w:rPr>
                  </w:pPr>
                </w:p>
              </w:tc>
              <w:tc>
                <w:tcPr>
                  <w:tcW w:w="298" w:type="pct"/>
                  <w:vMerge w:val="continue"/>
                  <w:vAlign w:val="center"/>
                </w:tcPr>
                <w:p w14:paraId="6EF3FCE9">
                  <w:pPr>
                    <w:jc w:val="center"/>
                    <w:rPr>
                      <w:rFonts w:hint="eastAsia"/>
                      <w:color w:val="auto"/>
                      <w:szCs w:val="21"/>
                      <w:lang w:val="en-US" w:eastAsia="zh-CN"/>
                    </w:rPr>
                  </w:pPr>
                </w:p>
              </w:tc>
              <w:tc>
                <w:tcPr>
                  <w:tcW w:w="276" w:type="pct"/>
                  <w:vMerge w:val="continue"/>
                  <w:vAlign w:val="center"/>
                </w:tcPr>
                <w:p w14:paraId="07A389D5">
                  <w:pPr>
                    <w:jc w:val="center"/>
                    <w:rPr>
                      <w:rFonts w:hint="eastAsia"/>
                      <w:color w:val="auto"/>
                      <w:szCs w:val="21"/>
                      <w:lang w:val="en-US" w:eastAsia="zh-CN"/>
                    </w:rPr>
                  </w:pPr>
                </w:p>
              </w:tc>
              <w:tc>
                <w:tcPr>
                  <w:tcW w:w="298" w:type="pct"/>
                  <w:vMerge w:val="continue"/>
                  <w:vAlign w:val="center"/>
                </w:tcPr>
                <w:p w14:paraId="7BF43C00">
                  <w:pPr>
                    <w:jc w:val="center"/>
                    <w:rPr>
                      <w:rFonts w:hint="eastAsia"/>
                      <w:color w:val="auto"/>
                      <w:szCs w:val="21"/>
                      <w:lang w:val="en-US" w:eastAsia="zh-CN"/>
                    </w:rPr>
                  </w:pPr>
                </w:p>
              </w:tc>
              <w:tc>
                <w:tcPr>
                  <w:tcW w:w="305" w:type="pct"/>
                  <w:vMerge w:val="continue"/>
                  <w:vAlign w:val="center"/>
                </w:tcPr>
                <w:p w14:paraId="3E1B95E5">
                  <w:pPr>
                    <w:jc w:val="center"/>
                    <w:rPr>
                      <w:rFonts w:hint="eastAsia"/>
                      <w:color w:val="auto"/>
                      <w:szCs w:val="21"/>
                      <w:lang w:val="en-US" w:eastAsia="zh-CN"/>
                    </w:rPr>
                  </w:pPr>
                </w:p>
              </w:tc>
              <w:tc>
                <w:tcPr>
                  <w:tcW w:w="254" w:type="pct"/>
                  <w:shd w:val="clear" w:color="auto" w:fill="auto"/>
                  <w:vAlign w:val="center"/>
                </w:tcPr>
                <w:p w14:paraId="3079076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东南</w:t>
                  </w:r>
                </w:p>
              </w:tc>
              <w:tc>
                <w:tcPr>
                  <w:tcW w:w="262" w:type="pct"/>
                  <w:shd w:val="clear" w:color="auto" w:fill="auto"/>
                  <w:vAlign w:val="center"/>
                </w:tcPr>
                <w:p w14:paraId="6A42AD16">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19</w:t>
                  </w:r>
                </w:p>
              </w:tc>
              <w:tc>
                <w:tcPr>
                  <w:tcW w:w="378" w:type="pct"/>
                  <w:shd w:val="clear" w:color="auto" w:fill="auto"/>
                  <w:vAlign w:val="center"/>
                </w:tcPr>
                <w:p w14:paraId="24B97136">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p>
              </w:tc>
              <w:tc>
                <w:tcPr>
                  <w:tcW w:w="291" w:type="pct"/>
                  <w:vMerge w:val="continue"/>
                  <w:vAlign w:val="center"/>
                </w:tcPr>
                <w:p w14:paraId="131A11D2">
                  <w:pPr>
                    <w:jc w:val="center"/>
                    <w:rPr>
                      <w:rFonts w:hint="eastAsia"/>
                      <w:color w:val="auto"/>
                      <w:szCs w:val="21"/>
                      <w:lang w:val="en-US" w:eastAsia="zh-CN"/>
                    </w:rPr>
                  </w:pPr>
                </w:p>
              </w:tc>
              <w:tc>
                <w:tcPr>
                  <w:tcW w:w="429" w:type="pct"/>
                  <w:vMerge w:val="continue"/>
                  <w:vAlign w:val="center"/>
                </w:tcPr>
                <w:p w14:paraId="708C9B56">
                  <w:pPr>
                    <w:jc w:val="center"/>
                    <w:rPr>
                      <w:rFonts w:hint="eastAsia"/>
                      <w:color w:val="auto"/>
                      <w:szCs w:val="21"/>
                      <w:lang w:val="en-US" w:eastAsia="zh-CN"/>
                    </w:rPr>
                  </w:pPr>
                </w:p>
              </w:tc>
              <w:tc>
                <w:tcPr>
                  <w:tcW w:w="458" w:type="pct"/>
                  <w:shd w:val="clear" w:color="auto" w:fill="auto"/>
                  <w:vAlign w:val="center"/>
                </w:tcPr>
                <w:p w14:paraId="7DEF0EFC">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49.2</w:t>
                  </w:r>
                </w:p>
              </w:tc>
              <w:tc>
                <w:tcPr>
                  <w:tcW w:w="318" w:type="pct"/>
                  <w:vMerge w:val="continue"/>
                  <w:vAlign w:val="center"/>
                </w:tcPr>
                <w:p w14:paraId="5BF039C7">
                  <w:pPr>
                    <w:jc w:val="center"/>
                    <w:rPr>
                      <w:rFonts w:hint="eastAsia"/>
                      <w:color w:val="auto"/>
                      <w:szCs w:val="21"/>
                      <w:lang w:val="en-US" w:eastAsia="zh-CN"/>
                    </w:rPr>
                  </w:pPr>
                </w:p>
              </w:tc>
            </w:tr>
            <w:tr w14:paraId="254EB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5000" w:type="pct"/>
                  <w:gridSpan w:val="16"/>
                  <w:vAlign w:val="center"/>
                </w:tcPr>
                <w:p w14:paraId="4696A846">
                  <w:pPr>
                    <w:jc w:val="left"/>
                    <w:rPr>
                      <w:rFonts w:hint="default"/>
                      <w:color w:val="auto"/>
                      <w:szCs w:val="21"/>
                      <w:lang w:val="en-US" w:eastAsia="zh-CN"/>
                    </w:rPr>
                  </w:pPr>
                  <w:r>
                    <w:rPr>
                      <w:rFonts w:hint="eastAsia"/>
                      <w:color w:val="auto"/>
                      <w:szCs w:val="21"/>
                      <w:lang w:val="en-US" w:eastAsia="zh-CN"/>
                    </w:rPr>
                    <w:t>备注：以厂房西北角为原点（0，0，0）</w:t>
                  </w:r>
                </w:p>
              </w:tc>
            </w:tr>
          </w:tbl>
          <w:p w14:paraId="201804CB">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GB" w:eastAsia="zh-CN"/>
              </w:rPr>
            </w:pPr>
            <w:bookmarkStart w:id="159" w:name="_Toc10899"/>
            <w:bookmarkStart w:id="160" w:name="_Toc24235"/>
            <w:r>
              <w:rPr>
                <w:rFonts w:hint="default"/>
                <w:b/>
                <w:color w:val="262626"/>
                <w:kern w:val="0"/>
                <w:sz w:val="24"/>
                <w:lang w:val="en-US" w:eastAsia="zh-CN"/>
              </w:rPr>
              <w:t>4.3.2声环境影响分析</w:t>
            </w:r>
            <w:bookmarkEnd w:id="159"/>
            <w:bookmarkEnd w:id="160"/>
          </w:p>
          <w:p w14:paraId="39B0BA89">
            <w:pPr>
              <w:pStyle w:val="35"/>
              <w:spacing w:line="360" w:lineRule="auto"/>
              <w:ind w:firstLine="480"/>
              <w:rPr>
                <w:rFonts w:cs="Times New Roman"/>
                <w:color w:val="auto"/>
                <w:kern w:val="2"/>
                <w:sz w:val="24"/>
                <w:szCs w:val="24"/>
                <w:highlight w:val="none"/>
              </w:rPr>
            </w:pPr>
            <w:r>
              <w:rPr>
                <w:rFonts w:cs="Times New Roman"/>
                <w:color w:val="auto"/>
                <w:sz w:val="24"/>
                <w:szCs w:val="24"/>
                <w:highlight w:val="none"/>
              </w:rPr>
              <w:t>本评价将对机械设备产生的噪声值进行衰减预测，根据《环境影响评价技术导则—声环境》（HJ2.4-2021）推荐的预测模式，具体室内等效室外声源声功率计算、户外传播衰减、几何衰减、噪声贡献值叠加等计算模式如下：</w:t>
            </w:r>
          </w:p>
          <w:p w14:paraId="7EBB43C9">
            <w:pPr>
              <w:pStyle w:val="35"/>
              <w:spacing w:line="360" w:lineRule="auto"/>
              <w:ind w:firstLine="480"/>
              <w:rPr>
                <w:rFonts w:cs="Times New Roman"/>
                <w:color w:val="auto"/>
                <w:sz w:val="24"/>
                <w:szCs w:val="24"/>
                <w:highlight w:val="none"/>
              </w:rPr>
            </w:pPr>
            <w:r>
              <w:rPr>
                <w:rFonts w:cs="Times New Roman"/>
                <w:color w:val="auto"/>
                <w:sz w:val="24"/>
                <w:szCs w:val="24"/>
                <w:highlight w:val="none"/>
              </w:rPr>
              <w:t>（1）单个室外的点声源在预测点产生的声级计算基本公式</w:t>
            </w:r>
          </w:p>
          <w:p w14:paraId="38E736BD">
            <w:pPr>
              <w:pStyle w:val="35"/>
              <w:spacing w:line="360" w:lineRule="auto"/>
              <w:ind w:firstLine="480"/>
              <w:rPr>
                <w:rFonts w:cs="Times New Roman"/>
                <w:color w:val="auto"/>
                <w:sz w:val="24"/>
                <w:szCs w:val="24"/>
                <w:highlight w:val="none"/>
              </w:rPr>
            </w:pPr>
            <w:r>
              <w:rPr>
                <w:rFonts w:cs="Times New Roman"/>
                <w:color w:val="auto"/>
                <w:sz w:val="24"/>
                <w:szCs w:val="24"/>
                <w:highlight w:val="none"/>
              </w:rPr>
              <w:t>某个声源在预测点的倍频带声压级的计算公式如下：</w:t>
            </w:r>
          </w:p>
          <w:p w14:paraId="0FF111E9">
            <w:pPr>
              <w:pStyle w:val="59"/>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522220" cy="716280"/>
                  <wp:effectExtent l="0" t="0" r="11430" b="762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32" r:link="rId33"/>
                          <a:stretch>
                            <a:fillRect/>
                          </a:stretch>
                        </pic:blipFill>
                        <pic:spPr>
                          <a:xfrm>
                            <a:off x="0" y="0"/>
                            <a:ext cx="2522220" cy="71628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008EE169">
            <w:pPr>
              <w:pStyle w:val="35"/>
              <w:spacing w:line="360" w:lineRule="auto"/>
              <w:ind w:firstLine="412"/>
              <w:rPr>
                <w:rFonts w:cs="Times New Roman"/>
                <w:color w:val="auto"/>
                <w:sz w:val="24"/>
                <w:szCs w:val="24"/>
                <w:highlight w:val="none"/>
              </w:rPr>
            </w:pPr>
            <w:r>
              <w:rPr>
                <w:rFonts w:cs="Times New Roman"/>
                <w:color w:val="auto"/>
                <w:spacing w:val="-17"/>
                <w:sz w:val="24"/>
                <w:szCs w:val="24"/>
                <w:highlight w:val="none"/>
              </w:rPr>
              <w:t>式</w:t>
            </w:r>
            <w:r>
              <w:rPr>
                <w:rFonts w:cs="Times New Roman"/>
                <w:color w:val="auto"/>
                <w:sz w:val="24"/>
                <w:szCs w:val="24"/>
                <w:highlight w:val="none"/>
              </w:rPr>
              <w:t>中：</w:t>
            </w:r>
          </w:p>
          <w:p w14:paraId="27B314B7">
            <w:pPr>
              <w:pStyle w:val="35"/>
              <w:spacing w:line="360" w:lineRule="auto"/>
              <w:ind w:firstLine="452"/>
              <w:rPr>
                <w:rFonts w:cs="Times New Roman"/>
                <w:color w:val="auto"/>
                <w:sz w:val="24"/>
                <w:szCs w:val="24"/>
                <w:highlight w:val="none"/>
              </w:rPr>
            </w:pPr>
            <w:r>
              <w:rPr>
                <w:rFonts w:cs="Times New Roman"/>
                <w:color w:val="auto"/>
                <w:spacing w:val="-7"/>
                <w:sz w:val="24"/>
                <w:szCs w:val="24"/>
                <w:highlight w:val="none"/>
              </w:rPr>
              <w:t>Lw</w:t>
            </w:r>
            <w:r>
              <w:rPr>
                <w:rFonts w:cs="Times New Roman"/>
                <w:color w:val="auto"/>
                <w:spacing w:val="-14"/>
                <w:sz w:val="24"/>
                <w:szCs w:val="24"/>
                <w:highlight w:val="none"/>
              </w:rPr>
              <w:t>—</w:t>
            </w:r>
            <w:r>
              <w:rPr>
                <w:rFonts w:cs="Times New Roman"/>
                <w:color w:val="auto"/>
                <w:spacing w:val="-13"/>
                <w:sz w:val="24"/>
                <w:szCs w:val="24"/>
                <w:highlight w:val="none"/>
              </w:rPr>
              <w:t>—</w:t>
            </w:r>
            <w:r>
              <w:rPr>
                <w:rFonts w:cs="Times New Roman"/>
                <w:color w:val="auto"/>
                <w:sz w:val="24"/>
                <w:szCs w:val="24"/>
                <w:highlight w:val="none"/>
              </w:rPr>
              <w:t>倍频带声功率级</w:t>
            </w:r>
            <w:r>
              <w:rPr>
                <w:rFonts w:cs="Times New Roman"/>
                <w:color w:val="auto"/>
                <w:spacing w:val="-7"/>
                <w:sz w:val="24"/>
                <w:szCs w:val="24"/>
                <w:highlight w:val="none"/>
              </w:rPr>
              <w:t>，dB；</w:t>
            </w:r>
          </w:p>
          <w:p w14:paraId="18488F2D">
            <w:pPr>
              <w:pStyle w:val="35"/>
              <w:spacing w:line="360" w:lineRule="auto"/>
              <w:ind w:firstLine="460"/>
              <w:rPr>
                <w:rFonts w:cs="Times New Roman"/>
                <w:color w:val="auto"/>
                <w:spacing w:val="-5"/>
                <w:sz w:val="24"/>
                <w:szCs w:val="24"/>
                <w:highlight w:val="none"/>
              </w:rPr>
            </w:pPr>
            <w:r>
              <w:rPr>
                <w:rFonts w:cs="Times New Roman"/>
                <w:color w:val="auto"/>
                <w:spacing w:val="-5"/>
                <w:sz w:val="24"/>
                <w:szCs w:val="24"/>
                <w:highlight w:val="none"/>
              </w:rPr>
              <w:t>Dc</w:t>
            </w:r>
            <w:r>
              <w:rPr>
                <w:rFonts w:cs="Times New Roman"/>
                <w:color w:val="auto"/>
                <w:spacing w:val="-10"/>
                <w:sz w:val="24"/>
                <w:szCs w:val="24"/>
                <w:highlight w:val="none"/>
              </w:rPr>
              <w:t>——</w:t>
            </w:r>
            <w:r>
              <w:rPr>
                <w:rFonts w:cs="Times New Roman"/>
                <w:color w:val="auto"/>
                <w:sz w:val="24"/>
                <w:szCs w:val="24"/>
                <w:highlight w:val="none"/>
              </w:rPr>
              <w:t>指向性校正。对辐射到自由空间的全向点声源</w:t>
            </w:r>
            <w:r>
              <w:rPr>
                <w:rFonts w:cs="Times New Roman"/>
                <w:color w:val="auto"/>
                <w:spacing w:val="-5"/>
                <w:sz w:val="24"/>
                <w:szCs w:val="24"/>
                <w:highlight w:val="none"/>
              </w:rPr>
              <w:t>，Dc=0dB；</w:t>
            </w:r>
          </w:p>
          <w:p w14:paraId="77391989">
            <w:pPr>
              <w:pStyle w:val="35"/>
              <w:spacing w:line="360" w:lineRule="auto"/>
              <w:ind w:firstLine="440"/>
              <w:rPr>
                <w:rFonts w:cs="Times New Roman"/>
                <w:color w:val="auto"/>
                <w:sz w:val="24"/>
                <w:szCs w:val="24"/>
                <w:highlight w:val="none"/>
              </w:rPr>
            </w:pPr>
            <w:r>
              <w:rPr>
                <w:rFonts w:cs="Times New Roman"/>
                <w:color w:val="auto"/>
                <w:spacing w:val="-10"/>
                <w:sz w:val="24"/>
                <w:szCs w:val="24"/>
                <w:highlight w:val="none"/>
              </w:rPr>
              <w:t>A—</w:t>
            </w:r>
            <w:r>
              <w:rPr>
                <w:rFonts w:cs="Times New Roman"/>
                <w:color w:val="auto"/>
                <w:sz w:val="24"/>
                <w:szCs w:val="24"/>
                <w:highlight w:val="none"/>
              </w:rPr>
              <w:t>倍频带衰减，dB；</w:t>
            </w:r>
          </w:p>
          <w:p w14:paraId="7D3F17E4">
            <w:pPr>
              <w:pStyle w:val="35"/>
              <w:spacing w:line="360" w:lineRule="auto"/>
              <w:ind w:firstLine="460"/>
              <w:rPr>
                <w:rFonts w:cs="Times New Roman"/>
                <w:color w:val="auto"/>
                <w:sz w:val="24"/>
                <w:szCs w:val="24"/>
                <w:highlight w:val="none"/>
              </w:rPr>
            </w:pPr>
            <w:r>
              <w:rPr>
                <w:rFonts w:cs="Times New Roman"/>
                <w:color w:val="auto"/>
                <w:spacing w:val="-5"/>
                <w:position w:val="14"/>
                <w:sz w:val="24"/>
                <w:szCs w:val="24"/>
                <w:highlight w:val="none"/>
                <w:shd w:val="clear" w:color="auto" w:fill="FFFFFF"/>
              </w:rPr>
              <w:t>A</w:t>
            </w:r>
            <w:r>
              <w:rPr>
                <w:rFonts w:cs="Times New Roman"/>
                <w:color w:val="auto"/>
                <w:spacing w:val="-5"/>
                <w:position w:val="12"/>
                <w:sz w:val="24"/>
                <w:szCs w:val="24"/>
                <w:highlight w:val="none"/>
                <w:shd w:val="clear" w:color="auto" w:fill="FFFFFF"/>
              </w:rPr>
              <w:t>div</w:t>
            </w:r>
            <w:r>
              <w:rPr>
                <w:rFonts w:cs="Times New Roman"/>
                <w:color w:val="auto"/>
                <w:spacing w:val="-5"/>
                <w:position w:val="14"/>
                <w:sz w:val="24"/>
                <w:szCs w:val="24"/>
                <w:highlight w:val="none"/>
              </w:rPr>
              <w:t>—</w:t>
            </w:r>
            <w:r>
              <w:rPr>
                <w:rFonts w:cs="Times New Roman"/>
                <w:color w:val="auto"/>
                <w:sz w:val="24"/>
                <w:szCs w:val="24"/>
                <w:highlight w:val="none"/>
              </w:rPr>
              <w:t>几何发散引起的倍频带衰减</w:t>
            </w:r>
            <w:r>
              <w:rPr>
                <w:rFonts w:cs="Times New Roman"/>
                <w:color w:val="auto"/>
                <w:spacing w:val="-5"/>
                <w:position w:val="1"/>
                <w:sz w:val="24"/>
                <w:szCs w:val="24"/>
                <w:highlight w:val="none"/>
              </w:rPr>
              <w:t>，d</w:t>
            </w:r>
            <w:r>
              <w:rPr>
                <w:rFonts w:cs="Times New Roman"/>
                <w:color w:val="auto"/>
                <w:spacing w:val="-3"/>
                <w:position w:val="1"/>
                <w:sz w:val="24"/>
                <w:szCs w:val="24"/>
                <w:highlight w:val="none"/>
              </w:rPr>
              <w:t>B</w:t>
            </w:r>
            <w:r>
              <w:rPr>
                <w:rFonts w:cs="Times New Roman"/>
                <w:color w:val="auto"/>
                <w:spacing w:val="-5"/>
                <w:position w:val="1"/>
                <w:sz w:val="24"/>
                <w:szCs w:val="24"/>
                <w:highlight w:val="none"/>
              </w:rPr>
              <w:t>；</w:t>
            </w:r>
          </w:p>
          <w:p w14:paraId="124491C5">
            <w:pPr>
              <w:pStyle w:val="35"/>
              <w:spacing w:line="360" w:lineRule="auto"/>
              <w:ind w:firstLine="460"/>
              <w:rPr>
                <w:rFonts w:cs="Times New Roman"/>
                <w:color w:val="auto"/>
                <w:sz w:val="24"/>
                <w:szCs w:val="24"/>
                <w:highlight w:val="none"/>
              </w:rPr>
            </w:pPr>
            <w:r>
              <w:rPr>
                <w:rFonts w:cs="Times New Roman"/>
                <w:color w:val="auto"/>
                <w:spacing w:val="-5"/>
                <w:position w:val="1"/>
                <w:sz w:val="24"/>
                <w:szCs w:val="24"/>
                <w:highlight w:val="none"/>
                <w:shd w:val="clear" w:color="auto" w:fill="FFFFFF"/>
              </w:rPr>
              <w:t>A</w:t>
            </w:r>
            <w:r>
              <w:rPr>
                <w:rFonts w:cs="Times New Roman"/>
                <w:color w:val="auto"/>
                <w:spacing w:val="-5"/>
                <w:position w:val="-1"/>
                <w:sz w:val="24"/>
                <w:szCs w:val="24"/>
                <w:highlight w:val="none"/>
                <w:shd w:val="clear" w:color="auto" w:fill="FFFFFF"/>
              </w:rPr>
              <w:t>atm</w:t>
            </w:r>
            <w:r>
              <w:rPr>
                <w:rFonts w:cs="Times New Roman"/>
                <w:color w:val="auto"/>
                <w:spacing w:val="-5"/>
                <w:position w:val="1"/>
                <w:sz w:val="24"/>
                <w:szCs w:val="24"/>
                <w:highlight w:val="none"/>
              </w:rPr>
              <w:t>—</w:t>
            </w:r>
            <w:r>
              <w:rPr>
                <w:rFonts w:cs="Times New Roman"/>
                <w:color w:val="auto"/>
                <w:sz w:val="24"/>
                <w:szCs w:val="24"/>
                <w:highlight w:val="none"/>
              </w:rPr>
              <w:t>大气吸收引起的倍频带衰减</w:t>
            </w:r>
            <w:r>
              <w:rPr>
                <w:rFonts w:cs="Times New Roman"/>
                <w:color w:val="auto"/>
                <w:spacing w:val="-5"/>
                <w:position w:val="1"/>
                <w:sz w:val="24"/>
                <w:szCs w:val="24"/>
                <w:highlight w:val="none"/>
              </w:rPr>
              <w:t>，d</w:t>
            </w:r>
            <w:r>
              <w:rPr>
                <w:rFonts w:cs="Times New Roman"/>
                <w:color w:val="auto"/>
                <w:spacing w:val="-3"/>
                <w:position w:val="1"/>
                <w:sz w:val="24"/>
                <w:szCs w:val="24"/>
                <w:highlight w:val="none"/>
              </w:rPr>
              <w:t>B</w:t>
            </w:r>
            <w:r>
              <w:rPr>
                <w:rFonts w:cs="Times New Roman"/>
                <w:color w:val="auto"/>
                <w:spacing w:val="-5"/>
                <w:position w:val="1"/>
                <w:sz w:val="24"/>
                <w:szCs w:val="24"/>
                <w:highlight w:val="none"/>
              </w:rPr>
              <w:t>；</w:t>
            </w:r>
          </w:p>
          <w:p w14:paraId="642AD8FB">
            <w:pPr>
              <w:pStyle w:val="35"/>
              <w:spacing w:line="360" w:lineRule="auto"/>
              <w:ind w:firstLine="460"/>
              <w:rPr>
                <w:rFonts w:cs="Times New Roman"/>
                <w:color w:val="auto"/>
                <w:sz w:val="24"/>
                <w:szCs w:val="24"/>
                <w:highlight w:val="none"/>
              </w:rPr>
            </w:pPr>
            <w:r>
              <w:rPr>
                <w:rFonts w:cs="Times New Roman"/>
                <w:color w:val="auto"/>
                <w:spacing w:val="-5"/>
                <w:sz w:val="24"/>
                <w:szCs w:val="24"/>
                <w:highlight w:val="none"/>
              </w:rPr>
              <w:t>A</w:t>
            </w:r>
            <w:r>
              <w:rPr>
                <w:rFonts w:cs="Times New Roman"/>
                <w:color w:val="auto"/>
                <w:spacing w:val="-5"/>
                <w:position w:val="-2"/>
                <w:sz w:val="24"/>
                <w:szCs w:val="24"/>
                <w:highlight w:val="none"/>
              </w:rPr>
              <w:t>gr</w:t>
            </w:r>
            <w:r>
              <w:rPr>
                <w:rFonts w:cs="Times New Roman"/>
                <w:color w:val="auto"/>
                <w:spacing w:val="-10"/>
                <w:sz w:val="24"/>
                <w:szCs w:val="24"/>
                <w:highlight w:val="none"/>
              </w:rPr>
              <w:t>—</w:t>
            </w:r>
            <w:r>
              <w:rPr>
                <w:rFonts w:cs="Times New Roman"/>
                <w:color w:val="auto"/>
                <w:sz w:val="24"/>
                <w:szCs w:val="24"/>
                <w:highlight w:val="none"/>
              </w:rPr>
              <w:t>地面效应引起的倍频带衰减</w:t>
            </w:r>
            <w:r>
              <w:rPr>
                <w:rFonts w:cs="Times New Roman"/>
                <w:color w:val="auto"/>
                <w:spacing w:val="-5"/>
                <w:sz w:val="24"/>
                <w:szCs w:val="24"/>
                <w:highlight w:val="none"/>
              </w:rPr>
              <w:t>，dB；</w:t>
            </w:r>
          </w:p>
          <w:p w14:paraId="36431A95">
            <w:pPr>
              <w:pStyle w:val="35"/>
              <w:spacing w:line="360" w:lineRule="auto"/>
              <w:ind w:firstLine="460"/>
              <w:rPr>
                <w:rFonts w:cs="Times New Roman"/>
                <w:color w:val="auto"/>
                <w:sz w:val="24"/>
                <w:szCs w:val="24"/>
                <w:highlight w:val="none"/>
              </w:rPr>
            </w:pPr>
            <w:r>
              <w:rPr>
                <w:rFonts w:cs="Times New Roman"/>
                <w:color w:val="auto"/>
                <w:spacing w:val="-5"/>
                <w:position w:val="1"/>
                <w:sz w:val="24"/>
                <w:szCs w:val="24"/>
                <w:highlight w:val="none"/>
                <w:shd w:val="clear" w:color="auto" w:fill="FFFFFF"/>
              </w:rPr>
              <w:t>A</w:t>
            </w:r>
            <w:r>
              <w:rPr>
                <w:rFonts w:cs="Times New Roman"/>
                <w:color w:val="auto"/>
                <w:spacing w:val="-5"/>
                <w:position w:val="-1"/>
                <w:sz w:val="24"/>
                <w:szCs w:val="24"/>
                <w:highlight w:val="none"/>
                <w:shd w:val="clear" w:color="auto" w:fill="FFFFFF"/>
              </w:rPr>
              <w:t>bar</w:t>
            </w:r>
            <w:r>
              <w:rPr>
                <w:rFonts w:cs="Times New Roman"/>
                <w:color w:val="auto"/>
                <w:spacing w:val="-9"/>
                <w:position w:val="1"/>
                <w:sz w:val="24"/>
                <w:szCs w:val="24"/>
                <w:highlight w:val="none"/>
              </w:rPr>
              <w:t>—</w:t>
            </w:r>
            <w:r>
              <w:rPr>
                <w:rFonts w:cs="Times New Roman"/>
                <w:color w:val="auto"/>
                <w:sz w:val="24"/>
                <w:szCs w:val="24"/>
                <w:highlight w:val="none"/>
              </w:rPr>
              <w:t>声屏障引起的倍频带衰减</w:t>
            </w:r>
            <w:r>
              <w:rPr>
                <w:rFonts w:cs="Times New Roman"/>
                <w:color w:val="auto"/>
                <w:spacing w:val="-5"/>
                <w:position w:val="1"/>
                <w:sz w:val="24"/>
                <w:szCs w:val="24"/>
                <w:highlight w:val="none"/>
              </w:rPr>
              <w:t>，dB；</w:t>
            </w:r>
          </w:p>
          <w:p w14:paraId="436F6D4A">
            <w:pPr>
              <w:pStyle w:val="35"/>
              <w:spacing w:line="360" w:lineRule="auto"/>
              <w:ind w:firstLine="464"/>
              <w:rPr>
                <w:rFonts w:cs="Times New Roman"/>
                <w:color w:val="auto"/>
                <w:sz w:val="24"/>
                <w:szCs w:val="24"/>
                <w:highlight w:val="none"/>
              </w:rPr>
            </w:pPr>
            <w:r>
              <w:rPr>
                <w:rFonts w:cs="Times New Roman"/>
                <w:color w:val="auto"/>
                <w:spacing w:val="-4"/>
                <w:position w:val="14"/>
                <w:sz w:val="24"/>
                <w:szCs w:val="24"/>
                <w:highlight w:val="none"/>
                <w:shd w:val="clear" w:color="auto" w:fill="FFFFFF"/>
              </w:rPr>
              <w:t>A</w:t>
            </w:r>
            <w:r>
              <w:rPr>
                <w:rFonts w:cs="Times New Roman"/>
                <w:color w:val="auto"/>
                <w:spacing w:val="-4"/>
                <w:position w:val="12"/>
                <w:sz w:val="24"/>
                <w:szCs w:val="24"/>
                <w:highlight w:val="none"/>
                <w:shd w:val="clear" w:color="auto" w:fill="FFFFFF"/>
              </w:rPr>
              <w:t>misc</w:t>
            </w:r>
            <w:r>
              <w:rPr>
                <w:rFonts w:cs="Times New Roman"/>
                <w:color w:val="auto"/>
                <w:spacing w:val="-4"/>
                <w:position w:val="14"/>
                <w:sz w:val="24"/>
                <w:szCs w:val="24"/>
                <w:highlight w:val="none"/>
              </w:rPr>
              <w:t>—</w:t>
            </w:r>
            <w:r>
              <w:rPr>
                <w:rFonts w:cs="Times New Roman"/>
                <w:color w:val="auto"/>
                <w:sz w:val="24"/>
                <w:szCs w:val="24"/>
                <w:highlight w:val="none"/>
              </w:rPr>
              <w:t>其他多方面效应引起的倍频带衰减</w:t>
            </w:r>
            <w:r>
              <w:rPr>
                <w:rFonts w:cs="Times New Roman"/>
                <w:color w:val="auto"/>
                <w:spacing w:val="-4"/>
                <w:position w:val="14"/>
                <w:sz w:val="24"/>
                <w:szCs w:val="24"/>
                <w:highlight w:val="none"/>
              </w:rPr>
              <w:t>，dB。</w:t>
            </w:r>
          </w:p>
          <w:p w14:paraId="0664D8C5">
            <w:pPr>
              <w:pStyle w:val="35"/>
              <w:spacing w:line="360" w:lineRule="auto"/>
              <w:ind w:firstLine="480"/>
              <w:rPr>
                <w:rFonts w:cs="Times New Roman"/>
                <w:color w:val="auto"/>
                <w:sz w:val="24"/>
                <w:szCs w:val="24"/>
                <w:highlight w:val="none"/>
              </w:rPr>
            </w:pPr>
            <w:r>
              <w:rPr>
                <w:rFonts w:cs="Times New Roman"/>
                <w:color w:val="auto"/>
                <w:sz w:val="24"/>
                <w:szCs w:val="24"/>
                <w:highlight w:val="none"/>
              </w:rPr>
              <w:t>如已知靠近声源处某点的倍频带声压级Lp（r0）时，相同方向预测点位置的倍频带声压级Lp（r）的计算公式为：</w:t>
            </w:r>
          </w:p>
          <w:p w14:paraId="70E1CA29">
            <w:pPr>
              <w:pStyle w:val="59"/>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1638300" cy="335280"/>
                  <wp:effectExtent l="0" t="0" r="0" b="762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34" r:link="rId35"/>
                          <a:stretch>
                            <a:fillRect/>
                          </a:stretch>
                        </pic:blipFill>
                        <pic:spPr>
                          <a:xfrm>
                            <a:off x="0" y="0"/>
                            <a:ext cx="1638300" cy="33528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12135022">
            <w:pPr>
              <w:pStyle w:val="35"/>
              <w:spacing w:line="360" w:lineRule="auto"/>
              <w:ind w:firstLine="480"/>
              <w:rPr>
                <w:rFonts w:cs="Times New Roman"/>
                <w:color w:val="auto"/>
                <w:sz w:val="24"/>
                <w:szCs w:val="24"/>
                <w:highlight w:val="none"/>
              </w:rPr>
            </w:pPr>
            <w:r>
              <w:rPr>
                <w:rFonts w:cs="Times New Roman"/>
                <w:color w:val="auto"/>
                <w:sz w:val="24"/>
                <w:szCs w:val="24"/>
                <w:highlight w:val="none"/>
              </w:rPr>
              <w:t>预测点的A声级LA</w:t>
            </w:r>
            <w:r>
              <w:rPr>
                <w:rFonts w:hint="eastAsia" w:cs="Times New Roman"/>
                <w:color w:val="auto"/>
                <w:sz w:val="24"/>
                <w:szCs w:val="24"/>
                <w:highlight w:val="none"/>
                <w:lang w:eastAsia="zh-CN"/>
              </w:rPr>
              <w:t>（</w:t>
            </w:r>
            <w:r>
              <w:rPr>
                <w:rFonts w:cs="Times New Roman"/>
                <w:color w:val="auto"/>
                <w:sz w:val="24"/>
                <w:szCs w:val="24"/>
                <w:highlight w:val="none"/>
              </w:rPr>
              <w:t>r</w:t>
            </w:r>
            <w:r>
              <w:rPr>
                <w:rFonts w:hint="eastAsia" w:cs="Times New Roman"/>
                <w:color w:val="auto"/>
                <w:sz w:val="24"/>
                <w:szCs w:val="24"/>
                <w:highlight w:val="none"/>
                <w:lang w:eastAsia="zh-CN"/>
              </w:rPr>
              <w:t>）</w:t>
            </w:r>
            <w:r>
              <w:rPr>
                <w:rFonts w:cs="Times New Roman"/>
                <w:color w:val="auto"/>
                <w:sz w:val="24"/>
                <w:szCs w:val="24"/>
                <w:highlight w:val="none"/>
              </w:rPr>
              <w:t>，可利用8个倍频带的声压级按下式计算：</w:t>
            </w:r>
          </w:p>
          <w:p w14:paraId="407A7DB7">
            <w:pPr>
              <w:pStyle w:val="59"/>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712720" cy="571500"/>
                  <wp:effectExtent l="0" t="0" r="1143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36" r:link="rId37"/>
                          <a:stretch>
                            <a:fillRect/>
                          </a:stretch>
                        </pic:blipFill>
                        <pic:spPr>
                          <a:xfrm>
                            <a:off x="0" y="0"/>
                            <a:ext cx="2712720" cy="57150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5CBECC23">
            <w:pPr>
              <w:pStyle w:val="35"/>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7795E301">
            <w:pPr>
              <w:pStyle w:val="35"/>
              <w:spacing w:line="360" w:lineRule="auto"/>
              <w:ind w:firstLine="480"/>
              <w:rPr>
                <w:rFonts w:cs="Times New Roman"/>
                <w:color w:val="auto"/>
                <w:sz w:val="24"/>
                <w:szCs w:val="24"/>
                <w:highlight w:val="none"/>
              </w:rPr>
            </w:pP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pi</w:t>
            </w:r>
            <w:r>
              <w:rPr>
                <w:rFonts w:cs="Times New Roman"/>
                <w:color w:val="auto"/>
                <w:sz w:val="24"/>
                <w:szCs w:val="24"/>
                <w:highlight w:val="none"/>
                <w:vertAlign w:val="subscript"/>
              </w:rPr>
              <w:t>(r)</w:t>
            </w:r>
            <w:r>
              <w:rPr>
                <w:rFonts w:cs="Times New Roman"/>
                <w:color w:val="auto"/>
                <w:sz w:val="24"/>
                <w:szCs w:val="24"/>
                <w:highlight w:val="none"/>
              </w:rPr>
              <w:t>----预测点（r）处，第i倍频带声压级，dB；</w:t>
            </w:r>
          </w:p>
          <w:p w14:paraId="17FADF33">
            <w:pPr>
              <w:pStyle w:val="35"/>
              <w:spacing w:line="360" w:lineRule="auto"/>
              <w:ind w:firstLine="480"/>
              <w:rPr>
                <w:rFonts w:cs="Times New Roman"/>
                <w:color w:val="auto"/>
                <w:sz w:val="24"/>
                <w:szCs w:val="24"/>
                <w:highlight w:val="none"/>
              </w:rPr>
            </w:pPr>
            <w:r>
              <w:rPr>
                <w:rFonts w:ascii="Cambria Math" w:hAnsi="Cambria Math" w:cs="Cambria Math"/>
                <w:color w:val="auto"/>
                <w:sz w:val="24"/>
                <w:szCs w:val="24"/>
                <w:highlight w:val="none"/>
              </w:rPr>
              <w:t>△</w:t>
            </w:r>
            <w:r>
              <w:rPr>
                <w:rFonts w:cs="Times New Roman"/>
                <w:color w:val="auto"/>
                <w:sz w:val="24"/>
                <w:szCs w:val="24"/>
                <w:highlight w:val="none"/>
              </w:rPr>
              <w:t>L</w:t>
            </w:r>
            <w:r>
              <w:rPr>
                <w:rFonts w:cs="Times New Roman"/>
                <w:color w:val="auto"/>
                <w:sz w:val="24"/>
                <w:szCs w:val="24"/>
                <w:highlight w:val="none"/>
                <w:vertAlign w:val="subscript"/>
              </w:rPr>
              <w:t>i—i</w:t>
            </w:r>
            <w:r>
              <w:rPr>
                <w:rFonts w:cs="Times New Roman"/>
                <w:color w:val="auto"/>
                <w:sz w:val="24"/>
                <w:szCs w:val="24"/>
                <w:highlight w:val="none"/>
              </w:rPr>
              <w:t>倍频带A计算网络修正值，dB（见导则附录B）。</w:t>
            </w:r>
          </w:p>
          <w:p w14:paraId="187AB624">
            <w:pPr>
              <w:pStyle w:val="35"/>
              <w:spacing w:line="360" w:lineRule="auto"/>
              <w:ind w:firstLine="480"/>
              <w:rPr>
                <w:rFonts w:cs="Times New Roman"/>
                <w:color w:val="auto"/>
                <w:sz w:val="24"/>
                <w:szCs w:val="24"/>
                <w:highlight w:val="none"/>
              </w:rPr>
            </w:pPr>
            <w:r>
              <w:rPr>
                <w:rFonts w:cs="Times New Roman"/>
                <w:color w:val="auto"/>
                <w:sz w:val="24"/>
                <w:szCs w:val="24"/>
                <w:highlight w:val="none"/>
              </w:rPr>
              <w:t>（2）室内声源等效室外声源声功率级计算方法</w:t>
            </w:r>
          </w:p>
          <w:p w14:paraId="54ACFDDA">
            <w:pPr>
              <w:pStyle w:val="35"/>
              <w:spacing w:line="360" w:lineRule="auto"/>
              <w:ind w:firstLine="480"/>
              <w:rPr>
                <w:rFonts w:cs="Times New Roman"/>
                <w:color w:val="auto"/>
                <w:sz w:val="24"/>
                <w:szCs w:val="24"/>
                <w:highlight w:val="none"/>
              </w:rPr>
            </w:pPr>
            <w:r>
              <w:rPr>
                <w:rFonts w:cs="Times New Roman"/>
                <w:color w:val="auto"/>
                <w:sz w:val="24"/>
                <w:szCs w:val="24"/>
                <w:highlight w:val="none"/>
              </w:rPr>
              <w:t>如下图所示，声源位于室内，室内声源可采用等效室外声源声功率级法进行计算。设靠近开口处（或窗户）室内、室外某倍频带的声压级分别为L</w:t>
            </w:r>
            <w:r>
              <w:rPr>
                <w:rFonts w:cs="Times New Roman"/>
                <w:color w:val="auto"/>
                <w:sz w:val="24"/>
                <w:szCs w:val="24"/>
                <w:highlight w:val="none"/>
                <w:vertAlign w:val="subscript"/>
              </w:rPr>
              <w:t>p1</w:t>
            </w:r>
            <w:r>
              <w:rPr>
                <w:rFonts w:cs="Times New Roman"/>
                <w:color w:val="auto"/>
                <w:sz w:val="24"/>
                <w:szCs w:val="24"/>
                <w:highlight w:val="none"/>
              </w:rPr>
              <w:t>和L</w:t>
            </w:r>
            <w:r>
              <w:rPr>
                <w:rFonts w:cs="Times New Roman"/>
                <w:color w:val="auto"/>
                <w:sz w:val="24"/>
                <w:szCs w:val="24"/>
                <w:highlight w:val="none"/>
                <w:vertAlign w:val="subscript"/>
              </w:rPr>
              <w:t>p2</w:t>
            </w:r>
            <w:r>
              <w:rPr>
                <w:rFonts w:cs="Times New Roman"/>
                <w:color w:val="auto"/>
                <w:sz w:val="24"/>
                <w:szCs w:val="24"/>
                <w:highlight w:val="none"/>
              </w:rPr>
              <w:t>。若声源所在室内声场为近似扩散声场，则室内的倍频带声压级可按下式近似求出：</w:t>
            </w:r>
          </w:p>
          <w:p w14:paraId="1EF793B0">
            <w:pPr>
              <w:pStyle w:val="59"/>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1752600" cy="381000"/>
                  <wp:effectExtent l="0" t="0" r="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38" r:link="rId39"/>
                          <a:stretch>
                            <a:fillRect/>
                          </a:stretch>
                        </pic:blipFill>
                        <pic:spPr>
                          <a:xfrm>
                            <a:off x="0" y="0"/>
                            <a:ext cx="1752600" cy="38100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6A8B630C">
            <w:pPr>
              <w:pStyle w:val="35"/>
              <w:spacing w:line="360" w:lineRule="auto"/>
              <w:ind w:firstLine="480"/>
              <w:rPr>
                <w:rFonts w:cs="Times New Roman"/>
                <w:color w:val="auto"/>
                <w:sz w:val="24"/>
                <w:szCs w:val="24"/>
                <w:highlight w:val="none"/>
              </w:rPr>
            </w:pPr>
            <w:r>
              <w:rPr>
                <w:rFonts w:cs="Times New Roman"/>
                <w:color w:val="auto"/>
                <w:sz w:val="24"/>
                <w:szCs w:val="24"/>
                <w:highlight w:val="none"/>
              </w:rPr>
              <w:t>式中：TL-隔墙（或窗户）倍频带的隔声量，dB。</w:t>
            </w:r>
          </w:p>
          <w:p w14:paraId="25072185">
            <w:pPr>
              <w:pStyle w:val="59"/>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3025140" cy="1661160"/>
                  <wp:effectExtent l="0" t="0" r="3810" b="1524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40" r:link="rId41"/>
                          <a:stretch>
                            <a:fillRect/>
                          </a:stretch>
                        </pic:blipFill>
                        <pic:spPr>
                          <a:xfrm>
                            <a:off x="0" y="0"/>
                            <a:ext cx="3025140" cy="166116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15C92F88">
            <w:pPr>
              <w:pStyle w:val="35"/>
              <w:spacing w:line="360" w:lineRule="auto"/>
              <w:ind w:firstLine="480"/>
              <w:rPr>
                <w:rFonts w:cs="Times New Roman"/>
                <w:color w:val="auto"/>
                <w:sz w:val="24"/>
                <w:szCs w:val="24"/>
                <w:highlight w:val="none"/>
              </w:rPr>
            </w:pPr>
            <w:r>
              <w:rPr>
                <w:rFonts w:cs="Times New Roman"/>
                <w:color w:val="auto"/>
                <w:sz w:val="24"/>
                <w:szCs w:val="24"/>
                <w:highlight w:val="none"/>
              </w:rPr>
              <w:t>按下式计算某一室内声源靠近围护结构处产生的倍频带声压级：</w:t>
            </w:r>
          </w:p>
          <w:p w14:paraId="20879975">
            <w:pPr>
              <w:pStyle w:val="59"/>
              <w:spacing w:line="360" w:lineRule="auto"/>
              <w:ind w:firstLine="480"/>
              <w:rPr>
                <w:rFonts w:cs="Times New Roman"/>
                <w:b/>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308860" cy="571500"/>
                  <wp:effectExtent l="0" t="0" r="15240"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42" r:link="rId43"/>
                          <a:stretch>
                            <a:fillRect/>
                          </a:stretch>
                        </pic:blipFill>
                        <pic:spPr>
                          <a:xfrm>
                            <a:off x="0" y="0"/>
                            <a:ext cx="2308860" cy="57150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12A63F8E">
            <w:pPr>
              <w:pStyle w:val="35"/>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438209FB">
            <w:pPr>
              <w:pStyle w:val="35"/>
              <w:spacing w:line="360" w:lineRule="auto"/>
              <w:ind w:firstLine="480"/>
              <w:rPr>
                <w:rFonts w:cs="Times New Roman"/>
                <w:color w:val="auto"/>
                <w:sz w:val="24"/>
                <w:szCs w:val="24"/>
                <w:highlight w:val="none"/>
              </w:rPr>
            </w:pPr>
            <w:r>
              <w:rPr>
                <w:rFonts w:cs="Times New Roman"/>
                <w:color w:val="auto"/>
                <w:sz w:val="24"/>
                <w:szCs w:val="24"/>
                <w:highlight w:val="none"/>
              </w:rPr>
              <w:t>Q----指向性因素；通常对无指向性声源，当声源放在房间中心时，Q=1；当放在一面墙的中心时，Q=2；当放在两面墙夹角处时；Q=4；当放在三面墙夹角处时，Q=8。</w:t>
            </w:r>
          </w:p>
          <w:p w14:paraId="0B9EA13D">
            <w:pPr>
              <w:pStyle w:val="35"/>
              <w:spacing w:line="360" w:lineRule="auto"/>
              <w:ind w:firstLine="480"/>
              <w:rPr>
                <w:rFonts w:cs="Times New Roman"/>
                <w:color w:val="auto"/>
                <w:sz w:val="24"/>
                <w:szCs w:val="24"/>
                <w:highlight w:val="none"/>
              </w:rPr>
            </w:pPr>
            <w:r>
              <w:rPr>
                <w:rFonts w:cs="Times New Roman"/>
                <w:color w:val="auto"/>
                <w:sz w:val="24"/>
                <w:szCs w:val="24"/>
                <w:highlight w:val="none"/>
              </w:rPr>
              <w:t>R----房间系数；R=Sα/(1-α</w:t>
            </w:r>
            <w:r>
              <w:rPr>
                <w:rFonts w:hint="eastAsia" w:cs="Times New Roman"/>
                <w:color w:val="auto"/>
                <w:sz w:val="24"/>
                <w:szCs w:val="24"/>
                <w:highlight w:val="none"/>
                <w:lang w:eastAsia="zh-CN"/>
              </w:rPr>
              <w:t>)</w:t>
            </w:r>
            <w:r>
              <w:rPr>
                <w:rFonts w:cs="Times New Roman"/>
                <w:color w:val="auto"/>
                <w:sz w:val="24"/>
                <w:szCs w:val="24"/>
                <w:highlight w:val="none"/>
              </w:rPr>
              <w:t>，S为房间内表面面积，m</w:t>
            </w:r>
            <w:r>
              <w:rPr>
                <w:rFonts w:cs="Times New Roman"/>
                <w:color w:val="auto"/>
                <w:sz w:val="24"/>
                <w:szCs w:val="24"/>
                <w:highlight w:val="none"/>
                <w:vertAlign w:val="superscript"/>
              </w:rPr>
              <w:t>2</w:t>
            </w:r>
            <w:r>
              <w:rPr>
                <w:rFonts w:cs="Times New Roman"/>
                <w:color w:val="auto"/>
                <w:sz w:val="24"/>
                <w:szCs w:val="24"/>
                <w:highlight w:val="none"/>
              </w:rPr>
              <w:t>；α为平均吸声系数。</w:t>
            </w:r>
          </w:p>
          <w:p w14:paraId="112A78C5">
            <w:pPr>
              <w:pStyle w:val="35"/>
              <w:spacing w:line="360" w:lineRule="auto"/>
              <w:ind w:firstLine="480"/>
              <w:rPr>
                <w:rFonts w:cs="Times New Roman"/>
                <w:color w:val="auto"/>
                <w:sz w:val="24"/>
                <w:szCs w:val="24"/>
                <w:highlight w:val="none"/>
              </w:rPr>
            </w:pPr>
            <w:r>
              <w:rPr>
                <w:rFonts w:cs="Times New Roman"/>
                <w:color w:val="auto"/>
                <w:sz w:val="24"/>
                <w:szCs w:val="24"/>
                <w:highlight w:val="none"/>
              </w:rPr>
              <w:t>r-----声源到靠近围护结构某点处的距离，m。</w:t>
            </w:r>
          </w:p>
          <w:p w14:paraId="4AEDD3EA">
            <w:pPr>
              <w:pStyle w:val="35"/>
              <w:spacing w:line="360" w:lineRule="auto"/>
              <w:ind w:firstLine="480"/>
              <w:rPr>
                <w:rFonts w:cs="Times New Roman"/>
                <w:color w:val="auto"/>
                <w:sz w:val="24"/>
                <w:szCs w:val="24"/>
                <w:highlight w:val="none"/>
              </w:rPr>
            </w:pPr>
            <w:r>
              <w:rPr>
                <w:rFonts w:hint="eastAsia"/>
                <w:color w:val="auto"/>
                <w:sz w:val="24"/>
                <w:szCs w:val="24"/>
                <w:highlight w:val="none"/>
              </w:rPr>
              <w:t>②</w:t>
            </w:r>
            <w:r>
              <w:rPr>
                <w:rFonts w:cs="Times New Roman"/>
                <w:color w:val="auto"/>
                <w:sz w:val="24"/>
                <w:szCs w:val="24"/>
                <w:highlight w:val="none"/>
              </w:rPr>
              <w:t>计算出所有室内声源在靠近围护结构处产生的i倍频带叠加声压级：</w:t>
            </w:r>
          </w:p>
          <w:p w14:paraId="158BF057">
            <w:pPr>
              <w:pStyle w:val="59"/>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103120" cy="670560"/>
                  <wp:effectExtent l="0" t="0" r="11430" b="1524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44" r:link="rId45"/>
                          <a:stretch>
                            <a:fillRect/>
                          </a:stretch>
                        </pic:blipFill>
                        <pic:spPr>
                          <a:xfrm>
                            <a:off x="0" y="0"/>
                            <a:ext cx="2103120" cy="67056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7D59C02C">
            <w:pPr>
              <w:pStyle w:val="35"/>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44FDAA67">
            <w:pPr>
              <w:pStyle w:val="35"/>
              <w:spacing w:line="360" w:lineRule="auto"/>
              <w:ind w:firstLine="480"/>
              <w:rPr>
                <w:rFonts w:cs="Times New Roman"/>
                <w:color w:val="auto"/>
                <w:sz w:val="24"/>
                <w:szCs w:val="24"/>
                <w:highlight w:val="none"/>
              </w:rPr>
            </w:pPr>
            <w:r>
              <w:rPr>
                <w:rFonts w:cs="Times New Roman"/>
                <w:color w:val="auto"/>
                <w:sz w:val="24"/>
                <w:szCs w:val="24"/>
                <w:highlight w:val="none"/>
              </w:rPr>
              <w:t>L</w:t>
            </w:r>
            <w:r>
              <w:rPr>
                <w:rFonts w:cs="Times New Roman"/>
                <w:color w:val="auto"/>
                <w:sz w:val="24"/>
                <w:szCs w:val="24"/>
                <w:highlight w:val="none"/>
                <w:vertAlign w:val="subscript"/>
              </w:rPr>
              <w:t>p1i(T)-</w:t>
            </w:r>
            <w:r>
              <w:rPr>
                <w:rFonts w:cs="Times New Roman"/>
                <w:color w:val="auto"/>
                <w:sz w:val="24"/>
                <w:szCs w:val="24"/>
                <w:highlight w:val="none"/>
              </w:rPr>
              <w:t>--靠近围护结构处室内N个声源i倍频带的叠加声压级，dB；</w:t>
            </w:r>
          </w:p>
          <w:p w14:paraId="0D64FD58">
            <w:pPr>
              <w:pStyle w:val="35"/>
              <w:spacing w:line="360" w:lineRule="auto"/>
              <w:ind w:firstLine="480"/>
              <w:rPr>
                <w:rFonts w:cs="Times New Roman"/>
                <w:color w:val="auto"/>
                <w:sz w:val="24"/>
                <w:szCs w:val="24"/>
                <w:highlight w:val="none"/>
              </w:rPr>
            </w:pPr>
            <w:r>
              <w:rPr>
                <w:rFonts w:cs="Times New Roman"/>
                <w:color w:val="auto"/>
                <w:sz w:val="24"/>
                <w:szCs w:val="24"/>
                <w:highlight w:val="none"/>
              </w:rPr>
              <w:t>L</w:t>
            </w:r>
            <w:r>
              <w:rPr>
                <w:rFonts w:cs="Times New Roman"/>
                <w:color w:val="auto"/>
                <w:sz w:val="24"/>
                <w:szCs w:val="24"/>
                <w:highlight w:val="none"/>
                <w:vertAlign w:val="subscript"/>
              </w:rPr>
              <w:t>p1ij</w:t>
            </w:r>
            <w:r>
              <w:rPr>
                <w:rFonts w:cs="Times New Roman"/>
                <w:color w:val="auto"/>
                <w:sz w:val="24"/>
                <w:szCs w:val="24"/>
                <w:highlight w:val="none"/>
              </w:rPr>
              <w:t>--</w:t>
            </w:r>
            <w:r>
              <w:rPr>
                <w:rFonts w:cs="Times New Roman"/>
                <w:color w:val="auto"/>
                <w:sz w:val="24"/>
                <w:szCs w:val="24"/>
                <w:highlight w:val="none"/>
                <w:shd w:val="clear" w:color="auto" w:fill="FFFFFF"/>
              </w:rPr>
              <w:t>-</w:t>
            </w:r>
            <w:r>
              <w:rPr>
                <w:rFonts w:cs="Times New Roman"/>
                <w:color w:val="auto"/>
                <w:sz w:val="24"/>
                <w:szCs w:val="24"/>
                <w:highlight w:val="none"/>
              </w:rPr>
              <w:t>室内j声源i倍频带的声压级，dB；</w:t>
            </w:r>
          </w:p>
          <w:p w14:paraId="0ACB57DA">
            <w:pPr>
              <w:pStyle w:val="35"/>
              <w:spacing w:line="360" w:lineRule="auto"/>
              <w:ind w:firstLine="480"/>
              <w:rPr>
                <w:rFonts w:cs="Times New Roman"/>
                <w:color w:val="auto"/>
                <w:sz w:val="24"/>
                <w:szCs w:val="24"/>
                <w:highlight w:val="none"/>
              </w:rPr>
            </w:pPr>
            <w:r>
              <w:rPr>
                <w:rFonts w:cs="Times New Roman"/>
                <w:color w:val="auto"/>
                <w:sz w:val="24"/>
                <w:szCs w:val="24"/>
                <w:highlight w:val="none"/>
              </w:rPr>
              <w:t>N--</w:t>
            </w:r>
            <w:r>
              <w:rPr>
                <w:rFonts w:cs="Times New Roman"/>
                <w:color w:val="auto"/>
                <w:sz w:val="24"/>
                <w:szCs w:val="24"/>
                <w:highlight w:val="none"/>
                <w:shd w:val="clear" w:color="auto" w:fill="FFFFFF"/>
              </w:rPr>
              <w:t>-</w:t>
            </w:r>
            <w:r>
              <w:rPr>
                <w:rFonts w:cs="Times New Roman"/>
                <w:color w:val="auto"/>
                <w:sz w:val="24"/>
                <w:szCs w:val="24"/>
                <w:highlight w:val="none"/>
              </w:rPr>
              <w:t>室内声源总数。</w:t>
            </w:r>
          </w:p>
          <w:p w14:paraId="168A8A5C">
            <w:pPr>
              <w:pStyle w:val="35"/>
              <w:spacing w:line="360" w:lineRule="auto"/>
              <w:ind w:firstLine="480"/>
              <w:rPr>
                <w:rFonts w:cs="Times New Roman"/>
                <w:color w:val="auto"/>
                <w:sz w:val="24"/>
                <w:szCs w:val="24"/>
                <w:highlight w:val="none"/>
              </w:rPr>
            </w:pPr>
            <w:r>
              <w:rPr>
                <w:rFonts w:hint="eastAsia"/>
                <w:color w:val="auto"/>
                <w:sz w:val="24"/>
                <w:szCs w:val="24"/>
                <w:highlight w:val="none"/>
              </w:rPr>
              <w:t>③</w:t>
            </w:r>
            <w:r>
              <w:rPr>
                <w:rFonts w:cs="Times New Roman"/>
                <w:color w:val="auto"/>
                <w:sz w:val="24"/>
                <w:szCs w:val="24"/>
                <w:highlight w:val="none"/>
              </w:rPr>
              <w:t>计算出室外靠近围护结构处的声压级：</w:t>
            </w:r>
          </w:p>
          <w:p w14:paraId="40AD0852">
            <w:pPr>
              <w:pStyle w:val="59"/>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423160" cy="365760"/>
                  <wp:effectExtent l="0" t="0" r="15240"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6" r:link="rId47"/>
                          <a:stretch>
                            <a:fillRect/>
                          </a:stretch>
                        </pic:blipFill>
                        <pic:spPr>
                          <a:xfrm>
                            <a:off x="0" y="0"/>
                            <a:ext cx="2423160" cy="36576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1A79B277">
            <w:pPr>
              <w:pStyle w:val="35"/>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3194474C">
            <w:pPr>
              <w:pStyle w:val="35"/>
              <w:spacing w:line="360" w:lineRule="auto"/>
              <w:ind w:firstLine="480"/>
              <w:rPr>
                <w:rFonts w:cs="Times New Roman"/>
                <w:color w:val="auto"/>
                <w:sz w:val="24"/>
                <w:szCs w:val="24"/>
                <w:highlight w:val="none"/>
              </w:rPr>
            </w:pPr>
            <w:r>
              <w:rPr>
                <w:rFonts w:cs="Times New Roman"/>
                <w:color w:val="auto"/>
                <w:sz w:val="24"/>
                <w:szCs w:val="24"/>
                <w:highlight w:val="none"/>
              </w:rPr>
              <w:t>L</w:t>
            </w:r>
            <w:r>
              <w:rPr>
                <w:rFonts w:cs="Times New Roman"/>
                <w:color w:val="auto"/>
                <w:sz w:val="24"/>
                <w:szCs w:val="24"/>
                <w:highlight w:val="none"/>
                <w:vertAlign w:val="subscript"/>
              </w:rPr>
              <w:t>p2i(T)</w:t>
            </w:r>
            <w:r>
              <w:rPr>
                <w:rFonts w:cs="Times New Roman"/>
                <w:color w:val="auto"/>
                <w:sz w:val="24"/>
                <w:szCs w:val="24"/>
                <w:highlight w:val="none"/>
              </w:rPr>
              <w:t>---靠近围护结构处室内N个声源i倍频带的叠加声压级，dB；</w:t>
            </w:r>
          </w:p>
          <w:p w14:paraId="5B8A1EC0">
            <w:pPr>
              <w:pStyle w:val="35"/>
              <w:spacing w:line="360" w:lineRule="auto"/>
              <w:ind w:firstLine="480"/>
              <w:rPr>
                <w:rFonts w:cs="Times New Roman"/>
                <w:color w:val="auto"/>
                <w:sz w:val="24"/>
                <w:szCs w:val="24"/>
                <w:highlight w:val="none"/>
              </w:rPr>
            </w:pPr>
            <w:r>
              <w:rPr>
                <w:rFonts w:cs="Times New Roman"/>
                <w:color w:val="auto"/>
                <w:sz w:val="24"/>
                <w:szCs w:val="24"/>
                <w:highlight w:val="none"/>
              </w:rPr>
              <w:t>T</w:t>
            </w:r>
            <w:r>
              <w:rPr>
                <w:rFonts w:cs="Times New Roman"/>
                <w:color w:val="auto"/>
                <w:sz w:val="24"/>
                <w:szCs w:val="24"/>
                <w:highlight w:val="none"/>
                <w:vertAlign w:val="subscript"/>
              </w:rPr>
              <w:t>Li</w:t>
            </w:r>
            <w:r>
              <w:rPr>
                <w:rFonts w:cs="Times New Roman"/>
                <w:color w:val="auto"/>
                <w:sz w:val="24"/>
                <w:szCs w:val="24"/>
                <w:highlight w:val="none"/>
              </w:rPr>
              <w:t>---围护结构i倍频带的隔声量，dB。</w:t>
            </w:r>
          </w:p>
          <w:p w14:paraId="0D8EB288">
            <w:pPr>
              <w:pStyle w:val="35"/>
              <w:spacing w:line="360" w:lineRule="auto"/>
              <w:ind w:firstLine="480"/>
              <w:rPr>
                <w:rFonts w:cs="Times New Roman"/>
                <w:color w:val="auto"/>
                <w:sz w:val="24"/>
                <w:szCs w:val="24"/>
                <w:highlight w:val="none"/>
              </w:rPr>
            </w:pPr>
            <w:r>
              <w:rPr>
                <w:rFonts w:hint="eastAsia"/>
                <w:color w:val="auto"/>
                <w:sz w:val="24"/>
                <w:szCs w:val="24"/>
                <w:highlight w:val="none"/>
              </w:rPr>
              <w:t>④</w:t>
            </w:r>
            <w:r>
              <w:rPr>
                <w:rFonts w:cs="Times New Roman"/>
                <w:color w:val="auto"/>
                <w:sz w:val="24"/>
                <w:szCs w:val="24"/>
                <w:highlight w:val="none"/>
              </w:rPr>
              <w:t>将室外声源的声压级和透声面积换算成等效的室外声源，计算出中心位置位于透声面积（S）处的等效声源的倍频带的声功率级：</w:t>
            </w:r>
          </w:p>
          <w:p w14:paraId="6247D729">
            <w:pPr>
              <w:pStyle w:val="59"/>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1798320" cy="426720"/>
                  <wp:effectExtent l="0" t="0" r="11430" b="1143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48" r:link="rId49"/>
                          <a:stretch>
                            <a:fillRect/>
                          </a:stretch>
                        </pic:blipFill>
                        <pic:spPr>
                          <a:xfrm>
                            <a:off x="0" y="0"/>
                            <a:ext cx="1798320" cy="42672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69ECE58D">
            <w:pPr>
              <w:pStyle w:val="35"/>
              <w:spacing w:line="360" w:lineRule="auto"/>
              <w:ind w:firstLine="480"/>
              <w:rPr>
                <w:rFonts w:cs="Times New Roman"/>
                <w:color w:val="auto"/>
                <w:sz w:val="24"/>
                <w:szCs w:val="24"/>
                <w:highlight w:val="none"/>
              </w:rPr>
            </w:pPr>
            <w:r>
              <w:rPr>
                <w:rFonts w:cs="Times New Roman"/>
                <w:color w:val="auto"/>
                <w:sz w:val="24"/>
                <w:szCs w:val="24"/>
                <w:highlight w:val="none"/>
              </w:rPr>
              <w:t>式中：S为透声面积，㎡。</w:t>
            </w:r>
          </w:p>
          <w:p w14:paraId="3E819AFC">
            <w:pPr>
              <w:pStyle w:val="35"/>
              <w:spacing w:line="360" w:lineRule="auto"/>
              <w:ind w:firstLine="480"/>
              <w:rPr>
                <w:rFonts w:cs="Times New Roman"/>
                <w:color w:val="auto"/>
                <w:sz w:val="24"/>
                <w:szCs w:val="24"/>
                <w:highlight w:val="none"/>
              </w:rPr>
            </w:pPr>
            <w:r>
              <w:rPr>
                <w:rFonts w:hint="eastAsia"/>
                <w:color w:val="auto"/>
                <w:sz w:val="24"/>
                <w:szCs w:val="24"/>
                <w:highlight w:val="none"/>
              </w:rPr>
              <w:t>⑤</w:t>
            </w:r>
            <w:r>
              <w:rPr>
                <w:rFonts w:cs="Times New Roman"/>
                <w:color w:val="auto"/>
                <w:sz w:val="24"/>
                <w:szCs w:val="24"/>
                <w:highlight w:val="none"/>
              </w:rPr>
              <w:t>等效室外声源的位置为围护结构的位置，其倍频带声功率级为Lw，由此按室外声源</w:t>
            </w:r>
            <w:r>
              <w:rPr>
                <w:rFonts w:cs="Times New Roman"/>
                <w:color w:val="auto"/>
                <w:sz w:val="24"/>
                <w:szCs w:val="24"/>
                <w:highlight w:val="none"/>
                <w:shd w:val="clear" w:color="auto" w:fill="FFFFFF"/>
              </w:rPr>
              <w:t>方法</w:t>
            </w:r>
            <w:r>
              <w:rPr>
                <w:rFonts w:cs="Times New Roman"/>
                <w:color w:val="auto"/>
                <w:sz w:val="24"/>
                <w:szCs w:val="24"/>
                <w:highlight w:val="none"/>
              </w:rPr>
              <w:t>计算等效室外声源在预测点产生的声级。</w:t>
            </w:r>
          </w:p>
          <w:p w14:paraId="27B1963A">
            <w:pPr>
              <w:pStyle w:val="35"/>
              <w:spacing w:line="360" w:lineRule="auto"/>
              <w:ind w:firstLine="480"/>
              <w:rPr>
                <w:rFonts w:cs="Times New Roman"/>
                <w:color w:val="auto"/>
                <w:sz w:val="24"/>
                <w:szCs w:val="24"/>
                <w:highlight w:val="none"/>
              </w:rPr>
            </w:pPr>
            <w:r>
              <w:rPr>
                <w:rFonts w:cs="Times New Roman"/>
                <w:color w:val="auto"/>
                <w:sz w:val="24"/>
                <w:szCs w:val="24"/>
                <w:highlight w:val="none"/>
              </w:rPr>
              <w:t>（3）噪声贡献值计算</w:t>
            </w:r>
          </w:p>
          <w:p w14:paraId="6C2B5925">
            <w:pPr>
              <w:pStyle w:val="35"/>
              <w:spacing w:line="360" w:lineRule="auto"/>
              <w:ind w:firstLine="480"/>
              <w:rPr>
                <w:rFonts w:cs="Times New Roman"/>
                <w:color w:val="auto"/>
                <w:sz w:val="24"/>
                <w:szCs w:val="24"/>
                <w:highlight w:val="none"/>
              </w:rPr>
            </w:pPr>
            <w:r>
              <w:rPr>
                <w:rFonts w:cs="Times New Roman"/>
                <w:color w:val="auto"/>
                <w:sz w:val="24"/>
                <w:szCs w:val="24"/>
                <w:highlight w:val="none"/>
              </w:rPr>
              <w:t>设第i个室外声源在预测点产生的A声级为L</w:t>
            </w:r>
            <w:r>
              <w:rPr>
                <w:rFonts w:cs="Times New Roman"/>
                <w:color w:val="auto"/>
                <w:sz w:val="24"/>
                <w:szCs w:val="24"/>
                <w:highlight w:val="none"/>
                <w:vertAlign w:val="subscript"/>
              </w:rPr>
              <w:t>Ai</w:t>
            </w:r>
            <w:r>
              <w:rPr>
                <w:rFonts w:cs="Times New Roman"/>
                <w:color w:val="auto"/>
                <w:sz w:val="24"/>
                <w:szCs w:val="24"/>
                <w:highlight w:val="none"/>
              </w:rPr>
              <w:t>，在T时间内该声源工作时间为t</w:t>
            </w:r>
            <w:r>
              <w:rPr>
                <w:rFonts w:cs="Times New Roman"/>
                <w:color w:val="auto"/>
                <w:sz w:val="24"/>
                <w:szCs w:val="24"/>
                <w:highlight w:val="none"/>
                <w:vertAlign w:val="subscript"/>
              </w:rPr>
              <w:t>i</w:t>
            </w:r>
            <w:r>
              <w:rPr>
                <w:rFonts w:cs="Times New Roman"/>
                <w:color w:val="auto"/>
                <w:sz w:val="24"/>
                <w:szCs w:val="24"/>
                <w:highlight w:val="none"/>
              </w:rPr>
              <w:t>；第j个等效室外声源在预测点产生的A声级为</w:t>
            </w: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Aj</w:t>
            </w:r>
            <w:r>
              <w:rPr>
                <w:rFonts w:cs="Times New Roman"/>
                <w:color w:val="auto"/>
                <w:sz w:val="24"/>
                <w:szCs w:val="24"/>
                <w:highlight w:val="none"/>
              </w:rPr>
              <w:t>，在拟建工程声源对预测点产生的贡献值（</w:t>
            </w:r>
            <w:r>
              <w:rPr>
                <w:rFonts w:cs="Times New Roman"/>
                <w:color w:val="auto"/>
                <w:sz w:val="24"/>
                <w:szCs w:val="24"/>
                <w:highlight w:val="none"/>
                <w:shd w:val="clear" w:color="auto" w:fill="FFFFFF"/>
              </w:rPr>
              <w:t>Le</w:t>
            </w:r>
            <w:r>
              <w:rPr>
                <w:rFonts w:cs="Times New Roman"/>
                <w:color w:val="auto"/>
                <w:sz w:val="24"/>
                <w:szCs w:val="24"/>
                <w:highlight w:val="none"/>
                <w:shd w:val="clear" w:color="auto" w:fill="FFFFFF"/>
                <w:vertAlign w:val="subscript"/>
              </w:rPr>
              <w:t>qg</w:t>
            </w:r>
            <w:r>
              <w:rPr>
                <w:rFonts w:cs="Times New Roman"/>
                <w:color w:val="auto"/>
                <w:sz w:val="24"/>
                <w:szCs w:val="24"/>
                <w:highlight w:val="none"/>
                <w:vertAlign w:val="subscript"/>
              </w:rPr>
              <w:t>）</w:t>
            </w:r>
            <w:r>
              <w:rPr>
                <w:rFonts w:cs="Times New Roman"/>
                <w:color w:val="auto"/>
                <w:sz w:val="24"/>
                <w:szCs w:val="24"/>
                <w:highlight w:val="none"/>
              </w:rPr>
              <w:t>为：</w:t>
            </w:r>
          </w:p>
          <w:p w14:paraId="360E193E">
            <w:pPr>
              <w:pStyle w:val="59"/>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3268980" cy="579120"/>
                  <wp:effectExtent l="0" t="0" r="7620" b="1143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50" r:link="rId51"/>
                          <a:stretch>
                            <a:fillRect/>
                          </a:stretch>
                        </pic:blipFill>
                        <pic:spPr>
                          <a:xfrm>
                            <a:off x="0" y="0"/>
                            <a:ext cx="3268980" cy="57912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43649794">
            <w:pPr>
              <w:pStyle w:val="35"/>
              <w:spacing w:line="360" w:lineRule="auto"/>
              <w:ind w:firstLine="412"/>
              <w:rPr>
                <w:rFonts w:cs="Times New Roman"/>
                <w:color w:val="auto"/>
                <w:sz w:val="24"/>
                <w:szCs w:val="24"/>
                <w:highlight w:val="none"/>
              </w:rPr>
            </w:pPr>
            <w:r>
              <w:rPr>
                <w:rFonts w:cs="Times New Roman"/>
                <w:color w:val="auto"/>
                <w:spacing w:val="-17"/>
                <w:sz w:val="24"/>
                <w:szCs w:val="24"/>
                <w:highlight w:val="none"/>
              </w:rPr>
              <w:t>式</w:t>
            </w:r>
            <w:r>
              <w:rPr>
                <w:rFonts w:cs="Times New Roman"/>
                <w:color w:val="auto"/>
                <w:sz w:val="24"/>
                <w:szCs w:val="24"/>
                <w:highlight w:val="none"/>
              </w:rPr>
              <w:t>中：</w:t>
            </w:r>
          </w:p>
          <w:p w14:paraId="0A121152">
            <w:pPr>
              <w:pStyle w:val="35"/>
              <w:spacing w:line="360" w:lineRule="auto"/>
              <w:ind w:firstLine="480"/>
              <w:rPr>
                <w:rFonts w:cs="Times New Roman"/>
                <w:color w:val="auto"/>
                <w:sz w:val="24"/>
                <w:szCs w:val="24"/>
                <w:highlight w:val="none"/>
              </w:rPr>
            </w:pPr>
            <w:r>
              <w:rPr>
                <w:rFonts w:cs="Times New Roman"/>
                <w:color w:val="auto"/>
                <w:sz w:val="24"/>
                <w:szCs w:val="24"/>
                <w:highlight w:val="none"/>
              </w:rPr>
              <w:t>t</w:t>
            </w:r>
            <w:r>
              <w:rPr>
                <w:rFonts w:cs="Times New Roman"/>
                <w:color w:val="auto"/>
                <w:sz w:val="24"/>
                <w:szCs w:val="24"/>
                <w:highlight w:val="none"/>
                <w:vertAlign w:val="subscript"/>
              </w:rPr>
              <w:t>j</w:t>
            </w:r>
            <w:r>
              <w:rPr>
                <w:rFonts w:cs="Times New Roman"/>
                <w:color w:val="auto"/>
                <w:sz w:val="24"/>
                <w:szCs w:val="24"/>
                <w:highlight w:val="none"/>
              </w:rPr>
              <w:t>---在T时间内j声源工作时间，s；</w:t>
            </w:r>
          </w:p>
          <w:p w14:paraId="44C4CE2F">
            <w:pPr>
              <w:pStyle w:val="35"/>
              <w:spacing w:line="360" w:lineRule="auto"/>
              <w:ind w:firstLine="480"/>
              <w:rPr>
                <w:rFonts w:cs="Times New Roman"/>
                <w:color w:val="auto"/>
                <w:sz w:val="24"/>
                <w:szCs w:val="24"/>
                <w:highlight w:val="none"/>
              </w:rPr>
            </w:pPr>
            <w:r>
              <w:rPr>
                <w:rFonts w:cs="Times New Roman"/>
                <w:color w:val="auto"/>
                <w:sz w:val="24"/>
                <w:szCs w:val="24"/>
                <w:highlight w:val="none"/>
              </w:rPr>
              <w:t>t</w:t>
            </w:r>
            <w:r>
              <w:rPr>
                <w:rFonts w:cs="Times New Roman"/>
                <w:color w:val="auto"/>
                <w:sz w:val="24"/>
                <w:szCs w:val="24"/>
                <w:highlight w:val="none"/>
                <w:vertAlign w:val="subscript"/>
              </w:rPr>
              <w:t>i</w:t>
            </w:r>
            <w:r>
              <w:rPr>
                <w:rFonts w:cs="Times New Roman"/>
                <w:color w:val="auto"/>
                <w:sz w:val="24"/>
                <w:szCs w:val="24"/>
                <w:highlight w:val="none"/>
              </w:rPr>
              <w:t>---在T时间内i声源工作时间，s；</w:t>
            </w:r>
          </w:p>
          <w:p w14:paraId="269357FC">
            <w:pPr>
              <w:pStyle w:val="35"/>
              <w:spacing w:line="360" w:lineRule="auto"/>
              <w:ind w:firstLine="480"/>
              <w:rPr>
                <w:rFonts w:cs="Times New Roman"/>
                <w:color w:val="auto"/>
                <w:sz w:val="24"/>
                <w:szCs w:val="24"/>
                <w:highlight w:val="none"/>
              </w:rPr>
            </w:pPr>
            <w:r>
              <w:rPr>
                <w:rFonts w:cs="Times New Roman"/>
                <w:color w:val="auto"/>
                <w:sz w:val="24"/>
                <w:szCs w:val="24"/>
                <w:highlight w:val="none"/>
              </w:rPr>
              <w:t>T---用于计算等效声级的时间，s；</w:t>
            </w:r>
          </w:p>
          <w:p w14:paraId="2240FC8D">
            <w:pPr>
              <w:pStyle w:val="35"/>
              <w:spacing w:line="360" w:lineRule="auto"/>
              <w:ind w:firstLine="480"/>
              <w:rPr>
                <w:rFonts w:cs="Times New Roman"/>
                <w:color w:val="auto"/>
                <w:sz w:val="24"/>
                <w:szCs w:val="24"/>
                <w:highlight w:val="none"/>
              </w:rPr>
            </w:pPr>
            <w:r>
              <w:rPr>
                <w:rFonts w:cs="Times New Roman"/>
                <w:color w:val="auto"/>
                <w:sz w:val="24"/>
                <w:szCs w:val="24"/>
                <w:highlight w:val="none"/>
              </w:rPr>
              <w:t>N--</w:t>
            </w:r>
            <w:r>
              <w:rPr>
                <w:rFonts w:cs="Times New Roman"/>
                <w:color w:val="auto"/>
                <w:sz w:val="24"/>
                <w:szCs w:val="24"/>
                <w:highlight w:val="none"/>
                <w:shd w:val="clear" w:color="auto" w:fill="FFFFFF"/>
              </w:rPr>
              <w:t>-</w:t>
            </w:r>
            <w:r>
              <w:rPr>
                <w:rFonts w:cs="Times New Roman"/>
                <w:color w:val="auto"/>
                <w:sz w:val="24"/>
                <w:szCs w:val="24"/>
                <w:highlight w:val="none"/>
              </w:rPr>
              <w:t>室外声源个数；</w:t>
            </w:r>
          </w:p>
          <w:p w14:paraId="5EDE2D62">
            <w:pPr>
              <w:pStyle w:val="35"/>
              <w:spacing w:line="360" w:lineRule="auto"/>
              <w:ind w:firstLine="480"/>
              <w:rPr>
                <w:rFonts w:cs="Times New Roman"/>
                <w:color w:val="auto"/>
                <w:sz w:val="24"/>
                <w:szCs w:val="24"/>
                <w:highlight w:val="none"/>
              </w:rPr>
            </w:pPr>
            <w:r>
              <w:rPr>
                <w:rFonts w:cs="Times New Roman"/>
                <w:color w:val="auto"/>
                <w:sz w:val="24"/>
                <w:szCs w:val="24"/>
                <w:highlight w:val="none"/>
              </w:rPr>
              <w:t>M--</w:t>
            </w:r>
            <w:r>
              <w:rPr>
                <w:rFonts w:cs="Times New Roman"/>
                <w:color w:val="auto"/>
                <w:sz w:val="24"/>
                <w:szCs w:val="24"/>
                <w:highlight w:val="none"/>
                <w:shd w:val="clear" w:color="auto" w:fill="FFFFFF"/>
              </w:rPr>
              <w:t>-</w:t>
            </w:r>
            <w:r>
              <w:rPr>
                <w:rFonts w:cs="Times New Roman"/>
                <w:color w:val="auto"/>
                <w:sz w:val="24"/>
                <w:szCs w:val="24"/>
                <w:highlight w:val="none"/>
              </w:rPr>
              <w:t>室内声源个数。</w:t>
            </w:r>
          </w:p>
          <w:p w14:paraId="44410B1F">
            <w:pPr>
              <w:pStyle w:val="35"/>
              <w:spacing w:line="360" w:lineRule="auto"/>
              <w:ind w:firstLine="480"/>
              <w:rPr>
                <w:rFonts w:cs="Times New Roman"/>
                <w:color w:val="auto"/>
                <w:sz w:val="24"/>
                <w:szCs w:val="24"/>
                <w:highlight w:val="none"/>
              </w:rPr>
            </w:pPr>
            <w:r>
              <w:rPr>
                <w:rFonts w:cs="Times New Roman"/>
                <w:color w:val="auto"/>
                <w:sz w:val="24"/>
                <w:szCs w:val="24"/>
                <w:highlight w:val="none"/>
              </w:rPr>
              <w:t>（4）预测值计算</w:t>
            </w:r>
          </w:p>
          <w:p w14:paraId="662FDF8E">
            <w:pPr>
              <w:pStyle w:val="35"/>
              <w:spacing w:line="360" w:lineRule="auto"/>
              <w:ind w:firstLine="480"/>
              <w:rPr>
                <w:rFonts w:cs="Times New Roman"/>
                <w:color w:val="auto"/>
                <w:sz w:val="24"/>
                <w:szCs w:val="24"/>
                <w:highlight w:val="none"/>
              </w:rPr>
            </w:pPr>
            <w:r>
              <w:rPr>
                <w:rFonts w:cs="Times New Roman"/>
                <w:color w:val="auto"/>
                <w:sz w:val="24"/>
                <w:szCs w:val="24"/>
                <w:highlight w:val="none"/>
              </w:rPr>
              <w:t>预测点的预测等效声级（</w:t>
            </w:r>
            <w:r>
              <w:rPr>
                <w:rFonts w:cs="Times New Roman"/>
                <w:color w:val="auto"/>
                <w:sz w:val="24"/>
                <w:szCs w:val="24"/>
                <w:highlight w:val="none"/>
                <w:shd w:val="clear" w:color="auto" w:fill="FFFFFF"/>
              </w:rPr>
              <w:t>Leq</w:t>
            </w:r>
            <w:r>
              <w:rPr>
                <w:rFonts w:cs="Times New Roman"/>
                <w:color w:val="auto"/>
                <w:sz w:val="24"/>
                <w:szCs w:val="24"/>
                <w:highlight w:val="none"/>
              </w:rPr>
              <w:t>）计算公式为：</w:t>
            </w:r>
          </w:p>
          <w:p w14:paraId="1F8F2F38">
            <w:pPr>
              <w:pStyle w:val="59"/>
              <w:spacing w:line="360" w:lineRule="auto"/>
              <w:ind w:firstLine="480"/>
              <w:rPr>
                <w:rFonts w:cs="Times New Roman"/>
                <w:color w:val="auto"/>
                <w:spacing w:val="-10"/>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354580" cy="502920"/>
                  <wp:effectExtent l="0" t="0" r="7620" b="1143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52" r:link="rId53"/>
                          <a:stretch>
                            <a:fillRect/>
                          </a:stretch>
                        </pic:blipFill>
                        <pic:spPr>
                          <a:xfrm>
                            <a:off x="0" y="0"/>
                            <a:ext cx="2354580" cy="50292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21B1368E">
            <w:pPr>
              <w:pStyle w:val="35"/>
              <w:spacing w:line="360" w:lineRule="auto"/>
              <w:ind w:firstLine="480"/>
              <w:rPr>
                <w:rFonts w:cs="Times New Roman"/>
                <w:color w:val="auto"/>
                <w:sz w:val="24"/>
                <w:szCs w:val="24"/>
                <w:highlight w:val="none"/>
              </w:rPr>
            </w:pPr>
            <w:r>
              <w:rPr>
                <w:rFonts w:cs="Times New Roman"/>
                <w:color w:val="auto"/>
                <w:sz w:val="24"/>
                <w:szCs w:val="24"/>
                <w:highlight w:val="none"/>
              </w:rPr>
              <w:t>式中：</w:t>
            </w: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eqg</w:t>
            </w:r>
            <w:r>
              <w:rPr>
                <w:rFonts w:cs="Times New Roman"/>
                <w:color w:val="auto"/>
                <w:sz w:val="24"/>
                <w:szCs w:val="24"/>
                <w:highlight w:val="none"/>
              </w:rPr>
              <w:t>---建设项目声源在预测点的等效声级贡献值，dB；</w:t>
            </w:r>
          </w:p>
          <w:p w14:paraId="106AC5BC">
            <w:pPr>
              <w:pStyle w:val="35"/>
              <w:spacing w:line="360" w:lineRule="auto"/>
              <w:ind w:firstLine="480"/>
              <w:rPr>
                <w:rFonts w:cs="Times New Roman"/>
                <w:color w:val="auto"/>
                <w:sz w:val="24"/>
                <w:szCs w:val="24"/>
                <w:highlight w:val="none"/>
              </w:rPr>
            </w:pP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eqb</w:t>
            </w:r>
            <w:r>
              <w:rPr>
                <w:rFonts w:cs="Times New Roman"/>
                <w:color w:val="auto"/>
                <w:sz w:val="24"/>
                <w:szCs w:val="24"/>
                <w:highlight w:val="none"/>
              </w:rPr>
              <w:t>---预测点的背景值，dB。</w:t>
            </w:r>
          </w:p>
          <w:p w14:paraId="5FA53CA4">
            <w:pPr>
              <w:pStyle w:val="35"/>
              <w:spacing w:line="360" w:lineRule="auto"/>
              <w:ind w:firstLine="480"/>
              <w:rPr>
                <w:rFonts w:cs="Times New Roman"/>
                <w:color w:val="auto"/>
                <w:sz w:val="24"/>
                <w:szCs w:val="24"/>
                <w:highlight w:val="none"/>
              </w:rPr>
            </w:pPr>
            <w:r>
              <w:rPr>
                <w:rFonts w:cs="Times New Roman"/>
                <w:color w:val="auto"/>
                <w:sz w:val="24"/>
                <w:szCs w:val="24"/>
                <w:highlight w:val="none"/>
              </w:rPr>
              <w:t>（5）隔声量的确定</w:t>
            </w:r>
          </w:p>
          <w:p w14:paraId="4275560D">
            <w:pPr>
              <w:pStyle w:val="35"/>
              <w:spacing w:line="360" w:lineRule="auto"/>
              <w:ind w:firstLine="480"/>
              <w:rPr>
                <w:rFonts w:cs="Times New Roman"/>
                <w:color w:val="auto"/>
                <w:sz w:val="24"/>
                <w:szCs w:val="24"/>
                <w:highlight w:val="none"/>
              </w:rPr>
            </w:pPr>
            <w:r>
              <w:rPr>
                <w:rFonts w:cs="Times New Roman"/>
                <w:color w:val="auto"/>
                <w:sz w:val="24"/>
                <w:szCs w:val="24"/>
                <w:highlight w:val="none"/>
              </w:rPr>
              <w:t>项目主要噪声设备大多设置于各建构筑物内，设备噪声经</w:t>
            </w:r>
            <w:r>
              <w:rPr>
                <w:rFonts w:hint="eastAsia" w:cs="Times New Roman"/>
                <w:color w:val="auto"/>
                <w:sz w:val="24"/>
                <w:szCs w:val="24"/>
                <w:highlight w:val="none"/>
                <w:lang w:eastAsia="zh-CN"/>
              </w:rPr>
              <w:t>减振</w:t>
            </w:r>
            <w:r>
              <w:rPr>
                <w:rFonts w:cs="Times New Roman"/>
                <w:color w:val="auto"/>
                <w:sz w:val="24"/>
                <w:szCs w:val="24"/>
                <w:highlight w:val="none"/>
              </w:rPr>
              <w:t>、隔声后，可削减</w:t>
            </w:r>
            <w:r>
              <w:rPr>
                <w:rFonts w:hint="eastAsia" w:cs="Times New Roman"/>
                <w:color w:val="auto"/>
                <w:sz w:val="24"/>
                <w:szCs w:val="24"/>
                <w:highlight w:val="none"/>
                <w:lang w:val="en-US" w:eastAsia="zh-CN"/>
              </w:rPr>
              <w:t>15</w:t>
            </w:r>
            <w:r>
              <w:rPr>
                <w:rFonts w:cs="Times New Roman"/>
                <w:color w:val="auto"/>
                <w:sz w:val="24"/>
                <w:szCs w:val="24"/>
                <w:highlight w:val="none"/>
              </w:rPr>
              <w:t>dB（A）以上。</w:t>
            </w:r>
          </w:p>
          <w:p w14:paraId="2F6FC8BA">
            <w:pPr>
              <w:pStyle w:val="35"/>
              <w:spacing w:line="360" w:lineRule="auto"/>
              <w:ind w:firstLine="480"/>
              <w:rPr>
                <w:rFonts w:cs="Times New Roman"/>
                <w:color w:val="auto"/>
                <w:sz w:val="24"/>
                <w:szCs w:val="24"/>
                <w:highlight w:val="none"/>
              </w:rPr>
            </w:pPr>
            <w:r>
              <w:rPr>
                <w:rFonts w:cs="Times New Roman"/>
                <w:color w:val="auto"/>
                <w:sz w:val="24"/>
                <w:szCs w:val="24"/>
                <w:highlight w:val="none"/>
              </w:rPr>
              <w:t>（6）预测结果</w:t>
            </w:r>
          </w:p>
          <w:p w14:paraId="0CFCCC3C">
            <w:pPr>
              <w:spacing w:line="360" w:lineRule="auto"/>
              <w:ind w:firstLine="480" w:firstLineChars="200"/>
              <w:jc w:val="left"/>
              <w:rPr>
                <w:b/>
                <w:bCs/>
                <w:sz w:val="24"/>
              </w:rPr>
            </w:pPr>
            <w:r>
              <w:rPr>
                <w:rFonts w:hint="eastAsia"/>
                <w:sz w:val="24"/>
                <w:lang w:val="en-US" w:eastAsia="zh-CN"/>
              </w:rPr>
              <w:t>项目运营期仅工作8h/d，夜间不生产，因此本评价仅预测昼间噪声值，</w:t>
            </w:r>
            <w:r>
              <w:rPr>
                <w:sz w:val="24"/>
                <w:lang w:val="zh-CN"/>
              </w:rPr>
              <w:t>利用上述模式计算本项目噪声源同时工作时，预测到厂界的噪声最大值及位置，具体预测结果见表</w:t>
            </w:r>
            <w:r>
              <w:rPr>
                <w:rFonts w:hint="eastAsia"/>
                <w:sz w:val="24"/>
              </w:rPr>
              <w:t>4.3-2</w:t>
            </w:r>
            <w:r>
              <w:rPr>
                <w:sz w:val="24"/>
                <w:lang w:val="zh-CN"/>
              </w:rPr>
              <w:t>所示。</w:t>
            </w:r>
          </w:p>
          <w:p w14:paraId="3214A645">
            <w:pPr>
              <w:keepNext w:val="0"/>
              <w:keepLines w:val="0"/>
              <w:pageBreakBefore w:val="0"/>
              <w:widowControl w:val="0"/>
              <w:tabs>
                <w:tab w:val="left" w:pos="482"/>
              </w:tabs>
              <w:kinsoku/>
              <w:wordWrap/>
              <w:overflowPunct/>
              <w:topLinePunct w:val="0"/>
              <w:autoSpaceDE/>
              <w:autoSpaceDN/>
              <w:bidi w:val="0"/>
              <w:adjustRightInd/>
              <w:snapToGrid/>
              <w:spacing w:before="163" w:beforeLines="5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表4.3-2 厂界噪声预测结果 单位：dB(A)</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86"/>
              <w:gridCol w:w="1692"/>
              <w:gridCol w:w="1343"/>
              <w:gridCol w:w="2172"/>
              <w:gridCol w:w="1880"/>
              <w:gridCol w:w="921"/>
            </w:tblGrid>
            <w:tr w14:paraId="38445D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6" w:hRule="atLeast"/>
                <w:jc w:val="center"/>
              </w:trPr>
              <w:tc>
                <w:tcPr>
                  <w:tcW w:w="340" w:type="pct"/>
                  <w:vMerge w:val="restart"/>
                  <w:noWrap w:val="0"/>
                  <w:vAlign w:val="center"/>
                </w:tcPr>
                <w:p w14:paraId="2BF80DD3">
                  <w:pPr>
                    <w:pStyle w:val="60"/>
                    <w:spacing w:before="24" w:after="24" w:line="340" w:lineRule="exact"/>
                    <w:rPr>
                      <w:rFonts w:ascii="Times New Roman"/>
                      <w:color w:val="auto"/>
                      <w:kern w:val="2"/>
                      <w:szCs w:val="21"/>
                    </w:rPr>
                  </w:pPr>
                  <w:r>
                    <w:rPr>
                      <w:rFonts w:ascii="Times New Roman"/>
                      <w:color w:val="auto"/>
                      <w:kern w:val="2"/>
                      <w:szCs w:val="21"/>
                    </w:rPr>
                    <w:t>编号</w:t>
                  </w:r>
                </w:p>
              </w:tc>
              <w:tc>
                <w:tcPr>
                  <w:tcW w:w="984" w:type="pct"/>
                  <w:vMerge w:val="restart"/>
                  <w:noWrap w:val="0"/>
                  <w:vAlign w:val="center"/>
                </w:tcPr>
                <w:p w14:paraId="52EA5E3D">
                  <w:pPr>
                    <w:pStyle w:val="60"/>
                    <w:spacing w:before="24" w:after="24" w:line="340" w:lineRule="exact"/>
                    <w:rPr>
                      <w:rFonts w:ascii="Times New Roman"/>
                      <w:color w:val="auto"/>
                      <w:kern w:val="2"/>
                      <w:szCs w:val="21"/>
                    </w:rPr>
                  </w:pPr>
                  <w:r>
                    <w:rPr>
                      <w:rFonts w:ascii="Times New Roman"/>
                      <w:color w:val="auto"/>
                      <w:kern w:val="2"/>
                      <w:szCs w:val="21"/>
                    </w:rPr>
                    <w:t>测点位置</w:t>
                  </w:r>
                </w:p>
              </w:tc>
              <w:tc>
                <w:tcPr>
                  <w:tcW w:w="781" w:type="pct"/>
                  <w:vMerge w:val="restart"/>
                  <w:noWrap w:val="0"/>
                  <w:vAlign w:val="center"/>
                </w:tcPr>
                <w:p w14:paraId="2532DAE5">
                  <w:pPr>
                    <w:pStyle w:val="60"/>
                    <w:spacing w:before="24" w:after="24" w:line="340" w:lineRule="exact"/>
                    <w:rPr>
                      <w:rFonts w:ascii="Times New Roman"/>
                      <w:color w:val="auto"/>
                      <w:kern w:val="2"/>
                      <w:szCs w:val="21"/>
                    </w:rPr>
                  </w:pPr>
                  <w:r>
                    <w:rPr>
                      <w:rFonts w:hint="eastAsia" w:ascii="Times New Roman"/>
                      <w:color w:val="auto"/>
                      <w:kern w:val="2"/>
                      <w:szCs w:val="21"/>
                    </w:rPr>
                    <w:t>降噪措施</w:t>
                  </w:r>
                </w:p>
              </w:tc>
              <w:tc>
                <w:tcPr>
                  <w:tcW w:w="1263" w:type="pct"/>
                  <w:noWrap w:val="0"/>
                  <w:vAlign w:val="center"/>
                </w:tcPr>
                <w:p w14:paraId="459BAEBC">
                  <w:pPr>
                    <w:pStyle w:val="60"/>
                    <w:spacing w:before="24" w:after="24" w:line="340" w:lineRule="exact"/>
                    <w:rPr>
                      <w:rFonts w:ascii="Times New Roman"/>
                      <w:color w:val="auto"/>
                      <w:kern w:val="2"/>
                      <w:szCs w:val="21"/>
                    </w:rPr>
                  </w:pPr>
                  <w:r>
                    <w:rPr>
                      <w:rFonts w:ascii="Times New Roman"/>
                      <w:color w:val="auto"/>
                      <w:kern w:val="2"/>
                      <w:szCs w:val="21"/>
                    </w:rPr>
                    <w:t>影响贡献值</w:t>
                  </w:r>
                </w:p>
              </w:tc>
              <w:tc>
                <w:tcPr>
                  <w:tcW w:w="1093" w:type="pct"/>
                  <w:noWrap w:val="0"/>
                  <w:vAlign w:val="center"/>
                </w:tcPr>
                <w:p w14:paraId="15D6B174">
                  <w:pPr>
                    <w:pStyle w:val="60"/>
                    <w:spacing w:before="24" w:after="24" w:line="340" w:lineRule="exact"/>
                    <w:rPr>
                      <w:rFonts w:ascii="Times New Roman"/>
                      <w:color w:val="auto"/>
                      <w:kern w:val="2"/>
                      <w:szCs w:val="21"/>
                    </w:rPr>
                  </w:pPr>
                  <w:r>
                    <w:rPr>
                      <w:rFonts w:ascii="Times New Roman"/>
                      <w:color w:val="auto"/>
                      <w:kern w:val="2"/>
                      <w:szCs w:val="21"/>
                    </w:rPr>
                    <w:t>标准值</w:t>
                  </w:r>
                </w:p>
              </w:tc>
              <w:tc>
                <w:tcPr>
                  <w:tcW w:w="535" w:type="pct"/>
                  <w:vMerge w:val="restart"/>
                  <w:noWrap w:val="0"/>
                  <w:vAlign w:val="center"/>
                </w:tcPr>
                <w:p w14:paraId="59238018">
                  <w:pPr>
                    <w:pStyle w:val="60"/>
                    <w:spacing w:before="24" w:after="24" w:line="340" w:lineRule="exact"/>
                    <w:rPr>
                      <w:rFonts w:ascii="Times New Roman"/>
                      <w:color w:val="auto"/>
                      <w:kern w:val="2"/>
                      <w:szCs w:val="21"/>
                    </w:rPr>
                  </w:pPr>
                  <w:r>
                    <w:rPr>
                      <w:rFonts w:ascii="Times New Roman"/>
                      <w:color w:val="auto"/>
                      <w:kern w:val="2"/>
                      <w:szCs w:val="21"/>
                    </w:rPr>
                    <w:t>达标情况</w:t>
                  </w:r>
                </w:p>
              </w:tc>
            </w:tr>
            <w:tr w14:paraId="5A2674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0" w:type="pct"/>
                  <w:vMerge w:val="continue"/>
                  <w:noWrap w:val="0"/>
                  <w:vAlign w:val="center"/>
                </w:tcPr>
                <w:p w14:paraId="6EECAC55">
                  <w:pPr>
                    <w:pStyle w:val="60"/>
                    <w:spacing w:before="24" w:after="24" w:line="340" w:lineRule="exact"/>
                    <w:rPr>
                      <w:rFonts w:ascii="Times New Roman"/>
                      <w:color w:val="auto"/>
                      <w:kern w:val="2"/>
                      <w:szCs w:val="21"/>
                    </w:rPr>
                  </w:pPr>
                </w:p>
              </w:tc>
              <w:tc>
                <w:tcPr>
                  <w:tcW w:w="984" w:type="pct"/>
                  <w:vMerge w:val="continue"/>
                  <w:noWrap w:val="0"/>
                  <w:vAlign w:val="center"/>
                </w:tcPr>
                <w:p w14:paraId="40F48562">
                  <w:pPr>
                    <w:pStyle w:val="60"/>
                    <w:spacing w:before="24" w:after="24" w:line="340" w:lineRule="exact"/>
                    <w:rPr>
                      <w:rFonts w:ascii="Times New Roman"/>
                      <w:color w:val="auto"/>
                      <w:kern w:val="2"/>
                      <w:szCs w:val="21"/>
                    </w:rPr>
                  </w:pPr>
                </w:p>
              </w:tc>
              <w:tc>
                <w:tcPr>
                  <w:tcW w:w="781" w:type="pct"/>
                  <w:vMerge w:val="continue"/>
                  <w:noWrap w:val="0"/>
                  <w:vAlign w:val="center"/>
                </w:tcPr>
                <w:p w14:paraId="5011BF58">
                  <w:pPr>
                    <w:pStyle w:val="60"/>
                    <w:spacing w:before="24" w:after="24" w:line="340" w:lineRule="exact"/>
                    <w:rPr>
                      <w:rFonts w:hint="eastAsia" w:ascii="Times New Roman"/>
                      <w:color w:val="auto"/>
                      <w:kern w:val="2"/>
                      <w:szCs w:val="21"/>
                    </w:rPr>
                  </w:pPr>
                </w:p>
              </w:tc>
              <w:tc>
                <w:tcPr>
                  <w:tcW w:w="1263" w:type="pct"/>
                  <w:noWrap w:val="0"/>
                  <w:vAlign w:val="center"/>
                </w:tcPr>
                <w:p w14:paraId="38815712">
                  <w:pPr>
                    <w:pStyle w:val="60"/>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rPr>
                    <w:t>昼间</w:t>
                  </w:r>
                </w:p>
              </w:tc>
              <w:tc>
                <w:tcPr>
                  <w:tcW w:w="1093" w:type="pct"/>
                  <w:noWrap w:val="0"/>
                  <w:vAlign w:val="center"/>
                </w:tcPr>
                <w:p w14:paraId="202D47B2">
                  <w:pPr>
                    <w:pStyle w:val="60"/>
                    <w:spacing w:before="24" w:after="24" w:line="340" w:lineRule="exact"/>
                    <w:rPr>
                      <w:rFonts w:hint="default" w:eastAsia="宋体"/>
                      <w:color w:val="auto"/>
                      <w:szCs w:val="21"/>
                      <w:lang w:val="en-US" w:eastAsia="zh-CN"/>
                    </w:rPr>
                  </w:pPr>
                  <w:r>
                    <w:rPr>
                      <w:rFonts w:ascii="Times New Roman"/>
                      <w:color w:val="auto"/>
                      <w:kern w:val="2"/>
                      <w:szCs w:val="21"/>
                    </w:rPr>
                    <w:t>昼间</w:t>
                  </w:r>
                </w:p>
              </w:tc>
              <w:tc>
                <w:tcPr>
                  <w:tcW w:w="535" w:type="pct"/>
                  <w:vMerge w:val="continue"/>
                  <w:noWrap w:val="0"/>
                  <w:vAlign w:val="center"/>
                </w:tcPr>
                <w:p w14:paraId="0E00C132">
                  <w:pPr>
                    <w:pStyle w:val="60"/>
                    <w:spacing w:before="24" w:after="24" w:line="340" w:lineRule="exact"/>
                    <w:rPr>
                      <w:rFonts w:ascii="Times New Roman"/>
                      <w:color w:val="auto"/>
                      <w:kern w:val="2"/>
                      <w:szCs w:val="21"/>
                    </w:rPr>
                  </w:pPr>
                </w:p>
              </w:tc>
            </w:tr>
            <w:tr w14:paraId="6CD59C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 w:type="pct"/>
                  <w:noWrap w:val="0"/>
                  <w:vAlign w:val="center"/>
                </w:tcPr>
                <w:p w14:paraId="03E9C3A4">
                  <w:pPr>
                    <w:pStyle w:val="60"/>
                    <w:spacing w:before="24" w:after="24" w:line="340" w:lineRule="exact"/>
                    <w:rPr>
                      <w:rFonts w:ascii="Times New Roman"/>
                      <w:color w:val="auto"/>
                      <w:kern w:val="2"/>
                      <w:szCs w:val="21"/>
                    </w:rPr>
                  </w:pPr>
                  <w:r>
                    <w:rPr>
                      <w:rFonts w:ascii="Times New Roman"/>
                      <w:color w:val="auto"/>
                      <w:kern w:val="2"/>
                      <w:szCs w:val="21"/>
                    </w:rPr>
                    <w:t>1</w:t>
                  </w:r>
                </w:p>
              </w:tc>
              <w:tc>
                <w:tcPr>
                  <w:tcW w:w="984" w:type="pct"/>
                  <w:noWrap w:val="0"/>
                  <w:vAlign w:val="center"/>
                </w:tcPr>
                <w:p w14:paraId="58435EDA">
                  <w:pPr>
                    <w:jc w:val="center"/>
                    <w:rPr>
                      <w:rFonts w:hint="default" w:eastAsia="宋体"/>
                      <w:color w:val="auto"/>
                      <w:kern w:val="2"/>
                      <w:sz w:val="21"/>
                      <w:szCs w:val="21"/>
                      <w:lang w:val="en-US" w:eastAsia="zh-CN" w:bidi="ar-SA"/>
                    </w:rPr>
                  </w:pPr>
                  <w:r>
                    <w:rPr>
                      <w:rFonts w:hint="eastAsia"/>
                      <w:color w:val="auto"/>
                      <w:szCs w:val="21"/>
                      <w:lang w:val="en-US" w:eastAsia="zh-CN"/>
                    </w:rPr>
                    <w:t>厂界西北侧</w:t>
                  </w:r>
                </w:p>
              </w:tc>
              <w:tc>
                <w:tcPr>
                  <w:tcW w:w="781" w:type="pct"/>
                  <w:vMerge w:val="restart"/>
                  <w:noWrap w:val="0"/>
                  <w:vAlign w:val="center"/>
                </w:tcPr>
                <w:p w14:paraId="3CAA19B9">
                  <w:pPr>
                    <w:adjustRightInd w:val="0"/>
                    <w:spacing w:line="340" w:lineRule="exact"/>
                    <w:jc w:val="center"/>
                    <w:rPr>
                      <w:rFonts w:hint="eastAsia"/>
                      <w:color w:val="auto"/>
                      <w:szCs w:val="21"/>
                    </w:rPr>
                  </w:pPr>
                  <w:r>
                    <w:rPr>
                      <w:rFonts w:hint="eastAsia"/>
                      <w:snapToGrid w:val="0"/>
                      <w:color w:val="auto"/>
                      <w:szCs w:val="21"/>
                    </w:rPr>
                    <w:t>设备基础减振、</w:t>
                  </w:r>
                  <w:r>
                    <w:rPr>
                      <w:color w:val="auto"/>
                    </w:rPr>
                    <w:t>车间隔声</w:t>
                  </w:r>
                </w:p>
              </w:tc>
              <w:tc>
                <w:tcPr>
                  <w:tcW w:w="1263" w:type="pct"/>
                  <w:shd w:val="clear" w:color="auto" w:fill="auto"/>
                  <w:noWrap w:val="0"/>
                  <w:vAlign w:val="center"/>
                </w:tcPr>
                <w:p w14:paraId="1C55ABA6">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57</w:t>
                  </w:r>
                </w:p>
              </w:tc>
              <w:tc>
                <w:tcPr>
                  <w:tcW w:w="1093" w:type="pct"/>
                  <w:vMerge w:val="restart"/>
                  <w:noWrap w:val="0"/>
                  <w:vAlign w:val="center"/>
                </w:tcPr>
                <w:p w14:paraId="499ACA60">
                  <w:pPr>
                    <w:widowControl/>
                    <w:spacing w:line="340" w:lineRule="exact"/>
                    <w:jc w:val="center"/>
                    <w:rPr>
                      <w:rFonts w:hint="default" w:eastAsia="宋体"/>
                      <w:color w:val="auto"/>
                      <w:szCs w:val="21"/>
                      <w:lang w:val="en-US" w:eastAsia="zh-CN"/>
                    </w:rPr>
                  </w:pPr>
                  <w:r>
                    <w:rPr>
                      <w:rFonts w:hint="eastAsia"/>
                      <w:color w:val="auto"/>
                      <w:szCs w:val="21"/>
                      <w:lang w:val="en-US" w:eastAsia="zh-CN"/>
                    </w:rPr>
                    <w:t>65</w:t>
                  </w:r>
                </w:p>
              </w:tc>
              <w:tc>
                <w:tcPr>
                  <w:tcW w:w="535" w:type="pct"/>
                  <w:vMerge w:val="restart"/>
                  <w:noWrap w:val="0"/>
                  <w:vAlign w:val="center"/>
                </w:tcPr>
                <w:p w14:paraId="3DC04E42">
                  <w:pPr>
                    <w:widowControl/>
                    <w:spacing w:line="340" w:lineRule="exact"/>
                    <w:jc w:val="center"/>
                    <w:rPr>
                      <w:color w:val="auto"/>
                      <w:szCs w:val="21"/>
                    </w:rPr>
                  </w:pPr>
                  <w:r>
                    <w:rPr>
                      <w:color w:val="auto"/>
                      <w:szCs w:val="21"/>
                    </w:rPr>
                    <w:t>达标</w:t>
                  </w:r>
                </w:p>
              </w:tc>
            </w:tr>
            <w:tr w14:paraId="0911E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0" w:type="pct"/>
                  <w:noWrap w:val="0"/>
                  <w:vAlign w:val="center"/>
                </w:tcPr>
                <w:p w14:paraId="55E33555">
                  <w:pPr>
                    <w:pStyle w:val="60"/>
                    <w:spacing w:before="24" w:after="24" w:line="340" w:lineRule="exact"/>
                    <w:rPr>
                      <w:rFonts w:ascii="Times New Roman"/>
                      <w:color w:val="auto"/>
                      <w:kern w:val="2"/>
                      <w:szCs w:val="21"/>
                    </w:rPr>
                  </w:pPr>
                  <w:r>
                    <w:rPr>
                      <w:rFonts w:hint="eastAsia" w:ascii="Times New Roman"/>
                      <w:color w:val="auto"/>
                      <w:kern w:val="2"/>
                      <w:szCs w:val="21"/>
                    </w:rPr>
                    <w:t>2</w:t>
                  </w:r>
                </w:p>
              </w:tc>
              <w:tc>
                <w:tcPr>
                  <w:tcW w:w="984" w:type="pct"/>
                  <w:noWrap w:val="0"/>
                  <w:vAlign w:val="center"/>
                </w:tcPr>
                <w:p w14:paraId="0FFF3EAD">
                  <w:pPr>
                    <w:jc w:val="center"/>
                    <w:rPr>
                      <w:rFonts w:hint="eastAsia" w:eastAsia="宋体"/>
                      <w:color w:val="auto"/>
                      <w:kern w:val="2"/>
                      <w:sz w:val="21"/>
                      <w:szCs w:val="21"/>
                      <w:lang w:val="en-US" w:eastAsia="zh-CN" w:bidi="ar-SA"/>
                    </w:rPr>
                  </w:pPr>
                  <w:r>
                    <w:rPr>
                      <w:rFonts w:hint="eastAsia"/>
                      <w:color w:val="auto"/>
                      <w:szCs w:val="21"/>
                      <w:lang w:val="en-US" w:eastAsia="zh-CN"/>
                    </w:rPr>
                    <w:t>厂界西南侧</w:t>
                  </w:r>
                </w:p>
              </w:tc>
              <w:tc>
                <w:tcPr>
                  <w:tcW w:w="781" w:type="pct"/>
                  <w:vMerge w:val="continue"/>
                  <w:noWrap w:val="0"/>
                  <w:vAlign w:val="center"/>
                </w:tcPr>
                <w:p w14:paraId="7B29D21F">
                  <w:pPr>
                    <w:adjustRightInd w:val="0"/>
                    <w:spacing w:line="340" w:lineRule="exact"/>
                    <w:jc w:val="center"/>
                    <w:rPr>
                      <w:rFonts w:hint="eastAsia"/>
                      <w:snapToGrid w:val="0"/>
                      <w:color w:val="auto"/>
                      <w:szCs w:val="21"/>
                    </w:rPr>
                  </w:pPr>
                </w:p>
              </w:tc>
              <w:tc>
                <w:tcPr>
                  <w:tcW w:w="1263" w:type="pct"/>
                  <w:shd w:val="clear" w:color="auto" w:fill="auto"/>
                  <w:noWrap w:val="0"/>
                  <w:vAlign w:val="center"/>
                </w:tcPr>
                <w:p w14:paraId="57F4A9A7">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53</w:t>
                  </w:r>
                </w:p>
              </w:tc>
              <w:tc>
                <w:tcPr>
                  <w:tcW w:w="1093" w:type="pct"/>
                  <w:vMerge w:val="continue"/>
                  <w:noWrap w:val="0"/>
                  <w:vAlign w:val="center"/>
                </w:tcPr>
                <w:p w14:paraId="340B8B83">
                  <w:pPr>
                    <w:widowControl/>
                    <w:spacing w:line="340" w:lineRule="exact"/>
                    <w:jc w:val="center"/>
                    <w:rPr>
                      <w:rFonts w:hint="eastAsia"/>
                      <w:color w:val="auto"/>
                      <w:szCs w:val="21"/>
                    </w:rPr>
                  </w:pPr>
                </w:p>
              </w:tc>
              <w:tc>
                <w:tcPr>
                  <w:tcW w:w="535" w:type="pct"/>
                  <w:vMerge w:val="continue"/>
                  <w:noWrap w:val="0"/>
                  <w:vAlign w:val="center"/>
                </w:tcPr>
                <w:p w14:paraId="4B3D5196">
                  <w:pPr>
                    <w:widowControl/>
                    <w:spacing w:line="340" w:lineRule="exact"/>
                    <w:jc w:val="center"/>
                    <w:rPr>
                      <w:color w:val="auto"/>
                      <w:szCs w:val="21"/>
                    </w:rPr>
                  </w:pPr>
                </w:p>
              </w:tc>
            </w:tr>
            <w:tr w14:paraId="4FF0AC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0" w:type="pct"/>
                  <w:noWrap w:val="0"/>
                  <w:vAlign w:val="center"/>
                </w:tcPr>
                <w:p w14:paraId="3B16C0A6">
                  <w:pPr>
                    <w:pStyle w:val="60"/>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3</w:t>
                  </w:r>
                </w:p>
              </w:tc>
              <w:tc>
                <w:tcPr>
                  <w:tcW w:w="984" w:type="pct"/>
                  <w:noWrap w:val="0"/>
                  <w:vAlign w:val="center"/>
                </w:tcPr>
                <w:p w14:paraId="3F4F2CC1">
                  <w:pPr>
                    <w:jc w:val="center"/>
                    <w:rPr>
                      <w:rFonts w:hint="eastAsia" w:eastAsia="宋体"/>
                      <w:color w:val="auto"/>
                      <w:kern w:val="2"/>
                      <w:sz w:val="21"/>
                      <w:szCs w:val="21"/>
                      <w:lang w:val="en-US" w:eastAsia="zh-CN" w:bidi="ar-SA"/>
                    </w:rPr>
                  </w:pPr>
                  <w:r>
                    <w:rPr>
                      <w:rFonts w:hint="eastAsia"/>
                      <w:color w:val="auto"/>
                      <w:szCs w:val="21"/>
                      <w:lang w:val="en-US" w:eastAsia="zh-CN"/>
                    </w:rPr>
                    <w:t>厂界东北侧</w:t>
                  </w:r>
                </w:p>
              </w:tc>
              <w:tc>
                <w:tcPr>
                  <w:tcW w:w="781" w:type="pct"/>
                  <w:vMerge w:val="continue"/>
                  <w:noWrap w:val="0"/>
                  <w:vAlign w:val="center"/>
                </w:tcPr>
                <w:p w14:paraId="695F1688">
                  <w:pPr>
                    <w:adjustRightInd w:val="0"/>
                    <w:spacing w:line="340" w:lineRule="exact"/>
                    <w:jc w:val="center"/>
                    <w:rPr>
                      <w:rFonts w:hint="eastAsia"/>
                      <w:snapToGrid w:val="0"/>
                      <w:color w:val="auto"/>
                      <w:szCs w:val="21"/>
                    </w:rPr>
                  </w:pPr>
                </w:p>
              </w:tc>
              <w:tc>
                <w:tcPr>
                  <w:tcW w:w="1263" w:type="pct"/>
                  <w:shd w:val="clear" w:color="auto" w:fill="auto"/>
                  <w:noWrap w:val="0"/>
                  <w:vAlign w:val="center"/>
                </w:tcPr>
                <w:p w14:paraId="2C5AAA9B">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56</w:t>
                  </w:r>
                </w:p>
              </w:tc>
              <w:tc>
                <w:tcPr>
                  <w:tcW w:w="1093" w:type="pct"/>
                  <w:vMerge w:val="continue"/>
                  <w:noWrap w:val="0"/>
                  <w:vAlign w:val="center"/>
                </w:tcPr>
                <w:p w14:paraId="1FCB45C8">
                  <w:pPr>
                    <w:widowControl/>
                    <w:spacing w:line="340" w:lineRule="exact"/>
                    <w:jc w:val="center"/>
                    <w:rPr>
                      <w:rFonts w:hint="eastAsia"/>
                      <w:color w:val="auto"/>
                      <w:szCs w:val="21"/>
                    </w:rPr>
                  </w:pPr>
                </w:p>
              </w:tc>
              <w:tc>
                <w:tcPr>
                  <w:tcW w:w="535" w:type="pct"/>
                  <w:vMerge w:val="continue"/>
                  <w:noWrap w:val="0"/>
                  <w:vAlign w:val="center"/>
                </w:tcPr>
                <w:p w14:paraId="066BC562">
                  <w:pPr>
                    <w:widowControl/>
                    <w:spacing w:line="340" w:lineRule="exact"/>
                    <w:jc w:val="center"/>
                    <w:rPr>
                      <w:color w:val="auto"/>
                      <w:szCs w:val="21"/>
                    </w:rPr>
                  </w:pPr>
                </w:p>
              </w:tc>
            </w:tr>
            <w:tr w14:paraId="2581B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0" w:type="pct"/>
                  <w:noWrap w:val="0"/>
                  <w:vAlign w:val="center"/>
                </w:tcPr>
                <w:p w14:paraId="55629297">
                  <w:pPr>
                    <w:pStyle w:val="60"/>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4</w:t>
                  </w:r>
                </w:p>
              </w:tc>
              <w:tc>
                <w:tcPr>
                  <w:tcW w:w="984" w:type="pct"/>
                  <w:noWrap w:val="0"/>
                  <w:vAlign w:val="center"/>
                </w:tcPr>
                <w:p w14:paraId="2977CD8A">
                  <w:pPr>
                    <w:jc w:val="center"/>
                    <w:rPr>
                      <w:rFonts w:hint="eastAsia" w:eastAsia="宋体"/>
                      <w:color w:val="auto"/>
                      <w:kern w:val="2"/>
                      <w:sz w:val="21"/>
                      <w:szCs w:val="21"/>
                      <w:lang w:val="en-US" w:eastAsia="zh-CN" w:bidi="ar-SA"/>
                    </w:rPr>
                  </w:pPr>
                  <w:r>
                    <w:rPr>
                      <w:rFonts w:hint="eastAsia"/>
                      <w:color w:val="auto"/>
                      <w:szCs w:val="21"/>
                      <w:lang w:val="en-US" w:eastAsia="zh-CN"/>
                    </w:rPr>
                    <w:t>厂界东南侧</w:t>
                  </w:r>
                </w:p>
              </w:tc>
              <w:tc>
                <w:tcPr>
                  <w:tcW w:w="781" w:type="pct"/>
                  <w:vMerge w:val="continue"/>
                  <w:noWrap w:val="0"/>
                  <w:vAlign w:val="center"/>
                </w:tcPr>
                <w:p w14:paraId="0BD1125A">
                  <w:pPr>
                    <w:spacing w:line="340" w:lineRule="exact"/>
                    <w:jc w:val="center"/>
                    <w:rPr>
                      <w:rFonts w:hint="eastAsia"/>
                      <w:color w:val="auto"/>
                      <w:szCs w:val="21"/>
                    </w:rPr>
                  </w:pPr>
                </w:p>
              </w:tc>
              <w:tc>
                <w:tcPr>
                  <w:tcW w:w="1263" w:type="pct"/>
                  <w:shd w:val="clear" w:color="auto" w:fill="auto"/>
                  <w:noWrap w:val="0"/>
                  <w:vAlign w:val="center"/>
                </w:tcPr>
                <w:p w14:paraId="6C16F02D">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56</w:t>
                  </w:r>
                </w:p>
              </w:tc>
              <w:tc>
                <w:tcPr>
                  <w:tcW w:w="1093" w:type="pct"/>
                  <w:vMerge w:val="continue"/>
                  <w:noWrap w:val="0"/>
                  <w:vAlign w:val="center"/>
                </w:tcPr>
                <w:p w14:paraId="536EACBF">
                  <w:pPr>
                    <w:widowControl/>
                    <w:spacing w:line="340" w:lineRule="exact"/>
                    <w:jc w:val="center"/>
                    <w:rPr>
                      <w:color w:val="auto"/>
                      <w:szCs w:val="21"/>
                    </w:rPr>
                  </w:pPr>
                </w:p>
              </w:tc>
              <w:tc>
                <w:tcPr>
                  <w:tcW w:w="535" w:type="pct"/>
                  <w:vMerge w:val="continue"/>
                  <w:noWrap w:val="0"/>
                  <w:vAlign w:val="center"/>
                </w:tcPr>
                <w:p w14:paraId="1A91FB3A">
                  <w:pPr>
                    <w:widowControl/>
                    <w:spacing w:line="340" w:lineRule="exact"/>
                    <w:jc w:val="center"/>
                    <w:rPr>
                      <w:color w:val="auto"/>
                      <w:szCs w:val="21"/>
                    </w:rPr>
                  </w:pPr>
                </w:p>
              </w:tc>
            </w:tr>
          </w:tbl>
          <w:p w14:paraId="00C69F16">
            <w:pPr>
              <w:pStyle w:val="57"/>
              <w:spacing w:line="360" w:lineRule="auto"/>
              <w:ind w:firstLine="480"/>
              <w:rPr>
                <w:rFonts w:ascii="Times New Roman" w:hAnsi="Times New Roman"/>
                <w:bCs w:val="0"/>
                <w:szCs w:val="24"/>
              </w:rPr>
            </w:pPr>
            <w:r>
              <w:rPr>
                <w:rFonts w:ascii="Times New Roman" w:hAnsi="Times New Roman"/>
                <w:bCs w:val="0"/>
                <w:szCs w:val="24"/>
                <w:lang w:val="zh-CN"/>
              </w:rPr>
              <w:t>根据表</w:t>
            </w:r>
            <w:r>
              <w:rPr>
                <w:rFonts w:ascii="Times New Roman" w:hAnsi="Times New Roman"/>
                <w:bCs w:val="0"/>
                <w:szCs w:val="24"/>
              </w:rPr>
              <w:t>4.3-2</w:t>
            </w:r>
            <w:r>
              <w:rPr>
                <w:rFonts w:ascii="Times New Roman" w:hAnsi="Times New Roman"/>
                <w:bCs w:val="0"/>
                <w:szCs w:val="24"/>
                <w:lang w:val="zh-CN"/>
              </w:rPr>
              <w:t>预测结果表明，项目主要噪声源在采取有效的降噪措施前提下，项目边界噪声均可满足《工业企业厂界环境噪声排放标准》</w:t>
            </w:r>
            <w:r>
              <w:rPr>
                <w:rFonts w:hint="eastAsia"/>
                <w:bCs w:val="0"/>
                <w:szCs w:val="24"/>
                <w:lang w:val="zh-CN"/>
              </w:rPr>
              <w:t>（</w:t>
            </w:r>
            <w:r>
              <w:rPr>
                <w:rFonts w:ascii="Times New Roman" w:hAnsi="Times New Roman"/>
                <w:bCs w:val="0"/>
                <w:szCs w:val="24"/>
                <w:lang w:val="zh-CN"/>
              </w:rPr>
              <w:t>GB12348-2008</w:t>
            </w:r>
            <w:r>
              <w:rPr>
                <w:rFonts w:hint="eastAsia"/>
                <w:bCs w:val="0"/>
                <w:szCs w:val="24"/>
                <w:lang w:val="zh-CN"/>
              </w:rPr>
              <w:t>）</w:t>
            </w:r>
            <w:r>
              <w:rPr>
                <w:rFonts w:ascii="Times New Roman" w:hAnsi="Times New Roman"/>
                <w:bCs w:val="0"/>
                <w:szCs w:val="24"/>
                <w:lang w:val="zh-CN"/>
              </w:rPr>
              <w:t>中3类标准。</w:t>
            </w:r>
          </w:p>
          <w:p w14:paraId="4EF09AFB">
            <w:pPr>
              <w:pStyle w:val="49"/>
              <w:ind w:firstLine="480"/>
              <w:rPr>
                <w:rFonts w:ascii="Times New Roman" w:hAnsi="Times New Roman"/>
                <w:sz w:val="24"/>
                <w:szCs w:val="24"/>
                <w:lang w:val="zh-CN"/>
              </w:rPr>
            </w:pPr>
            <w:r>
              <w:rPr>
                <w:rFonts w:hint="eastAsia" w:ascii="Times New Roman" w:hAnsi="Times New Roman"/>
                <w:sz w:val="24"/>
                <w:szCs w:val="24"/>
                <w:lang w:val="zh-CN"/>
              </w:rPr>
              <w:t>（</w:t>
            </w:r>
            <w:r>
              <w:rPr>
                <w:rFonts w:hint="eastAsia" w:ascii="Times New Roman" w:hAnsi="Times New Roman"/>
                <w:sz w:val="24"/>
                <w:szCs w:val="24"/>
                <w:lang w:val="en-US" w:eastAsia="zh-CN"/>
              </w:rPr>
              <w:t>7</w:t>
            </w:r>
            <w:r>
              <w:rPr>
                <w:rFonts w:hint="eastAsia" w:ascii="Times New Roman" w:hAnsi="Times New Roman"/>
                <w:sz w:val="24"/>
                <w:szCs w:val="24"/>
                <w:lang w:val="zh-CN"/>
              </w:rPr>
              <w:t>）</w:t>
            </w:r>
            <w:r>
              <w:rPr>
                <w:rFonts w:ascii="Times New Roman" w:hAnsi="Times New Roman"/>
                <w:sz w:val="24"/>
                <w:szCs w:val="24"/>
                <w:lang w:val="zh-CN"/>
              </w:rPr>
              <w:t>敏感点噪声预测结果分析</w:t>
            </w:r>
          </w:p>
          <w:p w14:paraId="1F372741">
            <w:pPr>
              <w:spacing w:line="360" w:lineRule="auto"/>
              <w:ind w:firstLine="480"/>
              <w:rPr>
                <w:sz w:val="24"/>
                <w:lang w:val="zh-CN"/>
              </w:rPr>
            </w:pPr>
            <w:r>
              <w:rPr>
                <w:rFonts w:hint="eastAsia"/>
                <w:sz w:val="24"/>
                <w:lang w:val="zh-CN"/>
              </w:rPr>
              <w:t>根据现场勘查，项目</w:t>
            </w:r>
            <w:r>
              <w:rPr>
                <w:sz w:val="24"/>
                <w:lang w:val="zh-CN"/>
              </w:rPr>
              <w:t>周边</w:t>
            </w:r>
            <w:r>
              <w:rPr>
                <w:rFonts w:hint="eastAsia"/>
                <w:sz w:val="24"/>
              </w:rPr>
              <w:t>5</w:t>
            </w:r>
            <w:r>
              <w:rPr>
                <w:sz w:val="24"/>
              </w:rPr>
              <w:t>0m范围内</w:t>
            </w:r>
            <w:r>
              <w:rPr>
                <w:rFonts w:hint="eastAsia"/>
                <w:sz w:val="24"/>
              </w:rPr>
              <w:t>无</w:t>
            </w:r>
            <w:r>
              <w:rPr>
                <w:sz w:val="24"/>
              </w:rPr>
              <w:t>声环境</w:t>
            </w:r>
            <w:r>
              <w:rPr>
                <w:rFonts w:hint="eastAsia"/>
                <w:sz w:val="24"/>
              </w:rPr>
              <w:t>保护目标</w:t>
            </w:r>
            <w:r>
              <w:rPr>
                <w:sz w:val="24"/>
                <w:lang w:val="zh-CN"/>
              </w:rPr>
              <w:t>。</w:t>
            </w:r>
          </w:p>
          <w:p w14:paraId="75A434C7">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zh-CN" w:eastAsia="zh-CN"/>
              </w:rPr>
            </w:pPr>
            <w:bookmarkStart w:id="161" w:name="_Toc31999"/>
            <w:bookmarkStart w:id="162" w:name="_Toc8846"/>
            <w:bookmarkStart w:id="163" w:name="_Toc11113"/>
            <w:r>
              <w:rPr>
                <w:rFonts w:hint="default"/>
                <w:b/>
                <w:color w:val="262626"/>
                <w:kern w:val="0"/>
                <w:sz w:val="24"/>
                <w:lang w:val="en-US" w:eastAsia="zh-CN"/>
              </w:rPr>
              <w:t>4.3.3</w:t>
            </w:r>
            <w:r>
              <w:rPr>
                <w:rFonts w:hint="default"/>
                <w:b/>
                <w:color w:val="262626"/>
                <w:kern w:val="0"/>
                <w:sz w:val="24"/>
                <w:lang w:val="zh-CN" w:eastAsia="zh-CN"/>
              </w:rPr>
              <w:t>噪声污染控制措施</w:t>
            </w:r>
            <w:bookmarkEnd w:id="161"/>
            <w:bookmarkEnd w:id="162"/>
            <w:bookmarkEnd w:id="163"/>
          </w:p>
          <w:p w14:paraId="4C948660">
            <w:pPr>
              <w:spacing w:line="360" w:lineRule="auto"/>
              <w:ind w:firstLine="480"/>
              <w:rPr>
                <w:rFonts w:hint="eastAsia" w:ascii="Times New Roman" w:hAnsi="Times New Roman" w:eastAsia="宋体" w:cs="Times New Roman"/>
                <w:bCs/>
                <w:color w:val="auto"/>
                <w:sz w:val="24"/>
                <w:lang w:val="en-US" w:eastAsia="zh-CN"/>
              </w:rPr>
            </w:pPr>
            <w:r>
              <w:rPr>
                <w:color w:val="000000"/>
                <w:sz w:val="24"/>
                <w:lang w:val="zh-CN"/>
              </w:rPr>
              <w:t>为了确保厂界噪声达到《工业企业厂界环境噪声排放标准》</w:t>
            </w:r>
            <w:r>
              <w:rPr>
                <w:rFonts w:hint="eastAsia"/>
                <w:color w:val="000000"/>
                <w:sz w:val="24"/>
                <w:lang w:val="zh-CN"/>
              </w:rPr>
              <w:t>（</w:t>
            </w:r>
            <w:r>
              <w:rPr>
                <w:color w:val="000000"/>
                <w:sz w:val="24"/>
                <w:lang w:val="zh-CN"/>
              </w:rPr>
              <w:t>GB 12348-2008</w:t>
            </w:r>
            <w:r>
              <w:rPr>
                <w:rFonts w:hint="eastAsia"/>
                <w:color w:val="000000"/>
                <w:sz w:val="24"/>
                <w:lang w:val="zh-CN"/>
              </w:rPr>
              <w:t>）</w:t>
            </w:r>
            <w:r>
              <w:rPr>
                <w:color w:val="000000"/>
                <w:sz w:val="24"/>
                <w:lang w:val="zh-CN"/>
              </w:rPr>
              <w:t>中3类标准，本报告建议采用以下降噪措施：</w:t>
            </w:r>
          </w:p>
          <w:p w14:paraId="1A0CD3B0">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（1）</w:t>
            </w:r>
            <w:r>
              <w:rPr>
                <w:rFonts w:hint="eastAsia" w:ascii="Times New Roman" w:hAnsi="Times New Roman" w:eastAsia="宋体" w:cs="Times New Roman"/>
                <w:bCs/>
                <w:color w:val="auto"/>
                <w:sz w:val="24"/>
                <w:lang w:val="zh-CN"/>
              </w:rPr>
              <w:t>噪声源控制措施</w:t>
            </w:r>
          </w:p>
          <w:p w14:paraId="50E20EC8">
            <w:pPr>
              <w:adjustRightInd w:val="0"/>
              <w:snapToGrid w:val="0"/>
              <w:spacing w:line="360" w:lineRule="auto"/>
              <w:ind w:firstLine="480" w:firstLineChars="200"/>
              <w:rPr>
                <w:rFonts w:ascii="Times New Roman" w:hAnsi="Times New Roman" w:eastAsia="宋体" w:cs="Times New Roman"/>
                <w:bCs/>
                <w:color w:val="auto"/>
                <w:sz w:val="24"/>
              </w:rPr>
            </w:pPr>
            <w:r>
              <w:rPr>
                <w:rFonts w:hint="eastAsia" w:ascii="Times New Roman" w:hAnsi="Times New Roman" w:eastAsia="宋体" w:cs="Times New Roman"/>
                <w:bCs/>
                <w:color w:val="auto"/>
                <w:sz w:val="24"/>
              </w:rPr>
              <w:t>①</w:t>
            </w:r>
            <w:r>
              <w:rPr>
                <w:rFonts w:ascii="Times New Roman" w:hAnsi="Times New Roman" w:eastAsia="宋体" w:cs="Times New Roman"/>
                <w:bCs/>
                <w:color w:val="auto"/>
                <w:sz w:val="24"/>
              </w:rPr>
              <w:t>项目选用低噪声生产设备，</w:t>
            </w:r>
            <w:r>
              <w:rPr>
                <w:rFonts w:hint="eastAsia" w:ascii="Times New Roman" w:hAnsi="Times New Roman" w:eastAsia="宋体" w:cs="Times New Roman"/>
                <w:bCs/>
                <w:color w:val="auto"/>
                <w:sz w:val="24"/>
                <w:lang w:val="en-US" w:eastAsia="zh-CN"/>
              </w:rPr>
              <w:t>采用</w:t>
            </w:r>
            <w:r>
              <w:rPr>
                <w:rFonts w:hint="default" w:ascii="Times New Roman" w:hAnsi="Times New Roman" w:eastAsia="宋体" w:cs="Times New Roman"/>
                <w:bCs/>
                <w:color w:val="auto"/>
                <w:sz w:val="24"/>
              </w:rPr>
              <w:t>低噪声</w:t>
            </w:r>
            <w:r>
              <w:rPr>
                <w:rFonts w:hint="eastAsia" w:ascii="Times New Roman" w:hAnsi="Times New Roman" w:eastAsia="宋体" w:cs="Times New Roman"/>
                <w:bCs/>
                <w:color w:val="auto"/>
                <w:sz w:val="24"/>
                <w:lang w:val="en-US" w:eastAsia="zh-CN"/>
              </w:rPr>
              <w:t>生产</w:t>
            </w:r>
            <w:r>
              <w:rPr>
                <w:rFonts w:hint="default" w:ascii="Times New Roman" w:hAnsi="Times New Roman" w:eastAsia="宋体" w:cs="Times New Roman"/>
                <w:bCs/>
                <w:color w:val="auto"/>
                <w:sz w:val="24"/>
              </w:rPr>
              <w:t>工艺；</w:t>
            </w:r>
          </w:p>
          <w:p w14:paraId="5A80EA48">
            <w:pPr>
              <w:adjustRightInd w:val="0"/>
              <w:snapToGrid w:val="0"/>
              <w:spacing w:line="360" w:lineRule="auto"/>
              <w:ind w:firstLine="480" w:firstLineChars="200"/>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rPr>
              <w:t>②</w:t>
            </w:r>
            <w:r>
              <w:rPr>
                <w:rFonts w:hint="default" w:ascii="Times New Roman" w:hAnsi="Times New Roman" w:eastAsia="宋体" w:cs="Times New Roman"/>
                <w:bCs/>
                <w:color w:val="auto"/>
                <w:sz w:val="24"/>
              </w:rPr>
              <w:t>采取声学控制措施，</w:t>
            </w:r>
            <w:r>
              <w:rPr>
                <w:rFonts w:ascii="Times New Roman" w:hAnsi="Times New Roman" w:eastAsia="宋体" w:cs="Times New Roman"/>
                <w:bCs/>
                <w:color w:val="auto"/>
                <w:sz w:val="24"/>
              </w:rPr>
              <w:t>对</w:t>
            </w:r>
            <w:r>
              <w:rPr>
                <w:rFonts w:hint="eastAsia" w:ascii="Times New Roman" w:hAnsi="Times New Roman" w:eastAsia="宋体" w:cs="Times New Roman"/>
                <w:bCs/>
                <w:color w:val="auto"/>
                <w:sz w:val="24"/>
                <w:lang w:val="en-US" w:eastAsia="zh-CN"/>
              </w:rPr>
              <w:t>项目</w:t>
            </w:r>
            <w:r>
              <w:rPr>
                <w:rFonts w:ascii="Times New Roman" w:hAnsi="Times New Roman" w:eastAsia="宋体" w:cs="Times New Roman"/>
                <w:bCs/>
                <w:color w:val="auto"/>
                <w:sz w:val="24"/>
              </w:rPr>
              <w:t>高噪声设备</w:t>
            </w:r>
            <w:r>
              <w:rPr>
                <w:rFonts w:hint="eastAsia" w:ascii="Times New Roman" w:hAnsi="Times New Roman" w:eastAsia="宋体" w:cs="Times New Roman"/>
                <w:bCs/>
                <w:color w:val="auto"/>
                <w:sz w:val="24"/>
                <w:lang w:val="en-US" w:eastAsia="zh-CN"/>
              </w:rPr>
              <w:t>基础设置减振垫；</w:t>
            </w:r>
          </w:p>
          <w:p w14:paraId="4F3F5746">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rPr>
              <w:t>③</w:t>
            </w:r>
            <w:r>
              <w:rPr>
                <w:rFonts w:ascii="Times New Roman" w:hAnsi="Times New Roman" w:eastAsia="宋体" w:cs="Times New Roman"/>
                <w:bCs/>
                <w:color w:val="auto"/>
                <w:sz w:val="24"/>
              </w:rPr>
              <w:t>加强对设备的管理和维护，</w:t>
            </w:r>
            <w:r>
              <w:rPr>
                <w:rFonts w:hint="eastAsia" w:ascii="Times New Roman" w:hAnsi="Times New Roman" w:eastAsia="宋体" w:cs="Times New Roman"/>
                <w:bCs/>
                <w:color w:val="auto"/>
                <w:sz w:val="24"/>
                <w:lang w:val="en-US" w:eastAsia="zh-CN"/>
              </w:rPr>
              <w:t>避免设备在异常情况下运行；</w:t>
            </w:r>
          </w:p>
          <w:p w14:paraId="6CC2B4F6">
            <w:pPr>
              <w:adjustRightInd w:val="0"/>
              <w:snapToGrid w:val="0"/>
              <w:spacing w:line="360" w:lineRule="auto"/>
              <w:ind w:firstLine="480" w:firstLineChars="200"/>
              <w:rPr>
                <w:rFonts w:ascii="Times New Roman" w:hAnsi="Times New Roman" w:eastAsia="宋体" w:cs="Times New Roman"/>
                <w:bCs/>
                <w:color w:val="auto"/>
                <w:sz w:val="24"/>
              </w:rPr>
            </w:pPr>
            <w:r>
              <w:rPr>
                <w:rFonts w:hint="eastAsia" w:ascii="Times New Roman" w:hAnsi="Times New Roman" w:eastAsia="宋体" w:cs="Times New Roman"/>
                <w:bCs/>
                <w:color w:val="auto"/>
                <w:sz w:val="24"/>
              </w:rPr>
              <w:t>④</w:t>
            </w:r>
            <w:r>
              <w:rPr>
                <w:rFonts w:hint="default" w:ascii="Times New Roman" w:hAnsi="Times New Roman" w:eastAsia="宋体" w:cs="Times New Roman"/>
                <w:bCs/>
                <w:color w:val="auto"/>
                <w:sz w:val="24"/>
              </w:rPr>
              <w:t>优先选用低噪声车辆</w:t>
            </w:r>
            <w:r>
              <w:rPr>
                <w:rFonts w:hint="eastAsia" w:ascii="Times New Roman" w:hAnsi="Times New Roman" w:eastAsia="宋体" w:cs="Times New Roman"/>
                <w:bCs/>
                <w:color w:val="auto"/>
                <w:sz w:val="24"/>
                <w:lang w:eastAsia="zh-CN"/>
              </w:rPr>
              <w:t>，</w:t>
            </w:r>
            <w:r>
              <w:rPr>
                <w:rFonts w:ascii="Times New Roman" w:hAnsi="Times New Roman" w:eastAsia="宋体" w:cs="Times New Roman"/>
                <w:bCs/>
                <w:color w:val="auto"/>
                <w:sz w:val="24"/>
              </w:rPr>
              <w:t>车辆运输物料</w:t>
            </w:r>
            <w:r>
              <w:rPr>
                <w:rFonts w:hint="eastAsia" w:ascii="Times New Roman" w:hAnsi="Times New Roman" w:eastAsia="宋体" w:cs="Times New Roman"/>
                <w:bCs/>
                <w:color w:val="auto"/>
                <w:sz w:val="24"/>
              </w:rPr>
              <w:t>时</w:t>
            </w:r>
            <w:r>
              <w:rPr>
                <w:rFonts w:ascii="Times New Roman" w:hAnsi="Times New Roman" w:eastAsia="宋体" w:cs="Times New Roman"/>
                <w:bCs/>
                <w:color w:val="auto"/>
                <w:sz w:val="24"/>
              </w:rPr>
              <w:t>，在靠近居民点等对声环境质量要求较高的地方，应减小车速，禁止或少鸣喇叭。</w:t>
            </w:r>
          </w:p>
          <w:p w14:paraId="597C0BF7">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（2）噪声传播途径控制措施</w:t>
            </w:r>
          </w:p>
          <w:p w14:paraId="7FEDEB4B">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①合理规划平面布置，将高噪声设备设置于厂区中间，设备运转期间，关闭车间门窗，通过车间墙体等进行阻隔，降低噪声源强。</w:t>
            </w:r>
          </w:p>
          <w:p w14:paraId="626BD7B2">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②</w:t>
            </w:r>
            <w:r>
              <w:rPr>
                <w:rFonts w:hint="default" w:ascii="Times New Roman" w:hAnsi="Times New Roman" w:eastAsia="宋体" w:cs="Times New Roman"/>
                <w:bCs/>
                <w:color w:val="auto"/>
                <w:sz w:val="24"/>
                <w:lang w:val="en-US" w:eastAsia="zh-CN"/>
              </w:rPr>
              <w:t>设置声屏障等措施，</w:t>
            </w:r>
            <w:r>
              <w:rPr>
                <w:rFonts w:hint="eastAsia" w:ascii="Times New Roman" w:hAnsi="Times New Roman" w:eastAsia="宋体" w:cs="Times New Roman"/>
                <w:bCs/>
                <w:color w:val="auto"/>
                <w:sz w:val="24"/>
                <w:lang w:val="en-US" w:eastAsia="zh-CN"/>
              </w:rPr>
              <w:t>将高噪声设备设置专门设备隔间，对冷却塔、引风机采用设置隔声罩、</w:t>
            </w:r>
            <w:r>
              <w:rPr>
                <w:rFonts w:hint="default" w:ascii="Times New Roman" w:hAnsi="Times New Roman" w:eastAsia="宋体" w:cs="Times New Roman"/>
                <w:bCs/>
                <w:color w:val="auto"/>
                <w:sz w:val="24"/>
                <w:lang w:val="en-US" w:eastAsia="zh-CN"/>
              </w:rPr>
              <w:t>设备基础减振</w:t>
            </w:r>
            <w:r>
              <w:rPr>
                <w:rFonts w:hint="eastAsia" w:ascii="Times New Roman" w:hAnsi="Times New Roman" w:eastAsia="宋体" w:cs="Times New Roman"/>
                <w:bCs/>
                <w:color w:val="auto"/>
                <w:sz w:val="24"/>
                <w:lang w:val="en-US" w:eastAsia="zh-CN"/>
              </w:rPr>
              <w:t>、安装消声器等综合降噪措施。</w:t>
            </w:r>
          </w:p>
          <w:p w14:paraId="6E49CEE5">
            <w:pPr>
              <w:adjustRightInd w:val="0"/>
              <w:snapToGrid w:val="0"/>
              <w:spacing w:line="360" w:lineRule="auto"/>
              <w:ind w:firstLine="480" w:firstLineChars="200"/>
              <w:rPr>
                <w:rFonts w:hint="eastAsia" w:ascii="Times New Roman" w:hAnsi="Times New Roman" w:eastAsia="宋体" w:cs="Times New Roman"/>
                <w:bCs/>
                <w:color w:val="auto"/>
                <w:sz w:val="24"/>
              </w:rPr>
            </w:pPr>
            <w:r>
              <w:rPr>
                <w:rFonts w:ascii="Times New Roman" w:hAnsi="Times New Roman" w:eastAsia="宋体" w:cs="Times New Roman"/>
                <w:bCs/>
                <w:color w:val="auto"/>
                <w:sz w:val="24"/>
              </w:rPr>
              <w:t>通过以上降噪措施，有效降低设备噪声对厂界的影响程度，确保</w:t>
            </w:r>
            <w:r>
              <w:rPr>
                <w:rFonts w:hint="eastAsia" w:ascii="Times New Roman" w:hAnsi="Times New Roman" w:eastAsia="宋体" w:cs="Times New Roman"/>
                <w:bCs/>
                <w:color w:val="auto"/>
                <w:sz w:val="24"/>
              </w:rPr>
              <w:t>厂</w:t>
            </w:r>
            <w:r>
              <w:rPr>
                <w:rFonts w:ascii="Times New Roman" w:hAnsi="Times New Roman" w:eastAsia="宋体" w:cs="Times New Roman"/>
                <w:bCs/>
                <w:color w:val="auto"/>
                <w:sz w:val="24"/>
              </w:rPr>
              <w:t>界噪声符合《工业企业厂界环境噪声排放标准》</w:t>
            </w:r>
            <w:r>
              <w:rPr>
                <w:rFonts w:hint="eastAsia" w:cs="Times New Roman"/>
                <w:bCs/>
                <w:color w:val="auto"/>
                <w:sz w:val="24"/>
                <w:lang w:eastAsia="zh-CN"/>
              </w:rPr>
              <w:t>（</w:t>
            </w:r>
            <w:r>
              <w:rPr>
                <w:rFonts w:ascii="Times New Roman" w:hAnsi="Times New Roman" w:eastAsia="宋体" w:cs="Times New Roman"/>
                <w:bCs/>
                <w:color w:val="auto"/>
                <w:sz w:val="24"/>
              </w:rPr>
              <w:t>GB12348-2008</w:t>
            </w:r>
            <w:r>
              <w:rPr>
                <w:rFonts w:hint="eastAsia" w:cs="Times New Roman"/>
                <w:bCs/>
                <w:color w:val="auto"/>
                <w:sz w:val="24"/>
                <w:lang w:eastAsia="zh-CN"/>
              </w:rPr>
              <w:t>）</w:t>
            </w:r>
            <w:r>
              <w:rPr>
                <w:rFonts w:ascii="Times New Roman" w:hAnsi="Times New Roman" w:eastAsia="宋体" w:cs="Times New Roman"/>
                <w:bCs/>
                <w:color w:val="auto"/>
                <w:sz w:val="24"/>
              </w:rPr>
              <w:t>中的</w:t>
            </w:r>
            <w:r>
              <w:rPr>
                <w:rFonts w:hint="eastAsia" w:ascii="Times New Roman" w:hAnsi="Times New Roman" w:eastAsia="宋体" w:cs="Times New Roman"/>
                <w:bCs/>
                <w:color w:val="auto"/>
                <w:sz w:val="24"/>
                <w:lang w:val="en-US" w:eastAsia="zh-CN"/>
              </w:rPr>
              <w:t>3类</w:t>
            </w:r>
            <w:r>
              <w:rPr>
                <w:rFonts w:ascii="Times New Roman" w:hAnsi="Times New Roman" w:eastAsia="宋体" w:cs="Times New Roman"/>
                <w:bCs/>
                <w:color w:val="auto"/>
                <w:sz w:val="24"/>
              </w:rPr>
              <w:t>标准要求，措施可行。</w:t>
            </w:r>
          </w:p>
          <w:p w14:paraId="2E67B531">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164" w:name="_Toc2783"/>
            <w:bookmarkStart w:id="165" w:name="_Toc8658"/>
            <w:r>
              <w:rPr>
                <w:rFonts w:hint="eastAsia" w:ascii="Times New Roman" w:hAnsi="Times New Roman" w:eastAsia="宋体" w:cs="Times New Roman"/>
                <w:color w:val="auto"/>
                <w:sz w:val="28"/>
                <w:szCs w:val="28"/>
                <w:u w:val="none"/>
                <w:lang w:val="en-US" w:eastAsia="zh-CN"/>
              </w:rPr>
              <w:t>4.4固体废物环境影响分析和污染防治措施</w:t>
            </w:r>
            <w:bookmarkEnd w:id="164"/>
            <w:bookmarkEnd w:id="165"/>
          </w:p>
          <w:p w14:paraId="5A780EC6">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zh-CN" w:eastAsia="zh-CN"/>
              </w:rPr>
            </w:pPr>
            <w:bookmarkStart w:id="166" w:name="_Toc21337"/>
            <w:bookmarkStart w:id="167" w:name="_Toc13400"/>
            <w:r>
              <w:rPr>
                <w:rFonts w:hint="default"/>
                <w:b/>
                <w:color w:val="262626"/>
                <w:kern w:val="0"/>
                <w:sz w:val="24"/>
                <w:lang w:val="zh-CN" w:eastAsia="zh-CN"/>
              </w:rPr>
              <w:t>4.4.1 固体废物</w:t>
            </w:r>
            <w:r>
              <w:rPr>
                <w:rFonts w:hint="eastAsia"/>
                <w:b/>
                <w:color w:val="262626"/>
                <w:kern w:val="0"/>
                <w:sz w:val="24"/>
                <w:lang w:val="en-US" w:eastAsia="zh-CN"/>
              </w:rPr>
              <w:t>污染源</w:t>
            </w:r>
            <w:r>
              <w:rPr>
                <w:rFonts w:hint="default"/>
                <w:b/>
                <w:color w:val="262626"/>
                <w:kern w:val="0"/>
                <w:sz w:val="24"/>
                <w:lang w:val="zh-CN" w:eastAsia="zh-CN"/>
              </w:rPr>
              <w:t>分析</w:t>
            </w:r>
            <w:bookmarkEnd w:id="166"/>
            <w:bookmarkEnd w:id="167"/>
          </w:p>
          <w:p w14:paraId="36164E68">
            <w:pPr>
              <w:widowControl/>
              <w:spacing w:line="360" w:lineRule="auto"/>
              <w:ind w:firstLine="480" w:firstLineChars="200"/>
              <w:jc w:val="left"/>
              <w:rPr>
                <w:rFonts w:ascii="Times New Roman" w:hAnsi="Times New Roman" w:cs="Times New Roman"/>
                <w:color w:val="auto"/>
                <w:kern w:val="0"/>
                <w:sz w:val="24"/>
                <w:highlight w:val="none"/>
                <w:lang w:bidi="ar"/>
              </w:rPr>
            </w:pPr>
            <w:r>
              <w:rPr>
                <w:rFonts w:hint="eastAsia"/>
                <w:color w:val="000000"/>
                <w:sz w:val="24"/>
                <w:lang w:val="en-US" w:eastAsia="zh-CN"/>
              </w:rPr>
              <w:t>本项目运营期内熔融过程产生的炉渣（不沾染油）、压铸工序产生的过度氧化铸件、不合格产品，切边、钻孔及攻牙机等加工工序产生的废边角料、生产工序中通过布袋除尘器及移动式吸尘器收集到的金属粉尘属于一般工业固体废物，收集后暂存于一般固废间外售综合利用。熔炉炉渣（沾染油）、压铸脱模工序使用脱模剂后产生的废空桶，机加工过程中产生的废切削液、废气处理设施产生的废活性炭、设备维护保养时产生的废液压油、机油为危险废物</w:t>
            </w:r>
            <w:r>
              <w:rPr>
                <w:rFonts w:hint="eastAsia" w:cs="Times New Roman"/>
                <w:strike w:val="0"/>
                <w:dstrike w:val="0"/>
                <w:color w:val="000000" w:themeColor="text1"/>
                <w:sz w:val="24"/>
                <w:lang w:val="en-US" w:eastAsia="zh-CN"/>
                <w14:textFill>
                  <w14:solidFill>
                    <w14:schemeClr w14:val="tx1"/>
                  </w14:solidFill>
                </w14:textFill>
              </w:rPr>
              <w:t>收集后暂存于危险废物贮存库，委托有危废资质单位回收处置。</w:t>
            </w:r>
          </w:p>
          <w:p w14:paraId="1CD97209">
            <w:pPr>
              <w:spacing w:line="360" w:lineRule="auto"/>
              <w:ind w:firstLine="480" w:firstLineChars="200"/>
              <w:rPr>
                <w:color w:val="000000"/>
                <w:sz w:val="24"/>
              </w:rPr>
            </w:pPr>
            <w:r>
              <w:rPr>
                <w:color w:val="000000"/>
                <w:sz w:val="24"/>
              </w:rPr>
              <w:t>（</w:t>
            </w:r>
            <w:r>
              <w:rPr>
                <w:rFonts w:hint="eastAsia"/>
                <w:color w:val="000000"/>
                <w:sz w:val="24"/>
                <w:lang w:val="en-US" w:eastAsia="zh-CN"/>
              </w:rPr>
              <w:t>1</w:t>
            </w:r>
            <w:r>
              <w:rPr>
                <w:color w:val="000000"/>
                <w:sz w:val="24"/>
              </w:rPr>
              <w:t>）生活固废</w:t>
            </w:r>
          </w:p>
          <w:p w14:paraId="09BEC9F4">
            <w:pPr>
              <w:spacing w:line="360" w:lineRule="auto"/>
              <w:ind w:firstLine="480"/>
              <w:rPr>
                <w:color w:val="000000"/>
                <w:sz w:val="24"/>
                <w:lang w:val="zh-CN"/>
              </w:rPr>
            </w:pPr>
            <w:r>
              <w:rPr>
                <w:rFonts w:hint="eastAsia"/>
                <w:color w:val="000000"/>
                <w:sz w:val="24"/>
              </w:rPr>
              <w:t xml:space="preserve">根据我国生活垃圾排放系数，不住厂职工生活垃圾排放系数取 </w:t>
            </w:r>
            <w:r>
              <w:rPr>
                <w:color w:val="000000"/>
                <w:sz w:val="24"/>
              </w:rPr>
              <w:t>K=0.5kg/</w:t>
            </w:r>
            <w:r>
              <w:rPr>
                <w:rFonts w:hint="eastAsia"/>
                <w:color w:val="000000"/>
                <w:sz w:val="24"/>
              </w:rPr>
              <w:t>人</w:t>
            </w:r>
            <w:r>
              <w:rPr>
                <w:color w:val="000000"/>
                <w:sz w:val="24"/>
              </w:rPr>
              <w:t>•</w:t>
            </w:r>
            <w:r>
              <w:rPr>
                <w:rFonts w:hint="eastAsia"/>
                <w:color w:val="000000"/>
                <w:sz w:val="24"/>
              </w:rPr>
              <w:t>天，项目职工</w:t>
            </w:r>
            <w:r>
              <w:rPr>
                <w:rFonts w:hint="eastAsia"/>
                <w:color w:val="000000"/>
                <w:sz w:val="24"/>
                <w:lang w:val="en-US" w:eastAsia="zh-CN"/>
              </w:rPr>
              <w:t>30</w:t>
            </w:r>
            <w:r>
              <w:rPr>
                <w:rFonts w:hint="eastAsia"/>
                <w:color w:val="000000"/>
                <w:sz w:val="24"/>
              </w:rPr>
              <w:t>人，按</w:t>
            </w:r>
            <w:r>
              <w:rPr>
                <w:color w:val="000000"/>
                <w:sz w:val="24"/>
              </w:rPr>
              <w:t>300</w:t>
            </w:r>
            <w:r>
              <w:rPr>
                <w:rFonts w:hint="eastAsia"/>
                <w:color w:val="000000"/>
                <w:sz w:val="24"/>
              </w:rPr>
              <w:t>天</w:t>
            </w:r>
            <w:r>
              <w:rPr>
                <w:color w:val="000000"/>
                <w:sz w:val="24"/>
              </w:rPr>
              <w:t>/</w:t>
            </w:r>
            <w:r>
              <w:rPr>
                <w:rFonts w:hint="eastAsia"/>
                <w:color w:val="000000"/>
                <w:sz w:val="24"/>
              </w:rPr>
              <w:t>年计，则项目生活垃圾产生量为</w:t>
            </w:r>
            <w:r>
              <w:rPr>
                <w:rFonts w:hint="eastAsia"/>
                <w:color w:val="000000"/>
                <w:sz w:val="24"/>
                <w:lang w:val="en-US" w:eastAsia="zh-CN"/>
              </w:rPr>
              <w:t>4.5</w:t>
            </w:r>
            <w:r>
              <w:rPr>
                <w:color w:val="000000"/>
                <w:sz w:val="24"/>
              </w:rPr>
              <w:t>t/a</w:t>
            </w:r>
            <w:r>
              <w:rPr>
                <w:rFonts w:hint="eastAsia"/>
                <w:color w:val="000000"/>
                <w:sz w:val="24"/>
              </w:rPr>
              <w:t>。</w:t>
            </w:r>
            <w:r>
              <w:rPr>
                <w:color w:val="000000"/>
                <w:sz w:val="24"/>
              </w:rPr>
              <w:t>集中收集后委托环卫部门清运处理。</w:t>
            </w:r>
            <w:r>
              <w:rPr>
                <w:rFonts w:hint="eastAsia"/>
                <w:color w:val="000000"/>
                <w:sz w:val="24"/>
              </w:rPr>
              <w:t>对照《固体废物分类与代码目录》（公告2024年第4号），属于SW64，900-099-S64。</w:t>
            </w:r>
          </w:p>
          <w:p w14:paraId="3734E33D">
            <w:pPr>
              <w:adjustRightInd w:val="0"/>
              <w:snapToGrid w:val="0"/>
              <w:spacing w:line="360" w:lineRule="auto"/>
              <w:ind w:firstLine="480" w:firstLineChars="200"/>
              <w:rPr>
                <w:color w:val="000000"/>
                <w:sz w:val="24"/>
                <w:lang w:val="zh-CN"/>
              </w:rPr>
            </w:pPr>
            <w:r>
              <w:rPr>
                <w:color w:val="000000"/>
                <w:sz w:val="24"/>
                <w:lang w:val="zh-CN"/>
              </w:rPr>
              <w:t>（</w:t>
            </w:r>
            <w:r>
              <w:rPr>
                <w:rFonts w:hint="eastAsia"/>
                <w:color w:val="000000"/>
                <w:sz w:val="24"/>
                <w:lang w:val="en-US" w:eastAsia="zh-CN"/>
              </w:rPr>
              <w:t>2</w:t>
            </w:r>
            <w:r>
              <w:rPr>
                <w:color w:val="000000"/>
                <w:sz w:val="24"/>
              </w:rPr>
              <w:t>）</w:t>
            </w:r>
            <w:r>
              <w:rPr>
                <w:color w:val="000000"/>
                <w:sz w:val="24"/>
                <w:lang w:val="zh-CN"/>
              </w:rPr>
              <w:t>一般工业固废</w:t>
            </w:r>
          </w:p>
          <w:p w14:paraId="7B42EEFF">
            <w:pPr>
              <w:adjustRightInd w:val="0"/>
              <w:snapToGrid w:val="0"/>
              <w:spacing w:line="360" w:lineRule="auto"/>
              <w:ind w:firstLine="480" w:firstLineChars="200"/>
              <w:rPr>
                <w:rFonts w:hint="eastAsia"/>
                <w:color w:val="000000"/>
                <w:sz w:val="24"/>
                <w:lang w:val="en-US" w:eastAsia="zh-CN"/>
              </w:rPr>
            </w:pPr>
            <w:r>
              <w:rPr>
                <w:rFonts w:hint="eastAsia"/>
                <w:color w:val="000000"/>
                <w:sz w:val="24"/>
                <w:lang w:val="en-US" w:eastAsia="zh-CN"/>
              </w:rPr>
              <w:t>①熔融炉渣（不沾染油）</w:t>
            </w:r>
          </w:p>
          <w:p w14:paraId="1A9072A0">
            <w:pPr>
              <w:adjustRightInd w:val="0"/>
              <w:snapToGrid w:val="0"/>
              <w:spacing w:line="360" w:lineRule="auto"/>
              <w:ind w:firstLine="480" w:firstLineChars="200"/>
              <w:rPr>
                <w:rFonts w:hint="default"/>
                <w:color w:val="000000"/>
                <w:sz w:val="24"/>
                <w:lang w:val="en-US" w:eastAsia="zh-CN"/>
              </w:rPr>
            </w:pPr>
            <w:r>
              <w:rPr>
                <w:rFonts w:hint="eastAsia"/>
                <w:color w:val="000000"/>
                <w:sz w:val="24"/>
                <w:lang w:val="en-US" w:eastAsia="zh-CN"/>
              </w:rPr>
              <w:t>项目在压铸生产车间进行压铸件生产过程中，压铸电阻炉进行铝锭熔化过程中会产生熔化渣，在进行压铸件机械加工过程中会产生一定边角废料和金属屑，根据业主提供生产数据，生产过程中原料损耗率为1%，项目压铸过程中原料用量为730t/a，原料损耗量为7.3t/a，根据前面分析可知，其中0.3593t/a形成烟尘、3.135t/a形成打磨抛光粉尘，故压铸件生产过程中边角废料、金属屑和熔化渣产生量为3.8057t/a。这部分炉渣回用价值较高，统一收集后重新进行熔融回用。</w:t>
            </w:r>
          </w:p>
          <w:p w14:paraId="00650DCB">
            <w:pPr>
              <w:adjustRightInd w:val="0"/>
              <w:snapToGrid w:val="0"/>
              <w:spacing w:line="360" w:lineRule="auto"/>
              <w:ind w:firstLine="480" w:firstLineChars="200"/>
              <w:rPr>
                <w:rFonts w:hint="default"/>
                <w:color w:val="000000"/>
                <w:sz w:val="24"/>
                <w:lang w:val="en-US" w:eastAsia="zh-CN"/>
              </w:rPr>
            </w:pPr>
            <w:r>
              <w:rPr>
                <w:rFonts w:hint="eastAsia"/>
                <w:color w:val="000000"/>
                <w:sz w:val="24"/>
                <w:lang w:val="en-US" w:eastAsia="zh-CN"/>
              </w:rPr>
              <w:t>②不合格产品</w:t>
            </w:r>
          </w:p>
          <w:p w14:paraId="6449C305">
            <w:pPr>
              <w:spacing w:line="360" w:lineRule="auto"/>
              <w:ind w:firstLine="480"/>
              <w:rPr>
                <w:rFonts w:hint="eastAsia"/>
                <w:color w:val="000000"/>
                <w:sz w:val="24"/>
                <w:lang w:val="en-US" w:eastAsia="zh-CN"/>
              </w:rPr>
            </w:pPr>
            <w:r>
              <w:rPr>
                <w:rFonts w:hint="eastAsia"/>
                <w:color w:val="000000"/>
                <w:sz w:val="24"/>
                <w:lang w:val="en-US" w:eastAsia="zh-CN"/>
              </w:rPr>
              <w:t>根据业主提供资料项目压铸工序产生时产品合格率为95%，则不合格产品的产生量约为730t/a×（1-95%）=36.5t/a，属于一般固体废物且回收价值高，经收集后重新进行熔融回用于生产。</w:t>
            </w:r>
          </w:p>
          <w:p w14:paraId="05E536DB">
            <w:pPr>
              <w:adjustRightInd w:val="0"/>
              <w:snapToGrid w:val="0"/>
              <w:spacing w:line="360" w:lineRule="auto"/>
              <w:ind w:firstLine="480" w:firstLineChars="200"/>
              <w:rPr>
                <w:rFonts w:hint="default"/>
                <w:color w:val="000000"/>
                <w:sz w:val="24"/>
                <w:lang w:val="en-US" w:eastAsia="zh-CN"/>
              </w:rPr>
            </w:pPr>
            <w:r>
              <w:rPr>
                <w:rFonts w:hint="eastAsia"/>
                <w:color w:val="000000"/>
                <w:sz w:val="24"/>
                <w:lang w:val="en-US" w:eastAsia="zh-CN"/>
              </w:rPr>
              <w:t>②抛光、去毛边、冲压、钻孔产生的废边角料、碎屑</w:t>
            </w:r>
          </w:p>
          <w:p w14:paraId="647774EC">
            <w:pPr>
              <w:spacing w:line="360" w:lineRule="auto"/>
              <w:ind w:firstLine="480"/>
              <w:rPr>
                <w:rFonts w:hint="eastAsia"/>
                <w:color w:val="000000"/>
                <w:sz w:val="24"/>
                <w:lang w:val="en-US" w:eastAsia="zh-CN"/>
              </w:rPr>
            </w:pPr>
            <w:r>
              <w:rPr>
                <w:rFonts w:hint="eastAsia"/>
                <w:color w:val="000000"/>
                <w:sz w:val="24"/>
                <w:lang w:val="en-US" w:eastAsia="zh-CN"/>
              </w:rPr>
              <w:t>参考</w:t>
            </w:r>
            <w:r>
              <w:rPr>
                <w:rFonts w:hint="eastAsia"/>
                <w:bCs/>
                <w:color w:val="000000" w:themeColor="text1"/>
                <w:sz w:val="24"/>
                <w:lang w:val="en-US" w:eastAsia="zh-CN"/>
                <w14:textFill>
                  <w14:solidFill>
                    <w14:schemeClr w14:val="tx1"/>
                  </w14:solidFill>
                </w14:textFill>
              </w:rPr>
              <w:t>《第二次全国污染源普查工业污染源产排污系数手册》中“33-37，431-434 机械行业系数手册”一般工业固体废物和危险废物产污系数核算表—33金属制品业 3392有色金属铸造，一般工业固体废物（边角料、碎屑）产物系数按为10kg/t-产品。</w:t>
            </w:r>
            <w:r>
              <w:rPr>
                <w:rFonts w:hint="eastAsia"/>
                <w:color w:val="000000"/>
                <w:sz w:val="24"/>
                <w:lang w:val="en-US" w:eastAsia="zh-CN"/>
              </w:rPr>
              <w:t>项目机加工工序所产生的废边角料、碎屑产生量约为730t/a×10kg/t=7.3t/a，</w:t>
            </w:r>
            <w:r>
              <w:rPr>
                <w:rFonts w:hint="default" w:ascii="Times New Roman" w:hAnsi="Times New Roman" w:eastAsia="宋体" w:cs="Times New Roman"/>
                <w:b w:val="0"/>
                <w:bCs w:val="0"/>
                <w:color w:val="auto"/>
                <w:sz w:val="24"/>
                <w:szCs w:val="24"/>
                <w:highlight w:val="none"/>
              </w:rPr>
              <w:t>属于一般工业固体废物</w:t>
            </w:r>
            <w:r>
              <w:rPr>
                <w:rFonts w:hint="eastAsia" w:cs="Times New Roman"/>
                <w:b w:val="0"/>
                <w:bCs w:val="0"/>
                <w:color w:val="auto"/>
                <w:sz w:val="24"/>
                <w:szCs w:val="24"/>
                <w:highlight w:val="none"/>
                <w:lang w:eastAsia="zh-CN"/>
              </w:rPr>
              <w:t>且</w:t>
            </w:r>
            <w:r>
              <w:rPr>
                <w:rFonts w:hint="default" w:ascii="Times New Roman" w:hAnsi="Times New Roman" w:eastAsia="宋体" w:cs="Times New Roman"/>
                <w:b w:val="0"/>
                <w:bCs w:val="0"/>
                <w:color w:val="auto"/>
                <w:sz w:val="24"/>
                <w:szCs w:val="24"/>
                <w:highlight w:val="none"/>
              </w:rPr>
              <w:t>回收可利用价值高</w:t>
            </w:r>
            <w:r>
              <w:rPr>
                <w:rFonts w:hint="eastAsia"/>
                <w:color w:val="000000"/>
                <w:sz w:val="24"/>
                <w:lang w:val="en-US" w:eastAsia="zh-CN"/>
              </w:rPr>
              <w:t>，经收集后重新进行熔融回用于生产。</w:t>
            </w:r>
          </w:p>
          <w:p w14:paraId="50A836F2">
            <w:pPr>
              <w:adjustRightInd w:val="0"/>
              <w:snapToGrid w:val="0"/>
              <w:spacing w:line="360" w:lineRule="auto"/>
              <w:ind w:firstLine="480" w:firstLineChars="200"/>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③布袋除尘器及移动式吸尘器收集到的金属粉尘</w:t>
            </w:r>
          </w:p>
          <w:p w14:paraId="71C9DE58">
            <w:pPr>
              <w:adjustRightInd w:val="0"/>
              <w:snapToGrid w:val="0"/>
              <w:spacing w:line="360" w:lineRule="auto"/>
              <w:ind w:firstLine="480" w:firstLineChars="200"/>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根据4.1.1 运营期废气源强核算分析可知，项目布袋除尘器收集到的金属粉尘量约为</w:t>
            </w:r>
            <w:r>
              <w:rPr>
                <w:rFonts w:hint="eastAsia" w:cs="Times New Roman"/>
                <w:color w:val="000000"/>
                <w:sz w:val="24"/>
                <w:lang w:val="en-US" w:eastAsia="zh-CN"/>
              </w:rPr>
              <w:t>1.4999</w:t>
            </w:r>
            <w:r>
              <w:rPr>
                <w:rFonts w:hint="eastAsia" w:ascii="Times New Roman" w:hAnsi="Times New Roman" w:eastAsia="宋体" w:cs="Times New Roman"/>
                <w:color w:val="000000"/>
                <w:sz w:val="24"/>
                <w:lang w:val="en-US" w:eastAsia="zh-CN"/>
              </w:rPr>
              <w:t>t/a。收集到的金属粉尘存放于一般固废贮存间，委托环卫部门定期外运处置。</w:t>
            </w:r>
          </w:p>
          <w:p w14:paraId="3BFB785A">
            <w:pPr>
              <w:adjustRightInd w:val="0"/>
              <w:snapToGrid w:val="0"/>
              <w:spacing w:line="360" w:lineRule="auto"/>
              <w:ind w:firstLine="480" w:firstLineChars="200"/>
              <w:rPr>
                <w:rFonts w:hint="default"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④其他废包装材料</w:t>
            </w:r>
          </w:p>
          <w:p w14:paraId="0B72DD53">
            <w:pPr>
              <w:adjustRightInd w:val="0"/>
              <w:snapToGrid w:val="0"/>
              <w:spacing w:line="360" w:lineRule="auto"/>
              <w:ind w:firstLine="480" w:firstLineChars="200"/>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根据</w:t>
            </w:r>
            <w:r>
              <w:rPr>
                <w:rFonts w:hint="eastAsia" w:ascii="Times New Roman" w:hAnsi="Times New Roman" w:eastAsia="宋体" w:cs="Times New Roman"/>
                <w:color w:val="000000"/>
                <w:sz w:val="24"/>
                <w:lang w:val="en-US" w:eastAsia="zh-CN"/>
              </w:rPr>
              <w:t>类别同类型</w:t>
            </w:r>
            <w:r>
              <w:rPr>
                <w:rFonts w:hint="default" w:ascii="Times New Roman" w:hAnsi="Times New Roman" w:eastAsia="宋体" w:cs="Times New Roman"/>
                <w:color w:val="000000"/>
                <w:sz w:val="24"/>
                <w:lang w:val="en-US" w:eastAsia="zh-CN"/>
              </w:rPr>
              <w:t>项目</w:t>
            </w:r>
            <w:r>
              <w:rPr>
                <w:rFonts w:hint="eastAsia" w:ascii="Times New Roman" w:hAnsi="Times New Roman" w:eastAsia="宋体" w:cs="Times New Roman"/>
                <w:color w:val="000000"/>
                <w:sz w:val="24"/>
                <w:lang w:val="en-US" w:eastAsia="zh-CN"/>
              </w:rPr>
              <w:t>产品包装、原料拆装</w:t>
            </w:r>
            <w:r>
              <w:rPr>
                <w:rFonts w:hint="default" w:ascii="Times New Roman" w:hAnsi="Times New Roman" w:eastAsia="宋体" w:cs="Times New Roman"/>
                <w:color w:val="000000"/>
                <w:sz w:val="24"/>
                <w:lang w:val="en-US" w:eastAsia="zh-CN"/>
              </w:rPr>
              <w:t>过程产生的废包装材料年产生量约</w:t>
            </w:r>
            <w:r>
              <w:rPr>
                <w:rFonts w:hint="eastAsia" w:ascii="Times New Roman" w:hAnsi="Times New Roman" w:eastAsia="宋体" w:cs="Times New Roman"/>
                <w:color w:val="000000"/>
                <w:sz w:val="24"/>
                <w:lang w:val="en-US" w:eastAsia="zh-CN"/>
              </w:rPr>
              <w:t>0.2</w:t>
            </w:r>
            <w:r>
              <w:rPr>
                <w:rFonts w:hint="default" w:ascii="Times New Roman" w:hAnsi="Times New Roman" w:eastAsia="宋体" w:cs="Times New Roman"/>
                <w:color w:val="000000"/>
                <w:sz w:val="24"/>
                <w:lang w:val="en-US" w:eastAsia="zh-CN"/>
              </w:rPr>
              <w:t>t/a</w:t>
            </w:r>
            <w:r>
              <w:rPr>
                <w:rFonts w:hint="eastAsia" w:ascii="Times New Roman" w:hAnsi="Times New Roman" w:eastAsia="宋体" w:cs="Times New Roman"/>
                <w:color w:val="000000"/>
                <w:sz w:val="24"/>
                <w:lang w:val="en-US" w:eastAsia="zh-CN"/>
              </w:rPr>
              <w:t>，</w:t>
            </w:r>
            <w:r>
              <w:rPr>
                <w:rFonts w:hint="default" w:ascii="Times New Roman" w:hAnsi="Times New Roman" w:eastAsia="宋体" w:cs="Times New Roman"/>
                <w:color w:val="000000"/>
                <w:sz w:val="24"/>
                <w:lang w:val="en-US" w:eastAsia="zh-CN"/>
              </w:rPr>
              <w:t>属于一般工业固体废物</w:t>
            </w:r>
            <w:r>
              <w:rPr>
                <w:rFonts w:hint="eastAsia" w:cs="Times New Roman"/>
                <w:color w:val="000000"/>
                <w:sz w:val="24"/>
                <w:lang w:val="en-US" w:eastAsia="zh-CN"/>
              </w:rPr>
              <w:t>且</w:t>
            </w:r>
            <w:r>
              <w:rPr>
                <w:rFonts w:hint="default" w:ascii="Times New Roman" w:hAnsi="Times New Roman" w:eastAsia="宋体" w:cs="Times New Roman"/>
                <w:color w:val="000000"/>
                <w:sz w:val="24"/>
                <w:lang w:val="en-US" w:eastAsia="zh-CN"/>
              </w:rPr>
              <w:t>回收可利用价值高，经收集后出售给回收企业回收利用。</w:t>
            </w:r>
          </w:p>
          <w:p w14:paraId="4FF40B03">
            <w:pPr>
              <w:adjustRightInd w:val="0"/>
              <w:snapToGrid w:val="0"/>
              <w:spacing w:line="360" w:lineRule="auto"/>
              <w:ind w:firstLine="480" w:firstLineChars="200"/>
              <w:rPr>
                <w:rFonts w:hint="eastAsia" w:ascii="Times New Roman" w:hAnsi="Times New Roman" w:eastAsia="宋体" w:cs="Times New Roman"/>
                <w:strike w:val="0"/>
                <w:dstrike w:val="0"/>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（3）危险废物</w:t>
            </w:r>
            <w:bookmarkEnd w:id="150"/>
            <w:bookmarkEnd w:id="151"/>
            <w:bookmarkEnd w:id="152"/>
          </w:p>
          <w:p w14:paraId="473945D3">
            <w:pPr>
              <w:widowControl/>
              <w:spacing w:line="360" w:lineRule="auto"/>
              <w:ind w:firstLine="480" w:firstLineChars="200"/>
              <w:jc w:val="left"/>
              <w:rPr>
                <w:rFonts w:hint="eastAsia" w:cs="Times New Roman"/>
                <w:strike w:val="0"/>
                <w:dstrike w:val="0"/>
                <w:color w:val="000000" w:themeColor="text1"/>
                <w:sz w:val="24"/>
                <w:lang w:val="en-US" w:eastAsia="zh-CN"/>
                <w14:textFill>
                  <w14:solidFill>
                    <w14:schemeClr w14:val="tx1"/>
                  </w14:solidFill>
                </w14:textFill>
              </w:rPr>
            </w:pPr>
            <w:r>
              <w:rPr>
                <w:rFonts w:hint="eastAsia" w:cs="Times New Roman"/>
                <w:strike w:val="0"/>
                <w:dstrike w:val="0"/>
                <w:color w:val="000000" w:themeColor="text1"/>
                <w:sz w:val="24"/>
                <w:lang w:val="en-US" w:eastAsia="zh-CN"/>
                <w14:textFill>
                  <w14:solidFill>
                    <w14:schemeClr w14:val="tx1"/>
                  </w14:solidFill>
                </w14:textFill>
              </w:rPr>
              <w:t>①熔融炉渣（沾染油）</w:t>
            </w:r>
          </w:p>
          <w:p w14:paraId="3DA8D8EF">
            <w:pPr>
              <w:widowControl/>
              <w:spacing w:line="360" w:lineRule="auto"/>
              <w:ind w:firstLine="480" w:firstLineChars="200"/>
              <w:jc w:val="left"/>
              <w:rPr>
                <w:rFonts w:ascii="Times New Roman" w:hAnsi="Times New Roman" w:cs="Times New Roman"/>
                <w:color w:val="auto"/>
                <w:kern w:val="0"/>
                <w:sz w:val="24"/>
                <w:highlight w:val="none"/>
                <w:lang w:bidi="ar"/>
              </w:rPr>
            </w:pPr>
            <w:r>
              <w:rPr>
                <w:rFonts w:hint="eastAsia" w:cs="Times New Roman"/>
                <w:color w:val="auto"/>
                <w:kern w:val="0"/>
                <w:sz w:val="24"/>
                <w:highlight w:val="none"/>
                <w:lang w:val="en-US" w:eastAsia="zh-CN" w:bidi="ar"/>
              </w:rPr>
              <w:t>在生产过程中部分炉渣（沾染油）。属于危险废物。</w:t>
            </w:r>
            <w:r>
              <w:rPr>
                <w:rFonts w:hint="eastAsia" w:ascii="Times New Roman" w:hAnsi="Times New Roman" w:cs="Times New Roman"/>
                <w:color w:val="auto"/>
                <w:kern w:val="0"/>
                <w:sz w:val="24"/>
                <w:highlight w:val="none"/>
                <w:lang w:bidi="ar"/>
              </w:rPr>
              <w:t>炉渣</w:t>
            </w:r>
            <w:r>
              <w:rPr>
                <w:rFonts w:hint="eastAsia" w:cs="Times New Roman"/>
                <w:color w:val="auto"/>
                <w:kern w:val="0"/>
                <w:sz w:val="24"/>
                <w:highlight w:val="none"/>
                <w:lang w:eastAsia="zh-CN" w:bidi="ar"/>
              </w:rPr>
              <w:t>（</w:t>
            </w:r>
            <w:r>
              <w:rPr>
                <w:rFonts w:hint="eastAsia" w:cs="Times New Roman"/>
                <w:color w:val="auto"/>
                <w:kern w:val="0"/>
                <w:sz w:val="24"/>
                <w:highlight w:val="none"/>
                <w:lang w:val="en-US" w:eastAsia="zh-CN" w:bidi="ar"/>
              </w:rPr>
              <w:t>沾染油</w:t>
            </w:r>
            <w:r>
              <w:rPr>
                <w:rFonts w:hint="eastAsia" w:cs="Times New Roman"/>
                <w:color w:val="auto"/>
                <w:kern w:val="0"/>
                <w:sz w:val="24"/>
                <w:highlight w:val="none"/>
                <w:lang w:eastAsia="zh-CN" w:bidi="ar"/>
              </w:rPr>
              <w:t>）的</w:t>
            </w:r>
            <w:r>
              <w:rPr>
                <w:rFonts w:hint="eastAsia" w:cs="Times New Roman"/>
                <w:color w:val="auto"/>
                <w:kern w:val="0"/>
                <w:sz w:val="24"/>
                <w:highlight w:val="none"/>
                <w:lang w:val="en-US" w:eastAsia="zh-CN" w:bidi="ar"/>
              </w:rPr>
              <w:t>产生量按照炉渣（不沾染油）的3%进行计算</w:t>
            </w:r>
            <w:r>
              <w:rPr>
                <w:rFonts w:hint="eastAsia" w:ascii="Times New Roman" w:hAnsi="Times New Roman" w:cs="Times New Roman"/>
                <w:color w:val="auto"/>
                <w:kern w:val="0"/>
                <w:sz w:val="24"/>
                <w:highlight w:val="none"/>
                <w:lang w:bidi="ar"/>
              </w:rPr>
              <w:t>，则炉渣</w:t>
            </w:r>
            <w:r>
              <w:rPr>
                <w:rFonts w:hint="eastAsia" w:cs="Times New Roman"/>
                <w:color w:val="auto"/>
                <w:kern w:val="0"/>
                <w:sz w:val="24"/>
                <w:highlight w:val="none"/>
                <w:lang w:eastAsia="zh-CN" w:bidi="ar"/>
              </w:rPr>
              <w:t>（</w:t>
            </w:r>
            <w:r>
              <w:rPr>
                <w:rFonts w:hint="eastAsia" w:cs="Times New Roman"/>
                <w:color w:val="auto"/>
                <w:kern w:val="0"/>
                <w:sz w:val="24"/>
                <w:highlight w:val="none"/>
                <w:lang w:val="en-US" w:eastAsia="zh-CN" w:bidi="ar"/>
              </w:rPr>
              <w:t>沾染油</w:t>
            </w:r>
            <w:r>
              <w:rPr>
                <w:rFonts w:hint="eastAsia" w:cs="Times New Roman"/>
                <w:color w:val="auto"/>
                <w:kern w:val="0"/>
                <w:sz w:val="24"/>
                <w:highlight w:val="none"/>
                <w:lang w:eastAsia="zh-CN" w:bidi="ar"/>
              </w:rPr>
              <w:t>）</w:t>
            </w:r>
            <w:r>
              <w:rPr>
                <w:rFonts w:hint="eastAsia" w:ascii="Times New Roman" w:hAnsi="Times New Roman" w:cs="Times New Roman"/>
                <w:color w:val="auto"/>
                <w:kern w:val="0"/>
                <w:sz w:val="24"/>
                <w:highlight w:val="none"/>
                <w:lang w:bidi="ar"/>
              </w:rPr>
              <w:t>产生量为</w:t>
            </w:r>
            <w:r>
              <w:rPr>
                <w:rFonts w:hint="eastAsia" w:cs="Times New Roman"/>
                <w:color w:val="auto"/>
                <w:kern w:val="0"/>
                <w:sz w:val="24"/>
                <w:highlight w:val="none"/>
                <w:lang w:val="en-US" w:eastAsia="zh-CN" w:bidi="ar"/>
              </w:rPr>
              <w:t>3.8057t/a×3%=0.1142</w:t>
            </w:r>
            <w:r>
              <w:rPr>
                <w:rFonts w:hint="eastAsia" w:ascii="Times New Roman" w:hAnsi="Times New Roman" w:cs="Times New Roman"/>
                <w:color w:val="auto"/>
                <w:kern w:val="0"/>
                <w:sz w:val="24"/>
                <w:highlight w:val="none"/>
                <w:lang w:bidi="ar"/>
              </w:rPr>
              <w:t>t/a</w:t>
            </w:r>
            <w:r>
              <w:rPr>
                <w:rFonts w:ascii="Times New Roman" w:hAnsi="Times New Roman" w:cs="Times New Roman"/>
                <w:color w:val="auto"/>
                <w:kern w:val="0"/>
                <w:sz w:val="24"/>
                <w:highlight w:val="none"/>
                <w:lang w:bidi="ar"/>
              </w:rPr>
              <w:t>，根据《国家危险废物名录》</w:t>
            </w:r>
            <w:r>
              <w:rPr>
                <w:rFonts w:hint="eastAsia" w:cs="Times New Roman"/>
                <w:color w:val="auto"/>
                <w:kern w:val="0"/>
                <w:sz w:val="24"/>
                <w:highlight w:val="none"/>
                <w:lang w:eastAsia="zh-CN" w:bidi="ar"/>
              </w:rPr>
              <w:t>（</w:t>
            </w:r>
            <w:r>
              <w:rPr>
                <w:rFonts w:ascii="Times New Roman" w:hAnsi="Times New Roman" w:cs="Times New Roman"/>
                <w:color w:val="auto"/>
                <w:kern w:val="0"/>
                <w:sz w:val="24"/>
                <w:highlight w:val="none"/>
                <w:lang w:bidi="ar"/>
              </w:rPr>
              <w:t>202</w:t>
            </w:r>
            <w:r>
              <w:rPr>
                <w:rFonts w:hint="eastAsia" w:cs="Times New Roman"/>
                <w:color w:val="auto"/>
                <w:kern w:val="0"/>
                <w:sz w:val="24"/>
                <w:highlight w:val="none"/>
                <w:lang w:val="en-US" w:eastAsia="zh-CN" w:bidi="ar"/>
              </w:rPr>
              <w:t>5</w:t>
            </w:r>
            <w:r>
              <w:rPr>
                <w:rFonts w:ascii="Times New Roman" w:hAnsi="Times New Roman" w:cs="Times New Roman"/>
                <w:color w:val="auto"/>
                <w:kern w:val="0"/>
                <w:sz w:val="24"/>
                <w:highlight w:val="none"/>
                <w:lang w:bidi="ar"/>
              </w:rPr>
              <w:t>年版</w:t>
            </w:r>
            <w:r>
              <w:rPr>
                <w:rFonts w:hint="eastAsia" w:cs="Times New Roman"/>
                <w:color w:val="auto"/>
                <w:kern w:val="0"/>
                <w:sz w:val="24"/>
                <w:highlight w:val="none"/>
                <w:lang w:eastAsia="zh-CN" w:bidi="ar"/>
              </w:rPr>
              <w:t>）</w:t>
            </w:r>
            <w:r>
              <w:rPr>
                <w:rFonts w:ascii="Times New Roman" w:hAnsi="Times New Roman" w:cs="Times New Roman"/>
                <w:color w:val="auto"/>
                <w:kern w:val="0"/>
                <w:sz w:val="24"/>
                <w:highlight w:val="none"/>
                <w:lang w:bidi="ar"/>
              </w:rPr>
              <w:t>，</w:t>
            </w:r>
            <w:r>
              <w:rPr>
                <w:rFonts w:hint="eastAsia" w:ascii="Times New Roman" w:hAnsi="Times New Roman" w:cs="Times New Roman"/>
                <w:color w:val="auto"/>
                <w:kern w:val="0"/>
                <w:sz w:val="24"/>
                <w:highlight w:val="none"/>
                <w:lang w:eastAsia="zh-CN" w:bidi="ar"/>
              </w:rPr>
              <w:t>铝浮渣</w:t>
            </w:r>
            <w:r>
              <w:rPr>
                <w:rFonts w:hint="eastAsia" w:cs="Times New Roman"/>
                <w:color w:val="auto"/>
                <w:kern w:val="0"/>
                <w:sz w:val="24"/>
                <w:highlight w:val="none"/>
                <w:lang w:eastAsia="zh-CN" w:bidi="ar"/>
              </w:rPr>
              <w:t>属于</w:t>
            </w:r>
            <w:r>
              <w:rPr>
                <w:rFonts w:hint="default" w:ascii="Times New Roman" w:hAnsi="Times New Roman" w:cs="Times New Roman"/>
                <w:color w:val="000000"/>
                <w:sz w:val="24"/>
                <w:szCs w:val="24"/>
                <w:lang w:val="en-US" w:eastAsia="zh-CN" w:bidi="ar"/>
              </w:rPr>
              <w:t>危险废物，废物类别为</w:t>
            </w:r>
            <w:r>
              <w:rPr>
                <w:rFonts w:hint="default" w:ascii="Times New Roman" w:hAnsi="Times New Roman" w:cs="Times New Roman"/>
                <w:b w:val="0"/>
                <w:bCs w:val="0"/>
                <w:color w:val="000000"/>
                <w:sz w:val="24"/>
                <w:szCs w:val="24"/>
                <w:lang w:val="en-US" w:eastAsia="zh-CN" w:bidi="ar"/>
              </w:rPr>
              <w:t>HW48</w:t>
            </w:r>
            <w:r>
              <w:rPr>
                <w:rFonts w:hint="eastAsia" w:ascii="Times New Roman" w:hAnsi="Times New Roman" w:cs="Times New Roman"/>
                <w:color w:val="000000"/>
                <w:sz w:val="24"/>
                <w:szCs w:val="24"/>
                <w:lang w:val="en-US" w:eastAsia="zh-CN" w:bidi="ar"/>
              </w:rPr>
              <w:t>有色金属冶炼废物</w:t>
            </w:r>
            <w:r>
              <w:rPr>
                <w:rFonts w:hint="default" w:ascii="Times New Roman" w:hAnsi="Times New Roman" w:cs="Times New Roman"/>
                <w:color w:val="000000"/>
                <w:sz w:val="24"/>
                <w:szCs w:val="24"/>
                <w:lang w:val="en-US" w:eastAsia="zh-CN" w:bidi="ar"/>
              </w:rPr>
              <w:t>，</w:t>
            </w:r>
            <w:r>
              <w:rPr>
                <w:rFonts w:hint="default" w:ascii="Times New Roman" w:hAnsi="Times New Roman" w:cs="Times New Roman"/>
                <w:b w:val="0"/>
                <w:bCs w:val="0"/>
                <w:color w:val="000000"/>
                <w:sz w:val="24"/>
                <w:szCs w:val="24"/>
                <w:lang w:val="en-US" w:eastAsia="zh-CN" w:bidi="ar"/>
              </w:rPr>
              <w:t>废物代码321-026-48。</w:t>
            </w:r>
            <w:r>
              <w:rPr>
                <w:rFonts w:hint="eastAsia" w:cs="Times New Roman"/>
                <w:strike w:val="0"/>
                <w:dstrike w:val="0"/>
                <w:color w:val="000000" w:themeColor="text1"/>
                <w:sz w:val="24"/>
                <w:lang w:val="en-US" w:eastAsia="zh-CN"/>
                <w14:textFill>
                  <w14:solidFill>
                    <w14:schemeClr w14:val="tx1"/>
                  </w14:solidFill>
                </w14:textFill>
              </w:rPr>
              <w:t>收集后暂存于危险废物贮存库，委托有危废资质单位回收处置。</w:t>
            </w:r>
          </w:p>
          <w:p w14:paraId="014255D4">
            <w:pPr>
              <w:widowControl/>
              <w:spacing w:line="360" w:lineRule="auto"/>
              <w:ind w:firstLine="480" w:firstLineChars="200"/>
              <w:jc w:val="left"/>
              <w:rPr>
                <w:rFonts w:hint="eastAsia" w:cs="Times New Roman"/>
                <w:strike w:val="0"/>
                <w:dstrike w:val="0"/>
                <w:color w:val="000000" w:themeColor="text1"/>
                <w:sz w:val="24"/>
                <w:lang w:val="en-US" w:eastAsia="zh-CN"/>
                <w14:textFill>
                  <w14:solidFill>
                    <w14:schemeClr w14:val="tx1"/>
                  </w14:solidFill>
                </w14:textFill>
              </w:rPr>
            </w:pPr>
            <w:r>
              <w:rPr>
                <w:rFonts w:hint="eastAsia" w:cs="Times New Roman"/>
                <w:strike w:val="0"/>
                <w:dstrike w:val="0"/>
                <w:color w:val="000000" w:themeColor="text1"/>
                <w:sz w:val="24"/>
                <w:lang w:val="en-US" w:eastAsia="zh-CN"/>
                <w14:textFill>
                  <w14:solidFill>
                    <w14:schemeClr w14:val="tx1"/>
                  </w14:solidFill>
                </w14:textFill>
              </w:rPr>
              <w:t>②脱模剂废包装桶</w:t>
            </w:r>
          </w:p>
          <w:p w14:paraId="5BD89B9F">
            <w:pPr>
              <w:widowControl/>
              <w:spacing w:line="360" w:lineRule="auto"/>
              <w:ind w:firstLine="480" w:firstLineChars="200"/>
              <w:jc w:val="left"/>
              <w:rPr>
                <w:rFonts w:hint="eastAsia" w:cs="Times New Roman"/>
                <w:strike w:val="0"/>
                <w:dstrike w:val="0"/>
                <w:color w:val="000000" w:themeColor="text1"/>
                <w:sz w:val="24"/>
                <w:lang w:val="en-US" w:eastAsia="zh-CN"/>
                <w14:textFill>
                  <w14:solidFill>
                    <w14:schemeClr w14:val="tx1"/>
                  </w14:solidFill>
                </w14:textFill>
              </w:rPr>
            </w:pPr>
            <w:r>
              <w:rPr>
                <w:rFonts w:hint="eastAsia" w:cs="Times New Roman"/>
                <w:strike w:val="0"/>
                <w:dstrike w:val="0"/>
                <w:color w:val="000000" w:themeColor="text1"/>
                <w:sz w:val="24"/>
                <w:lang w:val="en-US" w:eastAsia="zh-CN"/>
                <w14:textFill>
                  <w14:solidFill>
                    <w14:schemeClr w14:val="tx1"/>
                  </w14:solidFill>
                </w14:textFill>
              </w:rPr>
              <w:t>项目使用脱模剂，会产生脱模剂废包装桶，产生量约</w:t>
            </w:r>
            <w:r>
              <w:rPr>
                <w:rFonts w:hint="default" w:cs="Times New Roman"/>
                <w:strike w:val="0"/>
                <w:dstrike w:val="0"/>
                <w:color w:val="000000" w:themeColor="text1"/>
                <w:sz w:val="24"/>
                <w:lang w:val="en-US" w:eastAsia="zh-CN"/>
                <w14:textFill>
                  <w14:solidFill>
                    <w14:schemeClr w14:val="tx1"/>
                  </w14:solidFill>
                </w14:textFill>
              </w:rPr>
              <w:t>0.</w:t>
            </w:r>
            <w:r>
              <w:rPr>
                <w:rFonts w:hint="eastAsia" w:cs="Times New Roman"/>
                <w:strike w:val="0"/>
                <w:dstrike w:val="0"/>
                <w:color w:val="000000" w:themeColor="text1"/>
                <w:sz w:val="24"/>
                <w:lang w:val="en-US" w:eastAsia="zh-CN"/>
                <w14:textFill>
                  <w14:solidFill>
                    <w14:schemeClr w14:val="tx1"/>
                  </w14:solidFill>
                </w14:textFill>
              </w:rPr>
              <w:t>05</w:t>
            </w:r>
            <w:r>
              <w:rPr>
                <w:rFonts w:hint="default" w:cs="Times New Roman"/>
                <w:strike w:val="0"/>
                <w:dstrike w:val="0"/>
                <w:color w:val="000000" w:themeColor="text1"/>
                <w:sz w:val="24"/>
                <w:lang w:val="en-US" w:eastAsia="zh-CN"/>
                <w14:textFill>
                  <w14:solidFill>
                    <w14:schemeClr w14:val="tx1"/>
                  </w14:solidFill>
                </w14:textFill>
              </w:rPr>
              <w:t>t/a</w:t>
            </w:r>
            <w:r>
              <w:rPr>
                <w:rFonts w:hint="eastAsia" w:cs="Times New Roman"/>
                <w:strike w:val="0"/>
                <w:dstrike w:val="0"/>
                <w:color w:val="000000" w:themeColor="text1"/>
                <w:sz w:val="24"/>
                <w:lang w:val="en-US" w:eastAsia="zh-CN"/>
                <w14:textFill>
                  <w14:solidFill>
                    <w14:schemeClr w14:val="tx1"/>
                  </w14:solidFill>
                </w14:textFill>
              </w:rPr>
              <w:t>，</w:t>
            </w:r>
            <w:r>
              <w:rPr>
                <w:rFonts w:ascii="Times New Roman" w:hAnsi="Times New Roman" w:cs="Times New Roman"/>
                <w:color w:val="auto"/>
                <w:kern w:val="0"/>
                <w:sz w:val="24"/>
                <w:highlight w:val="none"/>
                <w:lang w:bidi="ar"/>
              </w:rPr>
              <w:t>根据《国家危险废物名录》</w:t>
            </w:r>
            <w:r>
              <w:rPr>
                <w:rFonts w:hint="eastAsia" w:cs="Times New Roman"/>
                <w:color w:val="auto"/>
                <w:kern w:val="0"/>
                <w:sz w:val="24"/>
                <w:highlight w:val="none"/>
                <w:lang w:eastAsia="zh-CN" w:bidi="ar"/>
              </w:rPr>
              <w:t>（</w:t>
            </w:r>
            <w:r>
              <w:rPr>
                <w:rFonts w:ascii="Times New Roman" w:hAnsi="Times New Roman" w:cs="Times New Roman"/>
                <w:color w:val="auto"/>
                <w:kern w:val="0"/>
                <w:sz w:val="24"/>
                <w:highlight w:val="none"/>
                <w:lang w:bidi="ar"/>
              </w:rPr>
              <w:t>202</w:t>
            </w:r>
            <w:r>
              <w:rPr>
                <w:rFonts w:hint="eastAsia" w:cs="Times New Roman"/>
                <w:color w:val="auto"/>
                <w:kern w:val="0"/>
                <w:sz w:val="24"/>
                <w:highlight w:val="none"/>
                <w:lang w:val="en-US" w:eastAsia="zh-CN" w:bidi="ar"/>
              </w:rPr>
              <w:t>5</w:t>
            </w:r>
            <w:r>
              <w:rPr>
                <w:rFonts w:ascii="Times New Roman" w:hAnsi="Times New Roman" w:cs="Times New Roman"/>
                <w:color w:val="auto"/>
                <w:kern w:val="0"/>
                <w:sz w:val="24"/>
                <w:highlight w:val="none"/>
                <w:lang w:bidi="ar"/>
              </w:rPr>
              <w:t>年版</w:t>
            </w:r>
            <w:r>
              <w:rPr>
                <w:rFonts w:hint="eastAsia" w:cs="Times New Roman"/>
                <w:color w:val="auto"/>
                <w:kern w:val="0"/>
                <w:sz w:val="24"/>
                <w:highlight w:val="none"/>
                <w:lang w:eastAsia="zh-CN" w:bidi="ar"/>
              </w:rPr>
              <w:t>）</w:t>
            </w:r>
            <w:r>
              <w:rPr>
                <w:rFonts w:hint="eastAsia" w:cs="Times New Roman"/>
                <w:strike w:val="0"/>
                <w:dstrike w:val="0"/>
                <w:color w:val="000000" w:themeColor="text1"/>
                <w:sz w:val="24"/>
                <w:lang w:val="en-US" w:eastAsia="zh-CN"/>
                <w14:textFill>
                  <w14:solidFill>
                    <w14:schemeClr w14:val="tx1"/>
                  </w14:solidFill>
                </w14:textFill>
              </w:rPr>
              <w:t>，脱模剂废包装桶属于危险废物，危废类别为</w:t>
            </w:r>
            <w:r>
              <w:rPr>
                <w:rFonts w:hint="default" w:cs="Times New Roman"/>
                <w:strike w:val="0"/>
                <w:dstrike w:val="0"/>
                <w:color w:val="000000" w:themeColor="text1"/>
                <w:sz w:val="24"/>
                <w:lang w:val="en-US" w:eastAsia="zh-CN"/>
                <w14:textFill>
                  <w14:solidFill>
                    <w14:schemeClr w14:val="tx1"/>
                  </w14:solidFill>
                </w14:textFill>
              </w:rPr>
              <w:t>HW49</w:t>
            </w:r>
            <w:r>
              <w:rPr>
                <w:rFonts w:hint="eastAsia" w:cs="Times New Roman"/>
                <w:strike w:val="0"/>
                <w:dstrike w:val="0"/>
                <w:color w:val="000000" w:themeColor="text1"/>
                <w:sz w:val="24"/>
                <w:lang w:val="en-US" w:eastAsia="zh-CN"/>
                <w14:textFill>
                  <w14:solidFill>
                    <w14:schemeClr w14:val="tx1"/>
                  </w14:solidFill>
                </w14:textFill>
              </w:rPr>
              <w:t xml:space="preserve">其他废物，危废代码 </w:t>
            </w:r>
            <w:r>
              <w:rPr>
                <w:rFonts w:hint="default" w:cs="Times New Roman"/>
                <w:strike w:val="0"/>
                <w:dstrike w:val="0"/>
                <w:color w:val="000000" w:themeColor="text1"/>
                <w:sz w:val="24"/>
                <w:lang w:val="en-US" w:eastAsia="zh-CN"/>
                <w14:textFill>
                  <w14:solidFill>
                    <w14:schemeClr w14:val="tx1"/>
                  </w14:solidFill>
                </w14:textFill>
              </w:rPr>
              <w:t>900-041-49</w:t>
            </w:r>
            <w:r>
              <w:rPr>
                <w:rFonts w:hint="eastAsia" w:cs="Times New Roman"/>
                <w:strike w:val="0"/>
                <w:dstrike w:val="0"/>
                <w:color w:val="000000" w:themeColor="text1"/>
                <w:sz w:val="24"/>
                <w:lang w:val="en-US" w:eastAsia="zh-CN"/>
                <w14:textFill>
                  <w14:solidFill>
                    <w14:schemeClr w14:val="tx1"/>
                  </w14:solidFill>
                </w14:textFill>
              </w:rPr>
              <w:t>。收集后暂存于危险废物贮存库，委托有危废资质单位回收处置。</w:t>
            </w:r>
          </w:p>
          <w:p w14:paraId="72515F15">
            <w:pPr>
              <w:widowControl/>
              <w:spacing w:line="360" w:lineRule="auto"/>
              <w:ind w:firstLine="480" w:firstLineChars="200"/>
              <w:jc w:val="left"/>
              <w:rPr>
                <w:rFonts w:hint="default" w:cs="Times New Roman"/>
                <w:strike w:val="0"/>
                <w:dstrike w:val="0"/>
                <w:color w:val="000000" w:themeColor="text1"/>
                <w:sz w:val="24"/>
                <w:lang w:val="en-US" w:eastAsia="zh-CN"/>
                <w14:textFill>
                  <w14:solidFill>
                    <w14:schemeClr w14:val="tx1"/>
                  </w14:solidFill>
                </w14:textFill>
              </w:rPr>
            </w:pPr>
            <w:r>
              <w:rPr>
                <w:rFonts w:hint="eastAsia" w:cs="Times New Roman"/>
                <w:strike w:val="0"/>
                <w:dstrike w:val="0"/>
                <w:color w:val="000000" w:themeColor="text1"/>
                <w:sz w:val="24"/>
                <w:lang w:val="en-US" w:eastAsia="zh-CN"/>
                <w14:textFill>
                  <w14:solidFill>
                    <w14:schemeClr w14:val="tx1"/>
                  </w14:solidFill>
                </w14:textFill>
              </w:rPr>
              <w:t>③废切削液及金属渣</w:t>
            </w:r>
          </w:p>
          <w:p w14:paraId="47565FE5">
            <w:pPr>
              <w:widowControl/>
              <w:spacing w:line="360" w:lineRule="auto"/>
              <w:ind w:firstLine="480" w:firstLineChars="200"/>
              <w:jc w:val="left"/>
              <w:rPr>
                <w:rFonts w:hint="default" w:cs="Times New Roman"/>
                <w:strike w:val="0"/>
                <w:dstrike w:val="0"/>
                <w:color w:val="000000" w:themeColor="text1"/>
                <w:sz w:val="24"/>
                <w:lang w:val="en-US" w:eastAsia="zh-CN"/>
                <w14:textFill>
                  <w14:solidFill>
                    <w14:schemeClr w14:val="tx1"/>
                  </w14:solidFill>
                </w14:textFill>
              </w:rPr>
            </w:pPr>
            <w:r>
              <w:rPr>
                <w:rFonts w:hint="eastAsia" w:cs="Times New Roman"/>
                <w:strike w:val="0"/>
                <w:dstrike w:val="0"/>
                <w:color w:val="000000" w:themeColor="text1"/>
                <w:sz w:val="24"/>
                <w:lang w:val="en-US" w:eastAsia="zh-CN"/>
                <w14:textFill>
                  <w14:solidFill>
                    <w14:schemeClr w14:val="tx1"/>
                  </w14:solidFill>
                </w14:textFill>
              </w:rPr>
              <w:t>机加工设备润滑、冷却使用水基切削液，长期使用会沾染粉尘等杂质，需要定期进行更换，产生的废切削液约为原料的</w:t>
            </w:r>
            <w:r>
              <w:rPr>
                <w:rFonts w:hint="default" w:cs="Times New Roman"/>
                <w:strike w:val="0"/>
                <w:dstrike w:val="0"/>
                <w:color w:val="000000" w:themeColor="text1"/>
                <w:sz w:val="24"/>
                <w:lang w:val="en-US" w:eastAsia="zh-CN"/>
                <w14:textFill>
                  <w14:solidFill>
                    <w14:schemeClr w14:val="tx1"/>
                  </w14:solidFill>
                </w14:textFill>
              </w:rPr>
              <w:t>40%</w:t>
            </w:r>
            <w:r>
              <w:rPr>
                <w:rFonts w:hint="eastAsia" w:cs="Times New Roman"/>
                <w:strike w:val="0"/>
                <w:dstrike w:val="0"/>
                <w:color w:val="000000" w:themeColor="text1"/>
                <w:sz w:val="24"/>
                <w:lang w:val="en-US" w:eastAsia="zh-CN"/>
                <w14:textFill>
                  <w14:solidFill>
                    <w14:schemeClr w14:val="tx1"/>
                  </w14:solidFill>
                </w14:textFill>
              </w:rPr>
              <w:t>，本项目</w:t>
            </w:r>
            <w:r>
              <w:rPr>
                <w:rFonts w:hint="eastAsia" w:cs="Times New Roman"/>
                <w:strike w:val="0"/>
                <w:dstrike w:val="0"/>
                <w:color w:val="000000" w:themeColor="text1"/>
                <w:sz w:val="24"/>
                <w:highlight w:val="none"/>
                <w:lang w:val="en-US" w:eastAsia="zh-CN"/>
                <w14:textFill>
                  <w14:solidFill>
                    <w14:schemeClr w14:val="tx1"/>
                  </w14:solidFill>
                </w14:textFill>
              </w:rPr>
              <w:t>水基切削液</w:t>
            </w:r>
            <w:r>
              <w:rPr>
                <w:rFonts w:hint="eastAsia" w:cs="Times New Roman"/>
                <w:strike w:val="0"/>
                <w:dstrike w:val="0"/>
                <w:color w:val="000000" w:themeColor="text1"/>
                <w:sz w:val="24"/>
                <w:lang w:val="en-US" w:eastAsia="zh-CN"/>
                <w14:textFill>
                  <w14:solidFill>
                    <w14:schemeClr w14:val="tx1"/>
                  </w14:solidFill>
                </w14:textFill>
              </w:rPr>
              <w:t>用量为</w:t>
            </w:r>
            <w:r>
              <w:rPr>
                <w:rFonts w:hint="default" w:cs="Times New Roman"/>
                <w:strike w:val="0"/>
                <w:dstrike w:val="0"/>
                <w:color w:val="000000" w:themeColor="text1"/>
                <w:sz w:val="24"/>
                <w:highlight w:val="none"/>
                <w:lang w:val="en-US" w:eastAsia="zh-CN"/>
                <w14:textFill>
                  <w14:solidFill>
                    <w14:schemeClr w14:val="tx1"/>
                  </w14:solidFill>
                </w14:textFill>
              </w:rPr>
              <w:t>0.5t/a</w:t>
            </w:r>
            <w:r>
              <w:rPr>
                <w:rFonts w:hint="eastAsia" w:cs="Times New Roman"/>
                <w:strike w:val="0"/>
                <w:dstrike w:val="0"/>
                <w:color w:val="000000" w:themeColor="text1"/>
                <w:sz w:val="24"/>
                <w:lang w:val="en-US" w:eastAsia="zh-CN"/>
                <w14:textFill>
                  <w14:solidFill>
                    <w14:schemeClr w14:val="tx1"/>
                  </w14:solidFill>
                </w14:textFill>
              </w:rPr>
              <w:t>，则废切削液及金属渣产生量约</w:t>
            </w:r>
            <w:r>
              <w:rPr>
                <w:rFonts w:hint="default" w:cs="Times New Roman"/>
                <w:strike w:val="0"/>
                <w:dstrike w:val="0"/>
                <w:color w:val="000000" w:themeColor="text1"/>
                <w:sz w:val="24"/>
                <w:lang w:val="en-US" w:eastAsia="zh-CN"/>
                <w14:textFill>
                  <w14:solidFill>
                    <w14:schemeClr w14:val="tx1"/>
                  </w14:solidFill>
                </w14:textFill>
              </w:rPr>
              <w:t>0.</w:t>
            </w:r>
            <w:r>
              <w:rPr>
                <w:rFonts w:hint="eastAsia" w:cs="Times New Roman"/>
                <w:strike w:val="0"/>
                <w:dstrike w:val="0"/>
                <w:color w:val="000000" w:themeColor="text1"/>
                <w:sz w:val="24"/>
                <w:lang w:val="en-US" w:eastAsia="zh-CN"/>
                <w14:textFill>
                  <w14:solidFill>
                    <w14:schemeClr w14:val="tx1"/>
                  </w14:solidFill>
                </w14:textFill>
              </w:rPr>
              <w:t>2</w:t>
            </w:r>
            <w:r>
              <w:rPr>
                <w:rFonts w:hint="default" w:cs="Times New Roman"/>
                <w:strike w:val="0"/>
                <w:dstrike w:val="0"/>
                <w:color w:val="000000" w:themeColor="text1"/>
                <w:sz w:val="24"/>
                <w:lang w:val="en-US" w:eastAsia="zh-CN"/>
                <w14:textFill>
                  <w14:solidFill>
                    <w14:schemeClr w14:val="tx1"/>
                  </w14:solidFill>
                </w14:textFill>
              </w:rPr>
              <w:t>t/a</w:t>
            </w:r>
            <w:r>
              <w:rPr>
                <w:rFonts w:hint="eastAsia" w:cs="Times New Roman"/>
                <w:strike w:val="0"/>
                <w:dstrike w:val="0"/>
                <w:color w:val="000000" w:themeColor="text1"/>
                <w:sz w:val="24"/>
                <w:lang w:val="en-US" w:eastAsia="zh-CN"/>
                <w14:textFill>
                  <w14:solidFill>
                    <w14:schemeClr w14:val="tx1"/>
                  </w14:solidFill>
                </w14:textFill>
              </w:rPr>
              <w:t>。</w:t>
            </w:r>
            <w:r>
              <w:rPr>
                <w:rFonts w:ascii="Times New Roman" w:hAnsi="Times New Roman" w:cs="Times New Roman"/>
                <w:color w:val="auto"/>
                <w:kern w:val="0"/>
                <w:sz w:val="24"/>
                <w:highlight w:val="none"/>
                <w:lang w:bidi="ar"/>
              </w:rPr>
              <w:t>根据《国家危险废物名录》</w:t>
            </w:r>
            <w:r>
              <w:rPr>
                <w:rFonts w:hint="eastAsia" w:cs="Times New Roman"/>
                <w:color w:val="auto"/>
                <w:kern w:val="0"/>
                <w:sz w:val="24"/>
                <w:highlight w:val="none"/>
                <w:lang w:eastAsia="zh-CN" w:bidi="ar"/>
              </w:rPr>
              <w:t>（</w:t>
            </w:r>
            <w:r>
              <w:rPr>
                <w:rFonts w:ascii="Times New Roman" w:hAnsi="Times New Roman" w:cs="Times New Roman"/>
                <w:color w:val="auto"/>
                <w:kern w:val="0"/>
                <w:sz w:val="24"/>
                <w:highlight w:val="none"/>
                <w:lang w:bidi="ar"/>
              </w:rPr>
              <w:t>202</w:t>
            </w:r>
            <w:r>
              <w:rPr>
                <w:rFonts w:hint="eastAsia" w:cs="Times New Roman"/>
                <w:color w:val="auto"/>
                <w:kern w:val="0"/>
                <w:sz w:val="24"/>
                <w:highlight w:val="none"/>
                <w:lang w:val="en-US" w:eastAsia="zh-CN" w:bidi="ar"/>
              </w:rPr>
              <w:t>5</w:t>
            </w:r>
            <w:r>
              <w:rPr>
                <w:rFonts w:ascii="Times New Roman" w:hAnsi="Times New Roman" w:cs="Times New Roman"/>
                <w:color w:val="auto"/>
                <w:kern w:val="0"/>
                <w:sz w:val="24"/>
                <w:highlight w:val="none"/>
                <w:lang w:bidi="ar"/>
              </w:rPr>
              <w:t>年版</w:t>
            </w:r>
            <w:r>
              <w:rPr>
                <w:rFonts w:hint="eastAsia" w:cs="Times New Roman"/>
                <w:color w:val="auto"/>
                <w:kern w:val="0"/>
                <w:sz w:val="24"/>
                <w:highlight w:val="none"/>
                <w:lang w:eastAsia="zh-CN" w:bidi="ar"/>
              </w:rPr>
              <w:t>）</w:t>
            </w:r>
            <w:r>
              <w:rPr>
                <w:rFonts w:hint="eastAsia" w:cs="Times New Roman"/>
                <w:strike w:val="0"/>
                <w:dstrike w:val="0"/>
                <w:color w:val="000000" w:themeColor="text1"/>
                <w:sz w:val="24"/>
                <w:lang w:val="en-US" w:eastAsia="zh-CN"/>
                <w14:textFill>
                  <w14:solidFill>
                    <w14:schemeClr w14:val="tx1"/>
                  </w14:solidFill>
                </w14:textFill>
              </w:rPr>
              <w:t>，废切削液属于危险废物，危废类别为</w:t>
            </w:r>
            <w:r>
              <w:rPr>
                <w:rFonts w:hint="default" w:cs="Times New Roman"/>
                <w:strike w:val="0"/>
                <w:dstrike w:val="0"/>
                <w:color w:val="000000" w:themeColor="text1"/>
                <w:sz w:val="24"/>
                <w:lang w:val="en-US" w:eastAsia="zh-CN"/>
                <w14:textFill>
                  <w14:solidFill>
                    <w14:schemeClr w14:val="tx1"/>
                  </w14:solidFill>
                </w14:textFill>
              </w:rPr>
              <w:t xml:space="preserve">HW09 </w:t>
            </w:r>
            <w:r>
              <w:rPr>
                <w:rFonts w:hint="eastAsia" w:cs="Times New Roman"/>
                <w:strike w:val="0"/>
                <w:dstrike w:val="0"/>
                <w:color w:val="000000" w:themeColor="text1"/>
                <w:sz w:val="24"/>
                <w:lang w:val="en-US" w:eastAsia="zh-CN"/>
                <w14:textFill>
                  <w14:solidFill>
                    <w14:schemeClr w14:val="tx1"/>
                  </w14:solidFill>
                </w14:textFill>
              </w:rPr>
              <w:t>油</w:t>
            </w:r>
            <w:r>
              <w:rPr>
                <w:rFonts w:hint="default" w:cs="Times New Roman"/>
                <w:strike w:val="0"/>
                <w:dstrike w:val="0"/>
                <w:color w:val="000000" w:themeColor="text1"/>
                <w:sz w:val="24"/>
                <w:lang w:val="en-US" w:eastAsia="zh-CN"/>
                <w14:textFill>
                  <w14:solidFill>
                    <w14:schemeClr w14:val="tx1"/>
                  </w14:solidFill>
                </w14:textFill>
              </w:rPr>
              <w:t>/</w:t>
            </w:r>
            <w:r>
              <w:rPr>
                <w:rFonts w:hint="eastAsia" w:cs="Times New Roman"/>
                <w:strike w:val="0"/>
                <w:dstrike w:val="0"/>
                <w:color w:val="000000" w:themeColor="text1"/>
                <w:sz w:val="24"/>
                <w:lang w:val="en-US" w:eastAsia="zh-CN"/>
                <w14:textFill>
                  <w14:solidFill>
                    <w14:schemeClr w14:val="tx1"/>
                  </w14:solidFill>
                </w14:textFill>
              </w:rPr>
              <w:t>水、烃</w:t>
            </w:r>
            <w:r>
              <w:rPr>
                <w:rFonts w:hint="default" w:cs="Times New Roman"/>
                <w:strike w:val="0"/>
                <w:dstrike w:val="0"/>
                <w:color w:val="000000" w:themeColor="text1"/>
                <w:sz w:val="24"/>
                <w:lang w:val="en-US" w:eastAsia="zh-CN"/>
                <w14:textFill>
                  <w14:solidFill>
                    <w14:schemeClr w14:val="tx1"/>
                  </w14:solidFill>
                </w14:textFill>
              </w:rPr>
              <w:t>/</w:t>
            </w:r>
            <w:r>
              <w:rPr>
                <w:rFonts w:hint="eastAsia" w:cs="Times New Roman"/>
                <w:strike w:val="0"/>
                <w:dstrike w:val="0"/>
                <w:color w:val="000000" w:themeColor="text1"/>
                <w:sz w:val="24"/>
                <w:lang w:val="en-US" w:eastAsia="zh-CN"/>
                <w14:textFill>
                  <w14:solidFill>
                    <w14:schemeClr w14:val="tx1"/>
                  </w14:solidFill>
                </w14:textFill>
              </w:rPr>
              <w:t>水混合物或乳化液，危废代码为</w:t>
            </w:r>
            <w:r>
              <w:rPr>
                <w:rFonts w:hint="default" w:cs="Times New Roman"/>
                <w:strike w:val="0"/>
                <w:dstrike w:val="0"/>
                <w:color w:val="000000" w:themeColor="text1"/>
                <w:sz w:val="24"/>
                <w:lang w:val="en-US" w:eastAsia="zh-CN"/>
                <w14:textFill>
                  <w14:solidFill>
                    <w14:schemeClr w14:val="tx1"/>
                  </w14:solidFill>
                </w14:textFill>
              </w:rPr>
              <w:t>900-006-09</w:t>
            </w:r>
            <w:r>
              <w:rPr>
                <w:rFonts w:hint="eastAsia" w:cs="Times New Roman"/>
                <w:strike w:val="0"/>
                <w:dstrike w:val="0"/>
                <w:color w:val="000000" w:themeColor="text1"/>
                <w:sz w:val="24"/>
                <w:lang w:val="en-US" w:eastAsia="zh-CN"/>
                <w14:textFill>
                  <w14:solidFill>
                    <w14:schemeClr w14:val="tx1"/>
                  </w14:solidFill>
                </w14:textFill>
              </w:rPr>
              <w:t>，由原料空桶进行密封储存并暂存于危险废物贮存库，委托有危废资质单位回收处置。</w:t>
            </w:r>
          </w:p>
          <w:p w14:paraId="1A0BE328">
            <w:pPr>
              <w:widowControl/>
              <w:spacing w:line="360" w:lineRule="auto"/>
              <w:ind w:firstLine="480" w:firstLineChars="200"/>
              <w:jc w:val="left"/>
              <w:rPr>
                <w:rFonts w:hint="default" w:ascii="Times New Roman" w:hAnsi="Times New Roman" w:eastAsia="宋体" w:cs="Times New Roman"/>
                <w:strike w:val="0"/>
                <w:dstrike w:val="0"/>
                <w:color w:val="000000" w:themeColor="text1"/>
                <w:sz w:val="24"/>
                <w14:textFill>
                  <w14:solidFill>
                    <w14:schemeClr w14:val="tx1"/>
                  </w14:solidFill>
                </w14:textFill>
              </w:rPr>
            </w:pPr>
            <w:r>
              <w:rPr>
                <w:rFonts w:hint="eastAsia" w:cs="Times New Roman"/>
                <w:strike w:val="0"/>
                <w:dstrike w:val="0"/>
                <w:color w:val="000000" w:themeColor="text1"/>
                <w:sz w:val="24"/>
                <w:lang w:val="en-US" w:eastAsia="zh-CN"/>
                <w14:textFill>
                  <w14:solidFill>
                    <w14:schemeClr w14:val="tx1"/>
                  </w14:solidFill>
                </w14:textFill>
              </w:rPr>
              <w:t>④</w:t>
            </w:r>
            <w:r>
              <w:rPr>
                <w:rFonts w:hint="default" w:ascii="Times New Roman" w:hAnsi="Times New Roman" w:eastAsia="宋体" w:cs="Times New Roman"/>
                <w:strike w:val="0"/>
                <w:dstrike w:val="0"/>
                <w:color w:val="000000" w:themeColor="text1"/>
                <w:sz w:val="24"/>
                <w14:textFill>
                  <w14:solidFill>
                    <w14:schemeClr w14:val="tx1"/>
                  </w14:solidFill>
                </w14:textFill>
              </w:rPr>
              <w:t>废活性炭</w:t>
            </w:r>
          </w:p>
          <w:p w14:paraId="32A249D2">
            <w:pPr>
              <w:widowControl/>
              <w:spacing w:line="360" w:lineRule="auto"/>
              <w:ind w:firstLine="480" w:firstLineChars="200"/>
              <w:jc w:val="left"/>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strike w:val="0"/>
                <w:dstrike w:val="0"/>
                <w:color w:val="000000" w:themeColor="text1"/>
                <w:sz w:val="24"/>
                <w:lang w:val="en-US" w:eastAsia="zh-CN"/>
                <w14:textFill>
                  <w14:solidFill>
                    <w14:schemeClr w14:val="tx1"/>
                  </w14:solidFill>
                </w14:textFill>
              </w:rPr>
              <w:t>根据中国建筑出版社</w:t>
            </w:r>
            <w:r>
              <w:rPr>
                <w:rFonts w:hint="eastAsia" w:ascii="Times New Roman" w:hAnsi="Times New Roman" w:eastAsia="宋体" w:cs="Times New Roman"/>
                <w:strike w:val="0"/>
                <w:dstrike w:val="0"/>
                <w:color w:val="000000" w:themeColor="text1"/>
                <w:sz w:val="24"/>
                <w:lang w:val="en-US" w:eastAsia="zh-CN"/>
                <w14:textFill>
                  <w14:solidFill>
                    <w14:schemeClr w14:val="tx1"/>
                  </w14:solidFill>
                </w14:textFill>
              </w:rPr>
              <w:t>（</w:t>
            </w:r>
            <w:r>
              <w:rPr>
                <w:rFonts w:hint="default" w:ascii="Times New Roman" w:hAnsi="Times New Roman" w:eastAsia="宋体" w:cs="Times New Roman"/>
                <w:strike w:val="0"/>
                <w:dstrike w:val="0"/>
                <w:color w:val="000000" w:themeColor="text1"/>
                <w:sz w:val="24"/>
                <w:lang w:val="en-US" w:eastAsia="zh-CN"/>
                <w14:textFill>
                  <w14:solidFill>
                    <w14:schemeClr w14:val="tx1"/>
                  </w14:solidFill>
                </w14:textFill>
              </w:rPr>
              <w:t>1997</w:t>
            </w:r>
            <w:r>
              <w:rPr>
                <w:rFonts w:hint="eastAsia" w:ascii="Times New Roman" w:hAnsi="Times New Roman" w:eastAsia="宋体" w:cs="Times New Roman"/>
                <w:strike w:val="0"/>
                <w:dstrike w:val="0"/>
                <w:color w:val="000000" w:themeColor="text1"/>
                <w:sz w:val="24"/>
                <w:lang w:val="en-US" w:eastAsia="zh-CN"/>
                <w14:textFill>
                  <w14:solidFill>
                    <w14:schemeClr w14:val="tx1"/>
                  </w14:solidFill>
                </w14:textFill>
              </w:rPr>
              <w:t>）</w:t>
            </w:r>
            <w:r>
              <w:rPr>
                <w:rFonts w:hint="default" w:ascii="Times New Roman" w:hAnsi="Times New Roman" w:eastAsia="宋体" w:cs="Times New Roman"/>
                <w:strike w:val="0"/>
                <w:dstrike w:val="0"/>
                <w:color w:val="000000" w:themeColor="text1"/>
                <w:sz w:val="24"/>
                <w:lang w:val="en-US" w:eastAsia="zh-CN"/>
                <w14:textFill>
                  <w14:solidFill>
                    <w14:schemeClr w14:val="tx1"/>
                  </w14:solidFill>
                </w14:textFill>
              </w:rPr>
              <w:t>出版的《简明通风设计手册》第十章中关于活性吸附处理治理废气的方法中提供的数据：每1.0kg活性炭吸附</w:t>
            </w:r>
            <w:r>
              <w:rPr>
                <w:rFonts w:hint="eastAsia" w:cs="Times New Roman"/>
                <w:strike w:val="0"/>
                <w:dstrike w:val="0"/>
                <w:color w:val="000000" w:themeColor="text1"/>
                <w:sz w:val="24"/>
                <w:lang w:val="en-US" w:eastAsia="zh-CN"/>
                <w14:textFill>
                  <w14:solidFill>
                    <w14:schemeClr w14:val="tx1"/>
                  </w14:solidFill>
                </w14:textFill>
              </w:rPr>
              <w:t>生产</w:t>
            </w:r>
            <w:r>
              <w:rPr>
                <w:rFonts w:hint="default" w:ascii="Times New Roman" w:hAnsi="Times New Roman" w:eastAsia="宋体" w:cs="Times New Roman"/>
                <w:strike w:val="0"/>
                <w:dstrike w:val="0"/>
                <w:color w:val="000000" w:themeColor="text1"/>
                <w:sz w:val="24"/>
                <w:lang w:val="en-US" w:eastAsia="zh-CN"/>
                <w14:textFill>
                  <w14:solidFill>
                    <w14:schemeClr w14:val="tx1"/>
                  </w14:solidFill>
                </w14:textFill>
              </w:rPr>
              <w:t>废气的平衡量为0.43～0.61kg，本项目按1t活性炭吸附</w:t>
            </w:r>
            <w:r>
              <w:rPr>
                <w:rFonts w:hint="eastAsia" w:ascii="Times New Roman" w:hAnsi="Times New Roman" w:eastAsia="宋体" w:cs="Times New Roman"/>
                <w:strike w:val="0"/>
                <w:dstrike w:val="0"/>
                <w:color w:val="000000" w:themeColor="text1"/>
                <w:sz w:val="24"/>
                <w:lang w:val="en-US" w:eastAsia="zh-CN"/>
                <w14:textFill>
                  <w14:solidFill>
                    <w14:schemeClr w14:val="tx1"/>
                  </w14:solidFill>
                </w14:textFill>
              </w:rPr>
              <w:t>0.3</w:t>
            </w:r>
            <w:r>
              <w:rPr>
                <w:rFonts w:hint="default" w:ascii="Times New Roman" w:hAnsi="Times New Roman" w:eastAsia="宋体" w:cs="Times New Roman"/>
                <w:strike w:val="0"/>
                <w:dstrike w:val="0"/>
                <w:color w:val="000000" w:themeColor="text1"/>
                <w:sz w:val="24"/>
                <w:lang w:val="en-US" w:eastAsia="zh-CN"/>
                <w14:textFill>
                  <w14:solidFill>
                    <w14:schemeClr w14:val="tx1"/>
                  </w14:solidFill>
                </w14:textFill>
              </w:rPr>
              <w:t>t有机废气计算，</w:t>
            </w:r>
            <w:r>
              <w:rPr>
                <w:rFonts w:hint="default" w:ascii="Times New Roman" w:hAnsi="Times New Roman" w:eastAsia="宋体" w:cs="Times New Roman"/>
                <w:strike w:val="0"/>
                <w:dstrike w:val="0"/>
                <w:color w:val="000000" w:themeColor="text1"/>
                <w:sz w:val="24"/>
                <w:lang w:val="zh-CN" w:eastAsia="zh-CN"/>
                <w14:textFill>
                  <w14:solidFill>
                    <w14:schemeClr w14:val="tx1"/>
                  </w14:solidFill>
                </w14:textFill>
              </w:rPr>
              <w:t>根据前文产排污分</w:t>
            </w:r>
            <w:r>
              <w:rPr>
                <w:rFonts w:hint="default" w:ascii="Times New Roman" w:hAnsi="Times New Roman" w:eastAsia="宋体" w:cs="Times New Roman"/>
                <w:bCs/>
                <w:color w:val="000000" w:themeColor="text1"/>
                <w:sz w:val="24"/>
                <w:highlight w:val="none"/>
                <w:lang w:val="zh-CN" w:eastAsia="zh-CN"/>
                <w14:textFill>
                  <w14:solidFill>
                    <w14:schemeClr w14:val="tx1"/>
                  </w14:solidFill>
                </w14:textFill>
              </w:rPr>
              <w:t>析可知，项目有组织</w:t>
            </w:r>
            <w:r>
              <w:rPr>
                <w:rFonts w:hint="eastAsia" w:cs="Times New Roman"/>
                <w:bCs/>
                <w:color w:val="000000" w:themeColor="text1"/>
                <w:sz w:val="24"/>
                <w:highlight w:val="none"/>
                <w:lang w:val="en-US" w:eastAsia="zh-CN"/>
                <w14:textFill>
                  <w14:solidFill>
                    <w14:schemeClr w14:val="tx1"/>
                  </w14:solidFill>
                </w14:textFill>
              </w:rPr>
              <w:t>生产</w:t>
            </w:r>
            <w:r>
              <w:rPr>
                <w:rFonts w:hint="default" w:ascii="Times New Roman" w:hAnsi="Times New Roman" w:eastAsia="宋体" w:cs="Times New Roman"/>
                <w:bCs/>
                <w:color w:val="000000" w:themeColor="text1"/>
                <w:sz w:val="24"/>
                <w:highlight w:val="none"/>
                <w:lang w:val="zh-CN" w:eastAsia="zh-CN"/>
                <w14:textFill>
                  <w14:solidFill>
                    <w14:schemeClr w14:val="tx1"/>
                  </w14:solidFill>
                </w14:textFill>
              </w:rPr>
              <w:t>废气</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净化了</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0.</w:t>
            </w:r>
            <w:r>
              <w:rPr>
                <w:rFonts w:hint="eastAsia" w:cs="Times New Roman"/>
                <w:bCs/>
                <w:color w:val="000000" w:themeColor="text1"/>
                <w:sz w:val="24"/>
                <w:highlight w:val="none"/>
                <w:lang w:val="en-US" w:eastAsia="zh-CN"/>
                <w14:textFill>
                  <w14:solidFill>
                    <w14:schemeClr w14:val="tx1"/>
                  </w14:solidFill>
                </w14:textFill>
              </w:rPr>
              <w:t>06075</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/a</w:t>
            </w:r>
            <w:r>
              <w:rPr>
                <w:rFonts w:hint="default" w:ascii="Times New Roman" w:hAnsi="Times New Roman" w:eastAsia="宋体" w:cs="Times New Roman"/>
                <w:bCs/>
                <w:color w:val="000000" w:themeColor="text1"/>
                <w:sz w:val="24"/>
                <w:highlight w:val="none"/>
                <w:lang w:val="zh-CN" w:eastAsia="zh-CN"/>
                <w14:textFill>
                  <w14:solidFill>
                    <w14:schemeClr w14:val="tx1"/>
                  </w14:solidFill>
                </w14:textFill>
              </w:rPr>
              <w:t>，本项目</w:t>
            </w:r>
            <w:r>
              <w:rPr>
                <w:rFonts w:hint="eastAsia" w:cs="Times New Roman"/>
                <w:bCs/>
                <w:color w:val="000000" w:themeColor="text1"/>
                <w:sz w:val="24"/>
                <w:highlight w:val="none"/>
                <w:lang w:val="en-US" w:eastAsia="zh-CN"/>
                <w14:textFill>
                  <w14:solidFill>
                    <w14:schemeClr w14:val="tx1"/>
                  </w14:solidFill>
                </w14:textFill>
              </w:rPr>
              <w:t>生产</w:t>
            </w:r>
            <w:r>
              <w:rPr>
                <w:rFonts w:hint="default" w:ascii="Times New Roman" w:hAnsi="Times New Roman" w:eastAsia="宋体" w:cs="Times New Roman"/>
                <w:bCs/>
                <w:color w:val="000000" w:themeColor="text1"/>
                <w:sz w:val="24"/>
                <w:highlight w:val="none"/>
                <w:lang w:val="zh-CN" w:eastAsia="zh-CN"/>
                <w14:textFill>
                  <w14:solidFill>
                    <w14:schemeClr w14:val="tx1"/>
                  </w14:solidFill>
                </w14:textFill>
              </w:rPr>
              <w:t>废气采用</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活性炭吸附装置</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净化处理，则预计项目年</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废</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活性炭</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产生</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量为</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0.</w:t>
            </w:r>
            <w:r>
              <w:rPr>
                <w:rFonts w:hint="eastAsia" w:cs="Times New Roman"/>
                <w:bCs/>
                <w:color w:val="000000" w:themeColor="text1"/>
                <w:sz w:val="24"/>
                <w:highlight w:val="none"/>
                <w:lang w:val="en-US" w:eastAsia="zh-CN"/>
                <w14:textFill>
                  <w14:solidFill>
                    <w14:schemeClr w14:val="tx1"/>
                  </w14:solidFill>
                </w14:textFill>
              </w:rPr>
              <w:t>06075</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t/a÷0.3</w:t>
            </w:r>
            <w:r>
              <w:rPr>
                <w:rFonts w:hint="eastAsia" w:ascii="Times New Roman" w:hAnsi="Times New Roman" w:cs="Times New Roman"/>
                <w:bCs/>
                <w:color w:val="000000" w:themeColor="text1"/>
                <w:sz w:val="24"/>
                <w:highlight w:val="none"/>
                <w:lang w:val="en-US" w:eastAsia="zh-CN"/>
                <w14:textFill>
                  <w14:solidFill>
                    <w14:schemeClr w14:val="tx1"/>
                  </w14:solidFill>
                </w14:textFill>
              </w:rPr>
              <w:t>t</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+0.</w:t>
            </w:r>
            <w:r>
              <w:rPr>
                <w:rFonts w:hint="eastAsia" w:cs="Times New Roman"/>
                <w:bCs/>
                <w:color w:val="000000" w:themeColor="text1"/>
                <w:sz w:val="24"/>
                <w:highlight w:val="none"/>
                <w:lang w:val="en-US" w:eastAsia="zh-CN"/>
                <w14:textFill>
                  <w14:solidFill>
                    <w14:schemeClr w14:val="tx1"/>
                  </w14:solidFill>
                </w14:textFill>
              </w:rPr>
              <w:t>06075</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t/a=</w:t>
            </w:r>
            <w:r>
              <w:rPr>
                <w:rFonts w:hint="eastAsia" w:cs="Times New Roman"/>
                <w:bCs/>
                <w:color w:val="000000" w:themeColor="text1"/>
                <w:sz w:val="24"/>
                <w:highlight w:val="none"/>
                <w:lang w:val="en-US" w:eastAsia="zh-CN"/>
                <w14:textFill>
                  <w14:solidFill>
                    <w14:schemeClr w14:val="tx1"/>
                  </w14:solidFill>
                </w14:textFill>
              </w:rPr>
              <w:t>0.2633</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t</w:t>
            </w:r>
            <w:r>
              <w:rPr>
                <w:rFonts w:hint="eastAsia" w:cs="Times New Roman"/>
                <w:bCs/>
                <w:color w:val="000000" w:themeColor="text1"/>
                <w:sz w:val="24"/>
                <w:highlight w:val="none"/>
                <w:lang w:val="en-US" w:eastAsia="zh-CN"/>
                <w14:textFill>
                  <w14:solidFill>
                    <w14:schemeClr w14:val="tx1"/>
                  </w14:solidFill>
                </w14:textFill>
              </w:rPr>
              <w:t>/a</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活性炭的填充量为</w:t>
            </w:r>
            <w:r>
              <w:rPr>
                <w:rFonts w:hint="eastAsia" w:cs="Times New Roman"/>
                <w:bCs/>
                <w:color w:val="000000" w:themeColor="text1"/>
                <w:sz w:val="24"/>
                <w:highlight w:val="none"/>
                <w:lang w:val="en-US" w:eastAsia="zh-CN"/>
                <w14:textFill>
                  <w14:solidFill>
                    <w14:schemeClr w14:val="tx1"/>
                  </w14:solidFill>
                </w14:textFill>
              </w:rPr>
              <w:t>0.4</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，项目计划</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每</w:t>
            </w:r>
            <w:r>
              <w:rPr>
                <w:rFonts w:hint="eastAsia" w:cs="Times New Roman"/>
                <w:bCs/>
                <w:color w:val="000000" w:themeColor="text1"/>
                <w:sz w:val="24"/>
                <w:highlight w:val="none"/>
                <w:lang w:val="en-US" w:eastAsia="zh-CN"/>
                <w14:textFill>
                  <w14:solidFill>
                    <w14:schemeClr w14:val="tx1"/>
                  </w14:solidFill>
                </w14:textFill>
              </w:rPr>
              <w:t>六</w:t>
            </w:r>
            <w:r>
              <w:rPr>
                <w:rFonts w:hint="default" w:ascii="Times New Roman" w:hAnsi="Times New Roman" w:eastAsia="宋体" w:cs="Times New Roman"/>
                <w:bCs/>
                <w:color w:val="000000" w:themeColor="text1"/>
                <w:sz w:val="24"/>
                <w:highlight w:val="none"/>
                <w:lang w:val="zh-CN" w:eastAsia="zh-CN"/>
                <w14:textFill>
                  <w14:solidFill>
                    <w14:schemeClr w14:val="tx1"/>
                  </w14:solidFill>
                </w14:textFill>
              </w:rPr>
              <w:t>个月更换一次活性炭吸附填料，确保项目</w:t>
            </w:r>
            <w:r>
              <w:rPr>
                <w:rFonts w:hint="eastAsia" w:cs="Times New Roman"/>
                <w:bCs/>
                <w:color w:val="000000" w:themeColor="text1"/>
                <w:sz w:val="24"/>
                <w:highlight w:val="none"/>
                <w:lang w:val="en-US" w:eastAsia="zh-CN"/>
                <w14:textFill>
                  <w14:solidFill>
                    <w14:schemeClr w14:val="tx1"/>
                  </w14:solidFill>
                </w14:textFill>
              </w:rPr>
              <w:t>生产</w:t>
            </w:r>
            <w:r>
              <w:rPr>
                <w:rFonts w:hint="default" w:ascii="Times New Roman" w:hAnsi="Times New Roman" w:eastAsia="宋体" w:cs="Times New Roman"/>
                <w:bCs/>
                <w:color w:val="000000" w:themeColor="text1"/>
                <w:sz w:val="24"/>
                <w:highlight w:val="none"/>
                <w:lang w:val="zh-CN" w:eastAsia="zh-CN"/>
                <w14:textFill>
                  <w14:solidFill>
                    <w14:schemeClr w14:val="tx1"/>
                  </w14:solidFill>
                </w14:textFill>
              </w:rPr>
              <w:t>废气达标排放</w:t>
            </w:r>
            <w:r>
              <w:rPr>
                <w:rFonts w:hint="eastAsia" w:ascii="Times New Roman" w:hAnsi="Times New Roman" w:eastAsia="宋体" w:cs="Times New Roman"/>
                <w:bCs/>
                <w:color w:val="000000" w:themeColor="text1"/>
                <w:sz w:val="24"/>
                <w:highlight w:val="none"/>
                <w:lang w:val="zh-CN"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根据《国家危险废物名录》</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202</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年版</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，废活性炭属于危险废物，废物类别为HW49其他废物，废物代码900-039-49</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妥善收集后</w:t>
            </w:r>
            <w:r>
              <w:rPr>
                <w:rFonts w:hint="eastAsia" w:ascii="Times New Roman" w:hAnsi="Times New Roman" w:eastAsia="宋体" w:cs="Times New Roman"/>
                <w:bCs/>
                <w:color w:val="000000" w:themeColor="text1"/>
                <w:sz w:val="24"/>
                <w:highlight w:val="none"/>
                <w14:textFill>
                  <w14:solidFill>
                    <w14:schemeClr w14:val="tx1"/>
                  </w14:solidFill>
                </w14:textFill>
              </w:rPr>
              <w:t>暂存于危险废物</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贮存库，定期委托有资质单位处置。</w:t>
            </w:r>
          </w:p>
          <w:p w14:paraId="4FDBCCC3">
            <w:pPr>
              <w:widowControl/>
              <w:spacing w:line="360" w:lineRule="auto"/>
              <w:ind w:firstLine="480" w:firstLineChars="200"/>
              <w:jc w:val="left"/>
              <w:rPr>
                <w:rFonts w:hint="default" w:ascii="Times New Roman" w:hAnsi="Times New Roman" w:eastAsia="宋体" w:cs="Times New Roman"/>
                <w:strike w:val="0"/>
                <w:dstrike w:val="0"/>
                <w:color w:val="000000" w:themeColor="text1"/>
                <w:sz w:val="24"/>
                <w:lang w:val="en-US" w:eastAsia="zh-CN"/>
                <w14:textFill>
                  <w14:solidFill>
                    <w14:schemeClr w14:val="tx1"/>
                  </w14:solidFill>
                </w14:textFill>
              </w:rPr>
            </w:pPr>
            <w:r>
              <w:rPr>
                <w:rFonts w:hint="eastAsia" w:cs="Times New Roman"/>
                <w:strike w:val="0"/>
                <w:dstrike w:val="0"/>
                <w:color w:val="000000" w:themeColor="text1"/>
                <w:sz w:val="24"/>
                <w:lang w:val="en-US" w:eastAsia="zh-CN"/>
                <w14:textFill>
                  <w14:solidFill>
                    <w14:schemeClr w14:val="tx1"/>
                  </w14:solidFill>
                </w14:textFill>
              </w:rPr>
              <w:t>⑤</w:t>
            </w:r>
            <w:r>
              <w:rPr>
                <w:rFonts w:hint="eastAsia" w:ascii="Times New Roman" w:hAnsi="Times New Roman" w:eastAsia="宋体" w:cs="Times New Roman"/>
                <w:strike w:val="0"/>
                <w:dstrike w:val="0"/>
                <w:color w:val="000000" w:themeColor="text1"/>
                <w:sz w:val="24"/>
                <w:lang w:val="en-US" w:eastAsia="zh-CN"/>
                <w14:textFill>
                  <w14:solidFill>
                    <w14:schemeClr w14:val="tx1"/>
                  </w14:solidFill>
                </w14:textFill>
              </w:rPr>
              <w:t>废机油</w:t>
            </w:r>
            <w:r>
              <w:rPr>
                <w:rFonts w:hint="eastAsia" w:cs="Times New Roman"/>
                <w:strike w:val="0"/>
                <w:dstrike w:val="0"/>
                <w:color w:val="000000" w:themeColor="text1"/>
                <w:sz w:val="24"/>
                <w:lang w:val="en-US" w:eastAsia="zh-CN"/>
                <w14:textFill>
                  <w14:solidFill>
                    <w14:schemeClr w14:val="tx1"/>
                  </w14:solidFill>
                </w14:textFill>
              </w:rPr>
              <w:t>、废液压油</w:t>
            </w:r>
          </w:p>
          <w:p w14:paraId="7013C0E9">
            <w:pPr>
              <w:widowControl/>
              <w:spacing w:line="360" w:lineRule="auto"/>
              <w:ind w:firstLine="480" w:firstLineChars="200"/>
              <w:jc w:val="left"/>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本项目在设备检修维护过程会产生少量废机油，</w:t>
            </w:r>
            <w:r>
              <w:rPr>
                <w:rFonts w:hint="eastAsia" w:cs="Times New Roman"/>
                <w:bCs/>
                <w:color w:val="000000" w:themeColor="text1"/>
                <w:sz w:val="24"/>
                <w:highlight w:val="none"/>
                <w:lang w:val="en-US" w:eastAsia="zh-CN"/>
                <w14:textFill>
                  <w14:solidFill>
                    <w14:schemeClr w14:val="tx1"/>
                  </w14:solidFill>
                </w14:textFill>
              </w:rPr>
              <w:t>本项目年使用</w:t>
            </w:r>
            <w:r>
              <w:rPr>
                <w:rFonts w:hint="eastAsia" w:ascii="Times New Roman" w:hAnsi="Times New Roman" w:cs="Times New Roman"/>
                <w:color w:val="auto"/>
                <w:kern w:val="0"/>
                <w:sz w:val="24"/>
                <w:highlight w:val="none"/>
                <w:lang w:bidi="ar"/>
              </w:rPr>
              <w:t>压铸机液压油每年更换一次，每次更换量约为</w:t>
            </w:r>
            <w:r>
              <w:rPr>
                <w:rFonts w:hint="eastAsia" w:cs="Times New Roman"/>
                <w:color w:val="auto"/>
                <w:kern w:val="0"/>
                <w:sz w:val="24"/>
                <w:highlight w:val="none"/>
                <w:lang w:val="en-US" w:eastAsia="zh-CN" w:bidi="ar"/>
              </w:rPr>
              <w:t>0.3</w:t>
            </w:r>
            <w:r>
              <w:rPr>
                <w:rFonts w:hint="eastAsia" w:ascii="Times New Roman" w:hAnsi="Times New Roman" w:cs="Times New Roman"/>
                <w:color w:val="auto"/>
                <w:kern w:val="0"/>
                <w:sz w:val="24"/>
                <w:highlight w:val="none"/>
                <w:lang w:bidi="ar"/>
              </w:rPr>
              <w:t>t</w:t>
            </w:r>
            <w:r>
              <w:rPr>
                <w:rFonts w:hint="eastAsia" w:cs="Times New Roman"/>
                <w:bCs/>
                <w:color w:val="000000" w:themeColor="text1"/>
                <w:sz w:val="24"/>
                <w:highlight w:val="none"/>
                <w:lang w:val="en-US" w:eastAsia="zh-CN"/>
                <w14:textFill>
                  <w14:solidFill>
                    <w14:schemeClr w14:val="tx1"/>
                  </w14:solidFill>
                </w14:textFill>
              </w:rPr>
              <w:t>、机油使用量约0.4t/a。为合计约为0.7t/a</w:t>
            </w:r>
            <w:r>
              <w:rPr>
                <w:rFonts w:hint="eastAsia" w:ascii="Times New Roman" w:hAnsi="Times New Roman" w:cs="Times New Roman"/>
                <w:color w:val="auto"/>
                <w:kern w:val="0"/>
                <w:sz w:val="24"/>
                <w:highlight w:val="none"/>
                <w:lang w:bidi="ar"/>
              </w:rPr>
              <w:t>，折合每年0.</w:t>
            </w:r>
            <w:r>
              <w:rPr>
                <w:rFonts w:hint="eastAsia" w:cs="Times New Roman"/>
                <w:color w:val="auto"/>
                <w:kern w:val="0"/>
                <w:sz w:val="24"/>
                <w:highlight w:val="none"/>
                <w:lang w:val="en-US" w:eastAsia="zh-CN" w:bidi="ar"/>
              </w:rPr>
              <w:t>25</w:t>
            </w:r>
            <w:r>
              <w:rPr>
                <w:rFonts w:hint="eastAsia" w:ascii="Times New Roman" w:hAnsi="Times New Roman" w:cs="Times New Roman"/>
                <w:color w:val="auto"/>
                <w:kern w:val="0"/>
                <w:sz w:val="24"/>
                <w:highlight w:val="none"/>
                <w:lang w:bidi="ar"/>
              </w:rPr>
              <w:t>t/a，扣除机油消耗部分（约为使用量的20%），则项目平均年产废液压油0.</w:t>
            </w:r>
            <w:r>
              <w:rPr>
                <w:rFonts w:hint="eastAsia" w:cs="Times New Roman"/>
                <w:color w:val="auto"/>
                <w:kern w:val="0"/>
                <w:sz w:val="24"/>
                <w:highlight w:val="none"/>
                <w:lang w:val="en-US" w:eastAsia="zh-CN" w:bidi="ar"/>
              </w:rPr>
              <w:t>0</w:t>
            </w:r>
            <w:r>
              <w:rPr>
                <w:rFonts w:hint="eastAsia" w:ascii="Times New Roman" w:hAnsi="Times New Roman" w:cs="Times New Roman"/>
                <w:color w:val="auto"/>
                <w:kern w:val="0"/>
                <w:sz w:val="24"/>
                <w:highlight w:val="none"/>
                <w:lang w:bidi="ar"/>
              </w:rPr>
              <w:t>4t/a</w:t>
            </w:r>
            <w:r>
              <w:rPr>
                <w:rFonts w:hint="eastAsia" w:cs="Times New Roman"/>
                <w:color w:val="auto"/>
                <w:kern w:val="0"/>
                <w:sz w:val="24"/>
                <w:highlight w:val="none"/>
                <w:lang w:eastAsia="zh-CN" w:bidi="ar"/>
              </w:rPr>
              <w:t>。</w:t>
            </w:r>
            <w:r>
              <w:rPr>
                <w:rFonts w:hint="eastAsia" w:cs="Times New Roman"/>
                <w:color w:val="auto"/>
                <w:kern w:val="0"/>
                <w:sz w:val="24"/>
                <w:highlight w:val="none"/>
                <w:lang w:val="en-US" w:eastAsia="zh-CN" w:bidi="ar"/>
              </w:rPr>
              <w:t>合计本项目年产生废机油、废液压油的量为0.16t/a。</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废</w:t>
            </w:r>
            <w:r>
              <w:rPr>
                <w:rFonts w:hint="eastAsia" w:cs="Times New Roman"/>
                <w:bCs/>
                <w:color w:val="000000" w:themeColor="text1"/>
                <w:sz w:val="24"/>
                <w:highlight w:val="none"/>
                <w:lang w:val="en-US" w:eastAsia="zh-CN"/>
                <w14:textFill>
                  <w14:solidFill>
                    <w14:schemeClr w14:val="tx1"/>
                  </w14:solidFill>
                </w14:textFill>
              </w:rPr>
              <w:t>机</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油</w:t>
            </w:r>
            <w:r>
              <w:rPr>
                <w:rFonts w:hint="eastAsia" w:cs="Times New Roman"/>
                <w:bCs/>
                <w:color w:val="000000" w:themeColor="text1"/>
                <w:sz w:val="24"/>
                <w:highlight w:val="none"/>
                <w:lang w:val="en-US" w:eastAsia="zh-CN"/>
                <w14:textFill>
                  <w14:solidFill>
                    <w14:schemeClr w14:val="tx1"/>
                  </w14:solidFill>
                </w14:textFill>
              </w:rPr>
              <w:t>、废液压油</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属于《国家危险废物名录》（</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2025</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年版）中的</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HW08</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类危废（</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900-217-08</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HW08</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废矿物油与含矿物油废物：</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900-21</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-08</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车辆、轮船及其它机械维修过程中产生的废发动机油、制动器油、自动变速器油、齿轮油等废润滑油”。废机油统一收集后暂存于危险废物贮存库，后交由有资质单位进行处置。</w:t>
            </w:r>
          </w:p>
          <w:p w14:paraId="65A772FA">
            <w:pPr>
              <w:spacing w:line="360" w:lineRule="auto"/>
              <w:ind w:firstLine="480"/>
              <w:rPr>
                <w:rFonts w:hint="eastAsia"/>
                <w:color w:val="000000"/>
                <w:sz w:val="24"/>
                <w:lang w:val="en-US" w:eastAsia="zh-CN"/>
              </w:rPr>
            </w:pPr>
            <w:r>
              <w:rPr>
                <w:rFonts w:hint="eastAsia"/>
                <w:color w:val="000000"/>
                <w:sz w:val="24"/>
                <w:lang w:val="en-US" w:eastAsia="zh-CN"/>
              </w:rPr>
              <w:t>⑥水循环处理设施产生的污泥</w:t>
            </w:r>
          </w:p>
          <w:p w14:paraId="76846B91">
            <w:pPr>
              <w:spacing w:line="360" w:lineRule="auto"/>
              <w:ind w:firstLine="48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auto"/>
                <w:sz w:val="24"/>
                <w:szCs w:val="24"/>
                <w:highlight w:val="none"/>
                <w:lang w:val="en-US" w:eastAsia="zh-CN"/>
              </w:rPr>
              <w:t>根据4.2.1运营期废水源强分析</w:t>
            </w:r>
            <w:r>
              <w:rPr>
                <w:rFonts w:hint="eastAsia" w:cs="Times New Roman"/>
                <w:b w:val="0"/>
                <w:bCs w:val="0"/>
                <w:color w:val="auto"/>
                <w:sz w:val="24"/>
                <w:szCs w:val="24"/>
                <w:highlight w:val="none"/>
                <w:lang w:val="en-US" w:eastAsia="zh-CN"/>
              </w:rPr>
              <w:t>，本项目产品清洗与研磨工序所产生的废水需进行水循环设施处理后回用，则水循环处理设施处理量为0.25t/d（75t/a），污泥产生量按照废水处理量的0.2%进行计算，则本项目水循环处理设施污泥产生量为0.15t/a。</w:t>
            </w:r>
          </w:p>
          <w:p w14:paraId="5D9D274F">
            <w:pPr>
              <w:keepNext w:val="0"/>
              <w:pageBreakBefore w:val="0"/>
              <w:kinsoku/>
              <w:wordWrap/>
              <w:overflowPunct/>
              <w:topLinePunct w:val="0"/>
              <w:bidi w:val="0"/>
              <w:adjustRightInd w:val="0"/>
              <w:snapToGrid w:val="0"/>
              <w:spacing w:line="360" w:lineRule="auto"/>
              <w:ind w:firstLine="480" w:firstLineChars="200"/>
              <w:rPr>
                <w:rFonts w:hint="default" w:ascii="Times New Roman" w:hAnsi="Times New Roman" w:eastAsia="Times New Roman" w:cs="Times New Roman"/>
                <w:b/>
                <w:bCs/>
                <w:color w:val="000000" w:themeColor="text1"/>
                <w:sz w:val="24"/>
                <w:highlight w:val="none"/>
                <w:lang w:val="zh-CN"/>
                <w14:textFill>
                  <w14:solidFill>
                    <w14:schemeClr w14:val="tx1"/>
                  </w14:solidFill>
                </w14:textFill>
              </w:rPr>
            </w:pPr>
            <w:r>
              <w:rPr>
                <w:rFonts w:ascii="Times New Roman" w:hAnsi="Times New Roman" w:eastAsia="宋体" w:cs="Times New Roman"/>
                <w:bCs/>
                <w:color w:val="000000" w:themeColor="text1"/>
                <w:sz w:val="24"/>
                <w:highlight w:val="none"/>
                <w14:textFill>
                  <w14:solidFill>
                    <w14:schemeClr w14:val="tx1"/>
                  </w14:solidFill>
                </w14:textFill>
              </w:rPr>
              <w:t>综上分析，项目运营期各类固体废物产生及处置情况详见表</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4.</w:t>
            </w:r>
            <w:r>
              <w:rPr>
                <w:rFonts w:hint="eastAsia" w:eastAsia="宋体" w:cs="Times New Roman"/>
                <w:bCs/>
                <w:color w:val="000000" w:themeColor="text1"/>
                <w:sz w:val="24"/>
                <w:highlight w:val="none"/>
                <w:lang w:val="en-US" w:eastAsia="zh-CN"/>
                <w14:textFill>
                  <w14:solidFill>
                    <w14:schemeClr w14:val="tx1"/>
                  </w14:solidFill>
                </w14:textFill>
              </w:rPr>
              <w:t>4</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-1</w:t>
            </w:r>
            <w:r>
              <w:rPr>
                <w:rFonts w:ascii="Times New Roman" w:hAnsi="Times New Roman" w:eastAsia="宋体" w:cs="Times New Roman"/>
                <w:bCs/>
                <w:color w:val="000000" w:themeColor="text1"/>
                <w:sz w:val="24"/>
                <w:highlight w:val="none"/>
                <w14:textFill>
                  <w14:solidFill>
                    <w14:schemeClr w14:val="tx1"/>
                  </w14:solidFill>
                </w14:textFill>
              </w:rPr>
              <w:t>。</w:t>
            </w:r>
          </w:p>
          <w:p w14:paraId="57B57145">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Times New Roman" w:cs="Times New Roman"/>
                <w:b/>
                <w:bCs/>
                <w:color w:val="000000" w:themeColor="text1"/>
                <w:sz w:val="24"/>
                <w:highlight w:val="none"/>
                <w:lang w:val="zh-CN"/>
                <w14:textFill>
                  <w14:solidFill>
                    <w14:schemeClr w14:val="tx1"/>
                  </w14:solidFill>
                </w14:textFill>
              </w:rPr>
              <w:t>表</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4.</w:t>
            </w:r>
            <w:r>
              <w:rPr>
                <w:rFonts w:hint="eastAsia" w:cs="Times New Roman"/>
                <w:b/>
                <w:bCs/>
                <w:color w:val="000000" w:themeColor="text1"/>
                <w:sz w:val="24"/>
                <w:highlight w:val="none"/>
                <w:lang w:val="en-US" w:eastAsia="zh-CN"/>
                <w14:textFill>
                  <w14:solidFill>
                    <w14:schemeClr w14:val="tx1"/>
                  </w14:solidFill>
                </w14:textFill>
              </w:rPr>
              <w:t>4</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-1</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 项目</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固废产生及处置</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情况汇总表</w:t>
            </w:r>
          </w:p>
          <w:tbl>
            <w:tblPr>
              <w:tblStyle w:val="23"/>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6"/>
              <w:gridCol w:w="529"/>
              <w:gridCol w:w="1044"/>
              <w:gridCol w:w="948"/>
              <w:gridCol w:w="896"/>
              <w:gridCol w:w="844"/>
              <w:gridCol w:w="750"/>
              <w:gridCol w:w="465"/>
              <w:gridCol w:w="675"/>
              <w:gridCol w:w="690"/>
              <w:gridCol w:w="1328"/>
            </w:tblGrid>
            <w:tr w14:paraId="7CB8F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242" w:type="pct"/>
                  <w:tcBorders>
                    <w:tl2br w:val="nil"/>
                    <w:tr2bl w:val="nil"/>
                  </w:tcBorders>
                  <w:noWrap w:val="0"/>
                  <w:vAlign w:val="center"/>
                </w:tcPr>
                <w:p w14:paraId="6D11DC3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序号</w:t>
                  </w:r>
                </w:p>
              </w:tc>
              <w:tc>
                <w:tcPr>
                  <w:tcW w:w="308" w:type="pct"/>
                  <w:tcBorders>
                    <w:tl2br w:val="nil"/>
                    <w:tr2bl w:val="nil"/>
                  </w:tcBorders>
                  <w:noWrap w:val="0"/>
                  <w:vAlign w:val="center"/>
                </w:tcPr>
                <w:p w14:paraId="0E3A77A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分类</w:t>
                  </w:r>
                </w:p>
              </w:tc>
              <w:tc>
                <w:tcPr>
                  <w:tcW w:w="608" w:type="pct"/>
                  <w:tcBorders>
                    <w:tl2br w:val="nil"/>
                    <w:tr2bl w:val="nil"/>
                  </w:tcBorders>
                  <w:noWrap w:val="0"/>
                  <w:vAlign w:val="center"/>
                </w:tcPr>
                <w:p w14:paraId="413762D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固废名称</w:t>
                  </w:r>
                </w:p>
              </w:tc>
              <w:tc>
                <w:tcPr>
                  <w:tcW w:w="552" w:type="pct"/>
                  <w:tcBorders>
                    <w:tl2br w:val="nil"/>
                    <w:tr2bl w:val="nil"/>
                  </w:tcBorders>
                  <w:noWrap w:val="0"/>
                  <w:vAlign w:val="center"/>
                </w:tcPr>
                <w:p w14:paraId="1827C08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类别</w:t>
                  </w:r>
                </w:p>
              </w:tc>
              <w:tc>
                <w:tcPr>
                  <w:tcW w:w="521" w:type="pct"/>
                  <w:tcBorders>
                    <w:tl2br w:val="nil"/>
                    <w:tr2bl w:val="nil"/>
                  </w:tcBorders>
                  <w:noWrap w:val="0"/>
                  <w:vAlign w:val="center"/>
                </w:tcPr>
                <w:p w14:paraId="782EDD4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废物代码</w:t>
                  </w:r>
                </w:p>
              </w:tc>
              <w:tc>
                <w:tcPr>
                  <w:tcW w:w="491" w:type="pct"/>
                  <w:tcBorders>
                    <w:tl2br w:val="nil"/>
                    <w:tr2bl w:val="nil"/>
                  </w:tcBorders>
                  <w:noWrap w:val="0"/>
                  <w:vAlign w:val="center"/>
                </w:tcPr>
                <w:p w14:paraId="4591C45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产生量t/a</w:t>
                  </w:r>
                </w:p>
              </w:tc>
              <w:tc>
                <w:tcPr>
                  <w:tcW w:w="436" w:type="pct"/>
                  <w:tcBorders>
                    <w:tl2br w:val="nil"/>
                    <w:tr2bl w:val="nil"/>
                  </w:tcBorders>
                  <w:noWrap w:val="0"/>
                  <w:vAlign w:val="center"/>
                </w:tcPr>
                <w:p w14:paraId="39551D2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产生环节</w:t>
                  </w:r>
                </w:p>
              </w:tc>
              <w:tc>
                <w:tcPr>
                  <w:tcW w:w="270" w:type="pct"/>
                  <w:tcBorders>
                    <w:tl2br w:val="nil"/>
                    <w:tr2bl w:val="nil"/>
                  </w:tcBorders>
                  <w:noWrap w:val="0"/>
                  <w:vAlign w:val="center"/>
                </w:tcPr>
                <w:p w14:paraId="772D9E3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形态</w:t>
                  </w:r>
                </w:p>
              </w:tc>
              <w:tc>
                <w:tcPr>
                  <w:tcW w:w="393" w:type="pct"/>
                  <w:tcBorders>
                    <w:tl2br w:val="nil"/>
                    <w:tr2bl w:val="nil"/>
                  </w:tcBorders>
                  <w:noWrap w:val="0"/>
                  <w:vAlign w:val="center"/>
                </w:tcPr>
                <w:p w14:paraId="681713B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主要成分</w:t>
                  </w:r>
                </w:p>
              </w:tc>
              <w:tc>
                <w:tcPr>
                  <w:tcW w:w="401" w:type="pct"/>
                  <w:tcBorders>
                    <w:tl2br w:val="nil"/>
                    <w:tr2bl w:val="nil"/>
                  </w:tcBorders>
                  <w:noWrap w:val="0"/>
                  <w:vAlign w:val="center"/>
                </w:tcPr>
                <w:p w14:paraId="53E1420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有害成分</w:t>
                  </w:r>
                </w:p>
              </w:tc>
              <w:tc>
                <w:tcPr>
                  <w:tcW w:w="773" w:type="pct"/>
                  <w:tcBorders>
                    <w:tl2br w:val="nil"/>
                    <w:tr2bl w:val="nil"/>
                  </w:tcBorders>
                  <w:noWrap w:val="0"/>
                  <w:vAlign w:val="center"/>
                </w:tcPr>
                <w:p w14:paraId="5461749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处置方式</w:t>
                  </w:r>
                </w:p>
              </w:tc>
            </w:tr>
            <w:tr w14:paraId="3DE22C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242" w:type="pct"/>
                  <w:tcBorders>
                    <w:tl2br w:val="nil"/>
                    <w:tr2bl w:val="nil"/>
                  </w:tcBorders>
                  <w:shd w:val="clear" w:color="auto" w:fill="auto"/>
                  <w:noWrap w:val="0"/>
                  <w:vAlign w:val="center"/>
                </w:tcPr>
                <w:p w14:paraId="2019507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w:t>
                  </w:r>
                </w:p>
              </w:tc>
              <w:tc>
                <w:tcPr>
                  <w:tcW w:w="308" w:type="pct"/>
                  <w:tcBorders>
                    <w:tl2br w:val="nil"/>
                    <w:tr2bl w:val="nil"/>
                  </w:tcBorders>
                  <w:shd w:val="clear" w:color="auto" w:fill="auto"/>
                  <w:noWrap w:val="0"/>
                  <w:vAlign w:val="center"/>
                </w:tcPr>
                <w:p w14:paraId="01D32F6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生活垃圾</w:t>
                  </w:r>
                </w:p>
              </w:tc>
              <w:tc>
                <w:tcPr>
                  <w:tcW w:w="608" w:type="pct"/>
                  <w:tcBorders>
                    <w:tl2br w:val="nil"/>
                    <w:tr2bl w:val="nil"/>
                  </w:tcBorders>
                  <w:shd w:val="clear" w:color="auto" w:fill="auto"/>
                  <w:noWrap w:val="0"/>
                  <w:vAlign w:val="center"/>
                </w:tcPr>
                <w:p w14:paraId="01EFA31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办公、生活等</w:t>
                  </w:r>
                </w:p>
              </w:tc>
              <w:tc>
                <w:tcPr>
                  <w:tcW w:w="552" w:type="pct"/>
                  <w:tcBorders>
                    <w:tl2br w:val="nil"/>
                    <w:tr2bl w:val="nil"/>
                  </w:tcBorders>
                  <w:shd w:val="clear" w:color="auto" w:fill="auto"/>
                  <w:noWrap w:val="0"/>
                  <w:vAlign w:val="center"/>
                </w:tcPr>
                <w:p w14:paraId="2F60316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SW64其他垃圾</w:t>
                  </w:r>
                </w:p>
              </w:tc>
              <w:tc>
                <w:tcPr>
                  <w:tcW w:w="521" w:type="pct"/>
                  <w:tcBorders>
                    <w:tl2br w:val="nil"/>
                    <w:tr2bl w:val="nil"/>
                  </w:tcBorders>
                  <w:shd w:val="clear" w:color="auto" w:fill="auto"/>
                  <w:noWrap w:val="0"/>
                  <w:vAlign w:val="center"/>
                </w:tcPr>
                <w:p w14:paraId="0BD9CA4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900-099-S64</w:t>
                  </w:r>
                </w:p>
              </w:tc>
              <w:tc>
                <w:tcPr>
                  <w:tcW w:w="491" w:type="pct"/>
                  <w:tcBorders>
                    <w:tl2br w:val="nil"/>
                    <w:tr2bl w:val="nil"/>
                  </w:tcBorders>
                  <w:shd w:val="clear" w:color="auto" w:fill="auto"/>
                  <w:noWrap w:val="0"/>
                  <w:vAlign w:val="center"/>
                </w:tcPr>
                <w:p w14:paraId="5500BB7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4.5</w:t>
                  </w:r>
                </w:p>
              </w:tc>
              <w:tc>
                <w:tcPr>
                  <w:tcW w:w="436" w:type="pct"/>
                  <w:tcBorders>
                    <w:tl2br w:val="nil"/>
                    <w:tr2bl w:val="nil"/>
                  </w:tcBorders>
                  <w:shd w:val="clear" w:color="auto" w:fill="auto"/>
                  <w:noWrap w:val="0"/>
                  <w:vAlign w:val="center"/>
                </w:tcPr>
                <w:p w14:paraId="25E5302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职工日常生活</w:t>
                  </w:r>
                </w:p>
              </w:tc>
              <w:tc>
                <w:tcPr>
                  <w:tcW w:w="270" w:type="pct"/>
                  <w:tcBorders>
                    <w:tl2br w:val="nil"/>
                    <w:tr2bl w:val="nil"/>
                  </w:tcBorders>
                  <w:shd w:val="clear" w:color="auto" w:fill="auto"/>
                  <w:noWrap w:val="0"/>
                  <w:vAlign w:val="center"/>
                </w:tcPr>
                <w:p w14:paraId="658DE75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93" w:type="pct"/>
                  <w:tcBorders>
                    <w:tl2br w:val="nil"/>
                    <w:tr2bl w:val="nil"/>
                  </w:tcBorders>
                  <w:shd w:val="clear" w:color="auto" w:fill="auto"/>
                  <w:noWrap w:val="0"/>
                  <w:vAlign w:val="center"/>
                </w:tcPr>
                <w:p w14:paraId="65BA945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01" w:type="pct"/>
                  <w:tcBorders>
                    <w:tl2br w:val="nil"/>
                    <w:tr2bl w:val="nil"/>
                  </w:tcBorders>
                  <w:shd w:val="clear" w:color="auto" w:fill="auto"/>
                  <w:noWrap w:val="0"/>
                  <w:vAlign w:val="center"/>
                </w:tcPr>
                <w:p w14:paraId="6006289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73" w:type="pct"/>
                  <w:tcBorders>
                    <w:tl2br w:val="nil"/>
                    <w:tr2bl w:val="nil"/>
                  </w:tcBorders>
                  <w:shd w:val="clear" w:color="auto" w:fill="auto"/>
                  <w:noWrap w:val="0"/>
                  <w:vAlign w:val="center"/>
                </w:tcPr>
                <w:p w14:paraId="43AECF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分类</w:t>
                  </w:r>
                  <w:r>
                    <w:rPr>
                      <w:rFonts w:hint="default" w:ascii="Times New Roman" w:hAnsi="Times New Roman" w:eastAsia="宋体" w:cs="Times New Roman"/>
                      <w:color w:val="000000" w:themeColor="text1"/>
                      <w:sz w:val="21"/>
                      <w:szCs w:val="21"/>
                      <w:highlight w:val="none"/>
                      <w14:textFill>
                        <w14:solidFill>
                          <w14:schemeClr w14:val="tx1"/>
                        </w14:solidFill>
                      </w14:textFill>
                    </w:rPr>
                    <w:t>收集后交由环卫部门统一清运处置</w:t>
                  </w:r>
                </w:p>
              </w:tc>
            </w:tr>
            <w:tr w14:paraId="0DB48D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42" w:type="pct"/>
                  <w:vMerge w:val="restart"/>
                  <w:tcBorders>
                    <w:tl2br w:val="nil"/>
                    <w:tr2bl w:val="nil"/>
                  </w:tcBorders>
                  <w:noWrap w:val="0"/>
                  <w:vAlign w:val="center"/>
                </w:tcPr>
                <w:p w14:paraId="70BDEAB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308" w:type="pct"/>
                  <w:vMerge w:val="restart"/>
                  <w:tcBorders>
                    <w:tl2br w:val="nil"/>
                    <w:tr2bl w:val="nil"/>
                  </w:tcBorders>
                  <w:noWrap w:val="0"/>
                  <w:vAlign w:val="center"/>
                </w:tcPr>
                <w:p w14:paraId="2EF1D4C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一般工业固废</w:t>
                  </w:r>
                </w:p>
              </w:tc>
              <w:tc>
                <w:tcPr>
                  <w:tcW w:w="608" w:type="pct"/>
                  <w:tcBorders>
                    <w:tl2br w:val="nil"/>
                    <w:tr2bl w:val="nil"/>
                  </w:tcBorders>
                  <w:noWrap w:val="0"/>
                  <w:vAlign w:val="center"/>
                </w:tcPr>
                <w:p w14:paraId="4120923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熔</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融</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炉渣（不沾染油）</w:t>
                  </w:r>
                </w:p>
              </w:tc>
              <w:tc>
                <w:tcPr>
                  <w:tcW w:w="552" w:type="pct"/>
                  <w:tcBorders>
                    <w:tl2br w:val="nil"/>
                    <w:tr2bl w:val="nil"/>
                  </w:tcBorders>
                  <w:shd w:val="clear" w:color="auto" w:fill="auto"/>
                  <w:noWrap w:val="0"/>
                  <w:vAlign w:val="center"/>
                </w:tcPr>
                <w:p w14:paraId="1748B67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SW17可再生类废物</w:t>
                  </w:r>
                </w:p>
              </w:tc>
              <w:tc>
                <w:tcPr>
                  <w:tcW w:w="521" w:type="pct"/>
                  <w:tcBorders>
                    <w:tl2br w:val="nil"/>
                    <w:tr2bl w:val="nil"/>
                  </w:tcBorders>
                  <w:shd w:val="clear" w:color="auto" w:fill="auto"/>
                  <w:noWrap w:val="0"/>
                  <w:vAlign w:val="center"/>
                </w:tcPr>
                <w:p w14:paraId="39E30F5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900-002-S17</w:t>
                  </w:r>
                </w:p>
              </w:tc>
              <w:tc>
                <w:tcPr>
                  <w:tcW w:w="491" w:type="pct"/>
                  <w:tcBorders>
                    <w:tl2br w:val="nil"/>
                    <w:tr2bl w:val="nil"/>
                  </w:tcBorders>
                  <w:noWrap w:val="0"/>
                  <w:vAlign w:val="center"/>
                </w:tcPr>
                <w:p w14:paraId="763DD21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3.8</w:t>
                  </w:r>
                  <w:r>
                    <w:rPr>
                      <w:rFonts w:hint="eastAsia" w:cs="Times New Roman"/>
                      <w:color w:val="000000" w:themeColor="text1"/>
                      <w:kern w:val="2"/>
                      <w:sz w:val="21"/>
                      <w:szCs w:val="21"/>
                      <w:highlight w:val="none"/>
                      <w:lang w:val="en-US" w:eastAsia="zh-CN" w:bidi="ar-SA"/>
                      <w14:textFill>
                        <w14:solidFill>
                          <w14:schemeClr w14:val="tx1"/>
                        </w14:solidFill>
                      </w14:textFill>
                    </w:rPr>
                    <w:t>057</w:t>
                  </w:r>
                </w:p>
              </w:tc>
              <w:tc>
                <w:tcPr>
                  <w:tcW w:w="436" w:type="pct"/>
                  <w:tcBorders>
                    <w:tl2br w:val="nil"/>
                    <w:tr2bl w:val="nil"/>
                  </w:tcBorders>
                  <w:noWrap w:val="0"/>
                  <w:vAlign w:val="center"/>
                </w:tcPr>
                <w:p w14:paraId="5EF6C72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熔融</w:t>
                  </w:r>
                </w:p>
              </w:tc>
              <w:tc>
                <w:tcPr>
                  <w:tcW w:w="270" w:type="pct"/>
                  <w:tcBorders>
                    <w:tl2br w:val="nil"/>
                    <w:tr2bl w:val="nil"/>
                  </w:tcBorders>
                  <w:noWrap w:val="0"/>
                  <w:vAlign w:val="center"/>
                </w:tcPr>
                <w:p w14:paraId="42FCB33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固态</w:t>
                  </w:r>
                </w:p>
              </w:tc>
              <w:tc>
                <w:tcPr>
                  <w:tcW w:w="393" w:type="pct"/>
                  <w:tcBorders>
                    <w:tl2br w:val="nil"/>
                    <w:tr2bl w:val="nil"/>
                  </w:tcBorders>
                  <w:noWrap w:val="0"/>
                  <w:vAlign w:val="center"/>
                </w:tcPr>
                <w:p w14:paraId="1F7EDE7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铝</w:t>
                  </w:r>
                </w:p>
              </w:tc>
              <w:tc>
                <w:tcPr>
                  <w:tcW w:w="401" w:type="pct"/>
                  <w:tcBorders>
                    <w:tl2br w:val="nil"/>
                    <w:tr2bl w:val="nil"/>
                  </w:tcBorders>
                  <w:noWrap w:val="0"/>
                  <w:vAlign w:val="center"/>
                </w:tcPr>
                <w:p w14:paraId="76CC7EF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773" w:type="pct"/>
                  <w:vMerge w:val="restart"/>
                  <w:tcBorders>
                    <w:tl2br w:val="nil"/>
                    <w:tr2bl w:val="nil"/>
                  </w:tcBorders>
                  <w:noWrap w:val="0"/>
                  <w:vAlign w:val="center"/>
                </w:tcPr>
                <w:p w14:paraId="1E4CB6D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定期重新进行熔融回用于生产</w:t>
                  </w:r>
                </w:p>
              </w:tc>
            </w:tr>
            <w:tr w14:paraId="60D39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42" w:type="pct"/>
                  <w:vMerge w:val="continue"/>
                  <w:tcBorders>
                    <w:tl2br w:val="nil"/>
                    <w:tr2bl w:val="nil"/>
                  </w:tcBorders>
                  <w:noWrap w:val="0"/>
                  <w:vAlign w:val="center"/>
                </w:tcPr>
                <w:p w14:paraId="51298C0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08" w:type="pct"/>
                  <w:vMerge w:val="continue"/>
                  <w:tcBorders>
                    <w:tl2br w:val="nil"/>
                    <w:tr2bl w:val="nil"/>
                  </w:tcBorders>
                  <w:noWrap w:val="0"/>
                  <w:vAlign w:val="center"/>
                </w:tcPr>
                <w:p w14:paraId="3C4008E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8" w:type="pct"/>
                  <w:tcBorders>
                    <w:tl2br w:val="nil"/>
                    <w:tr2bl w:val="nil"/>
                  </w:tcBorders>
                  <w:noWrap w:val="0"/>
                  <w:vAlign w:val="center"/>
                </w:tcPr>
                <w:p w14:paraId="640C16A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不合格产品</w:t>
                  </w:r>
                </w:p>
              </w:tc>
              <w:tc>
                <w:tcPr>
                  <w:tcW w:w="552" w:type="pct"/>
                  <w:tcBorders>
                    <w:tl2br w:val="nil"/>
                    <w:tr2bl w:val="nil"/>
                  </w:tcBorders>
                  <w:noWrap w:val="0"/>
                  <w:vAlign w:val="center"/>
                </w:tcPr>
                <w:p w14:paraId="16A67B8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SW17可再生类废物</w:t>
                  </w:r>
                </w:p>
              </w:tc>
              <w:tc>
                <w:tcPr>
                  <w:tcW w:w="521" w:type="pct"/>
                  <w:tcBorders>
                    <w:tl2br w:val="nil"/>
                    <w:tr2bl w:val="nil"/>
                  </w:tcBorders>
                  <w:noWrap w:val="0"/>
                  <w:vAlign w:val="center"/>
                </w:tcPr>
                <w:p w14:paraId="7FC5936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900-002-S17</w:t>
                  </w:r>
                </w:p>
              </w:tc>
              <w:tc>
                <w:tcPr>
                  <w:tcW w:w="491" w:type="pct"/>
                  <w:tcBorders>
                    <w:tl2br w:val="nil"/>
                    <w:tr2bl w:val="nil"/>
                  </w:tcBorders>
                  <w:noWrap w:val="0"/>
                  <w:vAlign w:val="center"/>
                </w:tcPr>
                <w:p w14:paraId="16BD10D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36.5</w:t>
                  </w:r>
                </w:p>
              </w:tc>
              <w:tc>
                <w:tcPr>
                  <w:tcW w:w="436" w:type="pct"/>
                  <w:tcBorders>
                    <w:tl2br w:val="nil"/>
                    <w:tr2bl w:val="nil"/>
                  </w:tcBorders>
                  <w:noWrap w:val="0"/>
                  <w:vAlign w:val="center"/>
                </w:tcPr>
                <w:p w14:paraId="47F46CC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压铸</w:t>
                  </w:r>
                </w:p>
              </w:tc>
              <w:tc>
                <w:tcPr>
                  <w:tcW w:w="270" w:type="pct"/>
                  <w:tcBorders>
                    <w:tl2br w:val="nil"/>
                    <w:tr2bl w:val="nil"/>
                  </w:tcBorders>
                  <w:noWrap w:val="0"/>
                  <w:vAlign w:val="center"/>
                </w:tcPr>
                <w:p w14:paraId="6A302E4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固态</w:t>
                  </w:r>
                </w:p>
              </w:tc>
              <w:tc>
                <w:tcPr>
                  <w:tcW w:w="393" w:type="pct"/>
                  <w:tcBorders>
                    <w:tl2br w:val="nil"/>
                    <w:tr2bl w:val="nil"/>
                  </w:tcBorders>
                  <w:noWrap w:val="0"/>
                  <w:vAlign w:val="center"/>
                </w:tcPr>
                <w:p w14:paraId="5BD786B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铝</w:t>
                  </w:r>
                </w:p>
              </w:tc>
              <w:tc>
                <w:tcPr>
                  <w:tcW w:w="401" w:type="pct"/>
                  <w:tcBorders>
                    <w:tl2br w:val="nil"/>
                    <w:tr2bl w:val="nil"/>
                  </w:tcBorders>
                  <w:noWrap w:val="0"/>
                  <w:vAlign w:val="center"/>
                </w:tcPr>
                <w:p w14:paraId="459FE91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773" w:type="pct"/>
                  <w:vMerge w:val="continue"/>
                  <w:tcBorders>
                    <w:tl2br w:val="nil"/>
                    <w:tr2bl w:val="nil"/>
                  </w:tcBorders>
                  <w:noWrap w:val="0"/>
                  <w:vAlign w:val="center"/>
                </w:tcPr>
                <w:p w14:paraId="73B7DED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3526DE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77" w:hRule="atLeast"/>
                <w:jc w:val="center"/>
              </w:trPr>
              <w:tc>
                <w:tcPr>
                  <w:tcW w:w="242" w:type="pct"/>
                  <w:vMerge w:val="continue"/>
                  <w:tcBorders>
                    <w:tl2br w:val="nil"/>
                    <w:tr2bl w:val="nil"/>
                  </w:tcBorders>
                  <w:noWrap w:val="0"/>
                  <w:vAlign w:val="center"/>
                </w:tcPr>
                <w:p w14:paraId="22216DC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08" w:type="pct"/>
                  <w:vMerge w:val="continue"/>
                  <w:tcBorders>
                    <w:tl2br w:val="nil"/>
                    <w:tr2bl w:val="nil"/>
                  </w:tcBorders>
                  <w:noWrap w:val="0"/>
                  <w:vAlign w:val="center"/>
                </w:tcPr>
                <w:p w14:paraId="3D3A3EE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8" w:type="pct"/>
                  <w:tcBorders>
                    <w:tl2br w:val="nil"/>
                    <w:tr2bl w:val="nil"/>
                  </w:tcBorders>
                  <w:noWrap w:val="0"/>
                  <w:vAlign w:val="center"/>
                </w:tcPr>
                <w:p w14:paraId="5EA0815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废边角</w:t>
                  </w:r>
                  <w:r>
                    <w:rPr>
                      <w:rFonts w:hint="eastAsia" w:cs="Times New Roman"/>
                      <w:color w:val="000000" w:themeColor="text1"/>
                      <w:sz w:val="21"/>
                      <w:szCs w:val="21"/>
                      <w:highlight w:val="none"/>
                      <w:lang w:val="en-US" w:eastAsia="zh-CN"/>
                      <w14:textFill>
                        <w14:solidFill>
                          <w14:schemeClr w14:val="tx1"/>
                        </w14:solidFill>
                      </w14:textFill>
                    </w:rPr>
                    <w:t>、碎屑</w:t>
                  </w:r>
                </w:p>
              </w:tc>
              <w:tc>
                <w:tcPr>
                  <w:tcW w:w="552" w:type="pct"/>
                  <w:tcBorders>
                    <w:tl2br w:val="nil"/>
                    <w:tr2bl w:val="nil"/>
                  </w:tcBorders>
                  <w:shd w:val="clear" w:color="auto" w:fill="auto"/>
                  <w:noWrap w:val="0"/>
                  <w:vAlign w:val="center"/>
                </w:tcPr>
                <w:p w14:paraId="4454AF1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SW17可再生类废物</w:t>
                  </w:r>
                </w:p>
              </w:tc>
              <w:tc>
                <w:tcPr>
                  <w:tcW w:w="521" w:type="pct"/>
                  <w:tcBorders>
                    <w:tl2br w:val="nil"/>
                    <w:tr2bl w:val="nil"/>
                  </w:tcBorders>
                  <w:shd w:val="clear" w:color="auto" w:fill="auto"/>
                  <w:noWrap w:val="0"/>
                  <w:vAlign w:val="center"/>
                </w:tcPr>
                <w:p w14:paraId="5DDE561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900-002-S17</w:t>
                  </w:r>
                </w:p>
              </w:tc>
              <w:tc>
                <w:tcPr>
                  <w:tcW w:w="491" w:type="pct"/>
                  <w:tcBorders>
                    <w:tl2br w:val="nil"/>
                    <w:tr2bl w:val="nil"/>
                  </w:tcBorders>
                  <w:noWrap w:val="0"/>
                  <w:vAlign w:val="center"/>
                </w:tcPr>
                <w:p w14:paraId="2397752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7.3</w:t>
                  </w:r>
                </w:p>
              </w:tc>
              <w:tc>
                <w:tcPr>
                  <w:tcW w:w="436" w:type="pct"/>
                  <w:tcBorders>
                    <w:tl2br w:val="nil"/>
                    <w:tr2bl w:val="nil"/>
                  </w:tcBorders>
                  <w:noWrap w:val="0"/>
                  <w:vAlign w:val="center"/>
                </w:tcPr>
                <w:p w14:paraId="16007F4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lang w:val="en-US" w:eastAsia="zh-CN"/>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切边、钻孔</w:t>
                  </w:r>
                  <w:r>
                    <w:rPr>
                      <w:rFonts w:hint="eastAsia" w:cs="Times New Roman"/>
                      <w:color w:val="000000" w:themeColor="text1"/>
                      <w:sz w:val="21"/>
                      <w:szCs w:val="21"/>
                      <w:highlight w:val="none"/>
                      <w:lang w:val="en-US" w:eastAsia="zh-CN"/>
                      <w14:textFill>
                        <w14:solidFill>
                          <w14:schemeClr w14:val="tx1"/>
                        </w14:solidFill>
                      </w14:textFill>
                    </w:rPr>
                    <w:t>、包装</w:t>
                  </w:r>
                </w:p>
              </w:tc>
              <w:tc>
                <w:tcPr>
                  <w:tcW w:w="270" w:type="pct"/>
                  <w:tcBorders>
                    <w:tl2br w:val="nil"/>
                    <w:tr2bl w:val="nil"/>
                  </w:tcBorders>
                  <w:noWrap w:val="0"/>
                  <w:vAlign w:val="center"/>
                </w:tcPr>
                <w:p w14:paraId="7F75648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固态</w:t>
                  </w:r>
                </w:p>
              </w:tc>
              <w:tc>
                <w:tcPr>
                  <w:tcW w:w="393" w:type="pct"/>
                  <w:tcBorders>
                    <w:tl2br w:val="nil"/>
                    <w:tr2bl w:val="nil"/>
                  </w:tcBorders>
                  <w:noWrap w:val="0"/>
                  <w:vAlign w:val="center"/>
                </w:tcPr>
                <w:p w14:paraId="5298606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铝</w:t>
                  </w:r>
                </w:p>
              </w:tc>
              <w:tc>
                <w:tcPr>
                  <w:tcW w:w="401" w:type="pct"/>
                  <w:tcBorders>
                    <w:tl2br w:val="nil"/>
                    <w:tr2bl w:val="nil"/>
                  </w:tcBorders>
                  <w:noWrap w:val="0"/>
                  <w:vAlign w:val="center"/>
                </w:tcPr>
                <w:p w14:paraId="71C3378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773" w:type="pct"/>
                  <w:vMerge w:val="continue"/>
                  <w:tcBorders>
                    <w:tl2br w:val="nil"/>
                    <w:tr2bl w:val="nil"/>
                  </w:tcBorders>
                  <w:noWrap w:val="0"/>
                  <w:vAlign w:val="center"/>
                </w:tcPr>
                <w:p w14:paraId="1ED6DB3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1A0CB0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42" w:type="pct"/>
                  <w:vMerge w:val="continue"/>
                  <w:tcBorders>
                    <w:tl2br w:val="nil"/>
                    <w:tr2bl w:val="nil"/>
                  </w:tcBorders>
                  <w:noWrap w:val="0"/>
                  <w:vAlign w:val="center"/>
                </w:tcPr>
                <w:p w14:paraId="7769CFD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08" w:type="pct"/>
                  <w:vMerge w:val="continue"/>
                  <w:tcBorders>
                    <w:tl2br w:val="nil"/>
                    <w:tr2bl w:val="nil"/>
                  </w:tcBorders>
                  <w:noWrap w:val="0"/>
                  <w:vAlign w:val="center"/>
                </w:tcPr>
                <w:p w14:paraId="26E2253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8" w:type="pct"/>
                  <w:tcBorders>
                    <w:tl2br w:val="nil"/>
                    <w:tr2bl w:val="nil"/>
                  </w:tcBorders>
                  <w:noWrap w:val="0"/>
                  <w:vAlign w:val="center"/>
                </w:tcPr>
                <w:p w14:paraId="6BE3E15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收集粉尘</w:t>
                  </w:r>
                </w:p>
              </w:tc>
              <w:tc>
                <w:tcPr>
                  <w:tcW w:w="552" w:type="pct"/>
                  <w:tcBorders>
                    <w:tl2br w:val="nil"/>
                    <w:tr2bl w:val="nil"/>
                  </w:tcBorders>
                  <w:shd w:val="clear" w:color="auto" w:fill="auto"/>
                  <w:noWrap w:val="0"/>
                  <w:vAlign w:val="center"/>
                </w:tcPr>
                <w:p w14:paraId="59202EF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521" w:type="pct"/>
                  <w:tcBorders>
                    <w:tl2br w:val="nil"/>
                    <w:tr2bl w:val="nil"/>
                  </w:tcBorders>
                  <w:shd w:val="clear" w:color="auto" w:fill="auto"/>
                  <w:noWrap w:val="0"/>
                  <w:vAlign w:val="center"/>
                </w:tcPr>
                <w:p w14:paraId="005A5EB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491" w:type="pct"/>
                  <w:tcBorders>
                    <w:tl2br w:val="nil"/>
                    <w:tr2bl w:val="nil"/>
                  </w:tcBorders>
                  <w:noWrap w:val="0"/>
                  <w:vAlign w:val="center"/>
                </w:tcPr>
                <w:p w14:paraId="72DCCF9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1.4999</w:t>
                  </w:r>
                </w:p>
              </w:tc>
              <w:tc>
                <w:tcPr>
                  <w:tcW w:w="436" w:type="pct"/>
                  <w:tcBorders>
                    <w:tl2br w:val="nil"/>
                    <w:tr2bl w:val="nil"/>
                  </w:tcBorders>
                  <w:noWrap w:val="0"/>
                  <w:vAlign w:val="center"/>
                </w:tcPr>
                <w:p w14:paraId="259F7CF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废气治理</w:t>
                  </w:r>
                </w:p>
              </w:tc>
              <w:tc>
                <w:tcPr>
                  <w:tcW w:w="270" w:type="pct"/>
                  <w:tcBorders>
                    <w:tl2br w:val="nil"/>
                    <w:tr2bl w:val="nil"/>
                  </w:tcBorders>
                  <w:noWrap w:val="0"/>
                  <w:vAlign w:val="center"/>
                </w:tcPr>
                <w:p w14:paraId="4FB2037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固态</w:t>
                  </w:r>
                </w:p>
              </w:tc>
              <w:tc>
                <w:tcPr>
                  <w:tcW w:w="393" w:type="pct"/>
                  <w:tcBorders>
                    <w:tl2br w:val="nil"/>
                    <w:tr2bl w:val="nil"/>
                  </w:tcBorders>
                  <w:noWrap w:val="0"/>
                  <w:vAlign w:val="center"/>
                </w:tcPr>
                <w:p w14:paraId="6B7DDF9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金属颗粒</w:t>
                  </w:r>
                </w:p>
              </w:tc>
              <w:tc>
                <w:tcPr>
                  <w:tcW w:w="401" w:type="pct"/>
                  <w:tcBorders>
                    <w:tl2br w:val="nil"/>
                    <w:tr2bl w:val="nil"/>
                  </w:tcBorders>
                  <w:noWrap w:val="0"/>
                  <w:vAlign w:val="center"/>
                </w:tcPr>
                <w:p w14:paraId="34DDABF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773" w:type="pct"/>
                  <w:tcBorders>
                    <w:tl2br w:val="nil"/>
                    <w:tr2bl w:val="nil"/>
                  </w:tcBorders>
                  <w:noWrap w:val="0"/>
                  <w:vAlign w:val="center"/>
                </w:tcPr>
                <w:p w14:paraId="6F311C1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统一收集后定期委托环卫部门统一清运处置</w:t>
                  </w:r>
                </w:p>
              </w:tc>
            </w:tr>
            <w:tr w14:paraId="2E4BDD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42" w:type="pct"/>
                  <w:tcBorders>
                    <w:tl2br w:val="nil"/>
                    <w:tr2bl w:val="nil"/>
                  </w:tcBorders>
                  <w:noWrap w:val="0"/>
                  <w:vAlign w:val="center"/>
                </w:tcPr>
                <w:p w14:paraId="2792342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08" w:type="pct"/>
                  <w:tcBorders>
                    <w:tl2br w:val="nil"/>
                    <w:tr2bl w:val="nil"/>
                  </w:tcBorders>
                  <w:noWrap w:val="0"/>
                  <w:vAlign w:val="center"/>
                </w:tcPr>
                <w:p w14:paraId="78FEEDF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8" w:type="pct"/>
                  <w:tcBorders>
                    <w:tl2br w:val="nil"/>
                    <w:tr2bl w:val="nil"/>
                  </w:tcBorders>
                  <w:noWrap w:val="0"/>
                  <w:vAlign w:val="center"/>
                </w:tcPr>
                <w:p w14:paraId="6818600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料</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废包装纸箱、包装袋</w:t>
                  </w:r>
                </w:p>
              </w:tc>
              <w:tc>
                <w:tcPr>
                  <w:tcW w:w="552" w:type="pct"/>
                  <w:tcBorders>
                    <w:tl2br w:val="nil"/>
                    <w:tr2bl w:val="nil"/>
                  </w:tcBorders>
                  <w:shd w:val="clear" w:color="auto" w:fill="auto"/>
                  <w:noWrap w:val="0"/>
                  <w:vAlign w:val="center"/>
                </w:tcPr>
                <w:p w14:paraId="28A84C9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SW17可再生类废物</w:t>
                  </w:r>
                </w:p>
              </w:tc>
              <w:tc>
                <w:tcPr>
                  <w:tcW w:w="521" w:type="pct"/>
                  <w:tcBorders>
                    <w:tl2br w:val="nil"/>
                    <w:tr2bl w:val="nil"/>
                  </w:tcBorders>
                  <w:shd w:val="clear" w:color="auto" w:fill="auto"/>
                  <w:noWrap w:val="0"/>
                  <w:vAlign w:val="center"/>
                </w:tcPr>
                <w:p w14:paraId="7928606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900-00</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-S17</w:t>
                  </w:r>
                </w:p>
              </w:tc>
              <w:tc>
                <w:tcPr>
                  <w:tcW w:w="491" w:type="pct"/>
                  <w:tcBorders>
                    <w:tl2br w:val="nil"/>
                    <w:tr2bl w:val="nil"/>
                  </w:tcBorders>
                  <w:noWrap w:val="0"/>
                  <w:vAlign w:val="center"/>
                </w:tcPr>
                <w:p w14:paraId="5580654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0.2</w:t>
                  </w:r>
                </w:p>
              </w:tc>
              <w:tc>
                <w:tcPr>
                  <w:tcW w:w="436" w:type="pct"/>
                  <w:tcBorders>
                    <w:tl2br w:val="nil"/>
                    <w:tr2bl w:val="nil"/>
                  </w:tcBorders>
                  <w:shd w:val="clear" w:color="auto" w:fill="auto"/>
                  <w:noWrap w:val="0"/>
                  <w:vAlign w:val="center"/>
                </w:tcPr>
                <w:p w14:paraId="3D38E46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产品包装</w:t>
                  </w:r>
                </w:p>
              </w:tc>
              <w:tc>
                <w:tcPr>
                  <w:tcW w:w="270" w:type="pct"/>
                  <w:tcBorders>
                    <w:tl2br w:val="nil"/>
                    <w:tr2bl w:val="nil"/>
                  </w:tcBorders>
                  <w:shd w:val="clear" w:color="auto" w:fill="auto"/>
                  <w:noWrap w:val="0"/>
                  <w:vAlign w:val="center"/>
                </w:tcPr>
                <w:p w14:paraId="438AFE0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固态</w:t>
                  </w:r>
                </w:p>
              </w:tc>
              <w:tc>
                <w:tcPr>
                  <w:tcW w:w="393" w:type="pct"/>
                  <w:tcBorders>
                    <w:tl2br w:val="nil"/>
                    <w:tr2bl w:val="nil"/>
                  </w:tcBorders>
                  <w:shd w:val="clear" w:color="auto" w:fill="auto"/>
                  <w:noWrap w:val="0"/>
                  <w:vAlign w:val="center"/>
                </w:tcPr>
                <w:p w14:paraId="50C95D2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纸箱、塑料</w:t>
                  </w:r>
                </w:p>
              </w:tc>
              <w:tc>
                <w:tcPr>
                  <w:tcW w:w="401" w:type="pct"/>
                  <w:tcBorders>
                    <w:tl2br w:val="nil"/>
                    <w:tr2bl w:val="nil"/>
                  </w:tcBorders>
                  <w:shd w:val="clear" w:color="auto" w:fill="auto"/>
                  <w:noWrap w:val="0"/>
                  <w:vAlign w:val="center"/>
                </w:tcPr>
                <w:p w14:paraId="5949CA9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773" w:type="pct"/>
                  <w:tcBorders>
                    <w:tl2br w:val="nil"/>
                    <w:tr2bl w:val="nil"/>
                  </w:tcBorders>
                  <w:noWrap w:val="0"/>
                  <w:vAlign w:val="center"/>
                </w:tcPr>
                <w:p w14:paraId="1D75D4A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暂存于一般固废贮存间，定期外售给其他企业综合利用</w:t>
                  </w:r>
                </w:p>
              </w:tc>
            </w:tr>
            <w:tr w14:paraId="7023D0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1" w:hRule="atLeast"/>
                <w:jc w:val="center"/>
              </w:trPr>
              <w:tc>
                <w:tcPr>
                  <w:tcW w:w="242" w:type="pct"/>
                  <w:vMerge w:val="restart"/>
                  <w:tcBorders>
                    <w:tl2br w:val="nil"/>
                    <w:tr2bl w:val="nil"/>
                  </w:tcBorders>
                  <w:noWrap w:val="0"/>
                  <w:vAlign w:val="center"/>
                </w:tcPr>
                <w:p w14:paraId="57948BF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308" w:type="pct"/>
                  <w:vMerge w:val="restart"/>
                  <w:tcBorders>
                    <w:tl2br w:val="nil"/>
                    <w:tr2bl w:val="nil"/>
                  </w:tcBorders>
                  <w:noWrap w:val="0"/>
                  <w:vAlign w:val="center"/>
                </w:tcPr>
                <w:p w14:paraId="35A13CB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608" w:type="pct"/>
                  <w:tcBorders>
                    <w:tl2br w:val="nil"/>
                    <w:tr2bl w:val="nil"/>
                  </w:tcBorders>
                  <w:noWrap w:val="0"/>
                  <w:vAlign w:val="center"/>
                </w:tcPr>
                <w:p w14:paraId="54597B4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熔融炉渣</w:t>
                  </w:r>
                  <w:r>
                    <w:rPr>
                      <w:rFonts w:hint="eastAsia" w:ascii="Times New Roman" w:hAnsi="Times New Roman" w:eastAsia="宋体" w:cs="Times New Roman"/>
                      <w:color w:val="auto"/>
                      <w:sz w:val="21"/>
                      <w:szCs w:val="21"/>
                      <w:highlight w:val="none"/>
                      <w:lang w:val="en-US" w:eastAsia="zh-CN"/>
                    </w:rPr>
                    <w:t>（沾染油）</w:t>
                  </w:r>
                </w:p>
              </w:tc>
              <w:tc>
                <w:tcPr>
                  <w:tcW w:w="552" w:type="pct"/>
                  <w:tcBorders>
                    <w:tl2br w:val="nil"/>
                    <w:tr2bl w:val="nil"/>
                  </w:tcBorders>
                  <w:noWrap w:val="0"/>
                  <w:vAlign w:val="center"/>
                </w:tcPr>
                <w:p w14:paraId="12119F0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HW48有色金属冶炼废物</w:t>
                  </w:r>
                </w:p>
              </w:tc>
              <w:tc>
                <w:tcPr>
                  <w:tcW w:w="521" w:type="pct"/>
                  <w:tcBorders>
                    <w:tl2br w:val="nil"/>
                    <w:tr2bl w:val="nil"/>
                  </w:tcBorders>
                  <w:noWrap w:val="0"/>
                  <w:vAlign w:val="center"/>
                </w:tcPr>
                <w:p w14:paraId="7CF820C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321-026-48</w:t>
                  </w:r>
                </w:p>
              </w:tc>
              <w:tc>
                <w:tcPr>
                  <w:tcW w:w="491" w:type="pct"/>
                  <w:tcBorders>
                    <w:tl2br w:val="nil"/>
                    <w:tr2bl w:val="nil"/>
                  </w:tcBorders>
                  <w:noWrap w:val="0"/>
                  <w:vAlign w:val="center"/>
                </w:tcPr>
                <w:p w14:paraId="40D4B3B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p w14:paraId="5EBFF3E7">
                  <w:pPr>
                    <w:pStyle w:val="18"/>
                    <w:jc w:val="center"/>
                    <w:rPr>
                      <w:rFonts w:hint="default"/>
                      <w:lang w:val="en-US" w:eastAsia="zh-CN"/>
                    </w:rPr>
                  </w:pPr>
                  <w:r>
                    <w:rPr>
                      <w:rFonts w:hint="eastAsia"/>
                      <w:lang w:val="en-US" w:eastAsia="zh-CN"/>
                    </w:rPr>
                    <w:t>0.1142</w:t>
                  </w:r>
                </w:p>
              </w:tc>
              <w:tc>
                <w:tcPr>
                  <w:tcW w:w="436" w:type="pct"/>
                  <w:tcBorders>
                    <w:tl2br w:val="nil"/>
                    <w:tr2bl w:val="nil"/>
                  </w:tcBorders>
                  <w:noWrap w:val="0"/>
                  <w:vAlign w:val="center"/>
                </w:tcPr>
                <w:p w14:paraId="7CB53EF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熔融</w:t>
                  </w:r>
                </w:p>
              </w:tc>
              <w:tc>
                <w:tcPr>
                  <w:tcW w:w="270" w:type="pct"/>
                  <w:tcBorders>
                    <w:tl2br w:val="nil"/>
                    <w:tr2bl w:val="nil"/>
                  </w:tcBorders>
                  <w:noWrap w:val="0"/>
                  <w:vAlign w:val="center"/>
                </w:tcPr>
                <w:p w14:paraId="0F0B683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393" w:type="pct"/>
                  <w:tcBorders>
                    <w:tl2br w:val="nil"/>
                    <w:tr2bl w:val="nil"/>
                  </w:tcBorders>
                  <w:noWrap w:val="0"/>
                  <w:vAlign w:val="center"/>
                </w:tcPr>
                <w:p w14:paraId="3A25D22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铝</w:t>
                  </w:r>
                </w:p>
              </w:tc>
              <w:tc>
                <w:tcPr>
                  <w:tcW w:w="401" w:type="pct"/>
                  <w:tcBorders>
                    <w:tl2br w:val="nil"/>
                    <w:tr2bl w:val="nil"/>
                  </w:tcBorders>
                  <w:noWrap w:val="0"/>
                  <w:vAlign w:val="center"/>
                </w:tcPr>
                <w:p w14:paraId="56EEF4A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铝</w:t>
                  </w:r>
                </w:p>
              </w:tc>
              <w:tc>
                <w:tcPr>
                  <w:tcW w:w="773" w:type="pct"/>
                  <w:vMerge w:val="restart"/>
                  <w:tcBorders>
                    <w:tl2br w:val="nil"/>
                    <w:tr2bl w:val="nil"/>
                  </w:tcBorders>
                  <w:noWrap w:val="0"/>
                  <w:vAlign w:val="center"/>
                </w:tcPr>
                <w:p w14:paraId="5509D6C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暂存于危废贮存库，定期委托有资质的单位处置</w:t>
                  </w:r>
                </w:p>
              </w:tc>
            </w:tr>
            <w:tr w14:paraId="0F985F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1" w:hRule="atLeast"/>
                <w:jc w:val="center"/>
              </w:trPr>
              <w:tc>
                <w:tcPr>
                  <w:tcW w:w="242" w:type="pct"/>
                  <w:vMerge w:val="continue"/>
                  <w:tcBorders>
                    <w:tl2br w:val="nil"/>
                    <w:tr2bl w:val="nil"/>
                  </w:tcBorders>
                  <w:noWrap w:val="0"/>
                  <w:vAlign w:val="center"/>
                </w:tcPr>
                <w:p w14:paraId="71C351D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308" w:type="pct"/>
                  <w:vMerge w:val="continue"/>
                  <w:tcBorders>
                    <w:tl2br w:val="nil"/>
                    <w:tr2bl w:val="nil"/>
                  </w:tcBorders>
                  <w:noWrap w:val="0"/>
                  <w:vAlign w:val="center"/>
                </w:tcPr>
                <w:p w14:paraId="0F0C41F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608" w:type="pct"/>
                  <w:tcBorders>
                    <w:tl2br w:val="nil"/>
                    <w:tr2bl w:val="nil"/>
                  </w:tcBorders>
                  <w:noWrap w:val="0"/>
                  <w:vAlign w:val="center"/>
                </w:tcPr>
                <w:p w14:paraId="3A725E2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脱模剂废包装桶</w:t>
                  </w:r>
                </w:p>
              </w:tc>
              <w:tc>
                <w:tcPr>
                  <w:tcW w:w="552" w:type="pct"/>
                  <w:tcBorders>
                    <w:tl2br w:val="nil"/>
                    <w:tr2bl w:val="nil"/>
                  </w:tcBorders>
                  <w:noWrap w:val="0"/>
                  <w:vAlign w:val="center"/>
                </w:tcPr>
                <w:p w14:paraId="2B3F00B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HW49其他废物</w:t>
                  </w:r>
                </w:p>
              </w:tc>
              <w:tc>
                <w:tcPr>
                  <w:tcW w:w="521" w:type="pct"/>
                  <w:tcBorders>
                    <w:tl2br w:val="nil"/>
                    <w:tr2bl w:val="nil"/>
                  </w:tcBorders>
                  <w:noWrap w:val="0"/>
                  <w:vAlign w:val="center"/>
                </w:tcPr>
                <w:p w14:paraId="1ECD3CC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900-041-49</w:t>
                  </w:r>
                </w:p>
              </w:tc>
              <w:tc>
                <w:tcPr>
                  <w:tcW w:w="491" w:type="pct"/>
                  <w:tcBorders>
                    <w:tl2br w:val="nil"/>
                    <w:tr2bl w:val="nil"/>
                  </w:tcBorders>
                  <w:noWrap w:val="0"/>
                  <w:vAlign w:val="center"/>
                </w:tcPr>
                <w:p w14:paraId="6DE5FAC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05</w:t>
                  </w:r>
                </w:p>
              </w:tc>
              <w:tc>
                <w:tcPr>
                  <w:tcW w:w="436" w:type="pct"/>
                  <w:tcBorders>
                    <w:tl2br w:val="nil"/>
                    <w:tr2bl w:val="nil"/>
                  </w:tcBorders>
                  <w:noWrap w:val="0"/>
                  <w:vAlign w:val="center"/>
                </w:tcPr>
                <w:p w14:paraId="34706DA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压铸脱模</w:t>
                  </w:r>
                </w:p>
              </w:tc>
              <w:tc>
                <w:tcPr>
                  <w:tcW w:w="270" w:type="pct"/>
                  <w:tcBorders>
                    <w:tl2br w:val="nil"/>
                    <w:tr2bl w:val="nil"/>
                  </w:tcBorders>
                  <w:noWrap w:val="0"/>
                  <w:vAlign w:val="center"/>
                </w:tcPr>
                <w:p w14:paraId="3497293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393" w:type="pct"/>
                  <w:tcBorders>
                    <w:tl2br w:val="nil"/>
                    <w:tr2bl w:val="nil"/>
                  </w:tcBorders>
                  <w:noWrap w:val="0"/>
                  <w:vAlign w:val="center"/>
                </w:tcPr>
                <w:p w14:paraId="3A4FA5C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有机物、塑料桶</w:t>
                  </w:r>
                </w:p>
              </w:tc>
              <w:tc>
                <w:tcPr>
                  <w:tcW w:w="401" w:type="pct"/>
                  <w:tcBorders>
                    <w:tl2br w:val="nil"/>
                    <w:tr2bl w:val="nil"/>
                  </w:tcBorders>
                  <w:noWrap w:val="0"/>
                  <w:vAlign w:val="center"/>
                </w:tcPr>
                <w:p w14:paraId="1DA0095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有机物</w:t>
                  </w:r>
                </w:p>
              </w:tc>
              <w:tc>
                <w:tcPr>
                  <w:tcW w:w="773" w:type="pct"/>
                  <w:vMerge w:val="continue"/>
                  <w:tcBorders>
                    <w:tl2br w:val="nil"/>
                    <w:tr2bl w:val="nil"/>
                  </w:tcBorders>
                  <w:noWrap w:val="0"/>
                  <w:vAlign w:val="center"/>
                </w:tcPr>
                <w:p w14:paraId="063E53E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r w14:paraId="453F32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1" w:hRule="atLeast"/>
                <w:jc w:val="center"/>
              </w:trPr>
              <w:tc>
                <w:tcPr>
                  <w:tcW w:w="242" w:type="pct"/>
                  <w:vMerge w:val="continue"/>
                  <w:tcBorders>
                    <w:tl2br w:val="nil"/>
                    <w:tr2bl w:val="nil"/>
                  </w:tcBorders>
                  <w:noWrap w:val="0"/>
                  <w:vAlign w:val="center"/>
                </w:tcPr>
                <w:p w14:paraId="3C2F0D7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308" w:type="pct"/>
                  <w:vMerge w:val="continue"/>
                  <w:tcBorders>
                    <w:tl2br w:val="nil"/>
                    <w:tr2bl w:val="nil"/>
                  </w:tcBorders>
                  <w:noWrap w:val="0"/>
                  <w:vAlign w:val="center"/>
                </w:tcPr>
                <w:p w14:paraId="5C67E36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608" w:type="pct"/>
                  <w:tcBorders>
                    <w:tl2br w:val="nil"/>
                    <w:tr2bl w:val="nil"/>
                  </w:tcBorders>
                  <w:noWrap w:val="0"/>
                  <w:vAlign w:val="center"/>
                </w:tcPr>
                <w:p w14:paraId="2784A82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废切削液</w:t>
                  </w:r>
                  <w:r>
                    <w:rPr>
                      <w:rFonts w:hint="eastAsia" w:cs="Times New Roman"/>
                      <w:color w:val="auto"/>
                      <w:sz w:val="21"/>
                      <w:szCs w:val="21"/>
                      <w:highlight w:val="none"/>
                      <w:lang w:val="en-US" w:eastAsia="zh-CN"/>
                    </w:rPr>
                    <w:t>及金属渣</w:t>
                  </w:r>
                </w:p>
              </w:tc>
              <w:tc>
                <w:tcPr>
                  <w:tcW w:w="552" w:type="pct"/>
                  <w:tcBorders>
                    <w:tl2br w:val="nil"/>
                    <w:tr2bl w:val="nil"/>
                  </w:tcBorders>
                  <w:noWrap w:val="0"/>
                  <w:vAlign w:val="center"/>
                </w:tcPr>
                <w:p w14:paraId="51471F8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HW09油/水、烃/水混合物或乳化液</w:t>
                  </w:r>
                </w:p>
              </w:tc>
              <w:tc>
                <w:tcPr>
                  <w:tcW w:w="521" w:type="pct"/>
                  <w:tcBorders>
                    <w:tl2br w:val="nil"/>
                    <w:tr2bl w:val="nil"/>
                  </w:tcBorders>
                  <w:noWrap w:val="0"/>
                  <w:vAlign w:val="center"/>
                </w:tcPr>
                <w:p w14:paraId="40E4D28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900-006-09</w:t>
                  </w:r>
                </w:p>
              </w:tc>
              <w:tc>
                <w:tcPr>
                  <w:tcW w:w="491" w:type="pct"/>
                  <w:tcBorders>
                    <w:tl2br w:val="nil"/>
                    <w:tr2bl w:val="nil"/>
                  </w:tcBorders>
                  <w:noWrap w:val="0"/>
                  <w:vAlign w:val="center"/>
                </w:tcPr>
                <w:p w14:paraId="6703BCE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2</w:t>
                  </w:r>
                </w:p>
              </w:tc>
              <w:tc>
                <w:tcPr>
                  <w:tcW w:w="436" w:type="pct"/>
                  <w:tcBorders>
                    <w:tl2br w:val="nil"/>
                    <w:tr2bl w:val="nil"/>
                  </w:tcBorders>
                  <w:noWrap w:val="0"/>
                  <w:vAlign w:val="center"/>
                </w:tcPr>
                <w:p w14:paraId="033962B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机加工、设备冷却</w:t>
                  </w:r>
                </w:p>
              </w:tc>
              <w:tc>
                <w:tcPr>
                  <w:tcW w:w="270" w:type="pct"/>
                  <w:tcBorders>
                    <w:tl2br w:val="nil"/>
                    <w:tr2bl w:val="nil"/>
                  </w:tcBorders>
                  <w:noWrap w:val="0"/>
                  <w:vAlign w:val="center"/>
                </w:tcPr>
                <w:p w14:paraId="3255F1E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393" w:type="pct"/>
                  <w:tcBorders>
                    <w:tl2br w:val="nil"/>
                    <w:tr2bl w:val="nil"/>
                  </w:tcBorders>
                  <w:noWrap w:val="0"/>
                  <w:vAlign w:val="center"/>
                </w:tcPr>
                <w:p w14:paraId="1EFF291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废切削液、金属粉尘</w:t>
                  </w:r>
                </w:p>
              </w:tc>
              <w:tc>
                <w:tcPr>
                  <w:tcW w:w="401" w:type="pct"/>
                  <w:tcBorders>
                    <w:tl2br w:val="nil"/>
                    <w:tr2bl w:val="nil"/>
                  </w:tcBorders>
                  <w:noWrap w:val="0"/>
                  <w:vAlign w:val="center"/>
                </w:tcPr>
                <w:p w14:paraId="6B34565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废切削液</w:t>
                  </w:r>
                </w:p>
              </w:tc>
              <w:tc>
                <w:tcPr>
                  <w:tcW w:w="773" w:type="pct"/>
                  <w:vMerge w:val="continue"/>
                  <w:tcBorders>
                    <w:tl2br w:val="nil"/>
                    <w:tr2bl w:val="nil"/>
                  </w:tcBorders>
                  <w:noWrap w:val="0"/>
                  <w:vAlign w:val="center"/>
                </w:tcPr>
                <w:p w14:paraId="5E7368C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r w14:paraId="338B4F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1" w:hRule="atLeast"/>
                <w:jc w:val="center"/>
              </w:trPr>
              <w:tc>
                <w:tcPr>
                  <w:tcW w:w="242" w:type="pct"/>
                  <w:vMerge w:val="continue"/>
                  <w:tcBorders>
                    <w:tl2br w:val="nil"/>
                    <w:tr2bl w:val="nil"/>
                  </w:tcBorders>
                  <w:noWrap w:val="0"/>
                  <w:vAlign w:val="center"/>
                </w:tcPr>
                <w:p w14:paraId="4F46CDE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308" w:type="pct"/>
                  <w:vMerge w:val="continue"/>
                  <w:tcBorders>
                    <w:tl2br w:val="nil"/>
                    <w:tr2bl w:val="nil"/>
                  </w:tcBorders>
                  <w:noWrap w:val="0"/>
                  <w:vAlign w:val="center"/>
                </w:tcPr>
                <w:p w14:paraId="7AF7341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608" w:type="pct"/>
                  <w:tcBorders>
                    <w:tl2br w:val="nil"/>
                    <w:tr2bl w:val="nil"/>
                  </w:tcBorders>
                  <w:noWrap w:val="0"/>
                  <w:vAlign w:val="center"/>
                </w:tcPr>
                <w:p w14:paraId="23E0DF0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废活性炭</w:t>
                  </w:r>
                </w:p>
              </w:tc>
              <w:tc>
                <w:tcPr>
                  <w:tcW w:w="552" w:type="pct"/>
                  <w:tcBorders>
                    <w:tl2br w:val="nil"/>
                    <w:tr2bl w:val="nil"/>
                  </w:tcBorders>
                  <w:noWrap w:val="0"/>
                  <w:vAlign w:val="center"/>
                </w:tcPr>
                <w:p w14:paraId="4308189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HW49</w:t>
                  </w:r>
                  <w:r>
                    <w:rPr>
                      <w:rFonts w:hint="default" w:ascii="Times New Roman" w:hAnsi="Times New Roman" w:eastAsia="宋体" w:cs="Times New Roman"/>
                      <w:color w:val="auto"/>
                      <w:kern w:val="0"/>
                      <w:sz w:val="21"/>
                      <w:szCs w:val="21"/>
                      <w:lang w:val="en-US" w:eastAsia="zh-CN" w:bidi="ar"/>
                    </w:rPr>
                    <w:t>其他废物</w:t>
                  </w:r>
                </w:p>
              </w:tc>
              <w:tc>
                <w:tcPr>
                  <w:tcW w:w="521" w:type="pct"/>
                  <w:tcBorders>
                    <w:tl2br w:val="nil"/>
                    <w:tr2bl w:val="nil"/>
                  </w:tcBorders>
                  <w:noWrap w:val="0"/>
                  <w:vAlign w:val="center"/>
                </w:tcPr>
                <w:p w14:paraId="58F15A0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900-039-49</w:t>
                  </w:r>
                </w:p>
              </w:tc>
              <w:tc>
                <w:tcPr>
                  <w:tcW w:w="491" w:type="pct"/>
                  <w:tcBorders>
                    <w:tl2br w:val="nil"/>
                    <w:tr2bl w:val="nil"/>
                  </w:tcBorders>
                  <w:noWrap w:val="0"/>
                  <w:vAlign w:val="center"/>
                </w:tcPr>
                <w:p w14:paraId="5668D01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0.2633</w:t>
                  </w:r>
                </w:p>
              </w:tc>
              <w:tc>
                <w:tcPr>
                  <w:tcW w:w="436" w:type="pct"/>
                  <w:tcBorders>
                    <w:tl2br w:val="nil"/>
                    <w:tr2bl w:val="nil"/>
                  </w:tcBorders>
                  <w:noWrap w:val="0"/>
                  <w:vAlign w:val="center"/>
                </w:tcPr>
                <w:p w14:paraId="2355F76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废气处理</w:t>
                  </w:r>
                </w:p>
              </w:tc>
              <w:tc>
                <w:tcPr>
                  <w:tcW w:w="270" w:type="pct"/>
                  <w:tcBorders>
                    <w:tl2br w:val="nil"/>
                    <w:tr2bl w:val="nil"/>
                  </w:tcBorders>
                  <w:noWrap w:val="0"/>
                  <w:vAlign w:val="center"/>
                </w:tcPr>
                <w:p w14:paraId="716BF1B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393" w:type="pct"/>
                  <w:tcBorders>
                    <w:tl2br w:val="nil"/>
                    <w:tr2bl w:val="nil"/>
                  </w:tcBorders>
                  <w:noWrap w:val="0"/>
                  <w:vAlign w:val="center"/>
                </w:tcPr>
                <w:p w14:paraId="605BFDE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活性炭、有机物</w:t>
                  </w:r>
                </w:p>
              </w:tc>
              <w:tc>
                <w:tcPr>
                  <w:tcW w:w="401" w:type="pct"/>
                  <w:tcBorders>
                    <w:tl2br w:val="nil"/>
                    <w:tr2bl w:val="nil"/>
                  </w:tcBorders>
                  <w:noWrap w:val="0"/>
                  <w:vAlign w:val="center"/>
                </w:tcPr>
                <w:p w14:paraId="320D463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有机物</w:t>
                  </w:r>
                </w:p>
              </w:tc>
              <w:tc>
                <w:tcPr>
                  <w:tcW w:w="773" w:type="pct"/>
                  <w:vMerge w:val="continue"/>
                  <w:tcBorders>
                    <w:tl2br w:val="nil"/>
                    <w:tr2bl w:val="nil"/>
                  </w:tcBorders>
                  <w:noWrap w:val="0"/>
                  <w:vAlign w:val="center"/>
                </w:tcPr>
                <w:p w14:paraId="1D7A78C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r w14:paraId="76D16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242" w:type="pct"/>
                  <w:vMerge w:val="continue"/>
                  <w:tcBorders>
                    <w:tl2br w:val="nil"/>
                    <w:tr2bl w:val="nil"/>
                  </w:tcBorders>
                  <w:noWrap w:val="0"/>
                  <w:vAlign w:val="center"/>
                </w:tcPr>
                <w:p w14:paraId="45A392D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308" w:type="pct"/>
                  <w:vMerge w:val="continue"/>
                  <w:tcBorders>
                    <w:tl2br w:val="nil"/>
                    <w:tr2bl w:val="nil"/>
                  </w:tcBorders>
                  <w:noWrap w:val="0"/>
                  <w:vAlign w:val="center"/>
                </w:tcPr>
                <w:p w14:paraId="3543667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608" w:type="pct"/>
                  <w:tcBorders>
                    <w:tl2br w:val="nil"/>
                    <w:tr2bl w:val="nil"/>
                  </w:tcBorders>
                  <w:noWrap w:val="0"/>
                  <w:vAlign w:val="center"/>
                </w:tcPr>
                <w:p w14:paraId="5678B10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废机油、废液压油</w:t>
                  </w:r>
                </w:p>
              </w:tc>
              <w:tc>
                <w:tcPr>
                  <w:tcW w:w="552" w:type="pct"/>
                  <w:vMerge w:val="restart"/>
                  <w:tcBorders>
                    <w:tl2br w:val="nil"/>
                    <w:tr2bl w:val="nil"/>
                  </w:tcBorders>
                  <w:noWrap w:val="0"/>
                  <w:vAlign w:val="center"/>
                </w:tcPr>
                <w:p w14:paraId="05BA374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HW08</w:t>
                  </w:r>
                  <w:r>
                    <w:rPr>
                      <w:rFonts w:hint="default" w:ascii="Times New Roman" w:hAnsi="Times New Roman" w:eastAsia="宋体" w:cs="Times New Roman"/>
                      <w:color w:val="auto"/>
                      <w:kern w:val="0"/>
                      <w:sz w:val="21"/>
                      <w:szCs w:val="21"/>
                      <w:lang w:val="en-US" w:eastAsia="zh-CN" w:bidi="ar"/>
                    </w:rPr>
                    <w:t>废矿物油与含矿物油废物</w:t>
                  </w:r>
                </w:p>
              </w:tc>
              <w:tc>
                <w:tcPr>
                  <w:tcW w:w="521" w:type="pct"/>
                  <w:tcBorders>
                    <w:tl2br w:val="nil"/>
                    <w:tr2bl w:val="nil"/>
                  </w:tcBorders>
                  <w:noWrap w:val="0"/>
                  <w:vAlign w:val="center"/>
                </w:tcPr>
                <w:p w14:paraId="1873F89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900-217-08</w:t>
                  </w:r>
                </w:p>
                <w:p w14:paraId="7068C73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91" w:type="pct"/>
                  <w:tcBorders>
                    <w:tl2br w:val="nil"/>
                    <w:tr2bl w:val="nil"/>
                  </w:tcBorders>
                  <w:noWrap w:val="0"/>
                  <w:vAlign w:val="center"/>
                </w:tcPr>
                <w:p w14:paraId="65BDBA2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w:t>
                  </w:r>
                  <w:r>
                    <w:rPr>
                      <w:rFonts w:hint="eastAsia" w:ascii="Times New Roman" w:hAnsi="Times New Roman" w:eastAsia="宋体" w:cs="Times New Roman"/>
                      <w:bCs/>
                      <w:color w:val="auto"/>
                      <w:sz w:val="21"/>
                      <w:szCs w:val="21"/>
                      <w:highlight w:val="none"/>
                      <w:lang w:val="en-US" w:eastAsia="zh-CN"/>
                    </w:rPr>
                    <w:t>16</w:t>
                  </w:r>
                </w:p>
              </w:tc>
              <w:tc>
                <w:tcPr>
                  <w:tcW w:w="436" w:type="pct"/>
                  <w:tcBorders>
                    <w:tl2br w:val="nil"/>
                    <w:tr2bl w:val="nil"/>
                  </w:tcBorders>
                  <w:noWrap w:val="0"/>
                  <w:vAlign w:val="center"/>
                </w:tcPr>
                <w:p w14:paraId="74FE7BC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设备维护</w:t>
                  </w:r>
                </w:p>
              </w:tc>
              <w:tc>
                <w:tcPr>
                  <w:tcW w:w="270" w:type="pct"/>
                  <w:tcBorders>
                    <w:tl2br w:val="nil"/>
                    <w:tr2bl w:val="nil"/>
                  </w:tcBorders>
                  <w:noWrap w:val="0"/>
                  <w:vAlign w:val="center"/>
                </w:tcPr>
                <w:p w14:paraId="270E859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393" w:type="pct"/>
                  <w:tcBorders>
                    <w:tl2br w:val="nil"/>
                    <w:tr2bl w:val="nil"/>
                  </w:tcBorders>
                  <w:noWrap w:val="0"/>
                  <w:vAlign w:val="center"/>
                </w:tcPr>
                <w:p w14:paraId="1E4479D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矿物油</w:t>
                  </w:r>
                </w:p>
              </w:tc>
              <w:tc>
                <w:tcPr>
                  <w:tcW w:w="401" w:type="pct"/>
                  <w:tcBorders>
                    <w:tl2br w:val="nil"/>
                    <w:tr2bl w:val="nil"/>
                  </w:tcBorders>
                  <w:noWrap w:val="0"/>
                  <w:vAlign w:val="center"/>
                </w:tcPr>
                <w:p w14:paraId="69E8071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矿物油</w:t>
                  </w:r>
                </w:p>
              </w:tc>
              <w:tc>
                <w:tcPr>
                  <w:tcW w:w="773" w:type="pct"/>
                  <w:vMerge w:val="continue"/>
                  <w:tcBorders>
                    <w:tl2br w:val="nil"/>
                    <w:tr2bl w:val="nil"/>
                  </w:tcBorders>
                  <w:noWrap w:val="0"/>
                  <w:vAlign w:val="center"/>
                </w:tcPr>
                <w:p w14:paraId="61F93D3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r w14:paraId="57DEE9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242" w:type="pct"/>
                  <w:vMerge w:val="continue"/>
                  <w:tcBorders>
                    <w:tl2br w:val="nil"/>
                    <w:tr2bl w:val="nil"/>
                  </w:tcBorders>
                  <w:noWrap w:val="0"/>
                  <w:vAlign w:val="center"/>
                </w:tcPr>
                <w:p w14:paraId="7101DA2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308" w:type="pct"/>
                  <w:vMerge w:val="continue"/>
                  <w:tcBorders>
                    <w:tl2br w:val="nil"/>
                    <w:tr2bl w:val="nil"/>
                  </w:tcBorders>
                  <w:noWrap w:val="0"/>
                  <w:vAlign w:val="center"/>
                </w:tcPr>
                <w:p w14:paraId="737D1F1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608" w:type="pct"/>
                  <w:tcBorders>
                    <w:tl2br w:val="nil"/>
                    <w:tr2bl w:val="nil"/>
                  </w:tcBorders>
                  <w:noWrap w:val="0"/>
                  <w:vAlign w:val="center"/>
                </w:tcPr>
                <w:p w14:paraId="5803254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污泥</w:t>
                  </w:r>
                </w:p>
              </w:tc>
              <w:tc>
                <w:tcPr>
                  <w:tcW w:w="552" w:type="pct"/>
                  <w:vMerge w:val="continue"/>
                  <w:tcBorders>
                    <w:tl2br w:val="nil"/>
                    <w:tr2bl w:val="nil"/>
                  </w:tcBorders>
                  <w:noWrap w:val="0"/>
                  <w:vAlign w:val="center"/>
                </w:tcPr>
                <w:p w14:paraId="7678CDE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521" w:type="pct"/>
                  <w:tcBorders>
                    <w:tl2br w:val="nil"/>
                    <w:tr2bl w:val="nil"/>
                  </w:tcBorders>
                  <w:noWrap w:val="0"/>
                  <w:vAlign w:val="center"/>
                </w:tcPr>
                <w:p w14:paraId="5B37DFA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900-209-08</w:t>
                  </w:r>
                </w:p>
              </w:tc>
              <w:tc>
                <w:tcPr>
                  <w:tcW w:w="491" w:type="pct"/>
                  <w:tcBorders>
                    <w:tl2br w:val="nil"/>
                    <w:tr2bl w:val="nil"/>
                  </w:tcBorders>
                  <w:noWrap w:val="0"/>
                  <w:vAlign w:val="center"/>
                </w:tcPr>
                <w:p w14:paraId="13D8610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0.15</w:t>
                  </w:r>
                </w:p>
              </w:tc>
              <w:tc>
                <w:tcPr>
                  <w:tcW w:w="436" w:type="pct"/>
                  <w:tcBorders>
                    <w:tl2br w:val="nil"/>
                    <w:tr2bl w:val="nil"/>
                  </w:tcBorders>
                  <w:noWrap w:val="0"/>
                  <w:vAlign w:val="center"/>
                </w:tcPr>
                <w:p w14:paraId="3D4AB91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水循环处理设施</w:t>
                  </w:r>
                </w:p>
              </w:tc>
              <w:tc>
                <w:tcPr>
                  <w:tcW w:w="270" w:type="pct"/>
                  <w:tcBorders>
                    <w:tl2br w:val="nil"/>
                    <w:tr2bl w:val="nil"/>
                  </w:tcBorders>
                  <w:noWrap w:val="0"/>
                  <w:vAlign w:val="center"/>
                </w:tcPr>
                <w:p w14:paraId="75FE6B5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固态</w:t>
                  </w:r>
                </w:p>
              </w:tc>
              <w:tc>
                <w:tcPr>
                  <w:tcW w:w="393" w:type="pct"/>
                  <w:tcBorders>
                    <w:tl2br w:val="nil"/>
                    <w:tr2bl w:val="nil"/>
                  </w:tcBorders>
                  <w:noWrap w:val="0"/>
                  <w:vAlign w:val="center"/>
                </w:tcPr>
                <w:p w14:paraId="1A75CD0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矿物油、金属屑</w:t>
                  </w:r>
                </w:p>
              </w:tc>
              <w:tc>
                <w:tcPr>
                  <w:tcW w:w="401" w:type="pct"/>
                  <w:tcBorders>
                    <w:tl2br w:val="nil"/>
                    <w:tr2bl w:val="nil"/>
                  </w:tcBorders>
                  <w:noWrap w:val="0"/>
                  <w:vAlign w:val="center"/>
                </w:tcPr>
                <w:p w14:paraId="00DCAE3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矿物油</w:t>
                  </w:r>
                </w:p>
              </w:tc>
              <w:tc>
                <w:tcPr>
                  <w:tcW w:w="773" w:type="pct"/>
                  <w:vMerge w:val="continue"/>
                  <w:tcBorders>
                    <w:tl2br w:val="nil"/>
                    <w:tr2bl w:val="nil"/>
                  </w:tcBorders>
                  <w:noWrap w:val="0"/>
                  <w:vAlign w:val="center"/>
                </w:tcPr>
                <w:p w14:paraId="245F5ED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bl>
          <w:p w14:paraId="79631D03">
            <w:pPr>
              <w:keepNext w:val="0"/>
              <w:keepLines w:val="0"/>
              <w:pageBreakBefore w:val="0"/>
              <w:widowControl w:val="0"/>
              <w:kinsoku/>
              <w:wordWrap/>
              <w:overflowPunct/>
              <w:topLinePunct w:val="0"/>
              <w:autoSpaceDE/>
              <w:autoSpaceDN/>
              <w:bidi w:val="0"/>
              <w:adjustRightInd/>
              <w:snapToGrid/>
              <w:spacing w:before="163" w:beforeLines="50" w:line="360" w:lineRule="auto"/>
              <w:ind w:firstLine="0"/>
              <w:jc w:val="center"/>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 xml:space="preserve">表4.4-2 </w:t>
            </w:r>
            <w:r>
              <w:rPr>
                <w:rFonts w:hint="default" w:ascii="Times New Roman" w:hAnsi="Times New Roman" w:eastAsia="宋体" w:cs="Times New Roman"/>
                <w:b/>
                <w:bCs/>
                <w:color w:val="auto"/>
                <w:sz w:val="24"/>
                <w:highlight w:val="none"/>
                <w:lang w:val="en-US" w:eastAsia="zh-CN"/>
              </w:rPr>
              <w:t>危险废物暂存间基本情况</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2"/>
              <w:gridCol w:w="1305"/>
              <w:gridCol w:w="1084"/>
              <w:gridCol w:w="1260"/>
              <w:gridCol w:w="885"/>
              <w:gridCol w:w="889"/>
              <w:gridCol w:w="819"/>
              <w:gridCol w:w="1227"/>
              <w:gridCol w:w="651"/>
            </w:tblGrid>
            <w:tr w14:paraId="77FCA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274" w:type="pct"/>
                  <w:noWrap w:val="0"/>
                  <w:vAlign w:val="center"/>
                </w:tcPr>
                <w:p w14:paraId="6ABE97B1">
                  <w:pPr>
                    <w:pStyle w:val="33"/>
                    <w:rPr>
                      <w:kern w:val="0"/>
                      <w:szCs w:val="21"/>
                    </w:rPr>
                  </w:pPr>
                  <w:r>
                    <w:rPr>
                      <w:rFonts w:hint="eastAsia"/>
                      <w:kern w:val="0"/>
                      <w:szCs w:val="21"/>
                    </w:rPr>
                    <w:t>序</w:t>
                  </w:r>
                  <w:r>
                    <w:rPr>
                      <w:kern w:val="0"/>
                      <w:szCs w:val="21"/>
                    </w:rPr>
                    <w:t>号</w:t>
                  </w:r>
                </w:p>
              </w:tc>
              <w:tc>
                <w:tcPr>
                  <w:tcW w:w="759" w:type="pct"/>
                  <w:noWrap w:val="0"/>
                  <w:vAlign w:val="center"/>
                </w:tcPr>
                <w:p w14:paraId="49B4147D">
                  <w:pPr>
                    <w:pStyle w:val="33"/>
                    <w:rPr>
                      <w:kern w:val="0"/>
                      <w:szCs w:val="21"/>
                    </w:rPr>
                  </w:pPr>
                  <w:r>
                    <w:rPr>
                      <w:kern w:val="0"/>
                      <w:szCs w:val="21"/>
                    </w:rPr>
                    <w:t>危险废</w:t>
                  </w:r>
                </w:p>
                <w:p w14:paraId="479011FE">
                  <w:pPr>
                    <w:pStyle w:val="33"/>
                    <w:rPr>
                      <w:kern w:val="0"/>
                      <w:szCs w:val="21"/>
                    </w:rPr>
                  </w:pPr>
                  <w:r>
                    <w:rPr>
                      <w:kern w:val="0"/>
                      <w:szCs w:val="21"/>
                    </w:rPr>
                    <w:t>物名称</w:t>
                  </w:r>
                </w:p>
              </w:tc>
              <w:tc>
                <w:tcPr>
                  <w:tcW w:w="630" w:type="pct"/>
                  <w:noWrap w:val="0"/>
                  <w:vAlign w:val="center"/>
                </w:tcPr>
                <w:p w14:paraId="0E230372">
                  <w:pPr>
                    <w:pStyle w:val="33"/>
                    <w:rPr>
                      <w:kern w:val="0"/>
                      <w:szCs w:val="21"/>
                    </w:rPr>
                  </w:pPr>
                  <w:r>
                    <w:rPr>
                      <w:kern w:val="0"/>
                      <w:szCs w:val="21"/>
                    </w:rPr>
                    <w:t>危险废物</w:t>
                  </w:r>
                </w:p>
                <w:p w14:paraId="52678819">
                  <w:pPr>
                    <w:pStyle w:val="33"/>
                    <w:rPr>
                      <w:kern w:val="0"/>
                      <w:szCs w:val="21"/>
                    </w:rPr>
                  </w:pPr>
                  <w:r>
                    <w:rPr>
                      <w:kern w:val="0"/>
                      <w:szCs w:val="21"/>
                    </w:rPr>
                    <w:t>类别</w:t>
                  </w:r>
                </w:p>
              </w:tc>
              <w:tc>
                <w:tcPr>
                  <w:tcW w:w="733" w:type="pct"/>
                  <w:noWrap w:val="0"/>
                  <w:vAlign w:val="center"/>
                </w:tcPr>
                <w:p w14:paraId="11019A44">
                  <w:pPr>
                    <w:pStyle w:val="33"/>
                    <w:rPr>
                      <w:kern w:val="0"/>
                      <w:szCs w:val="21"/>
                    </w:rPr>
                  </w:pPr>
                  <w:r>
                    <w:rPr>
                      <w:kern w:val="0"/>
                      <w:szCs w:val="21"/>
                    </w:rPr>
                    <w:t>危险废物代码</w:t>
                  </w:r>
                </w:p>
              </w:tc>
              <w:tc>
                <w:tcPr>
                  <w:tcW w:w="515" w:type="pct"/>
                  <w:noWrap w:val="0"/>
                  <w:vAlign w:val="center"/>
                </w:tcPr>
                <w:p w14:paraId="3896B892">
                  <w:pPr>
                    <w:pStyle w:val="33"/>
                    <w:rPr>
                      <w:kern w:val="0"/>
                      <w:szCs w:val="21"/>
                    </w:rPr>
                  </w:pPr>
                  <w:r>
                    <w:rPr>
                      <w:kern w:val="0"/>
                      <w:szCs w:val="21"/>
                    </w:rPr>
                    <w:t>位置</w:t>
                  </w:r>
                </w:p>
              </w:tc>
              <w:tc>
                <w:tcPr>
                  <w:tcW w:w="517" w:type="pct"/>
                  <w:noWrap w:val="0"/>
                  <w:vAlign w:val="center"/>
                </w:tcPr>
                <w:p w14:paraId="5A54E2E6">
                  <w:pPr>
                    <w:pStyle w:val="33"/>
                    <w:rPr>
                      <w:kern w:val="0"/>
                      <w:szCs w:val="21"/>
                    </w:rPr>
                  </w:pPr>
                  <w:r>
                    <w:rPr>
                      <w:kern w:val="0"/>
                      <w:szCs w:val="21"/>
                    </w:rPr>
                    <w:t>占地面积</w:t>
                  </w:r>
                </w:p>
              </w:tc>
              <w:tc>
                <w:tcPr>
                  <w:tcW w:w="476" w:type="pct"/>
                  <w:noWrap w:val="0"/>
                  <w:vAlign w:val="center"/>
                </w:tcPr>
                <w:p w14:paraId="18F34BA4">
                  <w:pPr>
                    <w:pStyle w:val="33"/>
                    <w:rPr>
                      <w:kern w:val="0"/>
                      <w:szCs w:val="21"/>
                    </w:rPr>
                  </w:pPr>
                  <w:r>
                    <w:rPr>
                      <w:kern w:val="0"/>
                      <w:szCs w:val="21"/>
                    </w:rPr>
                    <w:t>贮存方式</w:t>
                  </w:r>
                </w:p>
              </w:tc>
              <w:tc>
                <w:tcPr>
                  <w:tcW w:w="714" w:type="pct"/>
                  <w:noWrap w:val="0"/>
                  <w:vAlign w:val="center"/>
                </w:tcPr>
                <w:p w14:paraId="34141494">
                  <w:pPr>
                    <w:pStyle w:val="33"/>
                    <w:rPr>
                      <w:kern w:val="0"/>
                      <w:szCs w:val="21"/>
                    </w:rPr>
                  </w:pPr>
                  <w:r>
                    <w:rPr>
                      <w:kern w:val="0"/>
                      <w:szCs w:val="21"/>
                    </w:rPr>
                    <w:t>贮存能力</w:t>
                  </w:r>
                </w:p>
                <w:p w14:paraId="345B4CF6">
                  <w:pPr>
                    <w:pStyle w:val="33"/>
                    <w:rPr>
                      <w:kern w:val="0"/>
                      <w:szCs w:val="21"/>
                    </w:rPr>
                  </w:pPr>
                  <w:r>
                    <w:rPr>
                      <w:rFonts w:hint="eastAsia"/>
                      <w:kern w:val="0"/>
                      <w:szCs w:val="21"/>
                      <w:lang w:eastAsia="zh-CN"/>
                    </w:rPr>
                    <w:t>(</w:t>
                  </w:r>
                  <w:r>
                    <w:rPr>
                      <w:kern w:val="0"/>
                      <w:szCs w:val="21"/>
                    </w:rPr>
                    <w:t>t</w:t>
                  </w:r>
                  <w:r>
                    <w:rPr>
                      <w:rFonts w:hint="eastAsia"/>
                      <w:kern w:val="0"/>
                      <w:szCs w:val="21"/>
                      <w:lang w:eastAsia="zh-CN"/>
                    </w:rPr>
                    <w:t>)</w:t>
                  </w:r>
                </w:p>
              </w:tc>
              <w:tc>
                <w:tcPr>
                  <w:tcW w:w="378" w:type="pct"/>
                  <w:noWrap w:val="0"/>
                  <w:vAlign w:val="center"/>
                </w:tcPr>
                <w:p w14:paraId="28EB7614">
                  <w:pPr>
                    <w:pStyle w:val="33"/>
                    <w:rPr>
                      <w:kern w:val="0"/>
                      <w:szCs w:val="21"/>
                    </w:rPr>
                  </w:pPr>
                  <w:r>
                    <w:rPr>
                      <w:kern w:val="0"/>
                      <w:szCs w:val="21"/>
                    </w:rPr>
                    <w:t>贮存</w:t>
                  </w:r>
                </w:p>
                <w:p w14:paraId="5C7038B0">
                  <w:pPr>
                    <w:pStyle w:val="33"/>
                    <w:rPr>
                      <w:kern w:val="0"/>
                      <w:szCs w:val="21"/>
                    </w:rPr>
                  </w:pPr>
                  <w:r>
                    <w:rPr>
                      <w:kern w:val="0"/>
                      <w:szCs w:val="21"/>
                    </w:rPr>
                    <w:t>周期</w:t>
                  </w:r>
                </w:p>
              </w:tc>
            </w:tr>
            <w:tr w14:paraId="1D0BF9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274" w:type="pct"/>
                  <w:noWrap w:val="0"/>
                  <w:vAlign w:val="center"/>
                </w:tcPr>
                <w:p w14:paraId="0273D53F">
                  <w:pPr>
                    <w:pStyle w:val="62"/>
                    <w:ind w:left="420" w:hanging="420"/>
                    <w:rPr>
                      <w:rFonts w:hint="eastAsia"/>
                      <w:sz w:val="21"/>
                      <w:szCs w:val="21"/>
                    </w:rPr>
                  </w:pPr>
                  <w:r>
                    <w:rPr>
                      <w:rFonts w:hint="eastAsia"/>
                      <w:sz w:val="21"/>
                      <w:szCs w:val="21"/>
                    </w:rPr>
                    <w:t>1</w:t>
                  </w:r>
                </w:p>
              </w:tc>
              <w:tc>
                <w:tcPr>
                  <w:tcW w:w="759" w:type="pct"/>
                  <w:shd w:val="clear" w:color="auto" w:fill="auto"/>
                  <w:noWrap w:val="0"/>
                  <w:vAlign w:val="center"/>
                </w:tcPr>
                <w:p w14:paraId="598AD82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熔融炉渣</w:t>
                  </w:r>
                </w:p>
                <w:p w14:paraId="5275864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（沾染油）</w:t>
                  </w:r>
                </w:p>
              </w:tc>
              <w:tc>
                <w:tcPr>
                  <w:tcW w:w="630" w:type="pct"/>
                  <w:noWrap w:val="0"/>
                  <w:vAlign w:val="center"/>
                </w:tcPr>
                <w:p w14:paraId="42FF42FA">
                  <w:pPr>
                    <w:kinsoku w:val="0"/>
                    <w:overflowPunct w:val="0"/>
                    <w:autoSpaceDE w:val="0"/>
                    <w:autoSpaceDN w:val="0"/>
                    <w:adjustRightInd w:val="0"/>
                    <w:jc w:val="center"/>
                    <w:rPr>
                      <w:rFonts w:hint="default" w:eastAsia="宋体"/>
                      <w:kern w:val="0"/>
                      <w:szCs w:val="21"/>
                      <w:lang w:val="en-US" w:eastAsia="zh-CN"/>
                    </w:rPr>
                  </w:pPr>
                  <w:r>
                    <w:rPr>
                      <w:rFonts w:hint="eastAsia"/>
                      <w:kern w:val="0"/>
                      <w:szCs w:val="21"/>
                      <w:lang w:val="en-US" w:eastAsia="zh-CN"/>
                    </w:rPr>
                    <w:t>HW48</w:t>
                  </w:r>
                </w:p>
              </w:tc>
              <w:tc>
                <w:tcPr>
                  <w:tcW w:w="733" w:type="pct"/>
                  <w:shd w:val="clear" w:color="auto" w:fill="auto"/>
                  <w:noWrap w:val="0"/>
                  <w:vAlign w:val="center"/>
                </w:tcPr>
                <w:p w14:paraId="5D7CF42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321-026-48</w:t>
                  </w:r>
                </w:p>
              </w:tc>
              <w:tc>
                <w:tcPr>
                  <w:tcW w:w="515" w:type="pct"/>
                  <w:vMerge w:val="restart"/>
                  <w:shd w:val="clear" w:color="auto" w:fill="auto"/>
                  <w:noWrap w:val="0"/>
                  <w:vAlign w:val="center"/>
                </w:tcPr>
                <w:p w14:paraId="032B6B1F">
                  <w:pPr>
                    <w:pStyle w:val="33"/>
                    <w:rPr>
                      <w:rFonts w:hint="default" w:ascii="Times New Roman" w:hAnsi="Times New Roman" w:eastAsia="宋体" w:cs="Times New Roman"/>
                      <w:kern w:val="0"/>
                      <w:sz w:val="21"/>
                      <w:szCs w:val="21"/>
                      <w:lang w:val="en-US" w:eastAsia="zh-CN" w:bidi="ar-SA"/>
                    </w:rPr>
                  </w:pPr>
                  <w:r>
                    <w:rPr>
                      <w:rFonts w:hint="eastAsia"/>
                      <w:kern w:val="0"/>
                      <w:szCs w:val="21"/>
                      <w:lang w:val="en-US" w:eastAsia="zh-CN"/>
                    </w:rPr>
                    <w:t>一层车间外建设一间独立的危险废物贮存间</w:t>
                  </w:r>
                </w:p>
              </w:tc>
              <w:tc>
                <w:tcPr>
                  <w:tcW w:w="517" w:type="pct"/>
                  <w:vMerge w:val="restart"/>
                  <w:shd w:val="clear" w:color="auto" w:fill="auto"/>
                  <w:noWrap w:val="0"/>
                  <w:vAlign w:val="center"/>
                </w:tcPr>
                <w:p w14:paraId="7916044D">
                  <w:pPr>
                    <w:pStyle w:val="62"/>
                    <w:ind w:left="420" w:leftChars="0" w:hanging="420" w:hangingChars="200"/>
                    <w:rPr>
                      <w:rFonts w:hint="eastAsia" w:ascii="Times New Roman" w:hAnsi="Times New Roman" w:eastAsia="宋体" w:cs="Times New Roman"/>
                      <w:kern w:val="0"/>
                      <w:sz w:val="21"/>
                      <w:szCs w:val="21"/>
                      <w:lang w:val="en-US" w:eastAsia="zh-CN" w:bidi="he-IL"/>
                    </w:rPr>
                  </w:pPr>
                  <w:r>
                    <w:rPr>
                      <w:rFonts w:hint="eastAsia"/>
                      <w:sz w:val="21"/>
                      <w:szCs w:val="21"/>
                      <w:lang w:val="en-US" w:eastAsia="zh-CN"/>
                    </w:rPr>
                    <w:t>8-10</w:t>
                  </w:r>
                  <w:r>
                    <w:rPr>
                      <w:sz w:val="21"/>
                      <w:szCs w:val="21"/>
                    </w:rPr>
                    <w:t>m</w:t>
                  </w:r>
                  <w:r>
                    <w:rPr>
                      <w:sz w:val="21"/>
                      <w:szCs w:val="21"/>
                      <w:vertAlign w:val="superscript"/>
                    </w:rPr>
                    <w:t>2</w:t>
                  </w:r>
                </w:p>
              </w:tc>
              <w:tc>
                <w:tcPr>
                  <w:tcW w:w="476" w:type="pct"/>
                  <w:noWrap w:val="0"/>
                  <w:vAlign w:val="center"/>
                </w:tcPr>
                <w:p w14:paraId="27DF2BE4">
                  <w:pPr>
                    <w:pStyle w:val="62"/>
                    <w:ind w:left="420" w:hanging="420"/>
                    <w:rPr>
                      <w:sz w:val="21"/>
                      <w:szCs w:val="21"/>
                    </w:rPr>
                  </w:pPr>
                  <w:r>
                    <w:rPr>
                      <w:rFonts w:hint="eastAsia"/>
                      <w:sz w:val="21"/>
                      <w:szCs w:val="21"/>
                    </w:rPr>
                    <w:t>袋</w:t>
                  </w:r>
                  <w:r>
                    <w:rPr>
                      <w:sz w:val="21"/>
                      <w:szCs w:val="21"/>
                    </w:rPr>
                    <w:t>装</w:t>
                  </w:r>
                </w:p>
              </w:tc>
              <w:tc>
                <w:tcPr>
                  <w:tcW w:w="714" w:type="pct"/>
                  <w:noWrap w:val="0"/>
                  <w:vAlign w:val="center"/>
                </w:tcPr>
                <w:p w14:paraId="712948A2">
                  <w:pPr>
                    <w:pStyle w:val="62"/>
                    <w:ind w:left="420" w:hanging="420"/>
                    <w:rPr>
                      <w:rFonts w:hint="default" w:eastAsia="宋体"/>
                      <w:sz w:val="21"/>
                      <w:szCs w:val="21"/>
                      <w:lang w:val="en-US" w:eastAsia="zh-CN"/>
                    </w:rPr>
                  </w:pPr>
                  <w:r>
                    <w:rPr>
                      <w:rFonts w:hint="eastAsia"/>
                      <w:sz w:val="21"/>
                      <w:szCs w:val="21"/>
                      <w:lang w:val="en-US" w:eastAsia="zh-CN"/>
                    </w:rPr>
                    <w:t>0.2</w:t>
                  </w:r>
                </w:p>
              </w:tc>
              <w:tc>
                <w:tcPr>
                  <w:tcW w:w="378" w:type="pct"/>
                  <w:shd w:val="clear" w:color="auto" w:fill="auto"/>
                  <w:noWrap w:val="0"/>
                  <w:vAlign w:val="center"/>
                </w:tcPr>
                <w:p w14:paraId="5226028C">
                  <w:pPr>
                    <w:pStyle w:val="62"/>
                    <w:ind w:left="420" w:leftChars="0" w:hanging="420" w:hangingChars="200"/>
                    <w:rPr>
                      <w:rFonts w:hint="eastAsia" w:ascii="Times New Roman" w:hAnsi="Times New Roman" w:eastAsia="宋体" w:cs="Times New Roman"/>
                      <w:kern w:val="0"/>
                      <w:sz w:val="21"/>
                      <w:szCs w:val="21"/>
                      <w:lang w:val="en-US" w:eastAsia="zh-CN" w:bidi="he-IL"/>
                    </w:rPr>
                  </w:pPr>
                  <w:r>
                    <w:rPr>
                      <w:rFonts w:hint="eastAsia"/>
                      <w:sz w:val="21"/>
                      <w:szCs w:val="21"/>
                    </w:rPr>
                    <w:t>1</w:t>
                  </w:r>
                  <w:r>
                    <w:rPr>
                      <w:sz w:val="21"/>
                      <w:szCs w:val="21"/>
                    </w:rPr>
                    <w:t>年</w:t>
                  </w:r>
                </w:p>
              </w:tc>
            </w:tr>
            <w:tr w14:paraId="56B64D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74" w:type="pct"/>
                  <w:noWrap w:val="0"/>
                  <w:vAlign w:val="center"/>
                </w:tcPr>
                <w:p w14:paraId="54696176">
                  <w:pPr>
                    <w:pStyle w:val="62"/>
                    <w:ind w:left="420" w:hanging="420"/>
                    <w:rPr>
                      <w:rFonts w:hint="eastAsia" w:eastAsia="宋体"/>
                      <w:sz w:val="21"/>
                      <w:szCs w:val="21"/>
                      <w:lang w:val="en-US" w:eastAsia="zh-CN"/>
                    </w:rPr>
                  </w:pPr>
                  <w:r>
                    <w:rPr>
                      <w:rFonts w:hint="eastAsia"/>
                      <w:sz w:val="21"/>
                      <w:szCs w:val="21"/>
                      <w:lang w:val="en-US" w:eastAsia="zh-CN"/>
                    </w:rPr>
                    <w:t>2</w:t>
                  </w:r>
                </w:p>
              </w:tc>
              <w:tc>
                <w:tcPr>
                  <w:tcW w:w="759" w:type="pct"/>
                  <w:shd w:val="clear" w:color="auto" w:fill="auto"/>
                  <w:noWrap w:val="0"/>
                  <w:vAlign w:val="center"/>
                </w:tcPr>
                <w:p w14:paraId="743EF85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脱模剂废包装桶</w:t>
                  </w:r>
                </w:p>
              </w:tc>
              <w:tc>
                <w:tcPr>
                  <w:tcW w:w="630" w:type="pct"/>
                  <w:noWrap w:val="0"/>
                  <w:vAlign w:val="center"/>
                </w:tcPr>
                <w:p w14:paraId="78293780">
                  <w:pPr>
                    <w:kinsoku w:val="0"/>
                    <w:overflowPunct w:val="0"/>
                    <w:autoSpaceDE w:val="0"/>
                    <w:autoSpaceDN w:val="0"/>
                    <w:adjustRightInd w:val="0"/>
                    <w:jc w:val="center"/>
                    <w:rPr>
                      <w:rFonts w:hint="default" w:eastAsia="宋体"/>
                      <w:kern w:val="0"/>
                      <w:szCs w:val="21"/>
                      <w:lang w:val="en-US" w:eastAsia="zh-CN"/>
                    </w:rPr>
                  </w:pPr>
                  <w:r>
                    <w:rPr>
                      <w:rFonts w:hint="eastAsia"/>
                      <w:kern w:val="0"/>
                      <w:szCs w:val="21"/>
                      <w:lang w:val="en-US" w:eastAsia="zh-CN"/>
                    </w:rPr>
                    <w:t>HW49</w:t>
                  </w:r>
                </w:p>
              </w:tc>
              <w:tc>
                <w:tcPr>
                  <w:tcW w:w="733" w:type="pct"/>
                  <w:shd w:val="clear" w:color="auto" w:fill="auto"/>
                  <w:noWrap w:val="0"/>
                  <w:vAlign w:val="center"/>
                </w:tcPr>
                <w:p w14:paraId="66A22B8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900-041-49</w:t>
                  </w:r>
                </w:p>
              </w:tc>
              <w:tc>
                <w:tcPr>
                  <w:tcW w:w="515" w:type="pct"/>
                  <w:vMerge w:val="continue"/>
                  <w:shd w:val="clear" w:color="auto" w:fill="auto"/>
                  <w:noWrap w:val="0"/>
                  <w:vAlign w:val="center"/>
                </w:tcPr>
                <w:p w14:paraId="4A83C1C5">
                  <w:pPr>
                    <w:pStyle w:val="33"/>
                    <w:rPr>
                      <w:rFonts w:hint="eastAsia" w:ascii="Times New Roman" w:hAnsi="Times New Roman" w:eastAsia="宋体" w:cs="Times New Roman"/>
                      <w:kern w:val="0"/>
                      <w:sz w:val="21"/>
                      <w:szCs w:val="21"/>
                      <w:lang w:val="en-US" w:eastAsia="zh-CN" w:bidi="ar-SA"/>
                    </w:rPr>
                  </w:pPr>
                </w:p>
              </w:tc>
              <w:tc>
                <w:tcPr>
                  <w:tcW w:w="517" w:type="pct"/>
                  <w:vMerge w:val="continue"/>
                  <w:shd w:val="clear" w:color="auto" w:fill="auto"/>
                  <w:noWrap w:val="0"/>
                  <w:vAlign w:val="center"/>
                </w:tcPr>
                <w:p w14:paraId="5555A30E">
                  <w:pPr>
                    <w:pStyle w:val="62"/>
                    <w:ind w:left="420" w:leftChars="0" w:hanging="420" w:hangingChars="200"/>
                    <w:rPr>
                      <w:rFonts w:hint="eastAsia" w:ascii="Times New Roman" w:hAnsi="Times New Roman" w:eastAsia="宋体" w:cs="Times New Roman"/>
                      <w:kern w:val="0"/>
                      <w:sz w:val="21"/>
                      <w:szCs w:val="21"/>
                      <w:lang w:val="en-US" w:eastAsia="zh-CN" w:bidi="he-IL"/>
                    </w:rPr>
                  </w:pPr>
                </w:p>
              </w:tc>
              <w:tc>
                <w:tcPr>
                  <w:tcW w:w="476" w:type="pct"/>
                  <w:noWrap w:val="0"/>
                  <w:vAlign w:val="center"/>
                </w:tcPr>
                <w:p w14:paraId="0790DD2E">
                  <w:pPr>
                    <w:pStyle w:val="62"/>
                    <w:ind w:left="420" w:hanging="420"/>
                    <w:rPr>
                      <w:rFonts w:hint="default" w:eastAsia="宋体"/>
                      <w:sz w:val="21"/>
                      <w:szCs w:val="21"/>
                      <w:lang w:val="en-US" w:eastAsia="zh-CN"/>
                    </w:rPr>
                  </w:pPr>
                  <w:r>
                    <w:rPr>
                      <w:rFonts w:hint="eastAsia"/>
                      <w:sz w:val="21"/>
                      <w:szCs w:val="21"/>
                    </w:rPr>
                    <w:t>袋</w:t>
                  </w:r>
                  <w:r>
                    <w:rPr>
                      <w:sz w:val="21"/>
                      <w:szCs w:val="21"/>
                    </w:rPr>
                    <w:t>装</w:t>
                  </w:r>
                </w:p>
              </w:tc>
              <w:tc>
                <w:tcPr>
                  <w:tcW w:w="714" w:type="pct"/>
                  <w:noWrap w:val="0"/>
                  <w:vAlign w:val="center"/>
                </w:tcPr>
                <w:p w14:paraId="2808E85A">
                  <w:pPr>
                    <w:pStyle w:val="62"/>
                    <w:ind w:left="420" w:hanging="420"/>
                    <w:rPr>
                      <w:rFonts w:hint="default"/>
                      <w:sz w:val="21"/>
                      <w:szCs w:val="21"/>
                      <w:lang w:val="en-US" w:eastAsia="zh-CN"/>
                    </w:rPr>
                  </w:pPr>
                  <w:r>
                    <w:rPr>
                      <w:rFonts w:hint="eastAsia"/>
                      <w:sz w:val="21"/>
                      <w:szCs w:val="21"/>
                      <w:lang w:val="en-US" w:eastAsia="zh-CN"/>
                    </w:rPr>
                    <w:t>0.05</w:t>
                  </w:r>
                </w:p>
              </w:tc>
              <w:tc>
                <w:tcPr>
                  <w:tcW w:w="378" w:type="pct"/>
                  <w:shd w:val="clear" w:color="auto" w:fill="auto"/>
                  <w:noWrap w:val="0"/>
                  <w:vAlign w:val="center"/>
                </w:tcPr>
                <w:p w14:paraId="00A9FA16">
                  <w:pPr>
                    <w:pStyle w:val="62"/>
                    <w:ind w:left="420" w:leftChars="0" w:hanging="420" w:hangingChars="200"/>
                    <w:rPr>
                      <w:rFonts w:hint="default" w:ascii="Times New Roman" w:hAnsi="Times New Roman" w:eastAsia="宋体" w:cs="Times New Roman"/>
                      <w:kern w:val="0"/>
                      <w:sz w:val="21"/>
                      <w:szCs w:val="21"/>
                      <w:lang w:val="en-US" w:eastAsia="zh-CN" w:bidi="he-IL"/>
                    </w:rPr>
                  </w:pPr>
                  <w:r>
                    <w:rPr>
                      <w:rFonts w:hint="eastAsia"/>
                      <w:sz w:val="21"/>
                      <w:szCs w:val="21"/>
                      <w:lang w:val="en-US" w:eastAsia="zh-CN"/>
                    </w:rPr>
                    <w:t>1年</w:t>
                  </w:r>
                </w:p>
              </w:tc>
            </w:tr>
            <w:tr w14:paraId="3A598C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74" w:type="pct"/>
                  <w:noWrap w:val="0"/>
                  <w:vAlign w:val="center"/>
                </w:tcPr>
                <w:p w14:paraId="58AFD466">
                  <w:pPr>
                    <w:pStyle w:val="62"/>
                    <w:ind w:left="420" w:hanging="420"/>
                    <w:rPr>
                      <w:rFonts w:hint="default"/>
                      <w:sz w:val="21"/>
                      <w:szCs w:val="21"/>
                      <w:lang w:val="en-US" w:eastAsia="zh-CN"/>
                    </w:rPr>
                  </w:pPr>
                  <w:bookmarkStart w:id="168" w:name="_Toc16892"/>
                  <w:r>
                    <w:rPr>
                      <w:rFonts w:hint="eastAsia"/>
                      <w:sz w:val="21"/>
                      <w:szCs w:val="21"/>
                      <w:lang w:val="en-US" w:eastAsia="zh-CN"/>
                    </w:rPr>
                    <w:t>3</w:t>
                  </w:r>
                </w:p>
              </w:tc>
              <w:tc>
                <w:tcPr>
                  <w:tcW w:w="759" w:type="pct"/>
                  <w:noWrap w:val="0"/>
                  <w:vAlign w:val="center"/>
                </w:tcPr>
                <w:p w14:paraId="7ED1D0A5">
                  <w:pPr>
                    <w:kinsoku w:val="0"/>
                    <w:overflowPunct w:val="0"/>
                    <w:autoSpaceDE w:val="0"/>
                    <w:autoSpaceDN w:val="0"/>
                    <w:adjustRightInd w:val="0"/>
                    <w:jc w:val="center"/>
                    <w:rPr>
                      <w:rFonts w:hint="default" w:eastAsia="宋体"/>
                      <w:kern w:val="0"/>
                      <w:szCs w:val="21"/>
                      <w:lang w:val="en-US" w:eastAsia="zh-CN"/>
                    </w:rPr>
                  </w:pPr>
                  <w:r>
                    <w:rPr>
                      <w:rFonts w:hint="eastAsia"/>
                      <w:kern w:val="0"/>
                      <w:szCs w:val="21"/>
                      <w:lang w:val="en-US" w:eastAsia="zh-CN"/>
                    </w:rPr>
                    <w:t>废切削液及金属渣</w:t>
                  </w:r>
                </w:p>
              </w:tc>
              <w:tc>
                <w:tcPr>
                  <w:tcW w:w="630" w:type="pct"/>
                  <w:noWrap w:val="0"/>
                  <w:vAlign w:val="center"/>
                </w:tcPr>
                <w:p w14:paraId="27E6DF81">
                  <w:pPr>
                    <w:kinsoku w:val="0"/>
                    <w:overflowPunct w:val="0"/>
                    <w:autoSpaceDE w:val="0"/>
                    <w:autoSpaceDN w:val="0"/>
                    <w:adjustRightInd w:val="0"/>
                    <w:jc w:val="center"/>
                    <w:rPr>
                      <w:rFonts w:hint="default" w:eastAsia="宋体"/>
                      <w:kern w:val="0"/>
                      <w:szCs w:val="21"/>
                      <w:lang w:val="en-US" w:eastAsia="zh-CN"/>
                    </w:rPr>
                  </w:pPr>
                  <w:r>
                    <w:rPr>
                      <w:rFonts w:hint="eastAsia"/>
                      <w:kern w:val="0"/>
                      <w:szCs w:val="21"/>
                      <w:lang w:val="en-US" w:eastAsia="zh-CN"/>
                    </w:rPr>
                    <w:t>HW09</w:t>
                  </w:r>
                </w:p>
              </w:tc>
              <w:tc>
                <w:tcPr>
                  <w:tcW w:w="733" w:type="pct"/>
                  <w:shd w:val="clear" w:color="auto" w:fill="auto"/>
                  <w:noWrap w:val="0"/>
                  <w:vAlign w:val="center"/>
                </w:tcPr>
                <w:p w14:paraId="66A979D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900-006-09</w:t>
                  </w:r>
                </w:p>
              </w:tc>
              <w:tc>
                <w:tcPr>
                  <w:tcW w:w="515" w:type="pct"/>
                  <w:vMerge w:val="continue"/>
                  <w:noWrap w:val="0"/>
                  <w:vAlign w:val="center"/>
                </w:tcPr>
                <w:p w14:paraId="1F6977D1">
                  <w:pPr>
                    <w:pStyle w:val="33"/>
                    <w:rPr>
                      <w:rFonts w:hint="eastAsia"/>
                      <w:kern w:val="0"/>
                      <w:szCs w:val="21"/>
                      <w:lang w:val="en-US" w:eastAsia="zh-CN"/>
                    </w:rPr>
                  </w:pPr>
                </w:p>
              </w:tc>
              <w:tc>
                <w:tcPr>
                  <w:tcW w:w="517" w:type="pct"/>
                  <w:vMerge w:val="continue"/>
                  <w:shd w:val="clear" w:color="auto" w:fill="auto"/>
                  <w:noWrap w:val="0"/>
                  <w:vAlign w:val="center"/>
                </w:tcPr>
                <w:p w14:paraId="0F6493CE">
                  <w:pPr>
                    <w:pStyle w:val="62"/>
                    <w:ind w:left="420" w:leftChars="0" w:hanging="420" w:hangingChars="200"/>
                    <w:rPr>
                      <w:rFonts w:hint="eastAsia" w:ascii="Times New Roman" w:hAnsi="Times New Roman" w:eastAsia="宋体" w:cs="Times New Roman"/>
                      <w:kern w:val="0"/>
                      <w:sz w:val="21"/>
                      <w:szCs w:val="21"/>
                      <w:lang w:val="en-US" w:eastAsia="zh-CN" w:bidi="he-IL"/>
                    </w:rPr>
                  </w:pPr>
                </w:p>
              </w:tc>
              <w:tc>
                <w:tcPr>
                  <w:tcW w:w="476" w:type="pct"/>
                  <w:noWrap w:val="0"/>
                  <w:vAlign w:val="center"/>
                </w:tcPr>
                <w:p w14:paraId="68397EAD">
                  <w:pPr>
                    <w:pStyle w:val="62"/>
                    <w:ind w:left="420" w:hanging="420"/>
                    <w:rPr>
                      <w:rFonts w:hint="default" w:eastAsia="宋体"/>
                      <w:sz w:val="21"/>
                      <w:szCs w:val="21"/>
                      <w:lang w:val="en-US" w:eastAsia="zh-CN"/>
                    </w:rPr>
                  </w:pPr>
                  <w:r>
                    <w:rPr>
                      <w:rFonts w:hint="eastAsia"/>
                      <w:sz w:val="21"/>
                      <w:szCs w:val="21"/>
                      <w:lang w:val="en-US" w:eastAsia="zh-CN"/>
                    </w:rPr>
                    <w:t>桶装</w:t>
                  </w:r>
                </w:p>
              </w:tc>
              <w:tc>
                <w:tcPr>
                  <w:tcW w:w="714" w:type="pct"/>
                  <w:noWrap w:val="0"/>
                  <w:vAlign w:val="center"/>
                </w:tcPr>
                <w:p w14:paraId="66F43EC2">
                  <w:pPr>
                    <w:pStyle w:val="62"/>
                    <w:ind w:left="420" w:hanging="420"/>
                    <w:rPr>
                      <w:rFonts w:hint="default"/>
                      <w:sz w:val="21"/>
                      <w:szCs w:val="21"/>
                      <w:lang w:val="en-US" w:eastAsia="zh-CN"/>
                    </w:rPr>
                  </w:pPr>
                  <w:r>
                    <w:rPr>
                      <w:rFonts w:hint="eastAsia"/>
                      <w:sz w:val="21"/>
                      <w:szCs w:val="21"/>
                      <w:lang w:val="en-US" w:eastAsia="zh-CN"/>
                    </w:rPr>
                    <w:t>0.2</w:t>
                  </w:r>
                </w:p>
              </w:tc>
              <w:tc>
                <w:tcPr>
                  <w:tcW w:w="378" w:type="pct"/>
                  <w:shd w:val="clear" w:color="auto" w:fill="auto"/>
                  <w:noWrap w:val="0"/>
                  <w:vAlign w:val="center"/>
                </w:tcPr>
                <w:p w14:paraId="27885DAF">
                  <w:pPr>
                    <w:pStyle w:val="62"/>
                    <w:ind w:left="420" w:leftChars="0" w:hanging="420" w:hangingChars="200"/>
                    <w:rPr>
                      <w:rFonts w:hint="default" w:ascii="Times New Roman" w:hAnsi="Times New Roman" w:eastAsia="宋体" w:cs="Times New Roman"/>
                      <w:kern w:val="0"/>
                      <w:sz w:val="21"/>
                      <w:szCs w:val="21"/>
                      <w:lang w:val="en-US" w:eastAsia="zh-CN" w:bidi="he-IL"/>
                    </w:rPr>
                  </w:pPr>
                  <w:r>
                    <w:rPr>
                      <w:rFonts w:hint="eastAsia"/>
                      <w:sz w:val="21"/>
                      <w:szCs w:val="21"/>
                    </w:rPr>
                    <w:t>1</w:t>
                  </w:r>
                  <w:r>
                    <w:rPr>
                      <w:sz w:val="21"/>
                      <w:szCs w:val="21"/>
                    </w:rPr>
                    <w:t>年</w:t>
                  </w:r>
                </w:p>
              </w:tc>
            </w:tr>
            <w:tr w14:paraId="4983D7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274" w:type="pct"/>
                  <w:noWrap w:val="0"/>
                  <w:vAlign w:val="center"/>
                </w:tcPr>
                <w:p w14:paraId="1C63009F">
                  <w:pPr>
                    <w:pStyle w:val="62"/>
                    <w:ind w:left="420" w:hanging="420"/>
                    <w:rPr>
                      <w:rFonts w:hint="default"/>
                      <w:sz w:val="21"/>
                      <w:szCs w:val="21"/>
                      <w:lang w:val="en-US" w:eastAsia="zh-CN"/>
                    </w:rPr>
                  </w:pPr>
                  <w:r>
                    <w:rPr>
                      <w:rFonts w:hint="eastAsia"/>
                      <w:sz w:val="21"/>
                      <w:szCs w:val="21"/>
                      <w:lang w:val="en-US" w:eastAsia="zh-CN"/>
                    </w:rPr>
                    <w:t>4</w:t>
                  </w:r>
                </w:p>
              </w:tc>
              <w:tc>
                <w:tcPr>
                  <w:tcW w:w="759" w:type="pct"/>
                  <w:shd w:val="clear" w:color="auto" w:fill="auto"/>
                  <w:noWrap w:val="0"/>
                  <w:vAlign w:val="center"/>
                </w:tcPr>
                <w:p w14:paraId="5FDE745F">
                  <w:pPr>
                    <w:kinsoku w:val="0"/>
                    <w:overflowPunct w:val="0"/>
                    <w:autoSpaceDE w:val="0"/>
                    <w:autoSpaceDN w:val="0"/>
                    <w:adjustRightInd w:val="0"/>
                    <w:jc w:val="center"/>
                    <w:rPr>
                      <w:rFonts w:hint="eastAsia" w:ascii="Times New Roman" w:hAnsi="Times New Roman" w:eastAsia="宋体" w:cs="Times New Roman"/>
                      <w:kern w:val="0"/>
                      <w:sz w:val="21"/>
                      <w:szCs w:val="21"/>
                      <w:lang w:val="en-US" w:eastAsia="zh-CN" w:bidi="ar-SA"/>
                    </w:rPr>
                  </w:pPr>
                  <w:r>
                    <w:rPr>
                      <w:kern w:val="0"/>
                      <w:szCs w:val="21"/>
                    </w:rPr>
                    <w:t>废活性炭</w:t>
                  </w:r>
                </w:p>
              </w:tc>
              <w:tc>
                <w:tcPr>
                  <w:tcW w:w="630" w:type="pct"/>
                  <w:shd w:val="clear" w:color="auto" w:fill="auto"/>
                  <w:noWrap w:val="0"/>
                  <w:vAlign w:val="center"/>
                </w:tcPr>
                <w:p w14:paraId="3082C09D">
                  <w:pPr>
                    <w:kinsoku w:val="0"/>
                    <w:overflowPunct w:val="0"/>
                    <w:autoSpaceDE w:val="0"/>
                    <w:autoSpaceDN w:val="0"/>
                    <w:adjustRightInd w:val="0"/>
                    <w:jc w:val="center"/>
                    <w:rPr>
                      <w:rFonts w:hint="eastAsia" w:ascii="Times New Roman" w:hAnsi="Times New Roman" w:eastAsia="宋体" w:cs="Times New Roman"/>
                      <w:kern w:val="0"/>
                      <w:sz w:val="21"/>
                      <w:szCs w:val="21"/>
                      <w:lang w:val="en-US" w:eastAsia="zh-CN" w:bidi="ar-SA"/>
                    </w:rPr>
                  </w:pPr>
                  <w:r>
                    <w:rPr>
                      <w:rFonts w:hint="eastAsia"/>
                      <w:kern w:val="0"/>
                      <w:szCs w:val="21"/>
                    </w:rPr>
                    <w:t>HW49</w:t>
                  </w:r>
                </w:p>
              </w:tc>
              <w:tc>
                <w:tcPr>
                  <w:tcW w:w="733" w:type="pct"/>
                  <w:shd w:val="clear" w:color="auto" w:fill="auto"/>
                  <w:noWrap w:val="0"/>
                  <w:vAlign w:val="center"/>
                </w:tcPr>
                <w:p w14:paraId="5CE3A4D0">
                  <w:pPr>
                    <w:pStyle w:val="33"/>
                    <w:rPr>
                      <w:rFonts w:hint="eastAsia" w:ascii="Times New Roman" w:hAnsi="Times New Roman" w:eastAsia="宋体" w:cs="Times New Roman"/>
                      <w:kern w:val="0"/>
                      <w:sz w:val="21"/>
                      <w:szCs w:val="21"/>
                      <w:lang w:val="en-US" w:eastAsia="zh-CN" w:bidi="ar-SA"/>
                    </w:rPr>
                  </w:pPr>
                  <w:r>
                    <w:rPr>
                      <w:kern w:val="0"/>
                      <w:szCs w:val="21"/>
                    </w:rPr>
                    <w:t>900-039-49</w:t>
                  </w:r>
                </w:p>
              </w:tc>
              <w:tc>
                <w:tcPr>
                  <w:tcW w:w="515" w:type="pct"/>
                  <w:vMerge w:val="continue"/>
                  <w:shd w:val="clear" w:color="auto" w:fill="auto"/>
                  <w:noWrap w:val="0"/>
                  <w:vAlign w:val="center"/>
                </w:tcPr>
                <w:p w14:paraId="16E3A4A1">
                  <w:pPr>
                    <w:pStyle w:val="33"/>
                    <w:rPr>
                      <w:rFonts w:hint="eastAsia" w:ascii="Times New Roman" w:hAnsi="Times New Roman" w:eastAsia="宋体" w:cs="Times New Roman"/>
                      <w:kern w:val="0"/>
                      <w:sz w:val="21"/>
                      <w:szCs w:val="21"/>
                      <w:lang w:val="en-US" w:eastAsia="zh-CN" w:bidi="ar-SA"/>
                    </w:rPr>
                  </w:pPr>
                </w:p>
              </w:tc>
              <w:tc>
                <w:tcPr>
                  <w:tcW w:w="517" w:type="pct"/>
                  <w:vMerge w:val="continue"/>
                  <w:shd w:val="clear" w:color="auto" w:fill="auto"/>
                  <w:noWrap w:val="0"/>
                  <w:vAlign w:val="center"/>
                </w:tcPr>
                <w:p w14:paraId="4EC6D9B9">
                  <w:pPr>
                    <w:pStyle w:val="62"/>
                    <w:ind w:left="420" w:leftChars="0" w:hanging="420" w:hangingChars="200"/>
                    <w:rPr>
                      <w:rFonts w:hint="eastAsia" w:ascii="Times New Roman" w:hAnsi="Times New Roman" w:eastAsia="宋体" w:cs="Times New Roman"/>
                      <w:kern w:val="0"/>
                      <w:sz w:val="21"/>
                      <w:szCs w:val="21"/>
                      <w:lang w:val="en-US" w:eastAsia="zh-CN" w:bidi="he-IL"/>
                    </w:rPr>
                  </w:pPr>
                </w:p>
              </w:tc>
              <w:tc>
                <w:tcPr>
                  <w:tcW w:w="476" w:type="pct"/>
                  <w:shd w:val="clear" w:color="auto" w:fill="auto"/>
                  <w:noWrap w:val="0"/>
                  <w:vAlign w:val="center"/>
                </w:tcPr>
                <w:p w14:paraId="4B97A406">
                  <w:pPr>
                    <w:pStyle w:val="62"/>
                    <w:ind w:left="420" w:leftChars="0" w:hanging="420" w:hangingChars="200"/>
                    <w:rPr>
                      <w:rFonts w:hint="eastAsia" w:ascii="Times New Roman" w:hAnsi="Times New Roman" w:eastAsia="宋体" w:cs="Times New Roman"/>
                      <w:kern w:val="0"/>
                      <w:sz w:val="21"/>
                      <w:szCs w:val="21"/>
                      <w:lang w:val="en-US" w:eastAsia="zh-CN" w:bidi="he-IL"/>
                    </w:rPr>
                  </w:pPr>
                  <w:r>
                    <w:rPr>
                      <w:rFonts w:hint="eastAsia"/>
                      <w:sz w:val="21"/>
                      <w:szCs w:val="21"/>
                    </w:rPr>
                    <w:t>袋</w:t>
                  </w:r>
                  <w:r>
                    <w:rPr>
                      <w:sz w:val="21"/>
                      <w:szCs w:val="21"/>
                    </w:rPr>
                    <w:t>装</w:t>
                  </w:r>
                </w:p>
              </w:tc>
              <w:tc>
                <w:tcPr>
                  <w:tcW w:w="714" w:type="pct"/>
                  <w:shd w:val="clear" w:color="auto" w:fill="auto"/>
                  <w:noWrap w:val="0"/>
                  <w:vAlign w:val="center"/>
                </w:tcPr>
                <w:p w14:paraId="0FB0CAF8">
                  <w:pPr>
                    <w:pStyle w:val="62"/>
                    <w:ind w:left="420" w:leftChars="0" w:hanging="420" w:hangingChars="200"/>
                    <w:rPr>
                      <w:rFonts w:hint="default" w:ascii="Times New Roman" w:hAnsi="Times New Roman" w:eastAsia="宋体" w:cs="Times New Roman"/>
                      <w:kern w:val="0"/>
                      <w:sz w:val="21"/>
                      <w:szCs w:val="21"/>
                      <w:lang w:val="en-US" w:eastAsia="zh-CN" w:bidi="he-IL"/>
                    </w:rPr>
                  </w:pPr>
                  <w:r>
                    <w:rPr>
                      <w:rFonts w:hint="eastAsia" w:cs="Times New Roman"/>
                      <w:kern w:val="0"/>
                      <w:sz w:val="21"/>
                      <w:szCs w:val="21"/>
                      <w:lang w:val="en-US" w:eastAsia="zh-CN" w:bidi="he-IL"/>
                    </w:rPr>
                    <w:t>0.3</w:t>
                  </w:r>
                </w:p>
              </w:tc>
              <w:tc>
                <w:tcPr>
                  <w:tcW w:w="378" w:type="pct"/>
                  <w:shd w:val="clear" w:color="auto" w:fill="auto"/>
                  <w:noWrap w:val="0"/>
                  <w:vAlign w:val="center"/>
                </w:tcPr>
                <w:p w14:paraId="4468AC8F">
                  <w:pPr>
                    <w:pStyle w:val="62"/>
                    <w:ind w:left="420" w:leftChars="0" w:hanging="420" w:hangingChars="200"/>
                    <w:rPr>
                      <w:rFonts w:hint="eastAsia" w:ascii="Times New Roman" w:hAnsi="Times New Roman" w:eastAsia="宋体" w:cs="Times New Roman"/>
                      <w:kern w:val="0"/>
                      <w:sz w:val="21"/>
                      <w:szCs w:val="21"/>
                      <w:lang w:val="en-US" w:eastAsia="zh-CN" w:bidi="he-IL"/>
                    </w:rPr>
                  </w:pPr>
                  <w:r>
                    <w:rPr>
                      <w:rFonts w:hint="eastAsia"/>
                      <w:sz w:val="21"/>
                      <w:szCs w:val="21"/>
                      <w:lang w:val="en-US" w:eastAsia="zh-CN"/>
                    </w:rPr>
                    <w:t>1年</w:t>
                  </w:r>
                </w:p>
              </w:tc>
            </w:tr>
            <w:tr w14:paraId="041A3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74" w:type="pct"/>
                  <w:noWrap w:val="0"/>
                  <w:vAlign w:val="center"/>
                </w:tcPr>
                <w:p w14:paraId="4C8A467C">
                  <w:pPr>
                    <w:pStyle w:val="62"/>
                    <w:ind w:left="420" w:hanging="420"/>
                    <w:rPr>
                      <w:rFonts w:hint="default"/>
                      <w:sz w:val="21"/>
                      <w:szCs w:val="21"/>
                      <w:lang w:val="en-US" w:eastAsia="zh-CN"/>
                    </w:rPr>
                  </w:pPr>
                  <w:r>
                    <w:rPr>
                      <w:rFonts w:hint="eastAsia"/>
                      <w:sz w:val="21"/>
                      <w:szCs w:val="21"/>
                      <w:lang w:val="en-US" w:eastAsia="zh-CN"/>
                    </w:rPr>
                    <w:t>5</w:t>
                  </w:r>
                </w:p>
              </w:tc>
              <w:tc>
                <w:tcPr>
                  <w:tcW w:w="759" w:type="pct"/>
                  <w:shd w:val="clear" w:color="auto" w:fill="auto"/>
                  <w:noWrap w:val="0"/>
                  <w:vAlign w:val="center"/>
                </w:tcPr>
                <w:p w14:paraId="57ACFFD8">
                  <w:pPr>
                    <w:kinsoku w:val="0"/>
                    <w:overflowPunct w:val="0"/>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eastAsia"/>
                      <w:kern w:val="0"/>
                      <w:szCs w:val="21"/>
                      <w:lang w:val="en-US" w:eastAsia="zh-CN"/>
                    </w:rPr>
                    <w:t>废机油、废液压油</w:t>
                  </w:r>
                </w:p>
              </w:tc>
              <w:tc>
                <w:tcPr>
                  <w:tcW w:w="630" w:type="pct"/>
                  <w:shd w:val="clear" w:color="auto" w:fill="auto"/>
                  <w:noWrap w:val="0"/>
                  <w:vAlign w:val="center"/>
                </w:tcPr>
                <w:p w14:paraId="4C8852A7">
                  <w:pPr>
                    <w:kinsoku w:val="0"/>
                    <w:overflowPunct w:val="0"/>
                    <w:autoSpaceDE w:val="0"/>
                    <w:autoSpaceDN w:val="0"/>
                    <w:adjustRightInd w:val="0"/>
                    <w:jc w:val="center"/>
                    <w:rPr>
                      <w:rFonts w:hint="eastAsia" w:ascii="Times New Roman" w:hAnsi="Times New Roman" w:eastAsia="宋体" w:cs="Times New Roman"/>
                      <w:kern w:val="0"/>
                      <w:sz w:val="21"/>
                      <w:szCs w:val="21"/>
                      <w:lang w:val="en-US" w:eastAsia="zh-CN" w:bidi="ar-SA"/>
                    </w:rPr>
                  </w:pPr>
                  <w:r>
                    <w:rPr>
                      <w:rFonts w:hint="eastAsia"/>
                      <w:kern w:val="0"/>
                      <w:szCs w:val="21"/>
                      <w:lang w:val="en-US" w:eastAsia="zh-CN"/>
                    </w:rPr>
                    <w:t>HW08</w:t>
                  </w:r>
                </w:p>
              </w:tc>
              <w:tc>
                <w:tcPr>
                  <w:tcW w:w="733" w:type="pct"/>
                  <w:shd w:val="clear" w:color="auto" w:fill="auto"/>
                  <w:noWrap w:val="0"/>
                  <w:vAlign w:val="center"/>
                </w:tcPr>
                <w:p w14:paraId="14EC1AE8">
                  <w:pPr>
                    <w:pStyle w:val="33"/>
                    <w:rPr>
                      <w:rFonts w:hint="eastAsia" w:ascii="Times New Roman" w:hAnsi="Times New Roman" w:eastAsia="宋体" w:cs="Times New Roman"/>
                      <w:kern w:val="0"/>
                      <w:sz w:val="21"/>
                      <w:szCs w:val="21"/>
                      <w:lang w:val="en-US" w:eastAsia="zh-CN" w:bidi="ar-SA"/>
                    </w:rPr>
                  </w:pPr>
                  <w:r>
                    <w:rPr>
                      <w:rFonts w:hint="eastAsia"/>
                      <w:kern w:val="0"/>
                      <w:szCs w:val="21"/>
                      <w:lang w:val="en-US" w:eastAsia="zh-CN"/>
                    </w:rPr>
                    <w:t>900-217-08</w:t>
                  </w:r>
                </w:p>
              </w:tc>
              <w:tc>
                <w:tcPr>
                  <w:tcW w:w="515" w:type="pct"/>
                  <w:vMerge w:val="continue"/>
                  <w:shd w:val="clear" w:color="auto" w:fill="auto"/>
                  <w:noWrap w:val="0"/>
                  <w:vAlign w:val="center"/>
                </w:tcPr>
                <w:p w14:paraId="1B153C8D">
                  <w:pPr>
                    <w:pStyle w:val="33"/>
                    <w:rPr>
                      <w:rFonts w:hint="eastAsia" w:ascii="Times New Roman" w:hAnsi="Times New Roman" w:eastAsia="宋体" w:cs="Times New Roman"/>
                      <w:kern w:val="0"/>
                      <w:sz w:val="21"/>
                      <w:szCs w:val="21"/>
                      <w:lang w:val="en-US" w:eastAsia="zh-CN" w:bidi="ar-SA"/>
                    </w:rPr>
                  </w:pPr>
                </w:p>
              </w:tc>
              <w:tc>
                <w:tcPr>
                  <w:tcW w:w="517" w:type="pct"/>
                  <w:vMerge w:val="continue"/>
                  <w:shd w:val="clear" w:color="auto" w:fill="auto"/>
                  <w:noWrap w:val="0"/>
                  <w:vAlign w:val="center"/>
                </w:tcPr>
                <w:p w14:paraId="0E38946A">
                  <w:pPr>
                    <w:pStyle w:val="62"/>
                    <w:ind w:left="420" w:leftChars="0" w:hanging="420" w:hangingChars="200"/>
                    <w:rPr>
                      <w:rFonts w:hint="eastAsia" w:ascii="Times New Roman" w:hAnsi="Times New Roman" w:eastAsia="宋体" w:cs="Times New Roman"/>
                      <w:kern w:val="0"/>
                      <w:sz w:val="21"/>
                      <w:szCs w:val="21"/>
                      <w:lang w:val="en-US" w:eastAsia="zh-CN" w:bidi="he-IL"/>
                    </w:rPr>
                  </w:pPr>
                </w:p>
              </w:tc>
              <w:tc>
                <w:tcPr>
                  <w:tcW w:w="476" w:type="pct"/>
                  <w:shd w:val="clear" w:color="auto" w:fill="auto"/>
                  <w:noWrap w:val="0"/>
                  <w:vAlign w:val="center"/>
                </w:tcPr>
                <w:p w14:paraId="2683FD23">
                  <w:pPr>
                    <w:pStyle w:val="62"/>
                    <w:ind w:left="420" w:leftChars="0" w:hanging="420" w:hangingChars="200"/>
                    <w:rPr>
                      <w:rFonts w:hint="eastAsia" w:ascii="Times New Roman" w:hAnsi="Times New Roman" w:eastAsia="宋体" w:cs="Times New Roman"/>
                      <w:kern w:val="0"/>
                      <w:sz w:val="21"/>
                      <w:szCs w:val="21"/>
                      <w:lang w:val="en-US" w:eastAsia="zh-CN" w:bidi="he-IL"/>
                    </w:rPr>
                  </w:pPr>
                  <w:r>
                    <w:rPr>
                      <w:rFonts w:hint="eastAsia"/>
                      <w:sz w:val="21"/>
                      <w:szCs w:val="21"/>
                      <w:lang w:val="en-US" w:eastAsia="zh-CN"/>
                    </w:rPr>
                    <w:t>桶装</w:t>
                  </w:r>
                </w:p>
              </w:tc>
              <w:tc>
                <w:tcPr>
                  <w:tcW w:w="714" w:type="pct"/>
                  <w:shd w:val="clear" w:color="auto" w:fill="auto"/>
                  <w:noWrap w:val="0"/>
                  <w:vAlign w:val="center"/>
                </w:tcPr>
                <w:p w14:paraId="35F2C90A">
                  <w:pPr>
                    <w:pStyle w:val="62"/>
                    <w:ind w:left="420" w:leftChars="0" w:hanging="420" w:hangingChars="200"/>
                    <w:rPr>
                      <w:rFonts w:hint="default" w:ascii="Times New Roman" w:hAnsi="Times New Roman" w:eastAsia="宋体" w:cs="Times New Roman"/>
                      <w:kern w:val="0"/>
                      <w:sz w:val="21"/>
                      <w:szCs w:val="21"/>
                      <w:lang w:val="en-US" w:eastAsia="zh-CN" w:bidi="he-IL"/>
                    </w:rPr>
                  </w:pPr>
                  <w:r>
                    <w:rPr>
                      <w:rFonts w:hint="eastAsia" w:cs="Times New Roman"/>
                      <w:kern w:val="0"/>
                      <w:sz w:val="21"/>
                      <w:szCs w:val="21"/>
                      <w:lang w:val="en-US" w:eastAsia="zh-CN" w:bidi="he-IL"/>
                    </w:rPr>
                    <w:t>0.2</w:t>
                  </w:r>
                </w:p>
              </w:tc>
              <w:tc>
                <w:tcPr>
                  <w:tcW w:w="378" w:type="pct"/>
                  <w:shd w:val="clear" w:color="auto" w:fill="auto"/>
                  <w:noWrap w:val="0"/>
                  <w:vAlign w:val="center"/>
                </w:tcPr>
                <w:p w14:paraId="65C3CA22">
                  <w:pPr>
                    <w:pStyle w:val="62"/>
                    <w:ind w:left="420" w:leftChars="0" w:hanging="420" w:hangingChars="200"/>
                    <w:rPr>
                      <w:rFonts w:hint="eastAsia" w:ascii="Times New Roman" w:hAnsi="Times New Roman" w:eastAsia="宋体" w:cs="Times New Roman"/>
                      <w:kern w:val="0"/>
                      <w:sz w:val="21"/>
                      <w:szCs w:val="21"/>
                      <w:lang w:val="en-US" w:eastAsia="zh-CN" w:bidi="he-IL"/>
                    </w:rPr>
                  </w:pPr>
                  <w:r>
                    <w:rPr>
                      <w:rFonts w:hint="eastAsia"/>
                      <w:sz w:val="21"/>
                      <w:szCs w:val="21"/>
                      <w:lang w:val="en-US" w:eastAsia="zh-CN"/>
                    </w:rPr>
                    <w:t>1年</w:t>
                  </w:r>
                </w:p>
              </w:tc>
            </w:tr>
            <w:tr w14:paraId="12136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74" w:type="pct"/>
                  <w:noWrap w:val="0"/>
                  <w:vAlign w:val="center"/>
                </w:tcPr>
                <w:p w14:paraId="19D34ADD">
                  <w:pPr>
                    <w:pStyle w:val="62"/>
                    <w:ind w:left="420" w:hanging="420"/>
                    <w:rPr>
                      <w:rFonts w:hint="default"/>
                      <w:sz w:val="21"/>
                      <w:szCs w:val="21"/>
                      <w:lang w:val="en-US" w:eastAsia="zh-CN"/>
                    </w:rPr>
                  </w:pPr>
                  <w:r>
                    <w:rPr>
                      <w:rFonts w:hint="eastAsia"/>
                      <w:sz w:val="21"/>
                      <w:szCs w:val="21"/>
                      <w:lang w:val="en-US" w:eastAsia="zh-CN"/>
                    </w:rPr>
                    <w:t>6</w:t>
                  </w:r>
                </w:p>
              </w:tc>
              <w:tc>
                <w:tcPr>
                  <w:tcW w:w="759" w:type="pct"/>
                  <w:shd w:val="clear" w:color="auto" w:fill="auto"/>
                  <w:noWrap w:val="0"/>
                  <w:vAlign w:val="center"/>
                </w:tcPr>
                <w:p w14:paraId="3B3D3049">
                  <w:pPr>
                    <w:kinsoku w:val="0"/>
                    <w:overflowPunct w:val="0"/>
                    <w:autoSpaceDE w:val="0"/>
                    <w:autoSpaceDN w:val="0"/>
                    <w:adjustRightInd w:val="0"/>
                    <w:jc w:val="center"/>
                    <w:rPr>
                      <w:rFonts w:hint="default"/>
                      <w:kern w:val="0"/>
                      <w:szCs w:val="21"/>
                      <w:lang w:val="en-US" w:eastAsia="zh-CN"/>
                    </w:rPr>
                  </w:pPr>
                  <w:r>
                    <w:rPr>
                      <w:rFonts w:hint="eastAsia"/>
                      <w:kern w:val="0"/>
                      <w:szCs w:val="21"/>
                      <w:lang w:val="en-US" w:eastAsia="zh-CN"/>
                    </w:rPr>
                    <w:t>污泥</w:t>
                  </w:r>
                </w:p>
              </w:tc>
              <w:tc>
                <w:tcPr>
                  <w:tcW w:w="630" w:type="pct"/>
                  <w:shd w:val="clear" w:color="auto" w:fill="auto"/>
                  <w:noWrap w:val="0"/>
                  <w:vAlign w:val="center"/>
                </w:tcPr>
                <w:p w14:paraId="4C06A00C">
                  <w:pPr>
                    <w:kinsoku w:val="0"/>
                    <w:overflowPunct w:val="0"/>
                    <w:autoSpaceDE w:val="0"/>
                    <w:autoSpaceDN w:val="0"/>
                    <w:adjustRightInd w:val="0"/>
                    <w:jc w:val="center"/>
                    <w:rPr>
                      <w:rFonts w:hint="eastAsia"/>
                      <w:kern w:val="0"/>
                      <w:szCs w:val="21"/>
                      <w:lang w:val="en-US" w:eastAsia="zh-CN"/>
                    </w:rPr>
                  </w:pPr>
                  <w:r>
                    <w:rPr>
                      <w:rFonts w:hint="eastAsia"/>
                      <w:kern w:val="0"/>
                      <w:szCs w:val="21"/>
                      <w:lang w:val="en-US" w:eastAsia="zh-CN"/>
                    </w:rPr>
                    <w:t>HW08</w:t>
                  </w:r>
                </w:p>
              </w:tc>
              <w:tc>
                <w:tcPr>
                  <w:tcW w:w="733" w:type="pct"/>
                  <w:shd w:val="clear" w:color="auto" w:fill="auto"/>
                  <w:noWrap w:val="0"/>
                  <w:vAlign w:val="center"/>
                </w:tcPr>
                <w:p w14:paraId="56F8CF2C">
                  <w:pPr>
                    <w:pStyle w:val="33"/>
                    <w:rPr>
                      <w:rFonts w:hint="eastAsia"/>
                      <w:kern w:val="0"/>
                      <w:szCs w:val="21"/>
                      <w:lang w:val="en-US" w:eastAsia="zh-CN"/>
                    </w:rPr>
                  </w:pPr>
                  <w:r>
                    <w:rPr>
                      <w:rFonts w:hint="eastAsia" w:ascii="Times New Roman" w:hAnsi="Times New Roman" w:eastAsia="宋体" w:cs="Times New Roman"/>
                      <w:color w:val="auto"/>
                      <w:kern w:val="2"/>
                      <w:sz w:val="21"/>
                      <w:szCs w:val="21"/>
                      <w:highlight w:val="none"/>
                      <w:lang w:val="en-US" w:eastAsia="zh-CN" w:bidi="ar-SA"/>
                    </w:rPr>
                    <w:t>900-209-08</w:t>
                  </w:r>
                </w:p>
              </w:tc>
              <w:tc>
                <w:tcPr>
                  <w:tcW w:w="515" w:type="pct"/>
                  <w:vMerge w:val="continue"/>
                  <w:shd w:val="clear" w:color="auto" w:fill="auto"/>
                  <w:noWrap w:val="0"/>
                  <w:vAlign w:val="center"/>
                </w:tcPr>
                <w:p w14:paraId="7BC24B64">
                  <w:pPr>
                    <w:pStyle w:val="33"/>
                    <w:rPr>
                      <w:rFonts w:hint="eastAsia"/>
                      <w:kern w:val="0"/>
                      <w:szCs w:val="21"/>
                      <w:lang w:val="en-US" w:eastAsia="zh-CN"/>
                    </w:rPr>
                  </w:pPr>
                </w:p>
              </w:tc>
              <w:tc>
                <w:tcPr>
                  <w:tcW w:w="517" w:type="pct"/>
                  <w:vMerge w:val="continue"/>
                  <w:shd w:val="clear" w:color="auto" w:fill="auto"/>
                  <w:noWrap w:val="0"/>
                  <w:vAlign w:val="center"/>
                </w:tcPr>
                <w:p w14:paraId="39A00C5E">
                  <w:pPr>
                    <w:pStyle w:val="62"/>
                    <w:ind w:left="420" w:leftChars="0" w:hanging="420" w:hangingChars="200"/>
                    <w:rPr>
                      <w:rFonts w:hint="eastAsia"/>
                      <w:sz w:val="21"/>
                      <w:szCs w:val="21"/>
                      <w:lang w:val="en-US" w:eastAsia="zh-CN"/>
                    </w:rPr>
                  </w:pPr>
                </w:p>
              </w:tc>
              <w:tc>
                <w:tcPr>
                  <w:tcW w:w="476" w:type="pct"/>
                  <w:shd w:val="clear" w:color="auto" w:fill="auto"/>
                  <w:noWrap w:val="0"/>
                  <w:vAlign w:val="center"/>
                </w:tcPr>
                <w:p w14:paraId="3557F278">
                  <w:pPr>
                    <w:pStyle w:val="62"/>
                    <w:ind w:left="420" w:leftChars="0" w:hanging="420" w:hangingChars="200"/>
                    <w:rPr>
                      <w:rFonts w:hint="default"/>
                      <w:sz w:val="21"/>
                      <w:szCs w:val="21"/>
                      <w:lang w:val="en-US" w:eastAsia="zh-CN"/>
                    </w:rPr>
                  </w:pPr>
                  <w:r>
                    <w:rPr>
                      <w:rFonts w:hint="eastAsia"/>
                      <w:sz w:val="21"/>
                      <w:szCs w:val="21"/>
                      <w:lang w:val="en-US" w:eastAsia="zh-CN"/>
                    </w:rPr>
                    <w:t>桶装</w:t>
                  </w:r>
                </w:p>
              </w:tc>
              <w:tc>
                <w:tcPr>
                  <w:tcW w:w="714" w:type="pct"/>
                  <w:shd w:val="clear" w:color="auto" w:fill="auto"/>
                  <w:noWrap w:val="0"/>
                  <w:vAlign w:val="center"/>
                </w:tcPr>
                <w:p w14:paraId="2BA9DD0E">
                  <w:pPr>
                    <w:pStyle w:val="62"/>
                    <w:ind w:left="420" w:leftChars="0" w:hanging="420" w:hangingChars="200"/>
                    <w:rPr>
                      <w:rFonts w:hint="default" w:cs="Times New Roman"/>
                      <w:kern w:val="0"/>
                      <w:sz w:val="21"/>
                      <w:szCs w:val="21"/>
                      <w:lang w:val="en-US" w:eastAsia="zh-CN" w:bidi="he-IL"/>
                    </w:rPr>
                  </w:pPr>
                  <w:r>
                    <w:rPr>
                      <w:rFonts w:hint="eastAsia" w:cs="Times New Roman"/>
                      <w:kern w:val="0"/>
                      <w:sz w:val="21"/>
                      <w:szCs w:val="21"/>
                      <w:lang w:val="en-US" w:eastAsia="zh-CN" w:bidi="he-IL"/>
                    </w:rPr>
                    <w:t>0.2</w:t>
                  </w:r>
                </w:p>
              </w:tc>
              <w:tc>
                <w:tcPr>
                  <w:tcW w:w="378" w:type="pct"/>
                  <w:shd w:val="clear" w:color="auto" w:fill="auto"/>
                  <w:noWrap w:val="0"/>
                  <w:vAlign w:val="center"/>
                </w:tcPr>
                <w:p w14:paraId="5590ACFB">
                  <w:pPr>
                    <w:pStyle w:val="62"/>
                    <w:ind w:left="420" w:leftChars="0" w:hanging="420" w:hangingChars="200"/>
                    <w:rPr>
                      <w:rFonts w:hint="default"/>
                      <w:sz w:val="21"/>
                      <w:szCs w:val="21"/>
                      <w:lang w:val="en-US" w:eastAsia="zh-CN"/>
                    </w:rPr>
                  </w:pPr>
                  <w:r>
                    <w:rPr>
                      <w:rFonts w:hint="eastAsia"/>
                      <w:sz w:val="21"/>
                      <w:szCs w:val="21"/>
                      <w:lang w:val="en-US" w:eastAsia="zh-CN"/>
                    </w:rPr>
                    <w:t>1年</w:t>
                  </w:r>
                </w:p>
              </w:tc>
            </w:tr>
          </w:tbl>
          <w:p w14:paraId="5C1E7F56">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zh-CN" w:eastAsia="zh-CN"/>
              </w:rPr>
            </w:pPr>
            <w:bookmarkStart w:id="169" w:name="_Toc21899"/>
            <w:r>
              <w:rPr>
                <w:rFonts w:hint="eastAsia"/>
                <w:b/>
                <w:color w:val="262626"/>
                <w:kern w:val="0"/>
                <w:sz w:val="24"/>
                <w:lang w:val="zh-CN" w:eastAsia="zh-CN"/>
              </w:rPr>
              <w:t>4.4.2固废管理要求</w:t>
            </w:r>
            <w:bookmarkEnd w:id="168"/>
            <w:bookmarkEnd w:id="169"/>
          </w:p>
          <w:p w14:paraId="5521F4DC">
            <w:pPr>
              <w:spacing w:line="360" w:lineRule="auto"/>
              <w:ind w:firstLine="480" w:firstLineChars="200"/>
              <w:rPr>
                <w:color w:val="262626"/>
                <w:sz w:val="24"/>
              </w:rPr>
            </w:pPr>
            <w:r>
              <w:rPr>
                <w:rFonts w:hint="eastAsia"/>
                <w:color w:val="262626"/>
                <w:sz w:val="24"/>
              </w:rPr>
              <w:t>本项目在生产过程中产生的</w:t>
            </w:r>
            <w:r>
              <w:rPr>
                <w:rFonts w:hint="eastAsia"/>
                <w:color w:val="262626"/>
                <w:sz w:val="24"/>
                <w:lang w:val="en-US" w:eastAsia="zh-CN"/>
              </w:rPr>
              <w:t>塑料</w:t>
            </w:r>
            <w:r>
              <w:rPr>
                <w:rFonts w:hint="eastAsia"/>
                <w:color w:val="262626"/>
                <w:sz w:val="24"/>
              </w:rPr>
              <w:t>边角料</w:t>
            </w:r>
            <w:r>
              <w:rPr>
                <w:rFonts w:hint="eastAsia"/>
                <w:color w:val="262626"/>
                <w:sz w:val="24"/>
                <w:lang w:val="en-US" w:eastAsia="zh-CN"/>
              </w:rPr>
              <w:t>及次品</w:t>
            </w:r>
            <w:r>
              <w:rPr>
                <w:rFonts w:hint="eastAsia"/>
                <w:color w:val="262626"/>
                <w:sz w:val="24"/>
              </w:rPr>
              <w:t>、废包装材料</w:t>
            </w:r>
            <w:r>
              <w:rPr>
                <w:color w:val="262626"/>
                <w:sz w:val="24"/>
              </w:rPr>
              <w:t>等一般工业固废，经</w:t>
            </w:r>
            <w:r>
              <w:rPr>
                <w:rFonts w:hint="eastAsia"/>
                <w:color w:val="262626"/>
                <w:sz w:val="24"/>
              </w:rPr>
              <w:t>分类</w:t>
            </w:r>
            <w:r>
              <w:rPr>
                <w:color w:val="262626"/>
                <w:sz w:val="24"/>
              </w:rPr>
              <w:t>收集后出售给回收企业回收利用</w:t>
            </w:r>
            <w:r>
              <w:rPr>
                <w:rFonts w:hint="eastAsia"/>
                <w:color w:val="262626"/>
                <w:sz w:val="24"/>
              </w:rPr>
              <w:t>或自行综合利用</w:t>
            </w:r>
            <w:r>
              <w:rPr>
                <w:color w:val="262626"/>
                <w:sz w:val="24"/>
              </w:rPr>
              <w:t>，本评价要求项目产生的一般工业固废应按《一般工业固体废物贮存和填埋污染控制标准》</w:t>
            </w:r>
            <w:r>
              <w:rPr>
                <w:rFonts w:hint="eastAsia"/>
                <w:color w:val="262626"/>
                <w:sz w:val="24"/>
                <w:lang w:eastAsia="zh-CN"/>
              </w:rPr>
              <w:t>（</w:t>
            </w:r>
            <w:r>
              <w:rPr>
                <w:color w:val="262626"/>
                <w:sz w:val="24"/>
              </w:rPr>
              <w:t>GB 18599-2020</w:t>
            </w:r>
            <w:r>
              <w:rPr>
                <w:rFonts w:hint="eastAsia"/>
                <w:color w:val="262626"/>
                <w:sz w:val="24"/>
                <w:lang w:eastAsia="zh-CN"/>
              </w:rPr>
              <w:t>）</w:t>
            </w:r>
            <w:r>
              <w:rPr>
                <w:color w:val="262626"/>
                <w:sz w:val="24"/>
              </w:rPr>
              <w:t>要求进行规范化的</w:t>
            </w:r>
            <w:r>
              <w:rPr>
                <w:rFonts w:hint="eastAsia"/>
                <w:color w:val="262626"/>
                <w:sz w:val="24"/>
              </w:rPr>
              <w:t>暂存管理</w:t>
            </w:r>
            <w:r>
              <w:rPr>
                <w:color w:val="262626"/>
                <w:sz w:val="24"/>
              </w:rPr>
              <w:t>，并做好</w:t>
            </w:r>
            <w:r>
              <w:rPr>
                <w:rFonts w:hint="eastAsia"/>
                <w:color w:val="262626"/>
                <w:sz w:val="24"/>
              </w:rPr>
              <w:t>防雨、防漏、防渗</w:t>
            </w:r>
            <w:r>
              <w:rPr>
                <w:color w:val="262626"/>
                <w:sz w:val="24"/>
              </w:rPr>
              <w:t>等措施。</w:t>
            </w:r>
          </w:p>
          <w:p w14:paraId="0A448CB6">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zh-CN" w:eastAsia="zh-CN"/>
              </w:rPr>
            </w:pPr>
            <w:bookmarkStart w:id="170" w:name="_Toc31113"/>
            <w:bookmarkStart w:id="171" w:name="_Toc30940"/>
            <w:r>
              <w:rPr>
                <w:rFonts w:hint="eastAsia"/>
                <w:b/>
                <w:color w:val="262626"/>
                <w:kern w:val="0"/>
                <w:sz w:val="24"/>
                <w:lang w:val="zh-CN" w:eastAsia="zh-CN"/>
              </w:rPr>
              <w:t>4.4.3危险废物管理要求</w:t>
            </w:r>
            <w:bookmarkEnd w:id="170"/>
            <w:bookmarkEnd w:id="171"/>
          </w:p>
          <w:p w14:paraId="6DE10EC9">
            <w:pPr>
              <w:pStyle w:val="35"/>
              <w:spacing w:line="360" w:lineRule="auto"/>
              <w:ind w:firstLine="480"/>
              <w:rPr>
                <w:rFonts w:ascii="Times New Roman" w:hAnsi="Times New Roman" w:eastAsia="宋体" w:cs="Times New Roman"/>
                <w:color w:val="262626"/>
                <w:kern w:val="2"/>
                <w:sz w:val="24"/>
                <w:szCs w:val="24"/>
                <w:lang w:val="en-US" w:eastAsia="zh-CN" w:bidi="ar-SA"/>
              </w:rPr>
            </w:pPr>
            <w:r>
              <w:rPr>
                <w:rFonts w:hint="eastAsia" w:ascii="Times New Roman" w:hAnsi="Times New Roman" w:eastAsia="宋体" w:cs="Times New Roman"/>
                <w:color w:val="262626"/>
                <w:kern w:val="2"/>
                <w:sz w:val="24"/>
                <w:szCs w:val="24"/>
                <w:lang w:val="en-US" w:eastAsia="zh-CN" w:bidi="ar-SA"/>
              </w:rPr>
              <w:t>本评价要求企业在建设过程中对危废贮存库须进行防渗防漏处理，危废贮存库的建设与管理符合《危险废物贮存污染控制标准》（GB18597-2023）要求，日常按规范要求进行管理，避免发生危废泄漏事故。</w:t>
            </w:r>
          </w:p>
          <w:p w14:paraId="3B40509C">
            <w:pPr>
              <w:spacing w:line="360" w:lineRule="auto"/>
              <w:ind w:firstLine="480" w:firstLineChars="200"/>
              <w:rPr>
                <w:rFonts w:hint="eastAsia"/>
                <w:color w:val="262626"/>
                <w:sz w:val="24"/>
              </w:rPr>
            </w:pPr>
            <w:r>
              <w:rPr>
                <w:rFonts w:hint="eastAsia"/>
                <w:color w:val="262626"/>
                <w:sz w:val="24"/>
                <w:lang w:eastAsia="zh-CN"/>
              </w:rPr>
              <w:t>（</w:t>
            </w:r>
            <w:r>
              <w:rPr>
                <w:rFonts w:hint="eastAsia"/>
                <w:color w:val="262626"/>
                <w:sz w:val="24"/>
                <w:lang w:val="en-US" w:eastAsia="zh-CN"/>
              </w:rPr>
              <w:t>1）</w:t>
            </w:r>
            <w:r>
              <w:rPr>
                <w:rFonts w:hint="eastAsia"/>
                <w:color w:val="262626"/>
                <w:sz w:val="24"/>
              </w:rPr>
              <w:t>危险废物的收集包装</w:t>
            </w:r>
          </w:p>
          <w:p w14:paraId="611B6FCC">
            <w:pPr>
              <w:spacing w:line="360" w:lineRule="auto"/>
              <w:ind w:firstLine="480" w:firstLineChars="200"/>
              <w:rPr>
                <w:rFonts w:hint="eastAsia"/>
                <w:color w:val="262626"/>
                <w:sz w:val="24"/>
              </w:rPr>
            </w:pPr>
            <w:r>
              <w:rPr>
                <w:rFonts w:hint="eastAsia"/>
                <w:color w:val="262626"/>
                <w:sz w:val="24"/>
                <w:lang w:val="en-US" w:eastAsia="zh-CN"/>
              </w:rPr>
              <w:t>①</w:t>
            </w:r>
            <w:r>
              <w:rPr>
                <w:rFonts w:hint="eastAsia"/>
                <w:color w:val="262626"/>
                <w:sz w:val="24"/>
              </w:rPr>
              <w:t>有符合要求的包装容器、收集人员的个人防护设备；</w:t>
            </w:r>
          </w:p>
          <w:p w14:paraId="744E8A17">
            <w:pPr>
              <w:spacing w:line="360" w:lineRule="auto"/>
              <w:ind w:firstLine="480" w:firstLineChars="200"/>
              <w:rPr>
                <w:rFonts w:hint="eastAsia"/>
                <w:color w:val="262626"/>
                <w:sz w:val="24"/>
              </w:rPr>
            </w:pPr>
            <w:r>
              <w:rPr>
                <w:rFonts w:hint="eastAsia"/>
                <w:color w:val="262626"/>
                <w:sz w:val="24"/>
                <w:lang w:val="en-US" w:eastAsia="zh-CN"/>
              </w:rPr>
              <w:t>②</w:t>
            </w:r>
            <w:r>
              <w:rPr>
                <w:rFonts w:hint="eastAsia"/>
                <w:color w:val="262626"/>
                <w:sz w:val="24"/>
              </w:rPr>
              <w:t>危险废物的收集容器应在醒目位置贴有危险废物标签，在收集场所醒目的地方设置危险废物警告标识。</w:t>
            </w:r>
          </w:p>
          <w:p w14:paraId="19EABA98">
            <w:pPr>
              <w:spacing w:line="360" w:lineRule="auto"/>
              <w:ind w:firstLine="480" w:firstLineChars="200"/>
              <w:rPr>
                <w:rFonts w:hint="eastAsia"/>
                <w:color w:val="262626"/>
                <w:sz w:val="24"/>
              </w:rPr>
            </w:pPr>
            <w:r>
              <w:rPr>
                <w:rFonts w:hint="eastAsia"/>
                <w:color w:val="262626"/>
                <w:sz w:val="24"/>
                <w:lang w:val="en-US" w:eastAsia="zh-CN"/>
              </w:rPr>
              <w:t>③</w:t>
            </w:r>
            <w:r>
              <w:rPr>
                <w:rFonts w:hint="eastAsia"/>
                <w:color w:val="262626"/>
                <w:sz w:val="24"/>
              </w:rPr>
              <w:t xml:space="preserve">危险废物标签应标明以下信息：主要化学成分或危险废物名称、数量、物理形态、危险类别、安全措施以及危险废物产生单位名称、地址、联系人及电话。 </w:t>
            </w:r>
          </w:p>
          <w:p w14:paraId="66230DB1">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lang w:eastAsia="zh-CN"/>
              </w:rPr>
              <w:t>（</w:t>
            </w:r>
            <w:r>
              <w:rPr>
                <w:rFonts w:hint="eastAsia" w:ascii="Times New Roman" w:hAnsi="Times New Roman" w:eastAsia="宋体" w:cs="Times New Roman"/>
                <w:color w:val="262626"/>
                <w:sz w:val="24"/>
                <w:lang w:val="en-US" w:eastAsia="zh-CN"/>
              </w:rPr>
              <w:t>2）</w:t>
            </w:r>
            <w:r>
              <w:rPr>
                <w:rFonts w:hint="eastAsia" w:ascii="Times New Roman" w:hAnsi="Times New Roman" w:eastAsia="宋体" w:cs="Times New Roman"/>
                <w:color w:val="262626"/>
                <w:sz w:val="24"/>
              </w:rPr>
              <w:t>危险废物的暂存要求</w:t>
            </w:r>
          </w:p>
          <w:p w14:paraId="64731189">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a.一般规定：</w:t>
            </w:r>
          </w:p>
          <w:p w14:paraId="46255CAC">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①应根据危险废物的形态、物理化学性质、包装形式和污染物迁移途径，采取必要的防风、防晒、防雨、防漏、防渗、防腐以及其他环境污染防治措施，不应露天堆放危险废物；</w:t>
            </w:r>
          </w:p>
          <w:p w14:paraId="4EDBD6D4">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②应根据危险废物的类别、数量、形态、物理化学性质和污染防治等要求设置必要的贮存分区，避免不相容的危险废物接触、混合；</w:t>
            </w:r>
          </w:p>
          <w:p w14:paraId="4F329746">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③地面、墙面</w:t>
            </w:r>
            <w:r>
              <w:rPr>
                <w:rFonts w:hint="eastAsia" w:cs="Times New Roman"/>
                <w:color w:val="262626"/>
                <w:sz w:val="24"/>
                <w:lang w:eastAsia="zh-CN"/>
              </w:rPr>
              <w:t>裙角</w:t>
            </w:r>
            <w:r>
              <w:rPr>
                <w:rFonts w:hint="eastAsia" w:ascii="Times New Roman" w:hAnsi="Times New Roman" w:eastAsia="宋体" w:cs="Times New Roman"/>
                <w:color w:val="262626"/>
                <w:sz w:val="24"/>
              </w:rPr>
              <w:t>、堵截泄漏的围堰、接触危险废物的隔板和墙体等应采用坚固的材料建造，表面无裂缝；</w:t>
            </w:r>
          </w:p>
          <w:p w14:paraId="3F4275EE">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④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ascii="Times New Roman" w:hAnsi="Times New Roman" w:eastAsia="宋体" w:cs="Times New Roman"/>
                <w:color w:val="262626"/>
                <w:sz w:val="24"/>
                <w:vertAlign w:val="superscript"/>
              </w:rPr>
              <w:t>-7</w:t>
            </w:r>
            <w:r>
              <w:rPr>
                <w:rFonts w:hint="eastAsia" w:ascii="Times New Roman" w:hAnsi="Times New Roman" w:eastAsia="宋体" w:cs="Times New Roman"/>
                <w:color w:val="262626"/>
                <w:sz w:val="24"/>
              </w:rPr>
              <w:t>cm/s），或至少2mm厚高密度聚乙烯膜等人工防渗材料（渗透系数不大于10</w:t>
            </w:r>
            <w:r>
              <w:rPr>
                <w:rFonts w:hint="eastAsia" w:ascii="Times New Roman" w:hAnsi="Times New Roman" w:eastAsia="宋体" w:cs="Times New Roman"/>
                <w:color w:val="262626"/>
                <w:sz w:val="24"/>
                <w:vertAlign w:val="superscript"/>
              </w:rPr>
              <w:t>-10</w:t>
            </w:r>
            <w:r>
              <w:rPr>
                <w:rFonts w:hint="eastAsia" w:ascii="Times New Roman" w:hAnsi="Times New Roman" w:eastAsia="宋体" w:cs="Times New Roman"/>
                <w:color w:val="262626"/>
                <w:sz w:val="24"/>
              </w:rPr>
              <w:t>cm/s），或其他防渗性能等效的材料；</w:t>
            </w:r>
          </w:p>
          <w:p w14:paraId="79B8B8D4">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⑤应采取技术和管理措施防止无关人员进入。</w:t>
            </w:r>
          </w:p>
          <w:p w14:paraId="1BD9CDA9">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lang w:val="en-US" w:eastAsia="zh-CN"/>
              </w:rPr>
              <w:t>（3）</w:t>
            </w:r>
            <w:r>
              <w:rPr>
                <w:rFonts w:hint="eastAsia" w:ascii="Times New Roman" w:hAnsi="Times New Roman" w:eastAsia="宋体" w:cs="Times New Roman"/>
                <w:color w:val="262626"/>
                <w:sz w:val="24"/>
              </w:rPr>
              <w:t>危险废物转移要求</w:t>
            </w:r>
          </w:p>
          <w:p w14:paraId="08B5A879">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根据《危险废物转移管理办法》，危险废物转移过程应满足以下要求：</w:t>
            </w:r>
          </w:p>
          <w:p w14:paraId="6499C999">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①危险废物转移联单应当根据危险废物管理计划中填报的危险废物转移等备案信息填写、运行。</w:t>
            </w:r>
          </w:p>
          <w:p w14:paraId="02D52A35">
            <w:pPr>
              <w:pStyle w:val="63"/>
              <w:ind w:firstLine="480"/>
              <w:jc w:val="left"/>
              <w:rPr>
                <w:rFonts w:hint="eastAsia"/>
                <w:color w:val="auto"/>
              </w:rPr>
            </w:pPr>
            <w:r>
              <w:rPr>
                <w:color w:val="auto"/>
                <w:szCs w:val="24"/>
              </w:rPr>
              <w:t>②</w:t>
            </w:r>
            <w:r>
              <w:rPr>
                <w:rFonts w:hint="eastAsia"/>
                <w:color w:val="auto"/>
              </w:rPr>
              <w:t>危险废物转移联单实行全国统一编号，编号由十四位阿拉伯数字组成。</w:t>
            </w:r>
          </w:p>
          <w:p w14:paraId="6CEB878A">
            <w:pPr>
              <w:pStyle w:val="63"/>
              <w:ind w:firstLine="480"/>
              <w:jc w:val="left"/>
              <w:rPr>
                <w:rFonts w:hint="eastAsia"/>
                <w:color w:val="auto"/>
              </w:rPr>
            </w:pPr>
            <w:r>
              <w:rPr>
                <w:color w:val="auto"/>
                <w:szCs w:val="24"/>
              </w:rPr>
              <w:t>③</w:t>
            </w:r>
            <w:r>
              <w:rPr>
                <w:rFonts w:hint="eastAsia"/>
                <w:color w:val="auto"/>
              </w:rPr>
              <w:t>移出人每转移一车（船或者其他运输工具）次同类危险废物，应当填写运行一份危险废物转移联单；每车（船或者其他运输工具）次转移多类危险废物的，可以填写、运行一份危险废物转移联单，也可以每一类危险废物填写、运行一份危险废物转移联单。使用同一车（船或者其他运输工具）一次为多个移出人转移危险废物的，每个移出人应当分别填写、运行危险废物转移联单。</w:t>
            </w:r>
          </w:p>
          <w:p w14:paraId="710F58F4">
            <w:pPr>
              <w:pStyle w:val="63"/>
              <w:ind w:firstLine="480"/>
              <w:jc w:val="left"/>
              <w:rPr>
                <w:rFonts w:hint="eastAsia"/>
                <w:color w:val="auto"/>
              </w:rPr>
            </w:pPr>
            <w:r>
              <w:rPr>
                <w:color w:val="auto"/>
                <w:szCs w:val="24"/>
              </w:rPr>
              <w:t>④</w:t>
            </w:r>
            <w:r>
              <w:rPr>
                <w:rFonts w:hint="eastAsia"/>
                <w:color w:val="auto"/>
              </w:rPr>
              <w:t>采用联运方式转移危险废物的，前一承运人和后一承运人应当明确运输交接的时间和地点。后一承运人应当核实危险废物转移联单确定的移出人信息、前一承运人信息及危险废物相关信息。</w:t>
            </w:r>
          </w:p>
          <w:p w14:paraId="48C82FD8">
            <w:pPr>
              <w:pStyle w:val="63"/>
              <w:ind w:firstLine="480"/>
              <w:jc w:val="left"/>
              <w:rPr>
                <w:rFonts w:hint="eastAsia"/>
                <w:color w:val="auto"/>
              </w:rPr>
            </w:pPr>
            <w:r>
              <w:rPr>
                <w:rFonts w:hint="eastAsia"/>
                <w:color w:val="auto"/>
                <w:lang w:val="en-US" w:eastAsia="zh-CN"/>
              </w:rPr>
              <w:t>⑤接收</w:t>
            </w:r>
            <w:r>
              <w:rPr>
                <w:rFonts w:hint="eastAsia"/>
                <w:color w:val="auto"/>
              </w:rPr>
              <w:t>人应当对运抵的危险废物进行核实验收，并在</w:t>
            </w:r>
            <w:r>
              <w:rPr>
                <w:rFonts w:hint="eastAsia"/>
                <w:color w:val="auto"/>
                <w:lang w:eastAsia="zh-CN"/>
              </w:rPr>
              <w:t>接收</w:t>
            </w:r>
            <w:r>
              <w:rPr>
                <w:rFonts w:hint="eastAsia"/>
                <w:color w:val="auto"/>
              </w:rPr>
              <w:t>之日起五个工作日内通过信息系统确认</w:t>
            </w:r>
            <w:r>
              <w:rPr>
                <w:rFonts w:hint="eastAsia"/>
                <w:color w:val="auto"/>
                <w:lang w:eastAsia="zh-CN"/>
              </w:rPr>
              <w:t>接收</w:t>
            </w:r>
            <w:r>
              <w:rPr>
                <w:rFonts w:hint="eastAsia"/>
                <w:color w:val="auto"/>
              </w:rPr>
              <w:t>。运抵的危险废物的名称、数量、特性、形态、包装方式与危险废物转移联单填写内容不符的，接受人应当及时告知移出人，视情况决定是否接受，同时向接受地生态环境主管部门报告。</w:t>
            </w:r>
          </w:p>
          <w:p w14:paraId="6A5AA413">
            <w:pPr>
              <w:pStyle w:val="63"/>
              <w:ind w:firstLine="480"/>
              <w:jc w:val="left"/>
              <w:rPr>
                <w:rFonts w:hint="eastAsia" w:ascii="Times New Roman" w:hAnsi="Times New Roman" w:eastAsia="宋体" w:cs="Times New Roman"/>
                <w:color w:val="auto"/>
              </w:rPr>
            </w:pPr>
            <w:r>
              <w:rPr>
                <w:rFonts w:hint="eastAsia"/>
                <w:color w:val="auto"/>
                <w:lang w:val="en-US" w:eastAsia="zh-CN"/>
              </w:rPr>
              <w:t>⑥</w:t>
            </w:r>
            <w:r>
              <w:rPr>
                <w:rFonts w:hint="eastAsia"/>
                <w:color w:val="auto"/>
              </w:rPr>
              <w:t>危险废物电子转移联单数据应当在信息系统中至少保存十年。因特殊原因无法运行危险废物电子转移联单的，可以先使用纸质转移联单，并于转移活动完成后</w:t>
            </w:r>
            <w:r>
              <w:rPr>
                <w:rFonts w:hint="eastAsia" w:ascii="Times New Roman" w:hAnsi="Times New Roman" w:eastAsia="宋体" w:cs="Times New Roman"/>
                <w:color w:val="auto"/>
              </w:rPr>
              <w:t>十个工作日内在信息系统中补录电子转移联单。</w:t>
            </w:r>
          </w:p>
          <w:p w14:paraId="7D216089">
            <w:pPr>
              <w:pStyle w:val="63"/>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rPr>
              <w:t>运输过程要求</w:t>
            </w:r>
          </w:p>
          <w:p w14:paraId="3D68225E">
            <w:pPr>
              <w:pStyle w:val="63"/>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危险废物运输和转移过</w:t>
            </w:r>
            <w:r>
              <w:rPr>
                <w:rFonts w:hint="eastAsia" w:cs="Times New Roman"/>
                <w:color w:val="auto"/>
                <w:lang w:eastAsia="zh-CN"/>
              </w:rPr>
              <w:t>程中</w:t>
            </w:r>
            <w:r>
              <w:rPr>
                <w:rFonts w:hint="eastAsia" w:ascii="Times New Roman" w:hAnsi="Times New Roman" w:eastAsia="宋体" w:cs="Times New Roman"/>
                <w:color w:val="auto"/>
              </w:rPr>
              <w:t>需注意：</w:t>
            </w:r>
          </w:p>
          <w:p w14:paraId="37CAFF02">
            <w:pPr>
              <w:pStyle w:val="63"/>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①危险废物运输单位必须具备相应的条件和能力；</w:t>
            </w:r>
          </w:p>
          <w:p w14:paraId="4CC957EE">
            <w:pPr>
              <w:pStyle w:val="63"/>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②需和负责运输的单位签订安全环保责任状，保证分工明确，责任到位；</w:t>
            </w:r>
          </w:p>
          <w:p w14:paraId="691AD1B0">
            <w:pPr>
              <w:pStyle w:val="63"/>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③危险废物的转移按国家关于危险废物管理办法运输，避免和减缓转移过程的环境风险。</w:t>
            </w:r>
          </w:p>
          <w:p w14:paraId="44EB5D10">
            <w:pPr>
              <w:pStyle w:val="63"/>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另外，危险废物处置或利用单位必须具备相应的能力和资质，不允许将危险废物出售给没有加工或使用能力的单位和个人，废物处理之前需要对其生产技术、设备、加工处理能力进行考察，保证不会产生二次污染，废物处理之后还要进行跟踪，以便及时得到反馈信息并处理遗留问题。</w:t>
            </w:r>
          </w:p>
          <w:p w14:paraId="65C15DAC">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172" w:name="_Toc5496"/>
            <w:bookmarkStart w:id="173" w:name="_Toc26263"/>
            <w:r>
              <w:rPr>
                <w:rFonts w:hint="eastAsia" w:ascii="Times New Roman" w:hAnsi="Times New Roman" w:eastAsia="宋体" w:cs="Times New Roman"/>
                <w:color w:val="auto"/>
                <w:sz w:val="28"/>
                <w:szCs w:val="28"/>
                <w:u w:val="none"/>
                <w:lang w:val="en-US" w:eastAsia="zh-CN"/>
              </w:rPr>
              <w:t>4.5地下水、土壤环境影响和保护措施</w:t>
            </w:r>
            <w:bookmarkEnd w:id="172"/>
            <w:bookmarkEnd w:id="173"/>
          </w:p>
          <w:p w14:paraId="4CFC4F21">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zh-CN" w:eastAsia="zh-CN"/>
              </w:rPr>
            </w:pPr>
            <w:bookmarkStart w:id="174" w:name="_Toc3556"/>
            <w:bookmarkStart w:id="175" w:name="_Toc22084"/>
            <w:r>
              <w:rPr>
                <w:rFonts w:hint="eastAsia"/>
                <w:b/>
                <w:color w:val="262626"/>
                <w:kern w:val="0"/>
                <w:sz w:val="24"/>
                <w:lang w:val="zh-CN" w:eastAsia="zh-CN"/>
              </w:rPr>
              <w:t>4.5.1 地下水、土壤环境影响分析</w:t>
            </w:r>
            <w:bookmarkEnd w:id="174"/>
            <w:bookmarkEnd w:id="175"/>
          </w:p>
          <w:p w14:paraId="44352099">
            <w:pPr>
              <w:pStyle w:val="57"/>
              <w:spacing w:line="360" w:lineRule="auto"/>
              <w:ind w:firstLine="480"/>
              <w:rPr>
                <w:rFonts w:hint="eastAsia" w:ascii="Times New Roman" w:hAnsi="Times New Roman"/>
                <w:bCs w:val="0"/>
                <w:color w:val="262626"/>
                <w:szCs w:val="24"/>
              </w:rPr>
            </w:pPr>
            <w:r>
              <w:rPr>
                <w:rFonts w:hint="eastAsia" w:ascii="Times New Roman" w:hAnsi="Times New Roman"/>
                <w:bCs w:val="0"/>
                <w:color w:val="262626"/>
                <w:szCs w:val="24"/>
              </w:rPr>
              <w:t>地下水环境：</w:t>
            </w:r>
            <w:r>
              <w:rPr>
                <w:rFonts w:ascii="Times New Roman" w:hAnsi="Times New Roman"/>
                <w:bCs w:val="0"/>
                <w:color w:val="262626"/>
                <w:szCs w:val="24"/>
              </w:rPr>
              <w:t>本项目生活用水全部采用自来水，不取用地下水，项目对区域地下水环境可能造成影响的污染源主要是化粪池、危废暂存间。</w:t>
            </w:r>
            <w:r>
              <w:rPr>
                <w:rFonts w:hint="eastAsia" w:ascii="Times New Roman" w:hAnsi="Times New Roman"/>
                <w:bCs w:val="0"/>
                <w:color w:val="262626"/>
                <w:szCs w:val="24"/>
              </w:rPr>
              <w:t>主要影响途径为</w:t>
            </w:r>
            <w:r>
              <w:rPr>
                <w:rFonts w:ascii="Times New Roman" w:hAnsi="Times New Roman"/>
                <w:bCs w:val="0"/>
                <w:color w:val="262626"/>
                <w:szCs w:val="24"/>
              </w:rPr>
              <w:t>化粪池</w:t>
            </w:r>
            <w:r>
              <w:rPr>
                <w:rFonts w:hint="eastAsia" w:ascii="Times New Roman" w:hAnsi="Times New Roman"/>
                <w:bCs w:val="0"/>
                <w:color w:val="262626"/>
                <w:szCs w:val="24"/>
              </w:rPr>
              <w:t>、</w:t>
            </w:r>
            <w:r>
              <w:rPr>
                <w:rFonts w:hint="eastAsia"/>
                <w:bCs w:val="0"/>
                <w:color w:val="262626"/>
                <w:szCs w:val="24"/>
                <w:lang w:val="en-US" w:eastAsia="zh-CN"/>
              </w:rPr>
              <w:t>危险废物贮存</w:t>
            </w:r>
            <w:r>
              <w:rPr>
                <w:rFonts w:ascii="Times New Roman" w:hAnsi="Times New Roman"/>
                <w:bCs w:val="0"/>
                <w:color w:val="262626"/>
                <w:szCs w:val="24"/>
              </w:rPr>
              <w:t>场地、污水管网系统堵塞、管道破裂破损情况下等污水下渗对地下水造成的污染</w:t>
            </w:r>
            <w:r>
              <w:rPr>
                <w:rFonts w:hint="eastAsia" w:ascii="Times New Roman" w:hAnsi="Times New Roman"/>
                <w:bCs w:val="0"/>
                <w:color w:val="262626"/>
                <w:szCs w:val="24"/>
              </w:rPr>
              <w:t>。</w:t>
            </w:r>
          </w:p>
          <w:p w14:paraId="1D878498">
            <w:pPr>
              <w:pStyle w:val="57"/>
              <w:spacing w:line="360" w:lineRule="auto"/>
              <w:ind w:firstLine="480"/>
              <w:rPr>
                <w:rFonts w:ascii="Times New Roman" w:hAnsi="Times New Roman"/>
                <w:bCs w:val="0"/>
                <w:color w:val="262626"/>
                <w:szCs w:val="24"/>
              </w:rPr>
            </w:pPr>
            <w:r>
              <w:rPr>
                <w:rFonts w:hint="eastAsia" w:ascii="Times New Roman" w:hAnsi="Times New Roman"/>
                <w:bCs w:val="0"/>
                <w:color w:val="262626"/>
                <w:szCs w:val="24"/>
              </w:rPr>
              <w:t>土壤环境：</w:t>
            </w:r>
            <w:r>
              <w:rPr>
                <w:rFonts w:ascii="Times New Roman" w:hAnsi="Times New Roman"/>
                <w:bCs w:val="0"/>
                <w:color w:val="262626"/>
                <w:szCs w:val="24"/>
              </w:rPr>
              <w:t>项目对区域</w:t>
            </w:r>
            <w:r>
              <w:rPr>
                <w:rFonts w:hint="eastAsia" w:ascii="Times New Roman" w:hAnsi="Times New Roman"/>
                <w:bCs w:val="0"/>
                <w:color w:val="262626"/>
                <w:szCs w:val="24"/>
              </w:rPr>
              <w:t>土壤</w:t>
            </w:r>
            <w:r>
              <w:rPr>
                <w:rFonts w:ascii="Times New Roman" w:hAnsi="Times New Roman"/>
                <w:bCs w:val="0"/>
                <w:color w:val="262626"/>
                <w:szCs w:val="24"/>
              </w:rPr>
              <w:t>环境可能造成影响的污染源主要是</w:t>
            </w:r>
            <w:r>
              <w:rPr>
                <w:rFonts w:hint="eastAsia" w:ascii="Times New Roman" w:hAnsi="Times New Roman"/>
                <w:bCs w:val="0"/>
                <w:color w:val="262626"/>
                <w:szCs w:val="24"/>
              </w:rPr>
              <w:t>生产产生的有机废气沉降、</w:t>
            </w:r>
            <w:r>
              <w:rPr>
                <w:rFonts w:ascii="Times New Roman" w:hAnsi="Times New Roman"/>
                <w:bCs w:val="0"/>
                <w:color w:val="262626"/>
                <w:szCs w:val="24"/>
              </w:rPr>
              <w:t>化粪池、危废暂存间。</w:t>
            </w:r>
            <w:r>
              <w:rPr>
                <w:rFonts w:hint="eastAsia" w:ascii="Times New Roman" w:hAnsi="Times New Roman"/>
                <w:bCs w:val="0"/>
                <w:color w:val="262626"/>
                <w:szCs w:val="24"/>
              </w:rPr>
              <w:t>主要影响途径为</w:t>
            </w:r>
            <w:r>
              <w:rPr>
                <w:rFonts w:ascii="Times New Roman" w:hAnsi="Times New Roman"/>
                <w:bCs w:val="0"/>
                <w:color w:val="262626"/>
                <w:szCs w:val="24"/>
              </w:rPr>
              <w:t>有机废气大气沉降影响，以及废水设施及排放管道发生泄漏和危险废物贮存、运输过程中发生泄漏或渗漏，污染因子受土壤的截留作用，因而改变土壤理化性质，影响植物的生长和发育</w:t>
            </w:r>
            <w:r>
              <w:rPr>
                <w:rFonts w:hint="eastAsia" w:ascii="Times New Roman" w:hAnsi="Times New Roman"/>
                <w:bCs w:val="0"/>
                <w:color w:val="262626"/>
                <w:szCs w:val="24"/>
              </w:rPr>
              <w:t>。</w:t>
            </w:r>
          </w:p>
          <w:p w14:paraId="27F7EE3C">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zh-CN" w:eastAsia="zh-CN"/>
              </w:rPr>
            </w:pPr>
            <w:bookmarkStart w:id="176" w:name="_Toc21544"/>
            <w:bookmarkStart w:id="177" w:name="_Toc19666"/>
            <w:r>
              <w:rPr>
                <w:rFonts w:hint="eastAsia"/>
                <w:b/>
                <w:color w:val="262626"/>
                <w:kern w:val="0"/>
                <w:sz w:val="24"/>
                <w:lang w:val="zh-CN" w:eastAsia="zh-CN"/>
              </w:rPr>
              <w:t>4.5.2 地下水、土壤环境防控措施</w:t>
            </w:r>
            <w:bookmarkEnd w:id="176"/>
            <w:bookmarkEnd w:id="177"/>
          </w:p>
          <w:p w14:paraId="1A0C7112">
            <w:pPr>
              <w:pStyle w:val="57"/>
              <w:spacing w:line="360" w:lineRule="auto"/>
              <w:ind w:firstLine="480"/>
              <w:rPr>
                <w:rFonts w:ascii="Times New Roman" w:hAnsi="Times New Roman"/>
                <w:szCs w:val="24"/>
              </w:rPr>
            </w:pPr>
            <w:r>
              <w:rPr>
                <w:rFonts w:hint="eastAsia" w:ascii="Times New Roman" w:hAnsi="Times New Roman"/>
                <w:szCs w:val="24"/>
              </w:rPr>
              <w:t>（</w:t>
            </w:r>
            <w:r>
              <w:rPr>
                <w:rFonts w:ascii="Times New Roman" w:hAnsi="Times New Roman"/>
                <w:szCs w:val="24"/>
              </w:rPr>
              <w:t>1）重点污染区防渗措施为：</w:t>
            </w:r>
            <w:r>
              <w:rPr>
                <w:rFonts w:ascii="Times New Roman" w:hAnsi="Times New Roman"/>
                <w:color w:val="262626"/>
                <w:kern w:val="0"/>
              </w:rPr>
              <w:t>根据《环境影响评价技术导则地下水环境》</w:t>
            </w:r>
            <w:r>
              <w:rPr>
                <w:rFonts w:hint="eastAsia"/>
                <w:color w:val="262626"/>
                <w:kern w:val="0"/>
                <w:lang w:eastAsia="zh-CN"/>
              </w:rPr>
              <w:t>（</w:t>
            </w:r>
            <w:r>
              <w:rPr>
                <w:rFonts w:ascii="Times New Roman" w:hAnsi="Times New Roman"/>
                <w:color w:val="262626"/>
                <w:kern w:val="0"/>
              </w:rPr>
              <w:t>HJ610-2016</w:t>
            </w:r>
            <w:r>
              <w:rPr>
                <w:rFonts w:hint="eastAsia"/>
                <w:color w:val="262626"/>
                <w:kern w:val="0"/>
                <w:lang w:eastAsia="zh-CN"/>
              </w:rPr>
              <w:t>）</w:t>
            </w:r>
            <w:r>
              <w:rPr>
                <w:rFonts w:ascii="Times New Roman" w:hAnsi="Times New Roman"/>
                <w:color w:val="262626"/>
                <w:kern w:val="0"/>
              </w:rPr>
              <w:t>的要求，重点防治区的防渗性能应等效黏土防渗层≥6.0m，渗透系数≤1.0×10</w:t>
            </w:r>
            <w:r>
              <w:rPr>
                <w:rFonts w:ascii="Times New Roman" w:hAnsi="Times New Roman"/>
                <w:color w:val="262626"/>
                <w:kern w:val="0"/>
                <w:vertAlign w:val="superscript"/>
              </w:rPr>
              <w:t>-7</w:t>
            </w:r>
            <w:r>
              <w:rPr>
                <w:rFonts w:ascii="Times New Roman" w:hAnsi="Times New Roman"/>
                <w:color w:val="262626"/>
                <w:kern w:val="0"/>
              </w:rPr>
              <w:t>cm/s。危险废物暂存场重点防渗区应按照《危险废物污染防治技术政策》及</w:t>
            </w:r>
            <w:r>
              <w:rPr>
                <w:rFonts w:ascii="Times New Roman" w:hAnsi="Times New Roman"/>
                <w:color w:val="262626"/>
              </w:rPr>
              <w:t>《危险废物贮存污染控制标准》</w:t>
            </w:r>
            <w:r>
              <w:rPr>
                <w:rFonts w:hint="eastAsia"/>
                <w:color w:val="262626"/>
                <w:lang w:eastAsia="zh-CN"/>
              </w:rPr>
              <w:t>（</w:t>
            </w:r>
            <w:r>
              <w:rPr>
                <w:rFonts w:ascii="Times New Roman" w:hAnsi="Times New Roman"/>
                <w:color w:val="262626"/>
              </w:rPr>
              <w:t>GB18597-2023</w:t>
            </w:r>
            <w:r>
              <w:rPr>
                <w:rFonts w:hint="eastAsia"/>
                <w:color w:val="262626"/>
                <w:lang w:eastAsia="zh-CN"/>
              </w:rPr>
              <w:t>）</w:t>
            </w:r>
            <w:r>
              <w:rPr>
                <w:rFonts w:ascii="Times New Roman" w:hAnsi="Times New Roman"/>
                <w:color w:val="262626"/>
                <w:kern w:val="0"/>
              </w:rPr>
              <w:t>等危险废物处理的相关标准、法律法规的要求</w:t>
            </w:r>
            <w:r>
              <w:rPr>
                <w:rFonts w:ascii="Times New Roman" w:hAnsi="Times New Roman"/>
                <w:szCs w:val="24"/>
              </w:rPr>
              <w:t>；</w:t>
            </w:r>
          </w:p>
          <w:p w14:paraId="78A447C3">
            <w:pPr>
              <w:pStyle w:val="57"/>
              <w:spacing w:line="360" w:lineRule="auto"/>
              <w:ind w:firstLine="480"/>
              <w:rPr>
                <w:color w:val="262626"/>
              </w:rPr>
            </w:pPr>
            <w:bookmarkStart w:id="178" w:name="_Toc3195"/>
            <w:bookmarkStart w:id="179" w:name="_Toc9711"/>
            <w:bookmarkStart w:id="180" w:name="_Toc15205"/>
            <w:bookmarkStart w:id="181" w:name="_Toc12701"/>
            <w:bookmarkStart w:id="182" w:name="_Toc19130"/>
            <w:r>
              <w:rPr>
                <w:rFonts w:ascii="Times New Roman" w:hAnsi="Times New Roman"/>
                <w:szCs w:val="24"/>
              </w:rPr>
              <w:t>（2）一般污染区防渗措施：</w:t>
            </w:r>
            <w:r>
              <w:rPr>
                <w:rFonts w:ascii="Times New Roman" w:hAnsi="Times New Roman"/>
                <w:color w:val="262626"/>
                <w:szCs w:val="24"/>
              </w:rPr>
              <w:t>一般工业固废间、项目生产车间、</w:t>
            </w:r>
            <w:r>
              <w:rPr>
                <w:rFonts w:ascii="Times New Roman" w:hAnsi="Times New Roman"/>
                <w:szCs w:val="24"/>
              </w:rPr>
              <w:t>化粪池地面采取防渗水泥固化。</w:t>
            </w:r>
            <w:r>
              <w:rPr>
                <w:rFonts w:ascii="Times New Roman" w:hAnsi="Times New Roman"/>
                <w:color w:val="262626"/>
                <w:kern w:val="0"/>
              </w:rPr>
              <w:t>根据《环境影响评价技术导则地下水环境》</w:t>
            </w:r>
            <w:r>
              <w:rPr>
                <w:rFonts w:hint="eastAsia"/>
                <w:color w:val="262626"/>
                <w:kern w:val="0"/>
                <w:lang w:eastAsia="zh-CN"/>
              </w:rPr>
              <w:t>（</w:t>
            </w:r>
            <w:r>
              <w:rPr>
                <w:rFonts w:ascii="Times New Roman" w:hAnsi="Times New Roman"/>
                <w:color w:val="262626"/>
                <w:kern w:val="0"/>
              </w:rPr>
              <w:t>HJ610-2016</w:t>
            </w:r>
            <w:r>
              <w:rPr>
                <w:rFonts w:hint="eastAsia"/>
                <w:color w:val="262626"/>
                <w:kern w:val="0"/>
                <w:lang w:eastAsia="zh-CN"/>
              </w:rPr>
              <w:t>）</w:t>
            </w:r>
            <w:r>
              <w:rPr>
                <w:rFonts w:ascii="Times New Roman" w:hAnsi="Times New Roman"/>
                <w:color w:val="262626"/>
                <w:kern w:val="0"/>
              </w:rPr>
              <w:t>，一般防渗区的防渗性能等效黏土防渗层≥1.5m，渗透系数≤1.0×10</w:t>
            </w:r>
            <w:r>
              <w:rPr>
                <w:rFonts w:ascii="Times New Roman" w:hAnsi="Times New Roman"/>
                <w:color w:val="262626"/>
                <w:kern w:val="0"/>
                <w:vertAlign w:val="superscript"/>
              </w:rPr>
              <w:t>-7</w:t>
            </w:r>
            <w:r>
              <w:rPr>
                <w:rFonts w:ascii="Times New Roman" w:hAnsi="Times New Roman"/>
                <w:color w:val="262626"/>
                <w:kern w:val="0"/>
              </w:rPr>
              <w:t>cm/s。一般工业固体废物暂存场一般防渗区应按照</w:t>
            </w:r>
            <w:r>
              <w:rPr>
                <w:rFonts w:ascii="Times New Roman" w:hAnsi="Times New Roman"/>
                <w:color w:val="262626"/>
              </w:rPr>
              <w:t>《一般工业固体废物贮存和填埋污染控制标准》</w:t>
            </w:r>
            <w:r>
              <w:rPr>
                <w:rFonts w:hint="eastAsia"/>
                <w:color w:val="262626"/>
                <w:lang w:eastAsia="zh-CN"/>
              </w:rPr>
              <w:t>（</w:t>
            </w:r>
            <w:r>
              <w:rPr>
                <w:rFonts w:ascii="Times New Roman" w:hAnsi="Times New Roman"/>
                <w:color w:val="262626"/>
              </w:rPr>
              <w:t>GB 18599-2020</w:t>
            </w:r>
            <w:r>
              <w:rPr>
                <w:rFonts w:hint="eastAsia"/>
                <w:color w:val="262626"/>
                <w:lang w:eastAsia="zh-CN"/>
              </w:rPr>
              <w:t>）</w:t>
            </w:r>
            <w:r>
              <w:rPr>
                <w:rFonts w:ascii="Times New Roman" w:hAnsi="Times New Roman"/>
                <w:color w:val="262626"/>
              </w:rPr>
              <w:t>中要求</w:t>
            </w:r>
            <w:r>
              <w:rPr>
                <w:rFonts w:ascii="Times New Roman" w:hAnsi="Times New Roman"/>
                <w:color w:val="262626"/>
                <w:kern w:val="0"/>
              </w:rPr>
              <w:t>进行设计</w:t>
            </w:r>
            <w:r>
              <w:rPr>
                <w:rFonts w:hint="eastAsia"/>
                <w:color w:val="262626"/>
                <w:kern w:val="0"/>
                <w:lang w:eastAsia="zh-CN"/>
              </w:rPr>
              <w:t>且</w:t>
            </w:r>
            <w:r>
              <w:rPr>
                <w:rFonts w:ascii="Times New Roman" w:hAnsi="Times New Roman"/>
                <w:color w:val="262626"/>
              </w:rPr>
              <w:t>具有防雨、防渗、防</w:t>
            </w:r>
            <w:r>
              <w:rPr>
                <w:color w:val="262626"/>
              </w:rPr>
              <w:t>风、防日晒的功能。</w:t>
            </w:r>
          </w:p>
          <w:bookmarkEnd w:id="178"/>
          <w:bookmarkEnd w:id="179"/>
          <w:bookmarkEnd w:id="180"/>
          <w:bookmarkEnd w:id="181"/>
          <w:bookmarkEnd w:id="182"/>
          <w:p w14:paraId="4087ADEA">
            <w:pPr>
              <w:pStyle w:val="57"/>
              <w:spacing w:line="360" w:lineRule="auto"/>
              <w:ind w:firstLine="480"/>
              <w:rPr>
                <w:rFonts w:hint="eastAsia" w:ascii="Times New Roman" w:hAnsi="Times New Roman"/>
                <w:szCs w:val="24"/>
              </w:rPr>
            </w:pPr>
            <w:r>
              <w:rPr>
                <w:rFonts w:ascii="Times New Roman" w:hAnsi="Times New Roman"/>
                <w:szCs w:val="24"/>
              </w:rPr>
              <w:t>（3）污水管网系统堵塞、管道破裂、破损情况</w:t>
            </w:r>
            <w:r>
              <w:rPr>
                <w:rFonts w:hint="eastAsia"/>
                <w:szCs w:val="24"/>
                <w:lang w:eastAsia="zh-CN"/>
              </w:rPr>
              <w:t>下</w:t>
            </w:r>
            <w:r>
              <w:rPr>
                <w:rFonts w:ascii="Times New Roman" w:hAnsi="Times New Roman"/>
                <w:szCs w:val="24"/>
              </w:rPr>
              <w:t>污水下渗可能会对地下水造成污染，但这种情况发生的</w:t>
            </w:r>
            <w:r>
              <w:rPr>
                <w:rFonts w:hint="eastAsia"/>
                <w:szCs w:val="24"/>
                <w:lang w:eastAsia="zh-CN"/>
              </w:rPr>
              <w:t>概率</w:t>
            </w:r>
            <w:r>
              <w:rPr>
                <w:rFonts w:ascii="Times New Roman" w:hAnsi="Times New Roman"/>
                <w:szCs w:val="24"/>
              </w:rPr>
              <w:t>很小，其避免措施是：在污水管道设计中，要选择适当的设计流速和充满度，防止污泥沉积；选择合适的防腐管材，注意其封闭性，防止污水</w:t>
            </w:r>
            <w:r>
              <w:rPr>
                <w:rFonts w:hint="eastAsia"/>
                <w:szCs w:val="24"/>
                <w:lang w:eastAsia="zh-CN"/>
              </w:rPr>
              <w:t>“</w:t>
            </w:r>
            <w:r>
              <w:rPr>
                <w:rFonts w:ascii="Times New Roman" w:hAnsi="Times New Roman"/>
                <w:szCs w:val="24"/>
              </w:rPr>
              <w:t>跑、冒、滴、漏</w:t>
            </w:r>
            <w:r>
              <w:rPr>
                <w:rFonts w:hint="eastAsia"/>
                <w:szCs w:val="24"/>
                <w:lang w:eastAsia="zh-CN"/>
              </w:rPr>
              <w:t>”</w:t>
            </w:r>
            <w:r>
              <w:rPr>
                <w:rFonts w:ascii="Times New Roman" w:hAnsi="Times New Roman"/>
                <w:szCs w:val="24"/>
              </w:rPr>
              <w:t>；制定严格的污水管网维修制度；建设单位应严禁固体废物排入下水管道，</w:t>
            </w:r>
            <w:r>
              <w:rPr>
                <w:rFonts w:hint="eastAsia"/>
                <w:szCs w:val="24"/>
                <w:lang w:eastAsia="zh-CN"/>
              </w:rPr>
              <w:t>生态环境部</w:t>
            </w:r>
            <w:r>
              <w:rPr>
                <w:rFonts w:ascii="Times New Roman" w:hAnsi="Times New Roman"/>
                <w:szCs w:val="24"/>
              </w:rPr>
              <w:t>门应与市政部门密切配合，强化监测与管理工作</w:t>
            </w:r>
            <w:r>
              <w:rPr>
                <w:rFonts w:hint="eastAsia" w:ascii="Times New Roman" w:hAnsi="Times New Roman"/>
                <w:szCs w:val="24"/>
              </w:rPr>
              <w:t>；</w:t>
            </w:r>
          </w:p>
          <w:p w14:paraId="2173EA2A">
            <w:pPr>
              <w:pStyle w:val="57"/>
              <w:spacing w:line="360" w:lineRule="auto"/>
              <w:ind w:firstLine="480"/>
              <w:rPr>
                <w:rFonts w:hint="eastAsia" w:ascii="Times New Roman" w:hAnsi="Times New Roman"/>
                <w:szCs w:val="24"/>
              </w:rPr>
            </w:pPr>
            <w:r>
              <w:rPr>
                <w:rFonts w:hint="eastAsia" w:ascii="Times New Roman" w:hAnsi="Times New Roman"/>
                <w:szCs w:val="24"/>
              </w:rPr>
              <w:t>（4）</w:t>
            </w:r>
            <w:r>
              <w:rPr>
                <w:rFonts w:ascii="Times New Roman" w:hAnsi="Times New Roman"/>
                <w:szCs w:val="24"/>
              </w:rPr>
              <w:t>加强废气环保设施管理，保证废气达标排放</w:t>
            </w:r>
            <w:r>
              <w:rPr>
                <w:rFonts w:hint="eastAsia" w:ascii="Times New Roman" w:hAnsi="Times New Roman"/>
                <w:szCs w:val="24"/>
              </w:rPr>
              <w:t>，减少大气沉降对地面土壤的影响；</w:t>
            </w:r>
          </w:p>
          <w:p w14:paraId="1B63EF67">
            <w:pPr>
              <w:pStyle w:val="11"/>
              <w:spacing w:before="0" w:after="0" w:line="360" w:lineRule="auto"/>
              <w:ind w:firstLine="480" w:firstLineChars="200"/>
              <w:rPr>
                <w:rFonts w:hint="eastAsia"/>
                <w:sz w:val="24"/>
                <w:szCs w:val="24"/>
              </w:rPr>
            </w:pPr>
            <w:r>
              <w:rPr>
                <w:rFonts w:hint="eastAsia"/>
                <w:b w:val="0"/>
                <w:bCs/>
                <w:sz w:val="24"/>
                <w:szCs w:val="24"/>
              </w:rPr>
              <w:t>跟踪监测要求：项</w:t>
            </w:r>
            <w:r>
              <w:rPr>
                <w:rFonts w:hint="eastAsia"/>
                <w:sz w:val="24"/>
                <w:szCs w:val="24"/>
              </w:rPr>
              <w:t>目已按分区防控要求提出相应的防控措施，同时项目车间地面</w:t>
            </w:r>
            <w:r>
              <w:rPr>
                <w:rFonts w:hint="eastAsia"/>
                <w:sz w:val="24"/>
                <w:szCs w:val="24"/>
                <w:lang w:val="en-US" w:eastAsia="zh-CN"/>
              </w:rPr>
              <w:t>已全部</w:t>
            </w:r>
            <w:r>
              <w:rPr>
                <w:rFonts w:hint="eastAsia"/>
                <w:sz w:val="24"/>
                <w:szCs w:val="24"/>
              </w:rPr>
              <w:t>硬化，一般情况下不会对周边地下水、土壤环境造成影响，故可不需要进行跟踪监测。</w:t>
            </w:r>
          </w:p>
          <w:p w14:paraId="68E979BC">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Style w:val="64"/>
                <w:rFonts w:ascii="Times New Roman" w:hAnsi="Times New Roman"/>
                <w:b/>
                <w:bCs/>
                <w:color w:val="262626"/>
                <w:kern w:val="0"/>
                <w:sz w:val="28"/>
                <w:szCs w:val="28"/>
              </w:rPr>
            </w:pPr>
            <w:bookmarkStart w:id="183" w:name="_Toc2007"/>
            <w:bookmarkStart w:id="184" w:name="_Toc30254"/>
            <w:r>
              <w:rPr>
                <w:rStyle w:val="64"/>
                <w:rFonts w:ascii="Times New Roman" w:hAnsi="Times New Roman"/>
                <w:b/>
                <w:bCs/>
                <w:color w:val="262626"/>
                <w:kern w:val="0"/>
                <w:sz w:val="28"/>
                <w:szCs w:val="28"/>
              </w:rPr>
              <w:t>4.</w:t>
            </w:r>
            <w:r>
              <w:rPr>
                <w:rStyle w:val="64"/>
                <w:rFonts w:hint="eastAsia" w:ascii="Times New Roman" w:hAnsi="Times New Roman"/>
                <w:b/>
                <w:bCs/>
                <w:color w:val="262626"/>
                <w:kern w:val="0"/>
                <w:sz w:val="28"/>
                <w:szCs w:val="28"/>
              </w:rPr>
              <w:t>6</w:t>
            </w:r>
            <w:r>
              <w:rPr>
                <w:rStyle w:val="64"/>
                <w:rFonts w:ascii="Times New Roman" w:hAnsi="Times New Roman"/>
                <w:b/>
                <w:bCs/>
                <w:color w:val="262626"/>
                <w:kern w:val="0"/>
                <w:sz w:val="28"/>
                <w:szCs w:val="28"/>
              </w:rPr>
              <w:t>环境风险分析</w:t>
            </w:r>
            <w:bookmarkEnd w:id="183"/>
            <w:bookmarkEnd w:id="184"/>
          </w:p>
          <w:p w14:paraId="6D259EE6">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185" w:name="_Toc26455"/>
            <w:bookmarkStart w:id="186" w:name="_Toc27752"/>
            <w:r>
              <w:rPr>
                <w:rFonts w:hint="eastAsia"/>
                <w:b/>
                <w:color w:val="262626"/>
                <w:kern w:val="0"/>
                <w:sz w:val="24"/>
                <w:lang w:val="en-US" w:eastAsia="zh-CN"/>
              </w:rPr>
              <w:t>4.6.1</w:t>
            </w:r>
            <w:r>
              <w:rPr>
                <w:rFonts w:hint="default"/>
                <w:b/>
                <w:color w:val="262626"/>
                <w:kern w:val="0"/>
                <w:sz w:val="24"/>
                <w:lang w:val="en-US" w:eastAsia="zh-CN"/>
              </w:rPr>
              <w:t>项目危险物质调查</w:t>
            </w:r>
            <w:bookmarkEnd w:id="185"/>
            <w:bookmarkEnd w:id="186"/>
          </w:p>
          <w:p w14:paraId="1BE07BC1">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rPr>
            </w:pPr>
            <w:r>
              <w:rPr>
                <w:rFonts w:hint="default" w:ascii="Times New Roman" w:hAnsi="Times New Roman" w:eastAsia="宋体" w:cs="Times New Roman"/>
                <w:color w:val="auto"/>
                <w:sz w:val="24"/>
                <w:lang w:val="en-US" w:eastAsia="zh-CN"/>
              </w:rPr>
              <w:t>对照《危险化学品重大危险源辨识》（GB18218-2018）、</w:t>
            </w:r>
            <w:r>
              <w:rPr>
                <w:rFonts w:hint="default" w:ascii="Times New Roman" w:hAnsi="Times New Roman" w:eastAsia="宋体" w:cs="Times New Roman"/>
                <w:color w:val="auto"/>
                <w:sz w:val="24"/>
              </w:rPr>
              <w:t>《建设项目环境风险评价技术导则》（HJ/T169-2018）和《</w:t>
            </w:r>
            <w:r>
              <w:rPr>
                <w:rFonts w:hint="default" w:ascii="Times New Roman" w:hAnsi="Times New Roman" w:eastAsia="宋体" w:cs="Times New Roman"/>
                <w:color w:val="auto"/>
                <w:sz w:val="24"/>
                <w:lang w:val="en-US" w:eastAsia="zh-CN"/>
              </w:rPr>
              <w:t>关于进一步加强环境影响评价管理防范环境风险的通知》</w:t>
            </w:r>
            <w:r>
              <w:rPr>
                <w:rFonts w:hint="default" w:ascii="Times New Roman" w:hAnsi="Times New Roman" w:eastAsia="宋体" w:cs="Times New Roman"/>
                <w:color w:val="auto"/>
                <w:sz w:val="24"/>
              </w:rPr>
              <w:t>（环发</w:t>
            </w:r>
            <w:r>
              <w:rPr>
                <w:rFonts w:hint="eastAsia" w:ascii="宋体" w:hAnsi="宋体" w:eastAsia="宋体" w:cs="宋体"/>
                <w:color w:val="auto"/>
                <w:sz w:val="24"/>
                <w:lang w:val="en-US" w:eastAsia="zh-CN"/>
              </w:rPr>
              <w:t>〔2012〕77</w:t>
            </w:r>
            <w:r>
              <w:rPr>
                <w:rFonts w:hint="default" w:ascii="Times New Roman" w:hAnsi="Times New Roman" w:eastAsia="宋体" w:cs="Times New Roman"/>
                <w:color w:val="auto"/>
                <w:sz w:val="24"/>
              </w:rPr>
              <w:t>号），对环境风险源进行了识别，本项目</w:t>
            </w:r>
            <w:r>
              <w:rPr>
                <w:rFonts w:hint="eastAsia" w:ascii="Times New Roman" w:hAnsi="Times New Roman" w:eastAsia="宋体" w:cs="Times New Roman"/>
                <w:color w:val="auto"/>
                <w:sz w:val="24"/>
                <w:lang w:val="en-US" w:eastAsia="zh-CN"/>
              </w:rPr>
              <w:t>使用液压油、机油，</w:t>
            </w:r>
            <w:r>
              <w:rPr>
                <w:rFonts w:hint="default" w:ascii="Times New Roman" w:hAnsi="Times New Roman" w:eastAsia="宋体" w:cs="Times New Roman"/>
                <w:color w:val="auto"/>
                <w:sz w:val="24"/>
              </w:rPr>
              <w:t>涉及</w:t>
            </w:r>
            <w:r>
              <w:rPr>
                <w:rFonts w:hint="eastAsia" w:ascii="Times New Roman" w:hAnsi="Times New Roman" w:eastAsia="宋体" w:cs="Times New Roman"/>
                <w:color w:val="auto"/>
                <w:sz w:val="24"/>
                <w:lang w:val="en-US" w:eastAsia="zh-CN"/>
              </w:rPr>
              <w:t>突发环境风险物质中的油类物质，临界量为2500。风险物质情况</w:t>
            </w:r>
            <w:r>
              <w:rPr>
                <w:rFonts w:hint="eastAsia"/>
                <w:color w:val="auto"/>
                <w:sz w:val="24"/>
                <w:lang w:val="en-US" w:eastAsia="zh-CN"/>
              </w:rPr>
              <w:t>详见表4.6-1。</w:t>
            </w:r>
          </w:p>
          <w:p w14:paraId="2FBB0CAC">
            <w:pPr>
              <w:keepNext w:val="0"/>
              <w:keepLines w:val="0"/>
              <w:pageBreakBefore w:val="0"/>
              <w:widowControl w:val="0"/>
              <w:numPr>
                <w:ilvl w:val="0"/>
                <w:numId w:val="0"/>
              </w:numPr>
              <w:kinsoku/>
              <w:wordWrap/>
              <w:overflowPunct/>
              <w:topLinePunct w:val="0"/>
              <w:autoSpaceDE/>
              <w:autoSpaceDN/>
              <w:bidi w:val="0"/>
              <w:adjustRightInd/>
              <w:snapToGrid/>
              <w:spacing w:before="163" w:beforeLines="50" w:line="240" w:lineRule="auto"/>
              <w:ind w:firstLine="482" w:firstLineChars="20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4.6</w:t>
            </w:r>
            <w:r>
              <w:rPr>
                <w:rFonts w:hint="default" w:ascii="Times New Roman" w:hAnsi="Times New Roman" w:eastAsia="宋体" w:cs="Times New Roman"/>
                <w:b/>
                <w:bCs/>
                <w:color w:val="auto"/>
                <w:sz w:val="24"/>
                <w:lang w:val="en-US" w:eastAsia="zh-CN"/>
              </w:rPr>
              <w:t xml:space="preserve">-1  </w:t>
            </w:r>
            <w:r>
              <w:rPr>
                <w:rFonts w:hint="default" w:ascii="Times New Roman" w:hAnsi="Times New Roman" w:eastAsia="宋体" w:cs="Times New Roman"/>
                <w:b/>
                <w:bCs/>
                <w:color w:val="auto"/>
                <w:sz w:val="24"/>
              </w:rPr>
              <w:t>主要</w:t>
            </w:r>
            <w:r>
              <w:rPr>
                <w:rFonts w:hint="eastAsia" w:cs="Times New Roman"/>
                <w:b/>
                <w:bCs/>
                <w:color w:val="auto"/>
                <w:sz w:val="24"/>
                <w:lang w:val="en-US" w:eastAsia="zh-CN"/>
              </w:rPr>
              <w:t>风险物质</w:t>
            </w:r>
            <w:r>
              <w:rPr>
                <w:rFonts w:hint="default" w:ascii="Times New Roman" w:hAnsi="Times New Roman" w:eastAsia="宋体" w:cs="Times New Roman"/>
                <w:b/>
                <w:bCs/>
                <w:color w:val="auto"/>
                <w:sz w:val="24"/>
                <w:lang w:eastAsia="zh-CN"/>
              </w:rPr>
              <w:t>数量</w:t>
            </w:r>
            <w:r>
              <w:rPr>
                <w:rFonts w:hint="default" w:ascii="Times New Roman" w:hAnsi="Times New Roman" w:eastAsia="宋体" w:cs="Times New Roman"/>
                <w:b/>
                <w:bCs/>
                <w:color w:val="auto"/>
                <w:sz w:val="24"/>
              </w:rPr>
              <w:t>、有害因素分布表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571"/>
              <w:gridCol w:w="1074"/>
              <w:gridCol w:w="1312"/>
              <w:gridCol w:w="1432"/>
              <w:gridCol w:w="1091"/>
              <w:gridCol w:w="951"/>
              <w:gridCol w:w="931"/>
            </w:tblGrid>
            <w:tr w14:paraId="20466E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15" w:type="pct"/>
                  <w:tcBorders>
                    <w:tl2br w:val="nil"/>
                    <w:tr2bl w:val="nil"/>
                  </w:tcBorders>
                  <w:noWrap w:val="0"/>
                  <w:vAlign w:val="center"/>
                </w:tcPr>
                <w:p w14:paraId="77E23BAA">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物质名称</w:t>
                  </w:r>
                </w:p>
              </w:tc>
              <w:tc>
                <w:tcPr>
                  <w:tcW w:w="332" w:type="pct"/>
                  <w:tcBorders>
                    <w:tl2br w:val="nil"/>
                    <w:tr2bl w:val="nil"/>
                  </w:tcBorders>
                  <w:noWrap w:val="0"/>
                  <w:vAlign w:val="center"/>
                </w:tcPr>
                <w:p w14:paraId="79A9113D">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形态</w:t>
                  </w:r>
                </w:p>
              </w:tc>
              <w:tc>
                <w:tcPr>
                  <w:tcW w:w="625" w:type="pct"/>
                  <w:tcBorders>
                    <w:tl2br w:val="nil"/>
                    <w:tr2bl w:val="nil"/>
                  </w:tcBorders>
                  <w:noWrap w:val="0"/>
                  <w:vAlign w:val="center"/>
                </w:tcPr>
                <w:p w14:paraId="33AF9C89">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年储存量（t）</w:t>
                  </w:r>
                </w:p>
              </w:tc>
              <w:tc>
                <w:tcPr>
                  <w:tcW w:w="763" w:type="pct"/>
                  <w:tcBorders>
                    <w:tl2br w:val="nil"/>
                    <w:tr2bl w:val="nil"/>
                  </w:tcBorders>
                  <w:noWrap w:val="0"/>
                  <w:vAlign w:val="center"/>
                </w:tcPr>
                <w:p w14:paraId="5735C9B8">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最大储存量（t）</w:t>
                  </w:r>
                </w:p>
              </w:tc>
              <w:tc>
                <w:tcPr>
                  <w:tcW w:w="833" w:type="pct"/>
                  <w:tcBorders>
                    <w:tl2br w:val="nil"/>
                    <w:tr2bl w:val="nil"/>
                  </w:tcBorders>
                  <w:noWrap w:val="0"/>
                  <w:vAlign w:val="center"/>
                </w:tcPr>
                <w:p w14:paraId="2533A2E0">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危险物质成分</w:t>
                  </w:r>
                </w:p>
              </w:tc>
              <w:tc>
                <w:tcPr>
                  <w:tcW w:w="634" w:type="pct"/>
                  <w:tcBorders>
                    <w:tl2br w:val="nil"/>
                    <w:tr2bl w:val="nil"/>
                  </w:tcBorders>
                  <w:noWrap w:val="0"/>
                  <w:vAlign w:val="center"/>
                </w:tcPr>
                <w:p w14:paraId="3708ADF1">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危险特性</w:t>
                  </w:r>
                </w:p>
              </w:tc>
              <w:tc>
                <w:tcPr>
                  <w:tcW w:w="553" w:type="pct"/>
                  <w:tcBorders>
                    <w:tl2br w:val="nil"/>
                    <w:tr2bl w:val="nil"/>
                  </w:tcBorders>
                  <w:noWrap w:val="0"/>
                  <w:vAlign w:val="center"/>
                </w:tcPr>
                <w:p w14:paraId="240E93ED">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临界量（t）</w:t>
                  </w:r>
                </w:p>
              </w:tc>
              <w:tc>
                <w:tcPr>
                  <w:tcW w:w="541" w:type="pct"/>
                  <w:tcBorders>
                    <w:tl2br w:val="nil"/>
                    <w:tr2bl w:val="nil"/>
                  </w:tcBorders>
                  <w:noWrap w:val="0"/>
                  <w:vAlign w:val="center"/>
                </w:tcPr>
                <w:p w14:paraId="31F51649">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位置</w:t>
                  </w:r>
                </w:p>
              </w:tc>
            </w:tr>
            <w:tr w14:paraId="187E68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715" w:type="pct"/>
                  <w:tcBorders>
                    <w:tl2br w:val="nil"/>
                    <w:tr2bl w:val="nil"/>
                  </w:tcBorders>
                  <w:shd w:val="clear" w:color="auto" w:fill="auto"/>
                  <w:noWrap w:val="0"/>
                  <w:vAlign w:val="center"/>
                </w:tcPr>
                <w:p w14:paraId="35BDA35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熔炉炉渣（沾染油）</w:t>
                  </w:r>
                </w:p>
              </w:tc>
              <w:tc>
                <w:tcPr>
                  <w:tcW w:w="332" w:type="pct"/>
                  <w:tcBorders>
                    <w:tl2br w:val="nil"/>
                    <w:tr2bl w:val="nil"/>
                  </w:tcBorders>
                  <w:shd w:val="clear" w:color="auto" w:fill="auto"/>
                  <w:noWrap w:val="0"/>
                  <w:vAlign w:val="center"/>
                </w:tcPr>
                <w:p w14:paraId="35F3FA05">
                  <w:pPr>
                    <w:kinsoku w:val="0"/>
                    <w:overflowPunct w:val="0"/>
                    <w:autoSpaceDE w:val="0"/>
                    <w:autoSpaceDN w:val="0"/>
                    <w:adjustRightInd w:val="0"/>
                    <w:jc w:val="center"/>
                    <w:rPr>
                      <w:rFonts w:hint="default" w:cs="Times New Roman"/>
                      <w:kern w:val="0"/>
                      <w:sz w:val="21"/>
                      <w:szCs w:val="21"/>
                      <w:lang w:val="en-US" w:eastAsia="zh-CN" w:bidi="ar-SA"/>
                    </w:rPr>
                  </w:pPr>
                  <w:r>
                    <w:rPr>
                      <w:rFonts w:hint="eastAsia" w:cs="Times New Roman"/>
                      <w:kern w:val="0"/>
                      <w:sz w:val="21"/>
                      <w:szCs w:val="21"/>
                      <w:lang w:val="en-US" w:eastAsia="zh-CN" w:bidi="ar-SA"/>
                    </w:rPr>
                    <w:t>固态</w:t>
                  </w:r>
                </w:p>
              </w:tc>
              <w:tc>
                <w:tcPr>
                  <w:tcW w:w="625" w:type="pct"/>
                  <w:tcBorders>
                    <w:tl2br w:val="nil"/>
                    <w:tr2bl w:val="nil"/>
                  </w:tcBorders>
                  <w:shd w:val="clear" w:color="auto" w:fill="auto"/>
                  <w:noWrap w:val="0"/>
                  <w:vAlign w:val="center"/>
                </w:tcPr>
                <w:p w14:paraId="74F7937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0.1903</w:t>
                  </w:r>
                </w:p>
              </w:tc>
              <w:tc>
                <w:tcPr>
                  <w:tcW w:w="763" w:type="pct"/>
                  <w:tcBorders>
                    <w:tl2br w:val="nil"/>
                    <w:tr2bl w:val="nil"/>
                  </w:tcBorders>
                  <w:shd w:val="clear" w:color="auto" w:fill="auto"/>
                  <w:noWrap w:val="0"/>
                  <w:vAlign w:val="center"/>
                </w:tcPr>
                <w:p w14:paraId="3F349319">
                  <w:pPr>
                    <w:pStyle w:val="62"/>
                    <w:ind w:left="420" w:leftChars="0" w:hanging="420" w:hangingChars="200"/>
                    <w:rPr>
                      <w:rFonts w:hint="default"/>
                      <w:sz w:val="21"/>
                      <w:szCs w:val="21"/>
                      <w:lang w:val="en-US" w:eastAsia="zh-CN"/>
                    </w:rPr>
                  </w:pPr>
                  <w:r>
                    <w:rPr>
                      <w:rFonts w:hint="eastAsia"/>
                      <w:sz w:val="21"/>
                      <w:szCs w:val="21"/>
                      <w:lang w:val="en-US" w:eastAsia="zh-CN"/>
                    </w:rPr>
                    <w:t>0.2</w:t>
                  </w:r>
                </w:p>
              </w:tc>
              <w:tc>
                <w:tcPr>
                  <w:tcW w:w="833" w:type="pct"/>
                  <w:tcBorders>
                    <w:tl2br w:val="nil"/>
                    <w:tr2bl w:val="nil"/>
                  </w:tcBorders>
                  <w:shd w:val="clear" w:color="auto" w:fill="auto"/>
                  <w:noWrap w:val="0"/>
                  <w:vAlign w:val="center"/>
                </w:tcPr>
                <w:p w14:paraId="3CB1849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炉渣、矿物油</w:t>
                  </w:r>
                </w:p>
              </w:tc>
              <w:tc>
                <w:tcPr>
                  <w:tcW w:w="634" w:type="pct"/>
                  <w:tcBorders>
                    <w:tl2br w:val="nil"/>
                    <w:tr2bl w:val="nil"/>
                  </w:tcBorders>
                  <w:shd w:val="clear" w:color="auto" w:fill="auto"/>
                  <w:noWrap w:val="0"/>
                  <w:vAlign w:val="center"/>
                </w:tcPr>
                <w:p w14:paraId="38DF94D2">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b w:val="0"/>
                      <w:bCs/>
                      <w:color w:val="auto"/>
                      <w:kern w:val="0"/>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易燃物质</w:t>
                  </w:r>
                </w:p>
              </w:tc>
              <w:tc>
                <w:tcPr>
                  <w:tcW w:w="553" w:type="pct"/>
                  <w:tcBorders>
                    <w:tl2br w:val="nil"/>
                    <w:tr2bl w:val="nil"/>
                  </w:tcBorders>
                  <w:shd w:val="clear" w:color="auto" w:fill="auto"/>
                  <w:noWrap w:val="0"/>
                  <w:vAlign w:val="center"/>
                </w:tcPr>
                <w:p w14:paraId="124C79B5">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b w:val="0"/>
                      <w:bCs/>
                      <w:color w:val="auto"/>
                      <w:kern w:val="0"/>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2500</w:t>
                  </w:r>
                </w:p>
              </w:tc>
              <w:tc>
                <w:tcPr>
                  <w:tcW w:w="541" w:type="pct"/>
                  <w:vMerge w:val="restart"/>
                  <w:tcBorders>
                    <w:tl2br w:val="nil"/>
                    <w:tr2bl w:val="nil"/>
                  </w:tcBorders>
                  <w:noWrap w:val="0"/>
                  <w:vAlign w:val="center"/>
                </w:tcPr>
                <w:p w14:paraId="51B1C3F1">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危险废物贮存间</w:t>
                  </w:r>
                </w:p>
              </w:tc>
            </w:tr>
            <w:tr w14:paraId="2CE80E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715" w:type="pct"/>
                  <w:tcBorders>
                    <w:tl2br w:val="nil"/>
                    <w:tr2bl w:val="nil"/>
                  </w:tcBorders>
                  <w:shd w:val="clear" w:color="auto" w:fill="auto"/>
                  <w:noWrap w:val="0"/>
                  <w:vAlign w:val="center"/>
                </w:tcPr>
                <w:p w14:paraId="36CA0BB7">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eastAsia" w:eastAsia="宋体" w:cs="Times New Roman"/>
                      <w:b w:val="0"/>
                      <w:bCs/>
                      <w:color w:val="auto"/>
                      <w:sz w:val="21"/>
                      <w:szCs w:val="21"/>
                      <w:highlight w:val="none"/>
                      <w:vertAlign w:val="baseline"/>
                      <w:lang w:val="en-US" w:eastAsia="zh-CN"/>
                    </w:rPr>
                    <w:t>废液压油、</w:t>
                  </w:r>
                  <w:r>
                    <w:rPr>
                      <w:rFonts w:hint="eastAsia" w:ascii="Times New Roman" w:hAnsi="Times New Roman" w:eastAsia="宋体" w:cs="Times New Roman"/>
                      <w:b w:val="0"/>
                      <w:bCs/>
                      <w:color w:val="auto"/>
                      <w:sz w:val="21"/>
                      <w:szCs w:val="21"/>
                      <w:highlight w:val="none"/>
                      <w:vertAlign w:val="baseline"/>
                      <w:lang w:val="en-US" w:eastAsia="zh-CN"/>
                    </w:rPr>
                    <w:t>废机油</w:t>
                  </w:r>
                </w:p>
              </w:tc>
              <w:tc>
                <w:tcPr>
                  <w:tcW w:w="332" w:type="pct"/>
                  <w:tcBorders>
                    <w:tl2br w:val="nil"/>
                    <w:tr2bl w:val="nil"/>
                  </w:tcBorders>
                  <w:shd w:val="clear" w:color="auto" w:fill="auto"/>
                  <w:noWrap w:val="0"/>
                  <w:vAlign w:val="center"/>
                </w:tcPr>
                <w:p w14:paraId="14964D14">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b w:val="0"/>
                      <w:bCs/>
                      <w:color w:val="auto"/>
                      <w:kern w:val="0"/>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液态</w:t>
                  </w:r>
                </w:p>
              </w:tc>
              <w:tc>
                <w:tcPr>
                  <w:tcW w:w="625" w:type="pct"/>
                  <w:tcBorders>
                    <w:tl2br w:val="nil"/>
                    <w:tr2bl w:val="nil"/>
                  </w:tcBorders>
                  <w:shd w:val="clear" w:color="auto" w:fill="auto"/>
                  <w:noWrap w:val="0"/>
                  <w:vAlign w:val="center"/>
                </w:tcPr>
                <w:p w14:paraId="631561E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w:t>
                  </w:r>
                  <w:r>
                    <w:rPr>
                      <w:rFonts w:hint="eastAsia" w:cs="Times New Roman"/>
                      <w:bCs/>
                      <w:color w:val="auto"/>
                      <w:sz w:val="21"/>
                      <w:szCs w:val="21"/>
                      <w:highlight w:val="none"/>
                      <w:lang w:val="en-US" w:eastAsia="zh-CN"/>
                    </w:rPr>
                    <w:t>16</w:t>
                  </w:r>
                </w:p>
              </w:tc>
              <w:tc>
                <w:tcPr>
                  <w:tcW w:w="763" w:type="pct"/>
                  <w:tcBorders>
                    <w:tl2br w:val="nil"/>
                    <w:tr2bl w:val="nil"/>
                  </w:tcBorders>
                  <w:shd w:val="clear" w:color="auto" w:fill="auto"/>
                  <w:noWrap w:val="0"/>
                  <w:vAlign w:val="center"/>
                </w:tcPr>
                <w:p w14:paraId="00F9A341">
                  <w:pPr>
                    <w:pStyle w:val="62"/>
                    <w:ind w:left="420" w:leftChars="0" w:hanging="420" w:hangingChars="200"/>
                    <w:rPr>
                      <w:rFonts w:hint="default" w:ascii="Times New Roman" w:hAnsi="Times New Roman" w:eastAsia="宋体" w:cs="Times New Roman"/>
                      <w:kern w:val="0"/>
                      <w:sz w:val="21"/>
                      <w:szCs w:val="21"/>
                      <w:lang w:val="en-US" w:eastAsia="zh-CN" w:bidi="he-IL"/>
                    </w:rPr>
                  </w:pPr>
                  <w:r>
                    <w:rPr>
                      <w:rFonts w:hint="eastAsia" w:cs="Times New Roman"/>
                      <w:kern w:val="0"/>
                      <w:sz w:val="21"/>
                      <w:szCs w:val="21"/>
                      <w:lang w:val="en-US" w:eastAsia="zh-CN" w:bidi="he-IL"/>
                    </w:rPr>
                    <w:t>0.2</w:t>
                  </w:r>
                </w:p>
              </w:tc>
              <w:tc>
                <w:tcPr>
                  <w:tcW w:w="833" w:type="pct"/>
                  <w:tcBorders>
                    <w:tl2br w:val="nil"/>
                    <w:tr2bl w:val="nil"/>
                  </w:tcBorders>
                  <w:shd w:val="clear" w:color="auto" w:fill="auto"/>
                  <w:noWrap w:val="0"/>
                  <w:vAlign w:val="center"/>
                </w:tcPr>
                <w:p w14:paraId="1D23EC4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矿物油</w:t>
                  </w:r>
                </w:p>
              </w:tc>
              <w:tc>
                <w:tcPr>
                  <w:tcW w:w="634" w:type="pct"/>
                  <w:tcBorders>
                    <w:tl2br w:val="nil"/>
                    <w:tr2bl w:val="nil"/>
                  </w:tcBorders>
                  <w:shd w:val="clear" w:color="auto" w:fill="auto"/>
                  <w:noWrap w:val="0"/>
                  <w:vAlign w:val="center"/>
                </w:tcPr>
                <w:p w14:paraId="4F791CE0">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b w:val="0"/>
                      <w:bCs/>
                      <w:color w:val="auto"/>
                      <w:kern w:val="0"/>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易燃物质</w:t>
                  </w:r>
                </w:p>
              </w:tc>
              <w:tc>
                <w:tcPr>
                  <w:tcW w:w="553" w:type="pct"/>
                  <w:tcBorders>
                    <w:tl2br w:val="nil"/>
                    <w:tr2bl w:val="nil"/>
                  </w:tcBorders>
                  <w:shd w:val="clear" w:color="auto" w:fill="auto"/>
                  <w:noWrap w:val="0"/>
                  <w:vAlign w:val="center"/>
                </w:tcPr>
                <w:p w14:paraId="45EA1897">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b w:val="0"/>
                      <w:bCs/>
                      <w:color w:val="auto"/>
                      <w:kern w:val="0"/>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2500</w:t>
                  </w:r>
                </w:p>
              </w:tc>
              <w:tc>
                <w:tcPr>
                  <w:tcW w:w="541" w:type="pct"/>
                  <w:vMerge w:val="continue"/>
                  <w:tcBorders>
                    <w:tl2br w:val="nil"/>
                    <w:tr2bl w:val="nil"/>
                  </w:tcBorders>
                  <w:noWrap w:val="0"/>
                  <w:vAlign w:val="center"/>
                </w:tcPr>
                <w:p w14:paraId="6E43A7E5">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41675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5000" w:type="pct"/>
                  <w:gridSpan w:val="8"/>
                  <w:tcBorders>
                    <w:tl2br w:val="nil"/>
                    <w:tr2bl w:val="nil"/>
                  </w:tcBorders>
                  <w:noWrap w:val="0"/>
                  <w:vAlign w:val="center"/>
                </w:tcPr>
                <w:p w14:paraId="7B7A7EA4">
                  <w:pPr>
                    <w:pStyle w:val="42"/>
                    <w:keepNext w:val="0"/>
                    <w:keepLines w:val="0"/>
                    <w:pageBreakBefore w:val="0"/>
                    <w:widowControl w:val="0"/>
                    <w:kinsoku/>
                    <w:wordWrap/>
                    <w:overflowPunct/>
                    <w:topLinePunct w:val="0"/>
                    <w:autoSpaceDE w:val="0"/>
                    <w:autoSpaceDN w:val="0"/>
                    <w:bidi w:val="0"/>
                    <w:adjustRightInd w:val="0"/>
                    <w:snapToGrid w:val="0"/>
                    <w:spacing w:before="0" w:after="0" w:line="320" w:lineRule="exact"/>
                    <w:ind w:left="0" w:leftChars="0" w:firstLine="0"/>
                    <w:jc w:val="both"/>
                    <w:textAlignment w:val="baseline"/>
                    <w:outlineLvl w:val="9"/>
                    <w:rPr>
                      <w:rFonts w:hint="eastAsia" w:eastAsia="宋体"/>
                      <w:color w:val="auto"/>
                      <w:sz w:val="21"/>
                      <w:szCs w:val="21"/>
                      <w:lang w:val="en-US" w:eastAsia="zh-CN"/>
                    </w:rPr>
                  </w:pPr>
                  <w:r>
                    <w:rPr>
                      <w:rFonts w:hint="default" w:ascii="Times New Roman" w:hAnsi="Times New Roman" w:eastAsia="宋体" w:cs="Times New Roman"/>
                      <w:color w:val="auto"/>
                      <w:kern w:val="0"/>
                      <w:sz w:val="18"/>
                      <w:szCs w:val="18"/>
                    </w:rPr>
                    <w:t>备注：</w:t>
                  </w:r>
                  <w:r>
                    <w:rPr>
                      <w:rFonts w:hint="eastAsia" w:ascii="Times New Roman" w:hAnsi="Times New Roman" w:eastAsia="宋体" w:cs="Times New Roman"/>
                      <w:color w:val="auto"/>
                      <w:kern w:val="0"/>
                      <w:sz w:val="18"/>
                      <w:szCs w:val="18"/>
                      <w:lang w:val="en-US" w:eastAsia="zh-CN" w:bidi="ar-SA"/>
                    </w:rPr>
                    <w:t>（1）</w:t>
                  </w:r>
                  <w:r>
                    <w:rPr>
                      <w:rFonts w:hint="default" w:ascii="Times New Roman" w:hAnsi="Times New Roman" w:eastAsia="宋体" w:cs="Times New Roman"/>
                      <w:color w:val="auto"/>
                      <w:kern w:val="2"/>
                      <w:sz w:val="18"/>
                      <w:szCs w:val="18"/>
                      <w:highlight w:val="none"/>
                      <w:lang w:val="en-US" w:eastAsia="zh-CN" w:bidi="ar-SA"/>
                    </w:rPr>
                    <w:t>因项目物质未直接列入《建设项目环境风险评价技术导则》</w:t>
                  </w:r>
                  <w:r>
                    <w:rPr>
                      <w:rFonts w:hint="eastAsia" w:eastAsia="宋体" w:cs="Times New Roman"/>
                      <w:color w:val="auto"/>
                      <w:kern w:val="2"/>
                      <w:sz w:val="18"/>
                      <w:szCs w:val="18"/>
                      <w:highlight w:val="none"/>
                      <w:lang w:val="en-US" w:eastAsia="zh-CN" w:bidi="ar-SA"/>
                    </w:rPr>
                    <w:t>（</w:t>
                  </w:r>
                  <w:r>
                    <w:rPr>
                      <w:rFonts w:hint="default" w:ascii="Times New Roman" w:hAnsi="Times New Roman" w:eastAsia="宋体" w:cs="Times New Roman"/>
                      <w:color w:val="auto"/>
                      <w:kern w:val="2"/>
                      <w:sz w:val="18"/>
                      <w:szCs w:val="18"/>
                      <w:highlight w:val="none"/>
                      <w:lang w:val="en-US" w:eastAsia="zh-CN" w:bidi="ar-SA"/>
                    </w:rPr>
                    <w:t>HJ 169-2018</w:t>
                  </w:r>
                  <w:r>
                    <w:rPr>
                      <w:rFonts w:hint="eastAsia" w:eastAsia="宋体" w:cs="Times New Roman"/>
                      <w:color w:val="auto"/>
                      <w:kern w:val="2"/>
                      <w:sz w:val="18"/>
                      <w:szCs w:val="18"/>
                      <w:highlight w:val="none"/>
                      <w:lang w:val="en-US" w:eastAsia="zh-CN" w:bidi="ar-SA"/>
                    </w:rPr>
                    <w:t>）</w:t>
                  </w:r>
                  <w:r>
                    <w:rPr>
                      <w:rFonts w:hint="default" w:ascii="Times New Roman" w:hAnsi="Times New Roman" w:eastAsia="宋体" w:cs="Times New Roman"/>
                      <w:color w:val="auto"/>
                      <w:kern w:val="2"/>
                      <w:sz w:val="18"/>
                      <w:szCs w:val="18"/>
                      <w:highlight w:val="none"/>
                      <w:lang w:val="en-US" w:eastAsia="zh-CN" w:bidi="ar-SA"/>
                    </w:rPr>
                    <w:t>附录B表B.1突发环境事件风险物质及临界量内，但</w:t>
                  </w:r>
                  <w:r>
                    <w:rPr>
                      <w:rFonts w:hint="eastAsia" w:ascii="Times New Roman" w:hAnsi="Times New Roman" w:eastAsia="宋体" w:cs="Times New Roman"/>
                      <w:color w:val="auto"/>
                      <w:kern w:val="2"/>
                      <w:sz w:val="18"/>
                      <w:szCs w:val="18"/>
                      <w:highlight w:val="none"/>
                      <w:lang w:val="en-US" w:eastAsia="zh-CN" w:bidi="ar-SA"/>
                    </w:rPr>
                    <w:t>其属于环境风险物质，</w:t>
                  </w:r>
                  <w:r>
                    <w:rPr>
                      <w:rFonts w:hint="eastAsia" w:ascii="宋体" w:hAnsi="宋体" w:eastAsia="宋体" w:cs="宋体"/>
                      <w:color w:val="auto"/>
                      <w:kern w:val="0"/>
                      <w:sz w:val="18"/>
                      <w:szCs w:val="18"/>
                      <w:lang w:val="en-US" w:eastAsia="zh-CN" w:bidi="ar"/>
                    </w:rPr>
                    <w:t>危险废物临界量参考《建设项目环境风险评价技术导则》（</w:t>
                  </w:r>
                  <w:r>
                    <w:rPr>
                      <w:rFonts w:hint="default" w:ascii="Times New Roman" w:hAnsi="Times New Roman" w:eastAsia="宋体" w:cs="Times New Roman"/>
                      <w:color w:val="auto"/>
                      <w:kern w:val="0"/>
                      <w:sz w:val="18"/>
                      <w:szCs w:val="18"/>
                      <w:lang w:val="en-US" w:eastAsia="zh-CN" w:bidi="ar"/>
                    </w:rPr>
                    <w:t>HJ 169-2018</w:t>
                  </w:r>
                  <w:r>
                    <w:rPr>
                      <w:rFonts w:hint="eastAsia" w:ascii="宋体" w:hAnsi="宋体" w:eastAsia="宋体" w:cs="宋体"/>
                      <w:color w:val="auto"/>
                      <w:kern w:val="0"/>
                      <w:sz w:val="18"/>
                      <w:szCs w:val="18"/>
                      <w:lang w:val="en-US" w:eastAsia="zh-CN" w:bidi="ar"/>
                    </w:rPr>
                    <w:t>）附录</w:t>
                  </w:r>
                  <w:r>
                    <w:rPr>
                      <w:rFonts w:hint="default" w:ascii="Times New Roman" w:hAnsi="Times New Roman" w:eastAsia="宋体" w:cs="Times New Roman"/>
                      <w:color w:val="auto"/>
                      <w:kern w:val="0"/>
                      <w:sz w:val="18"/>
                      <w:szCs w:val="18"/>
                      <w:lang w:val="en-US" w:eastAsia="zh-CN" w:bidi="ar"/>
                    </w:rPr>
                    <w:t>B</w:t>
                  </w:r>
                  <w:r>
                    <w:rPr>
                      <w:rFonts w:hint="eastAsia" w:ascii="宋体" w:hAnsi="宋体" w:eastAsia="宋体" w:cs="宋体"/>
                      <w:color w:val="auto"/>
                      <w:kern w:val="0"/>
                      <w:sz w:val="18"/>
                      <w:szCs w:val="18"/>
                      <w:lang w:val="en-US" w:eastAsia="zh-CN" w:bidi="ar"/>
                    </w:rPr>
                    <w:t>的表</w:t>
                  </w:r>
                  <w:r>
                    <w:rPr>
                      <w:rFonts w:hint="default" w:ascii="Times New Roman" w:hAnsi="Times New Roman" w:eastAsia="宋体" w:cs="Times New Roman"/>
                      <w:color w:val="auto"/>
                      <w:kern w:val="0"/>
                      <w:sz w:val="18"/>
                      <w:szCs w:val="18"/>
                      <w:lang w:val="en-US" w:eastAsia="zh-CN" w:bidi="ar"/>
                    </w:rPr>
                    <w:t>B.2</w:t>
                  </w:r>
                  <w:r>
                    <w:rPr>
                      <w:rFonts w:hint="eastAsia" w:ascii="宋体" w:hAnsi="宋体" w:eastAsia="宋体" w:cs="宋体"/>
                      <w:color w:val="auto"/>
                      <w:kern w:val="0"/>
                      <w:sz w:val="18"/>
                      <w:szCs w:val="18"/>
                      <w:lang w:val="en-US" w:eastAsia="zh-CN" w:bidi="ar"/>
                    </w:rPr>
                    <w:t>中健康危险急性毒性物质（类别</w:t>
                  </w:r>
                  <w:r>
                    <w:rPr>
                      <w:rFonts w:hint="default" w:ascii="Times New Roman" w:hAnsi="Times New Roman" w:eastAsia="宋体" w:cs="Times New Roman"/>
                      <w:color w:val="auto"/>
                      <w:kern w:val="0"/>
                      <w:sz w:val="18"/>
                      <w:szCs w:val="18"/>
                      <w:lang w:val="en-US" w:eastAsia="zh-CN" w:bidi="ar"/>
                    </w:rPr>
                    <w:t>2</w:t>
                  </w:r>
                  <w:r>
                    <w:rPr>
                      <w:rFonts w:hint="eastAsia" w:ascii="宋体" w:hAnsi="宋体" w:eastAsia="宋体" w:cs="宋体"/>
                      <w:color w:val="auto"/>
                      <w:kern w:val="0"/>
                      <w:sz w:val="18"/>
                      <w:szCs w:val="18"/>
                      <w:lang w:val="en-US" w:eastAsia="zh-CN" w:bidi="ar"/>
                    </w:rPr>
                    <w:t>，类别</w:t>
                  </w:r>
                  <w:r>
                    <w:rPr>
                      <w:rFonts w:hint="default" w:ascii="Times New Roman" w:hAnsi="Times New Roman" w:eastAsia="宋体" w:cs="Times New Roman"/>
                      <w:color w:val="auto"/>
                      <w:kern w:val="0"/>
                      <w:sz w:val="18"/>
                      <w:szCs w:val="18"/>
                      <w:lang w:val="en-US" w:eastAsia="zh-CN" w:bidi="ar"/>
                    </w:rPr>
                    <w:t>3</w:t>
                  </w:r>
                  <w:r>
                    <w:rPr>
                      <w:rFonts w:hint="eastAsia" w:ascii="宋体" w:hAnsi="宋体" w:eastAsia="宋体" w:cs="宋体"/>
                      <w:color w:val="auto"/>
                      <w:kern w:val="0"/>
                      <w:sz w:val="18"/>
                      <w:szCs w:val="18"/>
                      <w:lang w:val="en-US" w:eastAsia="zh-CN" w:bidi="ar"/>
                    </w:rPr>
                    <w:t>）的推荐临界量</w:t>
                  </w:r>
                  <w:r>
                    <w:rPr>
                      <w:rFonts w:hint="default" w:ascii="Times New Roman" w:hAnsi="Times New Roman" w:eastAsia="宋体" w:cs="Times New Roman"/>
                      <w:color w:val="auto"/>
                      <w:kern w:val="0"/>
                      <w:sz w:val="18"/>
                      <w:szCs w:val="18"/>
                      <w:lang w:val="en-US" w:eastAsia="zh-CN" w:bidi="ar"/>
                    </w:rPr>
                    <w:t>50t</w:t>
                  </w:r>
                </w:p>
              </w:tc>
            </w:tr>
          </w:tbl>
          <w:p w14:paraId="23A5F68E">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根据表4.6-1计算可知，项目环境风险物质数量与临界量比值Q=</w:t>
            </w:r>
            <w:r>
              <w:rPr>
                <w:rFonts w:hint="eastAsia" w:cs="Times New Roman"/>
                <w:b w:val="0"/>
                <w:bCs w:val="0"/>
                <w:color w:val="auto"/>
                <w:sz w:val="24"/>
                <w:lang w:val="en-US" w:eastAsia="zh-CN"/>
              </w:rPr>
              <w:t>0.00016</w:t>
            </w:r>
            <w:r>
              <w:rPr>
                <w:rFonts w:hint="default" w:ascii="Times New Roman" w:hAnsi="Times New Roman" w:eastAsia="宋体" w:cs="Times New Roman"/>
                <w:b w:val="0"/>
                <w:bCs w:val="0"/>
                <w:color w:val="auto"/>
                <w:sz w:val="24"/>
                <w:lang w:val="en-US" w:eastAsia="zh-CN"/>
              </w:rPr>
              <w:t>＜1，根据《建设项目环境风险评价技术导则》</w:t>
            </w:r>
            <w:r>
              <w:rPr>
                <w:rFonts w:hint="eastAsia" w:ascii="Times New Roman" w:hAnsi="Times New Roman" w:eastAsia="宋体"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HJ 169-2018</w:t>
            </w:r>
            <w:r>
              <w:rPr>
                <w:rFonts w:hint="eastAsia" w:ascii="Times New Roman" w:hAnsi="Times New Roman" w:eastAsia="宋体"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附录C可知，当Q＜1时，该项目环境风险潜势为Ⅰ，环境风险潜势为Ⅰ时，评价工作级别简单分析，因此，本评价主要在描述环境影响途径、环境危害后果、风险防范措施等方面给出定性说明。</w:t>
            </w:r>
          </w:p>
          <w:p w14:paraId="76B6DD7D">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hint="default" w:ascii="Times New Roman" w:hAnsi="Times New Roman" w:cs="Times New Roman"/>
                <w:b/>
                <w:bCs/>
                <w:color w:val="auto"/>
                <w:sz w:val="24"/>
                <w:highlight w:val="none"/>
                <w:lang w:val="en-US" w:eastAsia="zh-CN"/>
              </w:rPr>
            </w:pPr>
            <w:bookmarkStart w:id="187" w:name="_Toc11549"/>
            <w:bookmarkStart w:id="188" w:name="_Toc26828"/>
            <w:r>
              <w:rPr>
                <w:rFonts w:hint="eastAsia" w:cs="Times New Roman"/>
                <w:b/>
                <w:bCs/>
                <w:color w:val="auto"/>
                <w:sz w:val="24"/>
                <w:highlight w:val="none"/>
                <w:lang w:val="en-US" w:eastAsia="zh-CN"/>
              </w:rPr>
              <w:t>4.6.2</w:t>
            </w:r>
            <w:r>
              <w:rPr>
                <w:rFonts w:hint="default" w:ascii="Times New Roman" w:hAnsi="Times New Roman" w:cs="Times New Roman"/>
                <w:b/>
                <w:bCs/>
                <w:color w:val="auto"/>
                <w:sz w:val="24"/>
                <w:highlight w:val="none"/>
                <w:lang w:val="en-US" w:eastAsia="zh-CN"/>
              </w:rPr>
              <w:t xml:space="preserve"> 环境风险识别</w:t>
            </w:r>
            <w:bookmarkEnd w:id="187"/>
            <w:bookmarkEnd w:id="188"/>
          </w:p>
          <w:p w14:paraId="70747BF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黑体" w:cs="Times New Roman"/>
                <w:color w:val="auto"/>
                <w:kern w:val="0"/>
                <w:sz w:val="24"/>
                <w:highlight w:val="none"/>
              </w:rPr>
            </w:pPr>
            <w:r>
              <w:rPr>
                <w:rFonts w:hint="default" w:ascii="Times New Roman" w:hAnsi="Times New Roman" w:cs="Times New Roman"/>
                <w:color w:val="auto"/>
                <w:kern w:val="0"/>
                <w:sz w:val="24"/>
                <w:highlight w:val="none"/>
              </w:rPr>
              <w:t>通过对项目</w:t>
            </w:r>
            <w:r>
              <w:rPr>
                <w:rFonts w:hint="eastAsia" w:ascii="Times New Roman" w:hAnsi="Times New Roman" w:cs="Times New Roman"/>
                <w:color w:val="auto"/>
                <w:kern w:val="0"/>
                <w:sz w:val="24"/>
                <w:highlight w:val="none"/>
                <w:lang w:val="en-US" w:eastAsia="zh-CN"/>
              </w:rPr>
              <w:t>环境风险</w:t>
            </w:r>
            <w:r>
              <w:rPr>
                <w:rFonts w:hint="default" w:ascii="Times New Roman" w:hAnsi="Times New Roman" w:cs="Times New Roman"/>
                <w:color w:val="auto"/>
                <w:kern w:val="0"/>
                <w:sz w:val="24"/>
                <w:highlight w:val="none"/>
              </w:rPr>
              <w:t>识别，项目</w:t>
            </w:r>
            <w:r>
              <w:rPr>
                <w:rFonts w:hint="default" w:ascii="Times New Roman" w:hAnsi="Times New Roman" w:cs="Times New Roman"/>
                <w:color w:val="auto"/>
                <w:kern w:val="0"/>
                <w:sz w:val="24"/>
                <w:highlight w:val="none"/>
                <w:lang w:eastAsia="zh-CN"/>
              </w:rPr>
              <w:t>潜在环境风险事故</w:t>
            </w:r>
            <w:r>
              <w:rPr>
                <w:rFonts w:hint="default" w:ascii="Times New Roman" w:hAnsi="Times New Roman" w:cs="Times New Roman"/>
                <w:color w:val="auto"/>
                <w:kern w:val="0"/>
                <w:sz w:val="24"/>
                <w:highlight w:val="none"/>
              </w:rPr>
              <w:t>识别结果见</w:t>
            </w:r>
            <w:r>
              <w:rPr>
                <w:rFonts w:hint="default" w:ascii="Times New Roman" w:hAnsi="Times New Roman" w:cs="Times New Roman"/>
                <w:color w:val="auto"/>
                <w:kern w:val="0"/>
                <w:sz w:val="24"/>
                <w:highlight w:val="none"/>
                <w:lang w:eastAsia="zh-CN"/>
              </w:rPr>
              <w:t>下表</w:t>
            </w:r>
            <w:r>
              <w:rPr>
                <w:rFonts w:hint="eastAsia" w:cs="Times New Roman"/>
                <w:color w:val="auto"/>
                <w:kern w:val="0"/>
                <w:sz w:val="24"/>
                <w:highlight w:val="none"/>
                <w:lang w:val="en-US" w:eastAsia="zh-CN"/>
              </w:rPr>
              <w:t>4.6</w:t>
            </w:r>
            <w:r>
              <w:rPr>
                <w:rFonts w:hint="default" w:ascii="Times New Roman" w:hAnsi="Times New Roman" w:cs="Times New Roman"/>
                <w:color w:val="auto"/>
                <w:kern w:val="0"/>
                <w:sz w:val="24"/>
                <w:highlight w:val="none"/>
                <w:lang w:val="en-US" w:eastAsia="zh-CN"/>
              </w:rPr>
              <w:t>-</w:t>
            </w:r>
            <w:r>
              <w:rPr>
                <w:rFonts w:hint="eastAsia"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lang w:eastAsia="zh-CN"/>
              </w:rPr>
              <w:t>。</w:t>
            </w:r>
          </w:p>
          <w:p w14:paraId="04142ABD">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4.6</w:t>
            </w:r>
            <w:r>
              <w:rPr>
                <w:rFonts w:hint="default" w:ascii="Times New Roman" w:hAnsi="Times New Roman" w:eastAsia="宋体" w:cs="Times New Roman"/>
                <w:b/>
                <w:bCs/>
                <w:color w:val="auto"/>
                <w:sz w:val="24"/>
                <w:lang w:val="en-US" w:eastAsia="zh-CN"/>
              </w:rPr>
              <w:t>-</w:t>
            </w:r>
            <w:r>
              <w:rPr>
                <w:rFonts w:hint="eastAsia"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lang w:val="en-US" w:eastAsia="zh-CN"/>
              </w:rPr>
              <w:t xml:space="preserve">  </w:t>
            </w:r>
            <w:r>
              <w:rPr>
                <w:rFonts w:hint="default" w:ascii="Times New Roman" w:hAnsi="Times New Roman" w:eastAsia="宋体" w:cs="Times New Roman"/>
                <w:b/>
                <w:bCs/>
                <w:color w:val="auto"/>
                <w:sz w:val="24"/>
              </w:rPr>
              <w:t>项目</w:t>
            </w:r>
            <w:r>
              <w:rPr>
                <w:rFonts w:hint="default" w:ascii="Times New Roman" w:hAnsi="Times New Roman" w:eastAsia="宋体" w:cs="Times New Roman"/>
                <w:b/>
                <w:bCs/>
                <w:color w:val="auto"/>
                <w:sz w:val="24"/>
                <w:lang w:eastAsia="zh-CN"/>
              </w:rPr>
              <w:t>潜在环境风险事故</w:t>
            </w:r>
            <w:r>
              <w:rPr>
                <w:rFonts w:hint="default" w:ascii="Times New Roman" w:hAnsi="Times New Roman" w:eastAsia="宋体" w:cs="Times New Roman"/>
                <w:b/>
                <w:bCs/>
                <w:color w:val="auto"/>
                <w:sz w:val="24"/>
              </w:rPr>
              <w:t>一览表</w:t>
            </w:r>
          </w:p>
          <w:tbl>
            <w:tblPr>
              <w:tblStyle w:val="23"/>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27"/>
              <w:gridCol w:w="1793"/>
              <w:gridCol w:w="3376"/>
              <w:gridCol w:w="2194"/>
            </w:tblGrid>
            <w:tr w14:paraId="22FBC0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noWrap w:val="0"/>
                  <w:vAlign w:val="center"/>
                </w:tcPr>
                <w:p w14:paraId="414A9050">
                  <w:pPr>
                    <w:pStyle w:val="62"/>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bookmarkStart w:id="189" w:name="_Toc215736207"/>
                  <w:r>
                    <w:rPr>
                      <w:rFonts w:hint="default" w:ascii="Times New Roman" w:hAnsi="Times New Roman" w:cs="Times New Roman"/>
                      <w:color w:val="auto"/>
                      <w:sz w:val="21"/>
                      <w:szCs w:val="21"/>
                      <w:highlight w:val="none"/>
                      <w:u w:val="none"/>
                    </w:rPr>
                    <w:t>潜在事故</w:t>
                  </w:r>
                </w:p>
                <w:p w14:paraId="52F9146B">
                  <w:pPr>
                    <w:pStyle w:val="62"/>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类型</w:t>
                  </w:r>
                </w:p>
              </w:tc>
              <w:tc>
                <w:tcPr>
                  <w:tcW w:w="1043" w:type="pct"/>
                  <w:noWrap w:val="0"/>
                  <w:vAlign w:val="center"/>
                </w:tcPr>
                <w:p w14:paraId="55B8CC3F">
                  <w:pPr>
                    <w:pStyle w:val="62"/>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事故原因</w:t>
                  </w:r>
                </w:p>
              </w:tc>
              <w:tc>
                <w:tcPr>
                  <w:tcW w:w="1964" w:type="pct"/>
                  <w:noWrap w:val="0"/>
                  <w:vAlign w:val="center"/>
                </w:tcPr>
                <w:p w14:paraId="5A6CA3CF">
                  <w:pPr>
                    <w:pStyle w:val="62"/>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环境影响途径</w:t>
                  </w:r>
                </w:p>
              </w:tc>
              <w:tc>
                <w:tcPr>
                  <w:tcW w:w="1276" w:type="pct"/>
                  <w:noWrap w:val="0"/>
                  <w:vAlign w:val="center"/>
                </w:tcPr>
                <w:p w14:paraId="04C874C6">
                  <w:pPr>
                    <w:pStyle w:val="62"/>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环境危害后果</w:t>
                  </w:r>
                </w:p>
              </w:tc>
            </w:tr>
            <w:tr w14:paraId="0DB27E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30" w:hRule="atLeast"/>
                <w:jc w:val="center"/>
              </w:trPr>
              <w:tc>
                <w:tcPr>
                  <w:tcW w:w="714" w:type="pct"/>
                  <w:noWrap w:val="0"/>
                  <w:vAlign w:val="center"/>
                </w:tcPr>
                <w:p w14:paraId="0B9F54AD">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废气事故</w:t>
                  </w:r>
                </w:p>
                <w:p w14:paraId="31CDD5DE">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排放</w:t>
                  </w:r>
                </w:p>
              </w:tc>
              <w:tc>
                <w:tcPr>
                  <w:tcW w:w="1043" w:type="pct"/>
                  <w:noWrap w:val="0"/>
                  <w:vAlign w:val="center"/>
                </w:tcPr>
                <w:p w14:paraId="43D143F4">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废气处理</w:t>
                  </w:r>
                </w:p>
                <w:p w14:paraId="3A65E447">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设施故障</w:t>
                  </w:r>
                </w:p>
              </w:tc>
              <w:tc>
                <w:tcPr>
                  <w:tcW w:w="1964" w:type="pct"/>
                  <w:noWrap w:val="0"/>
                  <w:vAlign w:val="center"/>
                </w:tcPr>
                <w:p w14:paraId="381A8411">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废气</w:t>
                  </w:r>
                  <w:r>
                    <w:rPr>
                      <w:rFonts w:hint="eastAsia" w:ascii="Times New Roman" w:hAnsi="Times New Roman" w:eastAsia="宋体" w:cs="Times New Roman"/>
                      <w:b w:val="0"/>
                      <w:bCs/>
                      <w:color w:val="auto"/>
                      <w:sz w:val="21"/>
                      <w:szCs w:val="21"/>
                      <w:highlight w:val="none"/>
                      <w:vertAlign w:val="baseline"/>
                      <w:lang w:val="en-US" w:eastAsia="zh-CN"/>
                    </w:rPr>
                    <w:t>未经处理</w:t>
                  </w:r>
                  <w:r>
                    <w:rPr>
                      <w:rFonts w:hint="default" w:ascii="Times New Roman" w:hAnsi="Times New Roman" w:eastAsia="宋体" w:cs="Times New Roman"/>
                      <w:b w:val="0"/>
                      <w:bCs/>
                      <w:color w:val="auto"/>
                      <w:sz w:val="21"/>
                      <w:szCs w:val="21"/>
                      <w:highlight w:val="none"/>
                      <w:vertAlign w:val="baseline"/>
                      <w:lang w:val="en-US" w:eastAsia="zh-CN"/>
                    </w:rPr>
                    <w:t>全部</w:t>
                  </w:r>
                  <w:r>
                    <w:rPr>
                      <w:rFonts w:hint="eastAsia" w:ascii="Times New Roman" w:hAnsi="Times New Roman" w:eastAsia="宋体" w:cs="Times New Roman"/>
                      <w:b w:val="0"/>
                      <w:bCs/>
                      <w:color w:val="auto"/>
                      <w:sz w:val="21"/>
                      <w:szCs w:val="21"/>
                      <w:highlight w:val="none"/>
                      <w:vertAlign w:val="baseline"/>
                      <w:lang w:val="en-US" w:eastAsia="zh-CN"/>
                    </w:rPr>
                    <w:t>直接</w:t>
                  </w:r>
                  <w:r>
                    <w:rPr>
                      <w:rFonts w:hint="default" w:ascii="Times New Roman" w:hAnsi="Times New Roman" w:eastAsia="宋体" w:cs="Times New Roman"/>
                      <w:b w:val="0"/>
                      <w:bCs/>
                      <w:color w:val="auto"/>
                      <w:sz w:val="21"/>
                      <w:szCs w:val="21"/>
                      <w:highlight w:val="none"/>
                      <w:vertAlign w:val="baseline"/>
                      <w:lang w:val="en-US" w:eastAsia="zh-CN"/>
                    </w:rPr>
                    <w:t>排放扩散</w:t>
                  </w:r>
                </w:p>
              </w:tc>
              <w:tc>
                <w:tcPr>
                  <w:tcW w:w="1276" w:type="pct"/>
                  <w:noWrap w:val="0"/>
                  <w:vAlign w:val="center"/>
                </w:tcPr>
                <w:p w14:paraId="29C67C96">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对大气环境有</w:t>
                  </w:r>
                  <w:r>
                    <w:rPr>
                      <w:rFonts w:hint="eastAsia" w:ascii="Times New Roman" w:hAnsi="Times New Roman" w:eastAsia="宋体" w:cs="Times New Roman"/>
                      <w:b w:val="0"/>
                      <w:bCs/>
                      <w:color w:val="auto"/>
                      <w:sz w:val="21"/>
                      <w:szCs w:val="21"/>
                      <w:highlight w:val="none"/>
                      <w:vertAlign w:val="baseline"/>
                      <w:lang w:val="en-US" w:eastAsia="zh-CN"/>
                    </w:rPr>
                    <w:t>轻微的</w:t>
                  </w:r>
                  <w:r>
                    <w:rPr>
                      <w:rFonts w:hint="default" w:ascii="Times New Roman" w:hAnsi="Times New Roman" w:eastAsia="宋体" w:cs="Times New Roman"/>
                      <w:b w:val="0"/>
                      <w:bCs/>
                      <w:color w:val="auto"/>
                      <w:sz w:val="21"/>
                      <w:szCs w:val="21"/>
                      <w:highlight w:val="none"/>
                      <w:vertAlign w:val="baseline"/>
                      <w:lang w:val="en-US" w:eastAsia="zh-CN"/>
                    </w:rPr>
                    <w:t>影响</w:t>
                  </w:r>
                </w:p>
              </w:tc>
            </w:tr>
            <w:tr w14:paraId="7787ED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65" w:hRule="atLeast"/>
                <w:jc w:val="center"/>
              </w:trPr>
              <w:tc>
                <w:tcPr>
                  <w:tcW w:w="714" w:type="pct"/>
                  <w:vMerge w:val="restart"/>
                  <w:noWrap w:val="0"/>
                  <w:vAlign w:val="center"/>
                </w:tcPr>
                <w:p w14:paraId="03DEC638">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危险废物</w:t>
                  </w:r>
                </w:p>
                <w:p w14:paraId="1CE18118">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等</w:t>
                  </w:r>
                  <w:r>
                    <w:rPr>
                      <w:rFonts w:hint="default" w:ascii="Times New Roman" w:hAnsi="Times New Roman" w:eastAsia="宋体" w:cs="Times New Roman"/>
                      <w:b w:val="0"/>
                      <w:bCs/>
                      <w:color w:val="auto"/>
                      <w:sz w:val="21"/>
                      <w:szCs w:val="21"/>
                      <w:highlight w:val="none"/>
                      <w:vertAlign w:val="baseline"/>
                      <w:lang w:val="en-US" w:eastAsia="zh-CN"/>
                    </w:rPr>
                    <w:t>泄漏</w:t>
                  </w:r>
                </w:p>
              </w:tc>
              <w:tc>
                <w:tcPr>
                  <w:tcW w:w="1043" w:type="pct"/>
                  <w:noWrap w:val="0"/>
                  <w:vAlign w:val="center"/>
                </w:tcPr>
                <w:p w14:paraId="61F4C270">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包装</w:t>
                  </w:r>
                  <w:r>
                    <w:rPr>
                      <w:rFonts w:hint="default" w:ascii="Times New Roman" w:hAnsi="Times New Roman" w:eastAsia="宋体" w:cs="Times New Roman"/>
                      <w:b w:val="0"/>
                      <w:bCs/>
                      <w:color w:val="auto"/>
                      <w:sz w:val="21"/>
                      <w:szCs w:val="21"/>
                      <w:highlight w:val="none"/>
                      <w:vertAlign w:val="baseline"/>
                      <w:lang w:val="en-US" w:eastAsia="zh-CN"/>
                    </w:rPr>
                    <w:t>桶泄漏</w:t>
                  </w:r>
                </w:p>
              </w:tc>
              <w:tc>
                <w:tcPr>
                  <w:tcW w:w="1964" w:type="pct"/>
                  <w:noWrap w:val="0"/>
                  <w:vAlign w:val="center"/>
                </w:tcPr>
                <w:p w14:paraId="3D54637C">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渗入土壤及排入周边水体、有机废气全部以无组织方式排放扩散</w:t>
                  </w:r>
                </w:p>
              </w:tc>
              <w:tc>
                <w:tcPr>
                  <w:tcW w:w="1276" w:type="pct"/>
                  <w:vMerge w:val="restart"/>
                  <w:noWrap w:val="0"/>
                  <w:vAlign w:val="center"/>
                </w:tcPr>
                <w:p w14:paraId="03DD744C">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对周边</w:t>
                  </w:r>
                  <w:r>
                    <w:rPr>
                      <w:rFonts w:hint="eastAsia" w:ascii="Times New Roman" w:hAnsi="Times New Roman" w:eastAsia="宋体" w:cs="Times New Roman"/>
                      <w:b w:val="0"/>
                      <w:bCs/>
                      <w:color w:val="auto"/>
                      <w:sz w:val="21"/>
                      <w:szCs w:val="21"/>
                      <w:highlight w:val="none"/>
                      <w:vertAlign w:val="baseline"/>
                      <w:lang w:val="en-US" w:eastAsia="zh-CN"/>
                    </w:rPr>
                    <w:t>土壤、</w:t>
                  </w:r>
                  <w:r>
                    <w:rPr>
                      <w:rFonts w:hint="default" w:ascii="Times New Roman" w:hAnsi="Times New Roman" w:eastAsia="宋体" w:cs="Times New Roman"/>
                      <w:b w:val="0"/>
                      <w:bCs/>
                      <w:color w:val="auto"/>
                      <w:sz w:val="21"/>
                      <w:szCs w:val="21"/>
                      <w:highlight w:val="none"/>
                      <w:vertAlign w:val="baseline"/>
                      <w:lang w:val="en-US" w:eastAsia="zh-CN"/>
                    </w:rPr>
                    <w:t>地下水及周边</w:t>
                  </w:r>
                  <w:r>
                    <w:rPr>
                      <w:rFonts w:hint="eastAsia" w:ascii="Times New Roman" w:hAnsi="Times New Roman" w:eastAsia="宋体" w:cs="Times New Roman"/>
                      <w:b w:val="0"/>
                      <w:bCs/>
                      <w:color w:val="auto"/>
                      <w:sz w:val="21"/>
                      <w:szCs w:val="21"/>
                      <w:highlight w:val="none"/>
                      <w:vertAlign w:val="baseline"/>
                      <w:lang w:val="en-US" w:eastAsia="zh-CN"/>
                    </w:rPr>
                    <w:t>地表水</w:t>
                  </w:r>
                  <w:r>
                    <w:rPr>
                      <w:rFonts w:hint="default" w:ascii="Times New Roman" w:hAnsi="Times New Roman" w:eastAsia="宋体" w:cs="Times New Roman"/>
                      <w:b w:val="0"/>
                      <w:bCs/>
                      <w:color w:val="auto"/>
                      <w:sz w:val="21"/>
                      <w:szCs w:val="21"/>
                      <w:highlight w:val="none"/>
                      <w:vertAlign w:val="baseline"/>
                      <w:lang w:val="en-US" w:eastAsia="zh-CN"/>
                    </w:rPr>
                    <w:t>可能造成</w:t>
                  </w:r>
                  <w:r>
                    <w:rPr>
                      <w:rFonts w:hint="eastAsia" w:ascii="Times New Roman" w:hAnsi="Times New Roman" w:eastAsia="宋体" w:cs="Times New Roman"/>
                      <w:b w:val="0"/>
                      <w:bCs/>
                      <w:color w:val="auto"/>
                      <w:sz w:val="21"/>
                      <w:szCs w:val="21"/>
                      <w:highlight w:val="none"/>
                      <w:vertAlign w:val="baseline"/>
                      <w:lang w:val="en-US" w:eastAsia="zh-CN"/>
                    </w:rPr>
                    <w:t>较大</w:t>
                  </w:r>
                  <w:r>
                    <w:rPr>
                      <w:rFonts w:hint="default" w:ascii="Times New Roman" w:hAnsi="Times New Roman" w:eastAsia="宋体" w:cs="Times New Roman"/>
                      <w:b w:val="0"/>
                      <w:bCs/>
                      <w:color w:val="auto"/>
                      <w:sz w:val="21"/>
                      <w:szCs w:val="21"/>
                      <w:highlight w:val="none"/>
                      <w:vertAlign w:val="baseline"/>
                      <w:lang w:val="en-US" w:eastAsia="zh-CN"/>
                    </w:rPr>
                    <w:t>影响、对大气环境有</w:t>
                  </w:r>
                  <w:r>
                    <w:rPr>
                      <w:rFonts w:hint="eastAsia" w:ascii="Times New Roman" w:hAnsi="Times New Roman" w:eastAsia="宋体" w:cs="Times New Roman"/>
                      <w:b w:val="0"/>
                      <w:bCs/>
                      <w:color w:val="auto"/>
                      <w:sz w:val="21"/>
                      <w:szCs w:val="21"/>
                      <w:highlight w:val="none"/>
                      <w:vertAlign w:val="baseline"/>
                      <w:lang w:val="en-US" w:eastAsia="zh-CN"/>
                    </w:rPr>
                    <w:t>轻微</w:t>
                  </w:r>
                  <w:r>
                    <w:rPr>
                      <w:rFonts w:hint="default" w:ascii="Times New Roman" w:hAnsi="Times New Roman" w:eastAsia="宋体" w:cs="Times New Roman"/>
                      <w:b w:val="0"/>
                      <w:bCs/>
                      <w:color w:val="auto"/>
                      <w:sz w:val="21"/>
                      <w:szCs w:val="21"/>
                      <w:highlight w:val="none"/>
                      <w:vertAlign w:val="baseline"/>
                      <w:lang w:val="en-US" w:eastAsia="zh-CN"/>
                    </w:rPr>
                    <w:t>影响</w:t>
                  </w:r>
                </w:p>
              </w:tc>
            </w:tr>
            <w:tr w14:paraId="50638A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27" w:hRule="atLeast"/>
                <w:jc w:val="center"/>
              </w:trPr>
              <w:tc>
                <w:tcPr>
                  <w:tcW w:w="714" w:type="pct"/>
                  <w:vMerge w:val="continue"/>
                  <w:noWrap w:val="0"/>
                  <w:vAlign w:val="center"/>
                </w:tcPr>
                <w:p w14:paraId="637B58B3">
                  <w:pPr>
                    <w:pStyle w:val="62"/>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p>
              </w:tc>
              <w:tc>
                <w:tcPr>
                  <w:tcW w:w="1043" w:type="pct"/>
                  <w:noWrap w:val="0"/>
                  <w:vAlign w:val="center"/>
                </w:tcPr>
                <w:p w14:paraId="0A3A5C31">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运输车辆发生事故发生泄漏</w:t>
                  </w:r>
                </w:p>
              </w:tc>
              <w:tc>
                <w:tcPr>
                  <w:tcW w:w="1964" w:type="pct"/>
                  <w:noWrap w:val="0"/>
                  <w:vAlign w:val="center"/>
                </w:tcPr>
                <w:p w14:paraId="1C966F95">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渗入土壤及排入周边水体、有机废气全部以无组织方式排放扩散</w:t>
                  </w:r>
                </w:p>
              </w:tc>
              <w:tc>
                <w:tcPr>
                  <w:tcW w:w="1276" w:type="pct"/>
                  <w:vMerge w:val="continue"/>
                  <w:noWrap w:val="0"/>
                  <w:vAlign w:val="center"/>
                </w:tcPr>
                <w:p w14:paraId="2CC6564A">
                  <w:pPr>
                    <w:pStyle w:val="62"/>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p>
              </w:tc>
            </w:tr>
            <w:tr w14:paraId="0D0E18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97" w:hRule="atLeast"/>
                <w:jc w:val="center"/>
              </w:trPr>
              <w:tc>
                <w:tcPr>
                  <w:tcW w:w="714" w:type="pct"/>
                  <w:noWrap w:val="0"/>
                  <w:vAlign w:val="center"/>
                </w:tcPr>
                <w:p w14:paraId="0FA729FD">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火灾事故</w:t>
                  </w:r>
                </w:p>
              </w:tc>
              <w:tc>
                <w:tcPr>
                  <w:tcW w:w="1043" w:type="pct"/>
                  <w:noWrap w:val="0"/>
                  <w:vAlign w:val="center"/>
                </w:tcPr>
                <w:p w14:paraId="4E5D1133">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电线短路</w:t>
                  </w:r>
                  <w:r>
                    <w:rPr>
                      <w:rFonts w:hint="eastAsia" w:ascii="Times New Roman" w:hAnsi="Times New Roman" w:eastAsia="宋体" w:cs="Times New Roman"/>
                      <w:b w:val="0"/>
                      <w:bCs/>
                      <w:color w:val="auto"/>
                      <w:sz w:val="21"/>
                      <w:szCs w:val="21"/>
                      <w:highlight w:val="none"/>
                      <w:vertAlign w:val="baseline"/>
                      <w:lang w:val="en-US" w:eastAsia="zh-CN"/>
                    </w:rPr>
                    <w:t>泄漏、</w:t>
                  </w:r>
                  <w:r>
                    <w:rPr>
                      <w:rFonts w:hint="default" w:ascii="Times New Roman" w:hAnsi="Times New Roman" w:eastAsia="宋体" w:cs="Times New Roman"/>
                      <w:b w:val="0"/>
                      <w:bCs/>
                      <w:color w:val="auto"/>
                      <w:sz w:val="21"/>
                      <w:szCs w:val="21"/>
                      <w:highlight w:val="none"/>
                      <w:vertAlign w:val="baseline"/>
                      <w:lang w:val="en-US" w:eastAsia="zh-CN"/>
                    </w:rPr>
                    <w:t>静电火花等，遇明火或高热发生火灾事故</w:t>
                  </w:r>
                </w:p>
              </w:tc>
              <w:tc>
                <w:tcPr>
                  <w:tcW w:w="1964" w:type="pct"/>
                  <w:noWrap w:val="0"/>
                  <w:vAlign w:val="center"/>
                </w:tcPr>
                <w:p w14:paraId="38435B4C">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火灾产生的热辐射、浓烟、有害气体等直接进入环境，火灾扑救过</w:t>
                  </w:r>
                  <w:r>
                    <w:rPr>
                      <w:rFonts w:hint="eastAsia" w:eastAsia="宋体" w:cs="Times New Roman"/>
                      <w:b w:val="0"/>
                      <w:bCs/>
                      <w:color w:val="auto"/>
                      <w:sz w:val="21"/>
                      <w:szCs w:val="21"/>
                      <w:highlight w:val="none"/>
                      <w:vertAlign w:val="baseline"/>
                      <w:lang w:val="en-US" w:eastAsia="zh-CN"/>
                    </w:rPr>
                    <w:t>程中</w:t>
                  </w:r>
                  <w:r>
                    <w:rPr>
                      <w:rFonts w:hint="default" w:ascii="Times New Roman" w:hAnsi="Times New Roman" w:eastAsia="宋体" w:cs="Times New Roman"/>
                      <w:b w:val="0"/>
                      <w:bCs/>
                      <w:color w:val="auto"/>
                      <w:sz w:val="21"/>
                      <w:szCs w:val="21"/>
                      <w:highlight w:val="none"/>
                      <w:vertAlign w:val="baseline"/>
                      <w:lang w:val="en-US" w:eastAsia="zh-CN"/>
                    </w:rPr>
                    <w:t>产生的消防废水全部</w:t>
                  </w:r>
                  <w:r>
                    <w:rPr>
                      <w:rFonts w:hint="eastAsia" w:ascii="Times New Roman" w:hAnsi="Times New Roman" w:eastAsia="宋体" w:cs="Times New Roman"/>
                      <w:b w:val="0"/>
                      <w:bCs/>
                      <w:color w:val="auto"/>
                      <w:sz w:val="21"/>
                      <w:szCs w:val="21"/>
                      <w:highlight w:val="none"/>
                      <w:vertAlign w:val="baseline"/>
                      <w:lang w:val="en-US" w:eastAsia="zh-CN"/>
                    </w:rPr>
                    <w:t>直接排入市政污水管网或者排入周边地表水体</w:t>
                  </w:r>
                </w:p>
              </w:tc>
              <w:tc>
                <w:tcPr>
                  <w:tcW w:w="1276" w:type="pct"/>
                  <w:noWrap w:val="0"/>
                  <w:vAlign w:val="center"/>
                </w:tcPr>
                <w:p w14:paraId="5D4C6236">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对</w:t>
                  </w:r>
                  <w:r>
                    <w:rPr>
                      <w:rFonts w:hint="eastAsia" w:ascii="Times New Roman" w:hAnsi="Times New Roman" w:eastAsia="宋体" w:cs="Times New Roman"/>
                      <w:b w:val="0"/>
                      <w:bCs/>
                      <w:color w:val="auto"/>
                      <w:sz w:val="21"/>
                      <w:szCs w:val="21"/>
                      <w:highlight w:val="none"/>
                      <w:vertAlign w:val="baseline"/>
                      <w:lang w:val="en-US" w:eastAsia="zh-CN"/>
                    </w:rPr>
                    <w:t>周边环境空气、对周边地表水体等均</w:t>
                  </w:r>
                  <w:r>
                    <w:rPr>
                      <w:rFonts w:hint="default" w:ascii="Times New Roman" w:hAnsi="Times New Roman" w:eastAsia="宋体" w:cs="Times New Roman"/>
                      <w:b w:val="0"/>
                      <w:bCs/>
                      <w:color w:val="auto"/>
                      <w:sz w:val="21"/>
                      <w:szCs w:val="21"/>
                      <w:highlight w:val="none"/>
                      <w:vertAlign w:val="baseline"/>
                      <w:lang w:val="en-US" w:eastAsia="zh-CN"/>
                    </w:rPr>
                    <w:t>有</w:t>
                  </w:r>
                  <w:r>
                    <w:rPr>
                      <w:rFonts w:hint="eastAsia" w:ascii="Times New Roman" w:hAnsi="Times New Roman" w:eastAsia="宋体" w:cs="Times New Roman"/>
                      <w:b w:val="0"/>
                      <w:bCs/>
                      <w:color w:val="auto"/>
                      <w:sz w:val="21"/>
                      <w:szCs w:val="21"/>
                      <w:highlight w:val="none"/>
                      <w:vertAlign w:val="baseline"/>
                      <w:lang w:val="en-US" w:eastAsia="zh-CN"/>
                    </w:rPr>
                    <w:t>较大影响</w:t>
                  </w:r>
                </w:p>
              </w:tc>
            </w:tr>
          </w:tbl>
          <w:p w14:paraId="6A0F0FAD">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left"/>
              <w:textAlignment w:val="auto"/>
              <w:outlineLvl w:val="2"/>
              <w:rPr>
                <w:rFonts w:hint="default" w:ascii="Times New Roman" w:hAnsi="Times New Roman" w:eastAsia="宋体" w:cs="Times New Roman"/>
                <w:b/>
                <w:bCs/>
                <w:color w:val="auto"/>
                <w:sz w:val="24"/>
                <w:highlight w:val="none"/>
                <w:lang w:val="en-US" w:eastAsia="zh-CN"/>
              </w:rPr>
            </w:pPr>
            <w:bookmarkStart w:id="190" w:name="_Toc29501"/>
            <w:bookmarkStart w:id="191" w:name="_Toc29837"/>
            <w:r>
              <w:rPr>
                <w:rFonts w:hint="eastAsia" w:cs="Times New Roman"/>
                <w:b/>
                <w:bCs/>
                <w:color w:val="auto"/>
                <w:sz w:val="24"/>
                <w:highlight w:val="none"/>
                <w:lang w:val="en-US" w:eastAsia="zh-CN"/>
              </w:rPr>
              <w:t xml:space="preserve">4.6.3 </w:t>
            </w:r>
            <w:r>
              <w:rPr>
                <w:rFonts w:hint="default" w:ascii="Times New Roman" w:hAnsi="Times New Roman" w:eastAsia="宋体" w:cs="Times New Roman"/>
                <w:b/>
                <w:bCs/>
                <w:color w:val="auto"/>
                <w:sz w:val="24"/>
                <w:highlight w:val="none"/>
                <w:lang w:val="en-US" w:eastAsia="zh-CN"/>
              </w:rPr>
              <w:t>环境风险防范措施</w:t>
            </w:r>
            <w:bookmarkEnd w:id="190"/>
            <w:bookmarkEnd w:id="191"/>
          </w:p>
          <w:p w14:paraId="56F26E75">
            <w:pPr>
              <w:autoSpaceDE w:val="0"/>
              <w:autoSpaceDN w:val="0"/>
              <w:adjustRightInd w:val="0"/>
              <w:snapToGrid w:val="0"/>
              <w:spacing w:line="360" w:lineRule="auto"/>
              <w:ind w:firstLine="480" w:firstLineChars="200"/>
              <w:jc w:val="left"/>
              <w:rPr>
                <w:color w:val="auto"/>
                <w:kern w:val="0"/>
                <w:sz w:val="24"/>
              </w:rPr>
            </w:pPr>
            <w:r>
              <w:rPr>
                <w:rFonts w:hint="eastAsia"/>
                <w:color w:val="auto"/>
                <w:kern w:val="0"/>
                <w:sz w:val="24"/>
                <w:lang w:eastAsia="zh-CN"/>
              </w:rPr>
              <w:t>（1）</w:t>
            </w:r>
            <w:r>
              <w:rPr>
                <w:rFonts w:hint="eastAsia"/>
                <w:color w:val="auto"/>
                <w:kern w:val="0"/>
                <w:sz w:val="24"/>
              </w:rPr>
              <w:t>废气事故排放</w:t>
            </w:r>
            <w:r>
              <w:rPr>
                <w:color w:val="auto"/>
                <w:kern w:val="0"/>
                <w:sz w:val="24"/>
              </w:rPr>
              <w:t>风险防范措施</w:t>
            </w:r>
          </w:p>
          <w:p w14:paraId="4E7FF260">
            <w:pPr>
              <w:autoSpaceDE w:val="0"/>
              <w:autoSpaceDN w:val="0"/>
              <w:adjustRightInd w:val="0"/>
              <w:snapToGrid w:val="0"/>
              <w:spacing w:line="360" w:lineRule="auto"/>
              <w:ind w:firstLine="480" w:firstLineChars="200"/>
              <w:jc w:val="left"/>
              <w:rPr>
                <w:rFonts w:hint="eastAsia"/>
                <w:color w:val="auto"/>
                <w:kern w:val="0"/>
                <w:sz w:val="24"/>
              </w:rPr>
            </w:pPr>
            <w:r>
              <w:rPr>
                <w:color w:val="auto"/>
                <w:kern w:val="0"/>
                <w:sz w:val="24"/>
              </w:rPr>
              <w:t>①</w:t>
            </w:r>
            <w:r>
              <w:rPr>
                <w:rFonts w:hint="eastAsia"/>
                <w:color w:val="auto"/>
                <w:kern w:val="0"/>
                <w:sz w:val="24"/>
              </w:rPr>
              <w:t>定期对废气处理设施从设备到运输管道进行检修，发现问题及时解决。</w:t>
            </w:r>
          </w:p>
          <w:p w14:paraId="291755F5">
            <w:pPr>
              <w:autoSpaceDE w:val="0"/>
              <w:autoSpaceDN w:val="0"/>
              <w:adjustRightInd w:val="0"/>
              <w:snapToGrid w:val="0"/>
              <w:spacing w:line="360" w:lineRule="auto"/>
              <w:ind w:firstLine="480" w:firstLineChars="200"/>
              <w:jc w:val="left"/>
              <w:rPr>
                <w:color w:val="auto"/>
                <w:kern w:val="0"/>
                <w:sz w:val="24"/>
              </w:rPr>
            </w:pPr>
            <w:r>
              <w:rPr>
                <w:color w:val="auto"/>
                <w:kern w:val="0"/>
                <w:sz w:val="24"/>
              </w:rPr>
              <w:t>②</w:t>
            </w:r>
            <w:r>
              <w:rPr>
                <w:rFonts w:hint="eastAsia"/>
                <w:color w:val="auto"/>
                <w:kern w:val="0"/>
                <w:sz w:val="24"/>
              </w:rPr>
              <w:t>各生产岗位制定严格的操作规程和注意事项，车间工人需熟悉工作流程，严格按操作规程进行运行控制，防止操作失误导致废气事故排放。</w:t>
            </w:r>
          </w:p>
          <w:p w14:paraId="0CBCDE8F">
            <w:pPr>
              <w:autoSpaceDE w:val="0"/>
              <w:autoSpaceDN w:val="0"/>
              <w:adjustRightInd w:val="0"/>
              <w:snapToGrid w:val="0"/>
              <w:spacing w:line="360" w:lineRule="auto"/>
              <w:ind w:firstLine="480" w:firstLineChars="200"/>
              <w:jc w:val="left"/>
              <w:rPr>
                <w:rFonts w:hint="eastAsia"/>
                <w:color w:val="auto"/>
                <w:sz w:val="24"/>
              </w:rPr>
            </w:pPr>
            <w:r>
              <w:rPr>
                <w:color w:val="auto"/>
                <w:kern w:val="0"/>
                <w:sz w:val="24"/>
              </w:rPr>
              <w:t>③</w:t>
            </w:r>
            <w:r>
              <w:rPr>
                <w:rFonts w:hint="eastAsia"/>
                <w:color w:val="auto"/>
                <w:kern w:val="0"/>
                <w:sz w:val="24"/>
              </w:rPr>
              <w:t>定期更换活性炭，</w:t>
            </w:r>
            <w:r>
              <w:rPr>
                <w:color w:val="auto"/>
                <w:sz w:val="24"/>
              </w:rPr>
              <w:t>同时确保项目</w:t>
            </w:r>
            <w:r>
              <w:rPr>
                <w:rFonts w:hint="eastAsia"/>
                <w:color w:val="auto"/>
                <w:sz w:val="24"/>
                <w:lang w:eastAsia="zh-CN"/>
              </w:rPr>
              <w:t>活性炭吸附装置</w:t>
            </w:r>
            <w:r>
              <w:rPr>
                <w:color w:val="auto"/>
                <w:sz w:val="24"/>
              </w:rPr>
              <w:t>一次性装置量</w:t>
            </w:r>
            <w:r>
              <w:rPr>
                <w:rFonts w:hint="eastAsia"/>
                <w:color w:val="auto"/>
                <w:sz w:val="24"/>
              </w:rPr>
              <w:t>。</w:t>
            </w:r>
          </w:p>
          <w:p w14:paraId="42571E2C">
            <w:pPr>
              <w:autoSpaceDE w:val="0"/>
              <w:autoSpaceDN w:val="0"/>
              <w:adjustRightInd w:val="0"/>
              <w:spacing w:line="360" w:lineRule="auto"/>
              <w:ind w:firstLine="480" w:firstLineChars="200"/>
              <w:jc w:val="left"/>
              <w:rPr>
                <w:color w:val="auto"/>
                <w:kern w:val="0"/>
                <w:sz w:val="24"/>
              </w:rPr>
            </w:pPr>
            <w:r>
              <w:rPr>
                <w:rFonts w:hint="eastAsia"/>
                <w:color w:val="auto"/>
                <w:sz w:val="24"/>
                <w:lang w:eastAsia="zh-CN"/>
              </w:rPr>
              <w:t>（2）</w:t>
            </w:r>
            <w:r>
              <w:rPr>
                <w:rFonts w:hint="eastAsia"/>
                <w:color w:val="auto"/>
                <w:kern w:val="0"/>
                <w:sz w:val="24"/>
              </w:rPr>
              <w:t>危险废物等</w:t>
            </w:r>
            <w:r>
              <w:rPr>
                <w:color w:val="auto"/>
                <w:kern w:val="0"/>
                <w:sz w:val="24"/>
              </w:rPr>
              <w:t>泄漏事故风险防范措施</w:t>
            </w:r>
          </w:p>
          <w:p w14:paraId="56E5041F">
            <w:pPr>
              <w:autoSpaceDE w:val="0"/>
              <w:autoSpaceDN w:val="0"/>
              <w:adjustRightInd w:val="0"/>
              <w:snapToGrid w:val="0"/>
              <w:spacing w:line="360" w:lineRule="auto"/>
              <w:ind w:firstLine="480" w:firstLineChars="200"/>
              <w:jc w:val="left"/>
              <w:rPr>
                <w:color w:val="auto"/>
                <w:kern w:val="0"/>
                <w:sz w:val="24"/>
              </w:rPr>
            </w:pPr>
            <w:r>
              <w:rPr>
                <w:color w:val="auto"/>
                <w:kern w:val="0"/>
                <w:sz w:val="24"/>
              </w:rPr>
              <w:t>①</w:t>
            </w:r>
            <w:r>
              <w:rPr>
                <w:rFonts w:hint="eastAsia"/>
                <w:color w:val="auto"/>
                <w:kern w:val="0"/>
                <w:sz w:val="24"/>
              </w:rPr>
              <w:t>危险废物间</w:t>
            </w:r>
            <w:r>
              <w:rPr>
                <w:color w:val="auto"/>
                <w:kern w:val="0"/>
                <w:sz w:val="24"/>
              </w:rPr>
              <w:t>周围设置围堰</w:t>
            </w:r>
            <w:r>
              <w:rPr>
                <w:rFonts w:hint="eastAsia"/>
                <w:color w:val="auto"/>
                <w:kern w:val="0"/>
                <w:sz w:val="24"/>
              </w:rPr>
              <w:t>，</w:t>
            </w:r>
            <w:r>
              <w:rPr>
                <w:color w:val="auto"/>
                <w:kern w:val="0"/>
                <w:sz w:val="24"/>
              </w:rPr>
              <w:t>地面采取防渗，设置导流沟</w:t>
            </w:r>
            <w:r>
              <w:rPr>
                <w:rFonts w:hint="eastAsia"/>
                <w:color w:val="auto"/>
                <w:kern w:val="0"/>
                <w:sz w:val="24"/>
              </w:rPr>
              <w:t>，</w:t>
            </w:r>
            <w:r>
              <w:rPr>
                <w:color w:val="auto"/>
                <w:kern w:val="0"/>
                <w:sz w:val="24"/>
              </w:rPr>
              <w:t>设置警示标识等</w:t>
            </w:r>
            <w:r>
              <w:rPr>
                <w:rFonts w:hint="eastAsia"/>
                <w:color w:val="auto"/>
                <w:kern w:val="0"/>
                <w:sz w:val="24"/>
              </w:rPr>
              <w:t>。</w:t>
            </w:r>
          </w:p>
          <w:p w14:paraId="4BA6388E">
            <w:pPr>
              <w:autoSpaceDE w:val="0"/>
              <w:autoSpaceDN w:val="0"/>
              <w:adjustRightInd w:val="0"/>
              <w:snapToGrid w:val="0"/>
              <w:spacing w:line="360" w:lineRule="auto"/>
              <w:ind w:firstLine="480" w:firstLineChars="200"/>
              <w:jc w:val="left"/>
              <w:rPr>
                <w:color w:val="auto"/>
                <w:kern w:val="0"/>
                <w:sz w:val="24"/>
              </w:rPr>
            </w:pPr>
            <w:r>
              <w:rPr>
                <w:color w:val="auto"/>
                <w:kern w:val="0"/>
                <w:sz w:val="24"/>
              </w:rPr>
              <w:t>②</w:t>
            </w:r>
            <w:r>
              <w:rPr>
                <w:rFonts w:hint="eastAsia"/>
                <w:color w:val="auto"/>
                <w:kern w:val="0"/>
                <w:sz w:val="24"/>
              </w:rPr>
              <w:t>危险废物间</w:t>
            </w:r>
            <w:r>
              <w:rPr>
                <w:color w:val="auto"/>
                <w:kern w:val="0"/>
                <w:sz w:val="24"/>
              </w:rPr>
              <w:t>严禁明火，严格遵守操作规程，避免因操作失误发生事故。</w:t>
            </w:r>
          </w:p>
          <w:p w14:paraId="6E113530">
            <w:pPr>
              <w:autoSpaceDE w:val="0"/>
              <w:autoSpaceDN w:val="0"/>
              <w:adjustRightInd w:val="0"/>
              <w:snapToGrid w:val="0"/>
              <w:spacing w:line="360" w:lineRule="auto"/>
              <w:ind w:firstLine="480" w:firstLineChars="200"/>
              <w:jc w:val="left"/>
              <w:rPr>
                <w:color w:val="auto"/>
                <w:sz w:val="24"/>
              </w:rPr>
            </w:pPr>
            <w:r>
              <w:rPr>
                <w:color w:val="auto"/>
                <w:sz w:val="24"/>
              </w:rPr>
              <w:t>③</w:t>
            </w:r>
            <w:r>
              <w:rPr>
                <w:color w:val="auto"/>
                <w:kern w:val="0"/>
                <w:sz w:val="24"/>
              </w:rPr>
              <w:t>配备</w:t>
            </w:r>
            <w:r>
              <w:rPr>
                <w:color w:val="auto"/>
                <w:sz w:val="24"/>
              </w:rPr>
              <w:t>相应的堵漏材料</w:t>
            </w:r>
            <w:r>
              <w:rPr>
                <w:rFonts w:hint="eastAsia"/>
                <w:color w:val="auto"/>
                <w:sz w:val="24"/>
                <w:lang w:eastAsia="zh-CN"/>
              </w:rPr>
              <w:t>（</w:t>
            </w:r>
            <w:r>
              <w:rPr>
                <w:rFonts w:hint="eastAsia"/>
                <w:color w:val="auto"/>
                <w:sz w:val="24"/>
              </w:rPr>
              <w:t>沙袋</w:t>
            </w:r>
            <w:r>
              <w:rPr>
                <w:color w:val="auto"/>
                <w:sz w:val="24"/>
              </w:rPr>
              <w:t>、吸油毡等</w:t>
            </w:r>
            <w:r>
              <w:rPr>
                <w:rFonts w:hint="eastAsia"/>
                <w:color w:val="auto"/>
                <w:sz w:val="24"/>
                <w:lang w:eastAsia="zh-CN"/>
              </w:rPr>
              <w:t>）</w:t>
            </w:r>
            <w:r>
              <w:rPr>
                <w:color w:val="auto"/>
                <w:sz w:val="24"/>
              </w:rPr>
              <w:t>。</w:t>
            </w:r>
          </w:p>
          <w:p w14:paraId="1167B166">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④项目</w:t>
            </w:r>
            <w:r>
              <w:rPr>
                <w:rFonts w:hint="eastAsia" w:ascii="Times New Roman" w:hAnsi="Times New Roman" w:eastAsia="宋体" w:cs="Times New Roman"/>
                <w:color w:val="auto"/>
                <w:kern w:val="0"/>
                <w:sz w:val="24"/>
                <w:highlight w:val="none"/>
                <w:u w:val="none"/>
                <w:lang w:val="en-US" w:eastAsia="zh-CN"/>
              </w:rPr>
              <w:t>危险废物贮存库</w:t>
            </w:r>
            <w:r>
              <w:rPr>
                <w:rFonts w:hint="default" w:ascii="Times New Roman" w:hAnsi="Times New Roman" w:eastAsia="宋体" w:cs="Times New Roman"/>
                <w:color w:val="auto"/>
                <w:kern w:val="0"/>
                <w:sz w:val="24"/>
                <w:highlight w:val="none"/>
                <w:u w:val="none"/>
                <w:lang w:val="en-US" w:eastAsia="zh-CN"/>
              </w:rPr>
              <w:t>应按照《危险废物贮存污染控制标准》</w:t>
            </w:r>
            <w:r>
              <w:rPr>
                <w:rFonts w:hint="eastAsia" w:cs="Times New Roman"/>
                <w:color w:val="auto"/>
                <w:kern w:val="0"/>
                <w:sz w:val="24"/>
                <w:highlight w:val="none"/>
                <w:u w:val="none"/>
                <w:lang w:val="en-US" w:eastAsia="zh-CN"/>
              </w:rPr>
              <w:t>（</w:t>
            </w:r>
            <w:r>
              <w:rPr>
                <w:rFonts w:hint="default" w:ascii="Times New Roman" w:hAnsi="Times New Roman" w:eastAsia="宋体" w:cs="Times New Roman"/>
                <w:color w:val="auto"/>
                <w:kern w:val="0"/>
                <w:sz w:val="24"/>
                <w:highlight w:val="none"/>
                <w:u w:val="none"/>
                <w:lang w:val="en-US" w:eastAsia="zh-CN"/>
              </w:rPr>
              <w:t>GB18597-2023</w:t>
            </w:r>
            <w:r>
              <w:rPr>
                <w:rFonts w:hint="eastAsia" w:cs="Times New Roman"/>
                <w:color w:val="auto"/>
                <w:kern w:val="0"/>
                <w:sz w:val="24"/>
                <w:highlight w:val="none"/>
                <w:u w:val="none"/>
                <w:lang w:val="en-US" w:eastAsia="zh-CN"/>
              </w:rPr>
              <w:t>）</w:t>
            </w:r>
            <w:r>
              <w:rPr>
                <w:rFonts w:hint="default" w:ascii="Times New Roman" w:hAnsi="Times New Roman" w:eastAsia="宋体" w:cs="Times New Roman"/>
                <w:color w:val="auto"/>
                <w:kern w:val="0"/>
                <w:sz w:val="24"/>
                <w:highlight w:val="none"/>
                <w:u w:val="none"/>
                <w:lang w:val="en-US" w:eastAsia="zh-CN"/>
              </w:rPr>
              <w:t>要求进行建设，具备</w:t>
            </w:r>
            <w:r>
              <w:rPr>
                <w:rFonts w:hint="eastAsia" w:ascii="Times New Roman" w:hAnsi="Times New Roman" w:eastAsia="宋体" w:cs="Times New Roman"/>
                <w:color w:val="auto"/>
                <w:kern w:val="0"/>
                <w:sz w:val="24"/>
                <w:highlight w:val="none"/>
                <w:u w:val="none"/>
                <w:lang w:val="en-US" w:eastAsia="zh-CN"/>
              </w:rPr>
              <w:t>防风、防雨、防晒、防止流失及扬散、防渗、防漏等要求</w:t>
            </w:r>
            <w:r>
              <w:rPr>
                <w:rFonts w:hint="default" w:ascii="Times New Roman" w:hAnsi="Times New Roman" w:eastAsia="宋体" w:cs="Times New Roman"/>
                <w:color w:val="auto"/>
                <w:kern w:val="0"/>
                <w:sz w:val="24"/>
                <w:highlight w:val="none"/>
                <w:u w:val="none"/>
                <w:lang w:val="en-US" w:eastAsia="zh-CN"/>
              </w:rPr>
              <w:t>。</w:t>
            </w:r>
            <w:r>
              <w:rPr>
                <w:rFonts w:hint="eastAsia" w:ascii="Times New Roman" w:hAnsi="Times New Roman" w:eastAsia="宋体" w:cs="Times New Roman"/>
                <w:color w:val="auto"/>
                <w:kern w:val="0"/>
                <w:sz w:val="24"/>
                <w:highlight w:val="none"/>
                <w:u w:val="none"/>
                <w:lang w:val="en-US" w:eastAsia="zh-CN"/>
              </w:rPr>
              <w:t>危险废物等</w:t>
            </w:r>
            <w:r>
              <w:rPr>
                <w:rFonts w:hint="default" w:ascii="Times New Roman" w:hAnsi="Times New Roman" w:eastAsia="宋体" w:cs="Times New Roman"/>
                <w:color w:val="auto"/>
                <w:kern w:val="0"/>
                <w:sz w:val="24"/>
                <w:highlight w:val="none"/>
                <w:u w:val="none"/>
                <w:lang w:val="en-US" w:eastAsia="zh-CN"/>
              </w:rPr>
              <w:t>不得与禁忌化学品混合贮存。</w:t>
            </w:r>
          </w:p>
          <w:p w14:paraId="3C3A98D9">
            <w:pPr>
              <w:autoSpaceDE w:val="0"/>
              <w:autoSpaceDN w:val="0"/>
              <w:adjustRightInd w:val="0"/>
              <w:snapToGrid w:val="0"/>
              <w:spacing w:line="360" w:lineRule="auto"/>
              <w:ind w:firstLine="480" w:firstLineChars="200"/>
              <w:jc w:val="left"/>
              <w:rPr>
                <w:color w:val="auto"/>
                <w:kern w:val="0"/>
                <w:sz w:val="24"/>
              </w:rPr>
            </w:pPr>
            <w:r>
              <w:rPr>
                <w:rFonts w:hint="eastAsia"/>
                <w:color w:val="auto"/>
                <w:kern w:val="0"/>
                <w:sz w:val="24"/>
                <w:lang w:eastAsia="zh-CN"/>
              </w:rPr>
              <w:t>（3）</w:t>
            </w:r>
            <w:r>
              <w:rPr>
                <w:color w:val="auto"/>
                <w:kern w:val="0"/>
                <w:sz w:val="24"/>
              </w:rPr>
              <w:t>火灾事故风险防范措施</w:t>
            </w:r>
          </w:p>
          <w:p w14:paraId="70DA3EB5">
            <w:pPr>
              <w:adjustRightInd w:val="0"/>
              <w:snapToGrid w:val="0"/>
              <w:spacing w:line="360" w:lineRule="auto"/>
              <w:ind w:firstLine="480" w:firstLineChars="200"/>
              <w:rPr>
                <w:bCs/>
                <w:color w:val="auto"/>
                <w:sz w:val="24"/>
              </w:rPr>
            </w:pPr>
            <w:r>
              <w:rPr>
                <w:bCs/>
                <w:color w:val="auto"/>
                <w:sz w:val="24"/>
              </w:rPr>
              <w:t>①加强消防设施和灭火器材的配备，严格落实有关消防技术规范的规定，加强人员疏散设施管理，保证疏散通道畅通。</w:t>
            </w:r>
          </w:p>
          <w:p w14:paraId="049698E5">
            <w:pPr>
              <w:adjustRightInd w:val="0"/>
              <w:snapToGrid w:val="0"/>
              <w:spacing w:line="360" w:lineRule="auto"/>
              <w:ind w:firstLine="480" w:firstLineChars="200"/>
              <w:rPr>
                <w:bCs/>
                <w:color w:val="auto"/>
                <w:sz w:val="24"/>
              </w:rPr>
            </w:pPr>
            <w:r>
              <w:rPr>
                <w:bCs/>
                <w:color w:val="auto"/>
                <w:sz w:val="24"/>
              </w:rPr>
              <w:t>②定期进行防火安全检查，确保消防设施完整好用。</w:t>
            </w:r>
          </w:p>
          <w:p w14:paraId="0A47C3E9">
            <w:pPr>
              <w:adjustRightInd w:val="0"/>
              <w:snapToGrid w:val="0"/>
              <w:spacing w:line="360" w:lineRule="auto"/>
              <w:ind w:firstLine="480" w:firstLineChars="200"/>
              <w:rPr>
                <w:bCs/>
                <w:color w:val="auto"/>
                <w:sz w:val="24"/>
              </w:rPr>
            </w:pPr>
            <w:r>
              <w:rPr>
                <w:color w:val="auto"/>
                <w:sz w:val="24"/>
              </w:rPr>
              <w:t>③</w:t>
            </w:r>
            <w:r>
              <w:rPr>
                <w:bCs/>
                <w:color w:val="auto"/>
                <w:sz w:val="24"/>
              </w:rPr>
              <w:t>公司要求职工应遵守各项规章制度，杜绝</w:t>
            </w:r>
            <w:r>
              <w:rPr>
                <w:rFonts w:hint="eastAsia"/>
                <w:bCs/>
                <w:color w:val="auto"/>
                <w:sz w:val="24"/>
                <w:lang w:eastAsia="zh-CN"/>
              </w:rPr>
              <w:t>“</w:t>
            </w:r>
            <w:r>
              <w:rPr>
                <w:bCs/>
                <w:color w:val="auto"/>
                <w:sz w:val="24"/>
              </w:rPr>
              <w:t>三违</w:t>
            </w:r>
            <w:r>
              <w:rPr>
                <w:rFonts w:hint="eastAsia"/>
                <w:bCs/>
                <w:color w:val="auto"/>
                <w:sz w:val="24"/>
                <w:lang w:eastAsia="zh-CN"/>
              </w:rPr>
              <w:t>”（</w:t>
            </w:r>
            <w:r>
              <w:rPr>
                <w:bCs/>
                <w:color w:val="auto"/>
                <w:sz w:val="24"/>
              </w:rPr>
              <w:t>违章作业、违章指挥、违反劳动纪律</w:t>
            </w:r>
            <w:r>
              <w:rPr>
                <w:rFonts w:hint="eastAsia"/>
                <w:bCs/>
                <w:color w:val="auto"/>
                <w:sz w:val="24"/>
                <w:lang w:eastAsia="zh-CN"/>
              </w:rPr>
              <w:t>）</w:t>
            </w:r>
            <w:r>
              <w:rPr>
                <w:bCs/>
                <w:color w:val="auto"/>
                <w:sz w:val="24"/>
              </w:rPr>
              <w:t>，作业时要遵守各项规定</w:t>
            </w:r>
            <w:r>
              <w:rPr>
                <w:rFonts w:hint="eastAsia"/>
                <w:bCs/>
                <w:color w:val="auto"/>
                <w:sz w:val="24"/>
                <w:lang w:eastAsia="zh-CN"/>
              </w:rPr>
              <w:t>（</w:t>
            </w:r>
            <w:r>
              <w:rPr>
                <w:bCs/>
                <w:color w:val="auto"/>
                <w:sz w:val="24"/>
              </w:rPr>
              <w:t>如动火、高处作业、进入设备作业等规定</w:t>
            </w:r>
            <w:r>
              <w:rPr>
                <w:rFonts w:hint="eastAsia"/>
                <w:bCs/>
                <w:color w:val="auto"/>
                <w:sz w:val="24"/>
                <w:lang w:eastAsia="zh-CN"/>
              </w:rPr>
              <w:t>）</w:t>
            </w:r>
            <w:r>
              <w:rPr>
                <w:bCs/>
                <w:color w:val="auto"/>
                <w:sz w:val="24"/>
              </w:rPr>
              <w:t>要求，确保安全生产。</w:t>
            </w:r>
          </w:p>
          <w:p w14:paraId="6651925F">
            <w:pPr>
              <w:adjustRightInd w:val="0"/>
              <w:snapToGrid w:val="0"/>
              <w:spacing w:line="360" w:lineRule="auto"/>
              <w:ind w:firstLine="480" w:firstLineChars="200"/>
              <w:rPr>
                <w:bCs/>
                <w:color w:val="auto"/>
                <w:sz w:val="24"/>
              </w:rPr>
            </w:pPr>
            <w:r>
              <w:rPr>
                <w:bCs/>
                <w:color w:val="auto"/>
                <w:sz w:val="24"/>
              </w:rPr>
              <w:t>④公司强化安全、消防和环保管理，完善环保安全管理机构，完善各项管理制度，加强日常监督检查；</w:t>
            </w:r>
            <w:r>
              <w:rPr>
                <w:rFonts w:hint="eastAsia"/>
                <w:bCs/>
                <w:color w:val="auto"/>
                <w:sz w:val="24"/>
              </w:rPr>
              <w:t>车间</w:t>
            </w:r>
            <w:r>
              <w:rPr>
                <w:bCs/>
                <w:color w:val="auto"/>
                <w:sz w:val="24"/>
              </w:rPr>
              <w:t>内严禁烟火，严格动火审批制度，进料车辆必须戴阻火器。</w:t>
            </w:r>
          </w:p>
          <w:p w14:paraId="41524D65">
            <w:pPr>
              <w:pStyle w:val="68"/>
              <w:ind w:left="0" w:leftChars="0" w:firstLine="0" w:firstLineChars="0"/>
              <w:rPr>
                <w:rFonts w:hint="default" w:ascii="Times New Roman" w:hAnsi="Times New Roman" w:cs="Times New Roman"/>
                <w:b/>
                <w:bCs/>
                <w:color w:val="auto"/>
                <w:highlight w:val="none"/>
              </w:rPr>
            </w:pPr>
            <w:r>
              <w:rPr>
                <w:rFonts w:hint="eastAsia" w:cs="Times New Roman"/>
                <w:b/>
                <w:bCs/>
                <w:color w:val="auto"/>
                <w:highlight w:val="none"/>
                <w:lang w:val="en-US" w:eastAsia="zh-CN"/>
              </w:rPr>
              <w:t xml:space="preserve">4.6.4 </w:t>
            </w:r>
            <w:r>
              <w:rPr>
                <w:rFonts w:hint="default" w:ascii="Times New Roman" w:hAnsi="Times New Roman" w:cs="Times New Roman"/>
                <w:b/>
                <w:bCs/>
                <w:color w:val="auto"/>
                <w:highlight w:val="none"/>
              </w:rPr>
              <w:t>风险分析结论</w:t>
            </w:r>
          </w:p>
          <w:p w14:paraId="1DEBECA3">
            <w:pPr>
              <w:pStyle w:val="68"/>
            </w:pPr>
            <w:r>
              <w:rPr>
                <w:rFonts w:hint="default" w:ascii="Times New Roman" w:hAnsi="Times New Roman" w:cs="Times New Roman"/>
                <w:color w:val="auto"/>
                <w:highlight w:val="none"/>
                <w:lang w:val="en-GB"/>
              </w:rPr>
              <w:t>本项目</w:t>
            </w:r>
            <w:r>
              <w:rPr>
                <w:rFonts w:hint="eastAsia" w:ascii="Times New Roman" w:hAnsi="Times New Roman" w:cs="Times New Roman"/>
                <w:color w:val="auto"/>
                <w:highlight w:val="none"/>
                <w:lang w:val="en-US" w:eastAsia="zh-CN"/>
              </w:rPr>
              <w:t>再配备</w:t>
            </w:r>
            <w:r>
              <w:rPr>
                <w:rFonts w:hint="default" w:ascii="Times New Roman" w:hAnsi="Times New Roman" w:cs="Times New Roman"/>
                <w:color w:val="auto"/>
                <w:highlight w:val="none"/>
                <w:lang w:val="en-GB" w:eastAsia="zh-CN"/>
              </w:rPr>
              <w:t>相应的</w:t>
            </w:r>
            <w:r>
              <w:rPr>
                <w:rFonts w:hint="eastAsia" w:ascii="Times New Roman" w:hAnsi="Times New Roman" w:cs="Times New Roman"/>
                <w:color w:val="auto"/>
                <w:highlight w:val="none"/>
                <w:lang w:val="en-GB" w:eastAsia="zh-CN"/>
              </w:rPr>
              <w:t>应急物资，</w:t>
            </w:r>
            <w:r>
              <w:rPr>
                <w:rFonts w:hint="default" w:ascii="Times New Roman" w:hAnsi="Times New Roman" w:cs="Times New Roman"/>
                <w:color w:val="auto"/>
                <w:highlight w:val="none"/>
                <w:lang w:val="en-GB"/>
              </w:rPr>
              <w:t>加强厂区防火管理</w:t>
            </w:r>
            <w:r>
              <w:rPr>
                <w:rFonts w:hint="eastAsia" w:ascii="Times New Roman" w:hAnsi="Times New Roman" w:cs="Times New Roman"/>
                <w:color w:val="auto"/>
                <w:highlight w:val="none"/>
                <w:lang w:val="en-GB" w:eastAsia="zh-CN"/>
              </w:rPr>
              <w:t>，</w:t>
            </w:r>
            <w:r>
              <w:rPr>
                <w:rFonts w:hint="eastAsia" w:ascii="Times New Roman" w:hAnsi="Times New Roman" w:cs="Times New Roman"/>
                <w:color w:val="auto"/>
                <w:highlight w:val="none"/>
                <w:lang w:val="en-US" w:eastAsia="zh-CN"/>
              </w:rPr>
              <w:t>加强环保设施运行维护</w:t>
            </w:r>
            <w:r>
              <w:rPr>
                <w:rFonts w:hint="eastAsia" w:cs="Times New Roman"/>
                <w:color w:val="auto"/>
                <w:highlight w:val="none"/>
                <w:lang w:val="en-US" w:eastAsia="zh-CN"/>
              </w:rPr>
              <w:t>，在</w:t>
            </w:r>
            <w:r>
              <w:rPr>
                <w:rFonts w:hint="default" w:ascii="Times New Roman" w:hAnsi="Times New Roman" w:cs="Times New Roman"/>
                <w:color w:val="auto"/>
                <w:highlight w:val="none"/>
                <w:lang w:val="en-GB"/>
              </w:rPr>
              <w:t>完善事故风险防范措施</w:t>
            </w:r>
            <w:r>
              <w:rPr>
                <w:rFonts w:hint="eastAsia" w:ascii="Times New Roman" w:hAnsi="Times New Roman" w:cs="Times New Roman"/>
                <w:color w:val="auto"/>
                <w:highlight w:val="none"/>
                <w:lang w:val="en-US" w:eastAsia="zh-CN"/>
              </w:rPr>
              <w:t>的前提下</w:t>
            </w:r>
            <w:r>
              <w:rPr>
                <w:rFonts w:hint="default" w:ascii="Times New Roman" w:hAnsi="Times New Roman" w:cs="Times New Roman"/>
                <w:color w:val="auto"/>
                <w:highlight w:val="none"/>
                <w:lang w:val="en-GB"/>
              </w:rPr>
              <w:t>，事故发生概率很低，本项目环境风险在可接受的范围内。</w:t>
            </w:r>
            <w:bookmarkEnd w:id="189"/>
          </w:p>
          <w:p w14:paraId="55EF2BBE">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192" w:name="_Toc4336"/>
            <w:bookmarkStart w:id="193" w:name="_Toc28916"/>
            <w:r>
              <w:rPr>
                <w:rFonts w:hint="eastAsia" w:ascii="Times New Roman" w:hAnsi="Times New Roman" w:eastAsia="宋体" w:cs="Times New Roman"/>
                <w:color w:val="auto"/>
                <w:sz w:val="28"/>
                <w:szCs w:val="28"/>
                <w:u w:val="none"/>
                <w:lang w:val="en-US" w:eastAsia="zh-CN"/>
              </w:rPr>
              <w:t>4.7自行监测计划</w:t>
            </w:r>
            <w:bookmarkEnd w:id="192"/>
            <w:bookmarkEnd w:id="193"/>
          </w:p>
          <w:p w14:paraId="76268A6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本评价根据</w:t>
            </w:r>
            <w:r>
              <w:rPr>
                <w:rFonts w:hint="default" w:ascii="Times New Roman" w:hAnsi="Times New Roman" w:cs="Times New Roman"/>
                <w:color w:val="auto"/>
                <w:sz w:val="24"/>
                <w:lang w:bidi="ar"/>
              </w:rPr>
              <w:t>《排污许可证申请与核发技术规范</w:t>
            </w:r>
            <w:r>
              <w:rPr>
                <w:rFonts w:hint="eastAsia" w:ascii="Times New Roman" w:hAnsi="Times New Roman" w:cs="Times New Roman"/>
                <w:color w:val="auto"/>
                <w:sz w:val="24"/>
                <w:lang w:val="en-US" w:eastAsia="zh-CN" w:bidi="ar"/>
              </w:rPr>
              <w:t xml:space="preserve"> </w:t>
            </w:r>
            <w:r>
              <w:rPr>
                <w:rFonts w:hint="default" w:ascii="Times New Roman" w:hAnsi="Times New Roman" w:cs="Times New Roman"/>
                <w:color w:val="auto"/>
                <w:sz w:val="24"/>
                <w:lang w:bidi="ar"/>
              </w:rPr>
              <w:t>金属铸造工业》</w:t>
            </w:r>
            <w:r>
              <w:rPr>
                <w:rFonts w:hint="default" w:ascii="Times New Roman" w:hAnsi="Times New Roman" w:eastAsia="宋体" w:cs="Times New Roman"/>
                <w:color w:val="auto"/>
                <w:kern w:val="0"/>
                <w:sz w:val="24"/>
                <w:szCs w:val="24"/>
                <w:lang w:val="en-US" w:eastAsia="zh-CN" w:bidi="ar"/>
              </w:rPr>
              <w:t>（HJ</w:t>
            </w:r>
            <w:r>
              <w:rPr>
                <w:rFonts w:hint="eastAsia" w:cs="Times New Roman"/>
                <w:color w:val="auto"/>
                <w:kern w:val="0"/>
                <w:sz w:val="24"/>
                <w:szCs w:val="24"/>
                <w:lang w:val="en-US" w:eastAsia="zh-CN" w:bidi="ar"/>
              </w:rPr>
              <w:t>1115-2020</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《排污单位自行监测技术指南 总则》（HJ819-2017）、</w:t>
            </w:r>
            <w:r>
              <w:rPr>
                <w:rFonts w:hint="eastAsia" w:cs="Times New Roman"/>
                <w:color w:val="auto"/>
                <w:kern w:val="0"/>
                <w:sz w:val="24"/>
                <w:szCs w:val="24"/>
                <w:lang w:val="en-US" w:eastAsia="zh-CN" w:bidi="ar"/>
              </w:rPr>
              <w:t>《排污许可证自行监测技术指南 金属铸造工业》（HJ1251-2022）</w:t>
            </w:r>
            <w:r>
              <w:rPr>
                <w:rFonts w:hint="default" w:ascii="Times New Roman" w:hAnsi="Times New Roman" w:eastAsia="宋体" w:cs="Times New Roman"/>
                <w:color w:val="auto"/>
                <w:kern w:val="0"/>
                <w:sz w:val="24"/>
                <w:szCs w:val="24"/>
                <w:lang w:val="en-US" w:eastAsia="zh-CN" w:bidi="ar"/>
              </w:rPr>
              <w:t>的要求，提出项目运营期自行监测计划，具体详见表4.</w:t>
            </w:r>
            <w:r>
              <w:rPr>
                <w:rFonts w:hint="eastAsia" w:ascii="Times New Roman" w:hAnsi="Times New Roman" w:eastAsia="宋体" w:cs="Times New Roman"/>
                <w:color w:val="auto"/>
                <w:kern w:val="0"/>
                <w:sz w:val="24"/>
                <w:szCs w:val="24"/>
                <w:lang w:val="en-US" w:eastAsia="zh-CN" w:bidi="ar"/>
              </w:rPr>
              <w:t>8</w:t>
            </w:r>
            <w:r>
              <w:rPr>
                <w:rFonts w:hint="default" w:ascii="Times New Roman" w:hAnsi="Times New Roman" w:eastAsia="宋体" w:cs="Times New Roman"/>
                <w:color w:val="auto"/>
                <w:kern w:val="0"/>
                <w:sz w:val="24"/>
                <w:szCs w:val="24"/>
                <w:lang w:val="en-US" w:eastAsia="zh-CN" w:bidi="ar"/>
              </w:rPr>
              <w:t>-1。</w:t>
            </w:r>
          </w:p>
          <w:p w14:paraId="14264BA8">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表4.8-1 本项目自行监测计划</w:t>
            </w:r>
          </w:p>
          <w:tbl>
            <w:tblPr>
              <w:tblStyle w:val="24"/>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3"/>
              <w:gridCol w:w="854"/>
              <w:gridCol w:w="2921"/>
              <w:gridCol w:w="2097"/>
              <w:gridCol w:w="1110"/>
              <w:gridCol w:w="1077"/>
            </w:tblGrid>
            <w:tr w14:paraId="398E69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807" w:type="pct"/>
                  <w:gridSpan w:val="2"/>
                  <w:tcBorders>
                    <w:tl2br w:val="nil"/>
                    <w:tr2bl w:val="nil"/>
                  </w:tcBorders>
                  <w:noWrap w:val="0"/>
                  <w:vAlign w:val="center"/>
                </w:tcPr>
                <w:p w14:paraId="575AEF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类别</w:t>
                  </w:r>
                </w:p>
              </w:tc>
              <w:tc>
                <w:tcPr>
                  <w:tcW w:w="1699" w:type="pct"/>
                  <w:tcBorders>
                    <w:tl2br w:val="nil"/>
                    <w:tr2bl w:val="nil"/>
                  </w:tcBorders>
                  <w:noWrap w:val="0"/>
                  <w:vAlign w:val="center"/>
                </w:tcPr>
                <w:p w14:paraId="7E2EF9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监测位置</w:t>
                  </w:r>
                </w:p>
              </w:tc>
              <w:tc>
                <w:tcPr>
                  <w:tcW w:w="1220" w:type="pct"/>
                  <w:tcBorders>
                    <w:tl2br w:val="nil"/>
                    <w:tr2bl w:val="nil"/>
                  </w:tcBorders>
                  <w:noWrap w:val="0"/>
                  <w:vAlign w:val="center"/>
                </w:tcPr>
                <w:p w14:paraId="4E8719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监测项目</w:t>
                  </w:r>
                </w:p>
              </w:tc>
              <w:tc>
                <w:tcPr>
                  <w:tcW w:w="645" w:type="pct"/>
                  <w:tcBorders>
                    <w:tl2br w:val="nil"/>
                    <w:tr2bl w:val="nil"/>
                  </w:tcBorders>
                  <w:noWrap w:val="0"/>
                  <w:vAlign w:val="center"/>
                </w:tcPr>
                <w:p w14:paraId="3816FC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监测频次</w:t>
                  </w:r>
                </w:p>
              </w:tc>
              <w:tc>
                <w:tcPr>
                  <w:tcW w:w="626" w:type="pct"/>
                  <w:tcBorders>
                    <w:tl2br w:val="nil"/>
                    <w:tr2bl w:val="nil"/>
                  </w:tcBorders>
                  <w:noWrap w:val="0"/>
                  <w:vAlign w:val="center"/>
                </w:tcPr>
                <w:p w14:paraId="689A7E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监测负责单位</w:t>
                  </w:r>
                </w:p>
              </w:tc>
            </w:tr>
            <w:tr w14:paraId="739109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310" w:type="pct"/>
                  <w:vMerge w:val="restart"/>
                  <w:tcBorders>
                    <w:tl2br w:val="nil"/>
                    <w:tr2bl w:val="nil"/>
                  </w:tcBorders>
                  <w:noWrap w:val="0"/>
                  <w:vAlign w:val="center"/>
                </w:tcPr>
                <w:p w14:paraId="1F13F9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废气</w:t>
                  </w:r>
                </w:p>
              </w:tc>
              <w:tc>
                <w:tcPr>
                  <w:tcW w:w="496" w:type="pct"/>
                  <w:vMerge w:val="restart"/>
                  <w:tcBorders>
                    <w:tl2br w:val="nil"/>
                    <w:tr2bl w:val="nil"/>
                  </w:tcBorders>
                  <w:noWrap w:val="0"/>
                  <w:vAlign w:val="center"/>
                </w:tcPr>
                <w:p w14:paraId="24EB08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无组织废气</w:t>
                  </w:r>
                </w:p>
              </w:tc>
              <w:tc>
                <w:tcPr>
                  <w:tcW w:w="1699" w:type="pct"/>
                  <w:tcBorders>
                    <w:tl2br w:val="nil"/>
                    <w:tr2bl w:val="nil"/>
                  </w:tcBorders>
                  <w:noWrap w:val="0"/>
                  <w:vAlign w:val="center"/>
                </w:tcPr>
                <w:p w14:paraId="0FC41BD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厂区内</w:t>
                  </w:r>
                  <w:r>
                    <w:rPr>
                      <w:rFonts w:hint="eastAsia" w:cs="Times New Roman"/>
                      <w:color w:val="000000"/>
                      <w:kern w:val="0"/>
                      <w:sz w:val="21"/>
                      <w:szCs w:val="21"/>
                      <w:lang w:val="en-US" w:eastAsia="zh-CN" w:bidi="ar"/>
                    </w:rPr>
                    <w:t>主要设施旁1</w:t>
                  </w:r>
                  <w:r>
                    <w:rPr>
                      <w:rFonts w:hint="default" w:ascii="Times New Roman" w:hAnsi="Times New Roman" w:eastAsia="宋体" w:cs="Times New Roman"/>
                      <w:color w:val="000000"/>
                      <w:kern w:val="0"/>
                      <w:sz w:val="21"/>
                      <w:szCs w:val="21"/>
                      <w:lang w:val="en-US" w:eastAsia="zh-CN" w:bidi="ar"/>
                    </w:rPr>
                    <w:t>个监控点</w:t>
                  </w:r>
                </w:p>
              </w:tc>
              <w:tc>
                <w:tcPr>
                  <w:tcW w:w="1220" w:type="pct"/>
                  <w:tcBorders>
                    <w:tl2br w:val="nil"/>
                    <w:tr2bl w:val="nil"/>
                  </w:tcBorders>
                  <w:noWrap w:val="0"/>
                  <w:vAlign w:val="center"/>
                </w:tcPr>
                <w:p w14:paraId="173E817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非甲烷总烃</w:t>
                  </w:r>
                </w:p>
              </w:tc>
              <w:tc>
                <w:tcPr>
                  <w:tcW w:w="645" w:type="pct"/>
                  <w:tcBorders>
                    <w:tl2br w:val="nil"/>
                    <w:tr2bl w:val="nil"/>
                  </w:tcBorders>
                  <w:noWrap w:val="0"/>
                  <w:vAlign w:val="center"/>
                </w:tcPr>
                <w:p w14:paraId="3EBBDA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Cs/>
                      <w:color w:val="auto"/>
                      <w:sz w:val="21"/>
                      <w:szCs w:val="21"/>
                      <w:lang w:val="en-US" w:eastAsia="zh-CN"/>
                    </w:rPr>
                    <w:t>1次</w:t>
                  </w:r>
                  <w:r>
                    <w:rPr>
                      <w:rFonts w:hint="default" w:ascii="Times New Roman" w:hAnsi="Times New Roman" w:eastAsia="宋体" w:cs="Times New Roman"/>
                      <w:bCs/>
                      <w:color w:val="auto"/>
                      <w:sz w:val="21"/>
                      <w:szCs w:val="21"/>
                    </w:rPr>
                    <w:t>/年</w:t>
                  </w:r>
                </w:p>
              </w:tc>
              <w:tc>
                <w:tcPr>
                  <w:tcW w:w="626" w:type="pct"/>
                  <w:vMerge w:val="restart"/>
                  <w:tcBorders>
                    <w:tl2br w:val="nil"/>
                    <w:tr2bl w:val="nil"/>
                  </w:tcBorders>
                  <w:noWrap w:val="0"/>
                  <w:vAlign w:val="center"/>
                </w:tcPr>
                <w:p w14:paraId="02A0732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委托专业检测单位</w:t>
                  </w:r>
                </w:p>
                <w:p w14:paraId="5BA036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3B60E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0" w:type="pct"/>
                  <w:vMerge w:val="continue"/>
                  <w:tcBorders>
                    <w:tl2br w:val="nil"/>
                    <w:tr2bl w:val="nil"/>
                  </w:tcBorders>
                  <w:noWrap w:val="0"/>
                  <w:vAlign w:val="center"/>
                </w:tcPr>
                <w:p w14:paraId="18ECD6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96" w:type="pct"/>
                  <w:vMerge w:val="continue"/>
                  <w:tcBorders>
                    <w:tl2br w:val="nil"/>
                    <w:tr2bl w:val="nil"/>
                  </w:tcBorders>
                  <w:noWrap w:val="0"/>
                  <w:vAlign w:val="center"/>
                </w:tcPr>
                <w:p w14:paraId="5F5073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699" w:type="pct"/>
                  <w:tcBorders>
                    <w:tl2br w:val="nil"/>
                    <w:tr2bl w:val="nil"/>
                  </w:tcBorders>
                  <w:noWrap w:val="0"/>
                  <w:vAlign w:val="center"/>
                </w:tcPr>
                <w:p w14:paraId="4815B69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lang w:val="en-US" w:eastAsia="zh-CN" w:bidi="ar"/>
                    </w:rPr>
                    <w:t>厂界上风向1个监控点；下风向</w:t>
                  </w:r>
                  <w:r>
                    <w:rPr>
                      <w:rFonts w:hint="eastAsia"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个监控点</w:t>
                  </w:r>
                </w:p>
              </w:tc>
              <w:tc>
                <w:tcPr>
                  <w:tcW w:w="1220" w:type="pct"/>
                  <w:tcBorders>
                    <w:tl2br w:val="nil"/>
                    <w:tr2bl w:val="nil"/>
                  </w:tcBorders>
                  <w:noWrap w:val="0"/>
                  <w:vAlign w:val="center"/>
                </w:tcPr>
                <w:p w14:paraId="3350E80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lang w:val="en-US" w:eastAsia="zh-CN" w:bidi="ar"/>
                    </w:rPr>
                    <w:t>非甲烷总烃</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颗粒物</w:t>
                  </w:r>
                </w:p>
              </w:tc>
              <w:tc>
                <w:tcPr>
                  <w:tcW w:w="645" w:type="pct"/>
                  <w:tcBorders>
                    <w:tl2br w:val="nil"/>
                    <w:tr2bl w:val="nil"/>
                  </w:tcBorders>
                  <w:noWrap w:val="0"/>
                  <w:vAlign w:val="center"/>
                </w:tcPr>
                <w:p w14:paraId="00D725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Cs/>
                      <w:color w:val="auto"/>
                      <w:sz w:val="21"/>
                      <w:szCs w:val="21"/>
                      <w:lang w:val="en-US" w:eastAsia="zh-CN"/>
                    </w:rPr>
                    <w:t>1次</w:t>
                  </w:r>
                  <w:r>
                    <w:rPr>
                      <w:rFonts w:hint="default" w:ascii="Times New Roman" w:hAnsi="Times New Roman" w:eastAsia="宋体" w:cs="Times New Roman"/>
                      <w:bCs/>
                      <w:color w:val="auto"/>
                      <w:sz w:val="21"/>
                      <w:szCs w:val="21"/>
                    </w:rPr>
                    <w:t>/年</w:t>
                  </w:r>
                </w:p>
              </w:tc>
              <w:tc>
                <w:tcPr>
                  <w:tcW w:w="626" w:type="pct"/>
                  <w:vMerge w:val="continue"/>
                  <w:tcBorders>
                    <w:tl2br w:val="nil"/>
                    <w:tr2bl w:val="nil"/>
                  </w:tcBorders>
                  <w:noWrap w:val="0"/>
                  <w:vAlign w:val="center"/>
                </w:tcPr>
                <w:p w14:paraId="66DD17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5FCA8F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0" w:type="pct"/>
                  <w:vMerge w:val="continue"/>
                  <w:tcBorders>
                    <w:tl2br w:val="nil"/>
                    <w:tr2bl w:val="nil"/>
                  </w:tcBorders>
                  <w:noWrap w:val="0"/>
                  <w:vAlign w:val="center"/>
                </w:tcPr>
                <w:p w14:paraId="12F83A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96" w:type="pct"/>
                  <w:tcBorders>
                    <w:tl2br w:val="nil"/>
                    <w:tr2bl w:val="nil"/>
                  </w:tcBorders>
                  <w:noWrap w:val="0"/>
                  <w:vAlign w:val="center"/>
                </w:tcPr>
                <w:p w14:paraId="3D9F6C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有组织废气</w:t>
                  </w:r>
                </w:p>
              </w:tc>
              <w:tc>
                <w:tcPr>
                  <w:tcW w:w="1699" w:type="pct"/>
                  <w:tcBorders>
                    <w:tl2br w:val="nil"/>
                    <w:tr2bl w:val="nil"/>
                  </w:tcBorders>
                  <w:noWrap w:val="0"/>
                  <w:vAlign w:val="center"/>
                </w:tcPr>
                <w:p w14:paraId="1C00DA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lang w:val="en-US" w:eastAsia="zh-CN"/>
                    </w:rPr>
                    <w:t>排气筒DA001</w:t>
                  </w:r>
                </w:p>
              </w:tc>
              <w:tc>
                <w:tcPr>
                  <w:tcW w:w="1220" w:type="pct"/>
                  <w:tcBorders>
                    <w:tl2br w:val="nil"/>
                    <w:tr2bl w:val="nil"/>
                  </w:tcBorders>
                  <w:noWrap w:val="0"/>
                  <w:vAlign w:val="center"/>
                </w:tcPr>
                <w:p w14:paraId="726E9F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非甲烷总烃、</w:t>
                  </w:r>
                  <w:r>
                    <w:rPr>
                      <w:rFonts w:hint="eastAsia" w:cs="Times New Roman"/>
                      <w:b w:val="0"/>
                      <w:bCs/>
                      <w:color w:val="auto"/>
                      <w:sz w:val="21"/>
                      <w:szCs w:val="21"/>
                      <w:vertAlign w:val="baseline"/>
                      <w:lang w:val="en-US" w:eastAsia="zh-CN"/>
                    </w:rPr>
                    <w:t>颗粒物</w:t>
                  </w:r>
                </w:p>
              </w:tc>
              <w:tc>
                <w:tcPr>
                  <w:tcW w:w="645" w:type="pct"/>
                  <w:tcBorders>
                    <w:tl2br w:val="nil"/>
                    <w:tr2bl w:val="nil"/>
                  </w:tcBorders>
                  <w:noWrap w:val="0"/>
                  <w:vAlign w:val="center"/>
                </w:tcPr>
                <w:p w14:paraId="3DAA26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1次/年</w:t>
                  </w:r>
                </w:p>
              </w:tc>
              <w:tc>
                <w:tcPr>
                  <w:tcW w:w="626" w:type="pct"/>
                  <w:vMerge w:val="continue"/>
                  <w:tcBorders>
                    <w:tl2br w:val="nil"/>
                    <w:tr2bl w:val="nil"/>
                  </w:tcBorders>
                  <w:noWrap w:val="0"/>
                  <w:vAlign w:val="center"/>
                </w:tcPr>
                <w:p w14:paraId="502144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0BDB3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7" w:type="pct"/>
                  <w:gridSpan w:val="2"/>
                  <w:tcBorders>
                    <w:tl2br w:val="nil"/>
                    <w:tr2bl w:val="nil"/>
                  </w:tcBorders>
                  <w:noWrap w:val="0"/>
                  <w:vAlign w:val="center"/>
                </w:tcPr>
                <w:p w14:paraId="0F5110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废水</w:t>
                  </w:r>
                </w:p>
              </w:tc>
              <w:tc>
                <w:tcPr>
                  <w:tcW w:w="4192" w:type="pct"/>
                  <w:gridSpan w:val="4"/>
                  <w:tcBorders>
                    <w:tl2br w:val="nil"/>
                    <w:tr2bl w:val="nil"/>
                  </w:tcBorders>
                  <w:noWrap w:val="0"/>
                  <w:vAlign w:val="center"/>
                </w:tcPr>
                <w:p w14:paraId="1B3741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根据《排污单位自行监测技术指南 总则》（HJ819-2017）、</w:t>
                  </w:r>
                  <w:r>
                    <w:rPr>
                      <w:rFonts w:hint="eastAsia" w:ascii="Times New Roman" w:hAnsi="Times New Roman" w:eastAsia="宋体" w:cs="Times New Roman"/>
                      <w:color w:val="auto"/>
                      <w:sz w:val="21"/>
                      <w:szCs w:val="21"/>
                      <w:lang w:val="en-US" w:eastAsia="zh-CN"/>
                    </w:rPr>
                    <w:t>《排污许可证自行监测技术指南 金属铸造工业》（HJ1251-2022）</w:t>
                  </w:r>
                  <w:r>
                    <w:rPr>
                      <w:rFonts w:hint="default" w:ascii="Times New Roman" w:hAnsi="Times New Roman" w:eastAsia="宋体" w:cs="Times New Roman"/>
                      <w:color w:val="auto"/>
                      <w:sz w:val="21"/>
                      <w:szCs w:val="21"/>
                      <w:lang w:val="en-US" w:eastAsia="zh-CN"/>
                    </w:rPr>
                    <w:t>，间接排放的生活污水单独排放口无自行监测要求。因此，本评价不对生活污水提出自行监测要求。</w:t>
                  </w:r>
                </w:p>
              </w:tc>
            </w:tr>
            <w:tr w14:paraId="14E55D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7" w:type="pct"/>
                  <w:gridSpan w:val="2"/>
                  <w:tcBorders>
                    <w:tl2br w:val="nil"/>
                    <w:tr2bl w:val="nil"/>
                  </w:tcBorders>
                  <w:noWrap w:val="0"/>
                  <w:vAlign w:val="center"/>
                </w:tcPr>
                <w:p w14:paraId="7A7F0F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噪声</w:t>
                  </w:r>
                </w:p>
              </w:tc>
              <w:tc>
                <w:tcPr>
                  <w:tcW w:w="1699" w:type="pct"/>
                  <w:tcBorders>
                    <w:tl2br w:val="nil"/>
                    <w:tr2bl w:val="nil"/>
                  </w:tcBorders>
                  <w:noWrap w:val="0"/>
                  <w:vAlign w:val="center"/>
                </w:tcPr>
                <w:p w14:paraId="2EF556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厂界四周外1m</w:t>
                  </w:r>
                </w:p>
              </w:tc>
              <w:tc>
                <w:tcPr>
                  <w:tcW w:w="1220" w:type="pct"/>
                  <w:tcBorders>
                    <w:tl2br w:val="nil"/>
                    <w:tr2bl w:val="nil"/>
                  </w:tcBorders>
                  <w:noWrap w:val="0"/>
                  <w:vAlign w:val="center"/>
                </w:tcPr>
                <w:p w14:paraId="54BF9B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等效</w:t>
                  </w:r>
                  <w:r>
                    <w:rPr>
                      <w:rFonts w:hint="default" w:ascii="Times New Roman" w:hAnsi="Times New Roman" w:eastAsia="宋体" w:cs="Times New Roman"/>
                      <w:color w:val="auto"/>
                      <w:sz w:val="21"/>
                      <w:szCs w:val="21"/>
                      <w:lang w:val="en-US" w:eastAsia="zh-CN"/>
                    </w:rPr>
                    <w:t>A声级</w:t>
                  </w:r>
                </w:p>
              </w:tc>
              <w:tc>
                <w:tcPr>
                  <w:tcW w:w="645" w:type="pct"/>
                  <w:tcBorders>
                    <w:tl2br w:val="nil"/>
                    <w:tr2bl w:val="nil"/>
                  </w:tcBorders>
                  <w:noWrap w:val="0"/>
                  <w:vAlign w:val="center"/>
                </w:tcPr>
                <w:p w14:paraId="5DEE20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lang w:val="en-US" w:eastAsia="zh-CN" w:bidi="ar-SA"/>
                    </w:rPr>
                    <w:t>1次/季度</w:t>
                  </w:r>
                </w:p>
              </w:tc>
              <w:tc>
                <w:tcPr>
                  <w:tcW w:w="626" w:type="pct"/>
                  <w:tcBorders>
                    <w:tl2br w:val="nil"/>
                    <w:tr2bl w:val="nil"/>
                  </w:tcBorders>
                  <w:noWrap w:val="0"/>
                  <w:vAlign w:val="center"/>
                </w:tcPr>
                <w:p w14:paraId="149792B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委托专业检测单位</w:t>
                  </w:r>
                </w:p>
              </w:tc>
            </w:tr>
          </w:tbl>
          <w:p w14:paraId="0F506C57">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194" w:name="_Toc26125"/>
            <w:bookmarkStart w:id="195" w:name="_Toc25365"/>
            <w:bookmarkStart w:id="196" w:name="_Toc1083"/>
            <w:bookmarkStart w:id="197" w:name="_Toc30083"/>
            <w:bookmarkStart w:id="198" w:name="_Toc12062"/>
            <w:bookmarkStart w:id="199" w:name="_Toc7744"/>
            <w:bookmarkStart w:id="200" w:name="_Toc11633"/>
          </w:p>
          <w:p w14:paraId="219126E1">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r>
              <w:rPr>
                <w:rFonts w:hint="eastAsia" w:ascii="Times New Roman" w:hAnsi="Times New Roman" w:eastAsia="宋体" w:cs="Times New Roman"/>
                <w:color w:val="auto"/>
                <w:sz w:val="28"/>
                <w:szCs w:val="28"/>
                <w:u w:val="none"/>
                <w:lang w:val="en-US" w:eastAsia="zh-CN"/>
              </w:rPr>
              <w:t>4.8环保投资估算</w:t>
            </w:r>
            <w:bookmarkEnd w:id="194"/>
            <w:bookmarkEnd w:id="195"/>
            <w:bookmarkEnd w:id="196"/>
            <w:bookmarkEnd w:id="197"/>
            <w:bookmarkEnd w:id="198"/>
            <w:bookmarkEnd w:id="199"/>
            <w:bookmarkEnd w:id="200"/>
          </w:p>
          <w:p w14:paraId="79369063">
            <w:pPr>
              <w:widowControl w:val="0"/>
              <w:bidi w:val="0"/>
              <w:spacing w:line="360" w:lineRule="auto"/>
              <w:ind w:firstLine="480" w:firstLineChars="200"/>
              <w:jc w:val="both"/>
              <w:rPr>
                <w:rFonts w:hint="eastAsia" w:ascii="Times New Roman" w:hAnsi="Times New Roman" w:eastAsia="宋体" w:cs="宋体"/>
                <w:color w:val="000000"/>
                <w:kern w:val="2"/>
                <w:sz w:val="24"/>
                <w:szCs w:val="24"/>
                <w:lang w:val="en-US" w:eastAsia="zh-CN" w:bidi="ar-SA"/>
              </w:rPr>
            </w:pPr>
            <w:r>
              <w:rPr>
                <w:rFonts w:hint="eastAsia" w:ascii="Times New Roman" w:hAnsi="Times New Roman" w:eastAsia="宋体" w:cs="宋体"/>
                <w:color w:val="000000"/>
                <w:kern w:val="2"/>
                <w:sz w:val="24"/>
                <w:szCs w:val="24"/>
                <w:lang w:val="en-US" w:eastAsia="zh-CN" w:bidi="ar-SA"/>
              </w:rPr>
              <w:t>本项目环保措施包括废水、废气、噪声治理措施、固体废物收集场所等。具体见表4.9-1。</w:t>
            </w:r>
          </w:p>
          <w:p w14:paraId="692E0ED7">
            <w:pPr>
              <w:pStyle w:val="69"/>
              <w:bidi w:val="0"/>
              <w:rPr>
                <w:rFonts w:hint="default"/>
                <w:color w:val="000000"/>
                <w:lang w:val="en-US" w:eastAsia="zh-CN"/>
              </w:rPr>
            </w:pPr>
            <w:r>
              <w:rPr>
                <w:rFonts w:hint="eastAsia"/>
                <w:color w:val="000000"/>
                <w:lang w:val="en-US" w:eastAsia="zh-CN"/>
              </w:rPr>
              <w:t>表4.9-1环保投资估算</w:t>
            </w:r>
          </w:p>
          <w:tbl>
            <w:tblPr>
              <w:tblStyle w:val="24"/>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7"/>
              <w:gridCol w:w="906"/>
              <w:gridCol w:w="5516"/>
              <w:gridCol w:w="1473"/>
            </w:tblGrid>
            <w:tr w14:paraId="6BB296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tcBorders>
                    <w:tl2br w:val="nil"/>
                    <w:tr2bl w:val="nil"/>
                  </w:tcBorders>
                  <w:noWrap w:val="0"/>
                  <w:vAlign w:val="center"/>
                </w:tcPr>
                <w:p w14:paraId="081669CF">
                  <w:pPr>
                    <w:pStyle w:val="52"/>
                    <w:bidi w:val="0"/>
                    <w:rPr>
                      <w:rFonts w:hint="default"/>
                      <w:color w:val="000000"/>
                      <w:lang w:val="en-US" w:eastAsia="zh-CN"/>
                    </w:rPr>
                  </w:pPr>
                  <w:r>
                    <w:rPr>
                      <w:rFonts w:hint="eastAsia"/>
                      <w:color w:val="000000"/>
                      <w:lang w:val="en-US" w:eastAsia="zh-CN"/>
                    </w:rPr>
                    <w:t>序号</w:t>
                  </w:r>
                </w:p>
              </w:tc>
              <w:tc>
                <w:tcPr>
                  <w:tcW w:w="527" w:type="pct"/>
                  <w:tcBorders>
                    <w:tl2br w:val="nil"/>
                    <w:tr2bl w:val="nil"/>
                  </w:tcBorders>
                  <w:noWrap w:val="0"/>
                  <w:vAlign w:val="center"/>
                </w:tcPr>
                <w:p w14:paraId="0568A64A">
                  <w:pPr>
                    <w:pStyle w:val="52"/>
                    <w:bidi w:val="0"/>
                    <w:rPr>
                      <w:rFonts w:hint="default"/>
                      <w:color w:val="000000"/>
                      <w:lang w:val="en-US" w:eastAsia="zh-CN"/>
                    </w:rPr>
                  </w:pPr>
                  <w:r>
                    <w:rPr>
                      <w:rFonts w:hint="eastAsia"/>
                      <w:color w:val="000000"/>
                      <w:lang w:val="en-US" w:eastAsia="zh-CN"/>
                    </w:rPr>
                    <w:t>污染源</w:t>
                  </w:r>
                </w:p>
              </w:tc>
              <w:tc>
                <w:tcPr>
                  <w:tcW w:w="3208" w:type="pct"/>
                  <w:tcBorders>
                    <w:tl2br w:val="nil"/>
                    <w:tr2bl w:val="nil"/>
                  </w:tcBorders>
                  <w:noWrap w:val="0"/>
                  <w:vAlign w:val="center"/>
                </w:tcPr>
                <w:p w14:paraId="732ADA07">
                  <w:pPr>
                    <w:pStyle w:val="52"/>
                    <w:bidi w:val="0"/>
                    <w:rPr>
                      <w:rFonts w:hint="default"/>
                      <w:color w:val="000000"/>
                      <w:lang w:val="en-US" w:eastAsia="zh-CN"/>
                    </w:rPr>
                  </w:pPr>
                  <w:r>
                    <w:rPr>
                      <w:rFonts w:hint="eastAsia"/>
                      <w:color w:val="000000"/>
                      <w:lang w:val="en-US" w:eastAsia="zh-CN"/>
                    </w:rPr>
                    <w:t>措施</w:t>
                  </w:r>
                </w:p>
              </w:tc>
              <w:tc>
                <w:tcPr>
                  <w:tcW w:w="857" w:type="pct"/>
                  <w:tcBorders>
                    <w:tl2br w:val="nil"/>
                    <w:tr2bl w:val="nil"/>
                  </w:tcBorders>
                  <w:noWrap w:val="0"/>
                  <w:vAlign w:val="center"/>
                </w:tcPr>
                <w:p w14:paraId="2940D05D">
                  <w:pPr>
                    <w:pStyle w:val="52"/>
                    <w:bidi w:val="0"/>
                    <w:rPr>
                      <w:rFonts w:hint="default"/>
                      <w:color w:val="000000"/>
                      <w:lang w:val="en-US" w:eastAsia="zh-CN"/>
                    </w:rPr>
                  </w:pPr>
                  <w:r>
                    <w:rPr>
                      <w:rFonts w:hint="eastAsia"/>
                      <w:color w:val="000000"/>
                      <w:lang w:val="en-US" w:eastAsia="zh-CN"/>
                    </w:rPr>
                    <w:t>投资</w:t>
                  </w:r>
                </w:p>
              </w:tc>
            </w:tr>
            <w:tr w14:paraId="5151CD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tcBorders>
                    <w:tl2br w:val="nil"/>
                    <w:tr2bl w:val="nil"/>
                  </w:tcBorders>
                  <w:noWrap w:val="0"/>
                  <w:vAlign w:val="center"/>
                </w:tcPr>
                <w:p w14:paraId="12E8EE6B">
                  <w:pPr>
                    <w:pStyle w:val="52"/>
                    <w:bidi w:val="0"/>
                    <w:rPr>
                      <w:rFonts w:hint="default"/>
                      <w:color w:val="000000"/>
                      <w:lang w:val="en-US" w:eastAsia="zh-CN"/>
                    </w:rPr>
                  </w:pPr>
                  <w:r>
                    <w:rPr>
                      <w:rFonts w:hint="eastAsia"/>
                      <w:color w:val="000000"/>
                      <w:lang w:val="en-US" w:eastAsia="zh-CN"/>
                    </w:rPr>
                    <w:t>1</w:t>
                  </w:r>
                </w:p>
              </w:tc>
              <w:tc>
                <w:tcPr>
                  <w:tcW w:w="527" w:type="pct"/>
                  <w:tcBorders>
                    <w:tl2br w:val="nil"/>
                    <w:tr2bl w:val="nil"/>
                  </w:tcBorders>
                  <w:noWrap w:val="0"/>
                  <w:vAlign w:val="center"/>
                </w:tcPr>
                <w:p w14:paraId="198D69F6">
                  <w:pPr>
                    <w:pStyle w:val="52"/>
                    <w:bidi w:val="0"/>
                    <w:rPr>
                      <w:rFonts w:hint="default"/>
                      <w:color w:val="000000"/>
                      <w:lang w:val="en-US" w:eastAsia="zh-CN"/>
                    </w:rPr>
                  </w:pPr>
                  <w:r>
                    <w:rPr>
                      <w:rFonts w:hint="eastAsia"/>
                      <w:color w:val="000000"/>
                      <w:lang w:val="en-US" w:eastAsia="zh-CN"/>
                    </w:rPr>
                    <w:t>废水</w:t>
                  </w:r>
                </w:p>
              </w:tc>
              <w:tc>
                <w:tcPr>
                  <w:tcW w:w="3208" w:type="pct"/>
                  <w:tcBorders>
                    <w:tl2br w:val="nil"/>
                    <w:tr2bl w:val="nil"/>
                  </w:tcBorders>
                  <w:noWrap w:val="0"/>
                  <w:vAlign w:val="center"/>
                </w:tcPr>
                <w:p w14:paraId="344ED334">
                  <w:pPr>
                    <w:pStyle w:val="52"/>
                    <w:bidi w:val="0"/>
                    <w:rPr>
                      <w:rFonts w:hint="default"/>
                      <w:lang w:val="en-US" w:eastAsia="zh-CN"/>
                    </w:rPr>
                  </w:pPr>
                  <w:r>
                    <w:rPr>
                      <w:rFonts w:hint="eastAsia"/>
                      <w:color w:val="auto"/>
                      <w:lang w:val="en-US" w:eastAsia="zh-CN"/>
                    </w:rPr>
                    <w:t>压铸工序采用间接冷却水，经冷却塔冷却后循环使用。半成品清洗用水及研磨工序冷却用水，经循环水处理设施处理后回用，不外排。生活污水依托厂内现有化粪池处理后排入市政污水管网</w:t>
                  </w:r>
                </w:p>
              </w:tc>
              <w:tc>
                <w:tcPr>
                  <w:tcW w:w="857" w:type="pct"/>
                  <w:tcBorders>
                    <w:tl2br w:val="nil"/>
                    <w:tr2bl w:val="nil"/>
                  </w:tcBorders>
                  <w:noWrap w:val="0"/>
                  <w:vAlign w:val="center"/>
                </w:tcPr>
                <w:p w14:paraId="513598BA">
                  <w:pPr>
                    <w:pStyle w:val="52"/>
                    <w:bidi w:val="0"/>
                    <w:rPr>
                      <w:rFonts w:hint="default"/>
                      <w:color w:val="000000"/>
                      <w:lang w:val="en-US" w:eastAsia="zh-CN"/>
                    </w:rPr>
                  </w:pPr>
                  <w:r>
                    <w:rPr>
                      <w:rFonts w:hint="eastAsia"/>
                      <w:color w:val="000000"/>
                      <w:lang w:val="en-US" w:eastAsia="zh-CN"/>
                    </w:rPr>
                    <w:t>冷却塔投资5万元、循环水处理系统投资15万元</w:t>
                  </w:r>
                </w:p>
              </w:tc>
            </w:tr>
            <w:tr w14:paraId="7E8A5E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6" w:type="pct"/>
                  <w:tcBorders>
                    <w:tl2br w:val="nil"/>
                    <w:tr2bl w:val="nil"/>
                  </w:tcBorders>
                  <w:noWrap w:val="0"/>
                  <w:vAlign w:val="center"/>
                </w:tcPr>
                <w:p w14:paraId="47CF09B6">
                  <w:pPr>
                    <w:pStyle w:val="52"/>
                    <w:bidi w:val="0"/>
                    <w:rPr>
                      <w:rFonts w:hint="default"/>
                      <w:color w:val="000000"/>
                      <w:lang w:val="en-US" w:eastAsia="zh-CN"/>
                    </w:rPr>
                  </w:pPr>
                  <w:r>
                    <w:rPr>
                      <w:rFonts w:hint="eastAsia"/>
                      <w:color w:val="000000"/>
                      <w:lang w:val="en-US" w:eastAsia="zh-CN"/>
                    </w:rPr>
                    <w:t>2</w:t>
                  </w:r>
                </w:p>
              </w:tc>
              <w:tc>
                <w:tcPr>
                  <w:tcW w:w="527" w:type="pct"/>
                  <w:tcBorders>
                    <w:tl2br w:val="nil"/>
                    <w:tr2bl w:val="nil"/>
                  </w:tcBorders>
                  <w:noWrap w:val="0"/>
                  <w:vAlign w:val="center"/>
                </w:tcPr>
                <w:p w14:paraId="4386A28B">
                  <w:pPr>
                    <w:pStyle w:val="52"/>
                    <w:bidi w:val="0"/>
                    <w:rPr>
                      <w:rFonts w:hint="default"/>
                      <w:color w:val="000000"/>
                      <w:lang w:val="en-US" w:eastAsia="zh-CN"/>
                    </w:rPr>
                  </w:pPr>
                  <w:r>
                    <w:rPr>
                      <w:rFonts w:hint="eastAsia"/>
                      <w:color w:val="000000"/>
                      <w:lang w:val="en-US" w:eastAsia="zh-CN"/>
                    </w:rPr>
                    <w:t>废气</w:t>
                  </w:r>
                </w:p>
              </w:tc>
              <w:tc>
                <w:tcPr>
                  <w:tcW w:w="3208" w:type="pct"/>
                  <w:tcBorders>
                    <w:tl2br w:val="nil"/>
                    <w:tr2bl w:val="nil"/>
                  </w:tcBorders>
                  <w:noWrap w:val="0"/>
                  <w:vAlign w:val="center"/>
                </w:tcPr>
                <w:p w14:paraId="1C47F076">
                  <w:pPr>
                    <w:rPr>
                      <w:rFonts w:hint="default" w:ascii="Times New Roman" w:hAnsi="Times New Roman" w:cs="Times New Roman"/>
                      <w:b w:val="0"/>
                      <w:bCs w:val="0"/>
                      <w:color w:val="auto"/>
                      <w:sz w:val="21"/>
                      <w:szCs w:val="21"/>
                      <w:highlight w:val="none"/>
                      <w:lang w:val="en-US" w:eastAsia="zh-CN"/>
                    </w:rPr>
                  </w:pPr>
                  <w:r>
                    <w:rPr>
                      <w:rFonts w:hint="eastAsia" w:cs="Times New Roman"/>
                      <w:color w:val="auto"/>
                      <w:sz w:val="21"/>
                      <w:szCs w:val="21"/>
                      <w:highlight w:val="none"/>
                      <w:vertAlign w:val="baseline"/>
                      <w:lang w:val="en-US" w:eastAsia="zh-CN"/>
                    </w:rPr>
                    <w:t>项目熔融、压铸脱模所产生的废气通过“集气罩+布袋除尘器+活性炭吸附装置”处理后，通过一根15m高排气筒DA001排放。设置密闭生产车间，加强车间管理。定期采用移动式吸尘器对车间进行清扫，减少颗粒物无组织排放。</w:t>
                  </w:r>
                </w:p>
              </w:tc>
              <w:tc>
                <w:tcPr>
                  <w:tcW w:w="857" w:type="pct"/>
                  <w:tcBorders>
                    <w:tl2br w:val="nil"/>
                    <w:tr2bl w:val="nil"/>
                  </w:tcBorders>
                  <w:noWrap w:val="0"/>
                  <w:vAlign w:val="center"/>
                </w:tcPr>
                <w:p w14:paraId="49D6D728">
                  <w:pPr>
                    <w:pStyle w:val="52"/>
                    <w:bidi w:val="0"/>
                    <w:rPr>
                      <w:rFonts w:hint="default"/>
                      <w:color w:val="000000"/>
                      <w:lang w:val="en-US" w:eastAsia="zh-CN"/>
                    </w:rPr>
                  </w:pPr>
                  <w:r>
                    <w:rPr>
                      <w:rFonts w:hint="eastAsia"/>
                      <w:color w:val="000000"/>
                      <w:lang w:val="en-US" w:eastAsia="zh-CN"/>
                    </w:rPr>
                    <w:t>15万元</w:t>
                  </w:r>
                </w:p>
              </w:tc>
            </w:tr>
            <w:tr w14:paraId="4ABECE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tcBorders>
                    <w:tl2br w:val="nil"/>
                    <w:tr2bl w:val="nil"/>
                  </w:tcBorders>
                  <w:noWrap w:val="0"/>
                  <w:vAlign w:val="center"/>
                </w:tcPr>
                <w:p w14:paraId="4A880A5C">
                  <w:pPr>
                    <w:pStyle w:val="52"/>
                    <w:bidi w:val="0"/>
                    <w:rPr>
                      <w:rFonts w:hint="default"/>
                      <w:color w:val="000000"/>
                      <w:lang w:val="en-US" w:eastAsia="zh-CN"/>
                    </w:rPr>
                  </w:pPr>
                  <w:r>
                    <w:rPr>
                      <w:rFonts w:hint="eastAsia"/>
                      <w:color w:val="000000"/>
                      <w:lang w:val="en-US" w:eastAsia="zh-CN"/>
                    </w:rPr>
                    <w:t>3</w:t>
                  </w:r>
                </w:p>
              </w:tc>
              <w:tc>
                <w:tcPr>
                  <w:tcW w:w="527" w:type="pct"/>
                  <w:tcBorders>
                    <w:tl2br w:val="nil"/>
                    <w:tr2bl w:val="nil"/>
                  </w:tcBorders>
                  <w:noWrap w:val="0"/>
                  <w:vAlign w:val="center"/>
                </w:tcPr>
                <w:p w14:paraId="7CDCF599">
                  <w:pPr>
                    <w:pStyle w:val="52"/>
                    <w:bidi w:val="0"/>
                    <w:rPr>
                      <w:rFonts w:hint="default"/>
                      <w:color w:val="000000"/>
                      <w:lang w:val="en-US" w:eastAsia="zh-CN"/>
                    </w:rPr>
                  </w:pPr>
                  <w:r>
                    <w:rPr>
                      <w:rFonts w:hint="eastAsia"/>
                      <w:color w:val="000000"/>
                      <w:lang w:val="en-US" w:eastAsia="zh-CN"/>
                    </w:rPr>
                    <w:t>噪声</w:t>
                  </w:r>
                </w:p>
              </w:tc>
              <w:tc>
                <w:tcPr>
                  <w:tcW w:w="3208" w:type="pct"/>
                  <w:tcBorders>
                    <w:tl2br w:val="nil"/>
                    <w:tr2bl w:val="nil"/>
                  </w:tcBorders>
                  <w:noWrap w:val="0"/>
                  <w:vAlign w:val="center"/>
                </w:tcPr>
                <w:p w14:paraId="40A1F659">
                  <w:pPr>
                    <w:pStyle w:val="52"/>
                    <w:bidi w:val="0"/>
                    <w:rPr>
                      <w:rFonts w:hint="default"/>
                      <w:color w:val="000000"/>
                      <w:lang w:val="en-US" w:eastAsia="zh-CN"/>
                    </w:rPr>
                  </w:pPr>
                  <w:r>
                    <w:rPr>
                      <w:rFonts w:hint="eastAsia"/>
                      <w:color w:val="000000"/>
                      <w:lang w:val="en-US" w:eastAsia="zh-CN"/>
                    </w:rPr>
                    <w:t>优先选用先进、低噪声设备；对高噪声设备采取减振基础、安装减振垫圈等减振措施；对各类机械设备定期检修、维护，防止设备异常噪声产生；优化平面布局，合理布置高噪声设备于远离声环境敏感点位置</w:t>
                  </w:r>
                </w:p>
              </w:tc>
              <w:tc>
                <w:tcPr>
                  <w:tcW w:w="857" w:type="pct"/>
                  <w:tcBorders>
                    <w:tl2br w:val="nil"/>
                    <w:tr2bl w:val="nil"/>
                  </w:tcBorders>
                  <w:noWrap w:val="0"/>
                  <w:vAlign w:val="center"/>
                </w:tcPr>
                <w:p w14:paraId="2472EE8F">
                  <w:pPr>
                    <w:pStyle w:val="52"/>
                    <w:bidi w:val="0"/>
                    <w:rPr>
                      <w:rFonts w:hint="default"/>
                      <w:color w:val="000000"/>
                      <w:lang w:val="en-US" w:eastAsia="zh-CN"/>
                    </w:rPr>
                  </w:pPr>
                  <w:r>
                    <w:rPr>
                      <w:rFonts w:hint="eastAsia"/>
                      <w:color w:val="000000"/>
                      <w:lang w:val="en-US" w:eastAsia="zh-CN"/>
                    </w:rPr>
                    <w:t>2万元</w:t>
                  </w:r>
                </w:p>
              </w:tc>
            </w:tr>
            <w:tr w14:paraId="68F89B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tcBorders>
                    <w:tl2br w:val="nil"/>
                    <w:tr2bl w:val="nil"/>
                  </w:tcBorders>
                  <w:noWrap w:val="0"/>
                  <w:vAlign w:val="center"/>
                </w:tcPr>
                <w:p w14:paraId="2EFFFD52">
                  <w:pPr>
                    <w:pStyle w:val="52"/>
                    <w:bidi w:val="0"/>
                    <w:rPr>
                      <w:rFonts w:hint="default"/>
                      <w:color w:val="000000"/>
                      <w:lang w:val="en-US" w:eastAsia="zh-CN"/>
                    </w:rPr>
                  </w:pPr>
                  <w:r>
                    <w:rPr>
                      <w:rFonts w:hint="eastAsia"/>
                      <w:color w:val="000000"/>
                      <w:lang w:val="en-US" w:eastAsia="zh-CN"/>
                    </w:rPr>
                    <w:t>4</w:t>
                  </w:r>
                </w:p>
              </w:tc>
              <w:tc>
                <w:tcPr>
                  <w:tcW w:w="527" w:type="pct"/>
                  <w:tcBorders>
                    <w:tl2br w:val="nil"/>
                    <w:tr2bl w:val="nil"/>
                  </w:tcBorders>
                  <w:noWrap w:val="0"/>
                  <w:vAlign w:val="center"/>
                </w:tcPr>
                <w:p w14:paraId="3A32BC4B">
                  <w:pPr>
                    <w:pStyle w:val="52"/>
                    <w:bidi w:val="0"/>
                    <w:rPr>
                      <w:rFonts w:hint="default"/>
                      <w:color w:val="000000"/>
                      <w:lang w:val="en-US" w:eastAsia="zh-CN"/>
                    </w:rPr>
                  </w:pPr>
                  <w:r>
                    <w:rPr>
                      <w:rFonts w:hint="eastAsia"/>
                      <w:color w:val="000000"/>
                      <w:lang w:val="en-US" w:eastAsia="zh-CN"/>
                    </w:rPr>
                    <w:t>固体废物</w:t>
                  </w:r>
                </w:p>
              </w:tc>
              <w:tc>
                <w:tcPr>
                  <w:tcW w:w="3208" w:type="pct"/>
                  <w:tcBorders>
                    <w:tl2br w:val="nil"/>
                    <w:tr2bl w:val="nil"/>
                  </w:tcBorders>
                  <w:noWrap w:val="0"/>
                  <w:vAlign w:val="center"/>
                </w:tcPr>
                <w:p w14:paraId="40BB6C85">
                  <w:pPr>
                    <w:pStyle w:val="52"/>
                    <w:bidi w:val="0"/>
                    <w:rPr>
                      <w:rFonts w:hint="default"/>
                      <w:color w:val="000000"/>
                      <w:lang w:val="en-US" w:eastAsia="zh-CN"/>
                    </w:rPr>
                  </w:pPr>
                  <w:r>
                    <w:rPr>
                      <w:rFonts w:hint="eastAsia"/>
                      <w:color w:val="000000"/>
                      <w:lang w:val="en-US" w:eastAsia="zh-CN"/>
                    </w:rPr>
                    <w:t>一般工业固体废物定期外售给其他企业综合利用；设置垃圾桶存放生活垃圾，并委托环卫部门定期清运；危险废物存放于危险废物</w:t>
                  </w:r>
                  <w:r>
                    <w:rPr>
                      <w:rFonts w:hint="eastAsia" w:ascii="Times New Roman" w:hAnsi="Times New Roman" w:eastAsia="宋体" w:cs="Times New Roman"/>
                      <w:color w:val="000000"/>
                      <w:lang w:val="en-US" w:eastAsia="zh-CN"/>
                    </w:rPr>
                    <w:t>贮存库，定</w:t>
                  </w:r>
                  <w:r>
                    <w:rPr>
                      <w:rFonts w:hint="eastAsia"/>
                      <w:color w:val="000000"/>
                      <w:lang w:val="en-US" w:eastAsia="zh-CN"/>
                    </w:rPr>
                    <w:t>期委托有处置危险废物资质的单位处置</w:t>
                  </w:r>
                </w:p>
              </w:tc>
              <w:tc>
                <w:tcPr>
                  <w:tcW w:w="857" w:type="pct"/>
                  <w:tcBorders>
                    <w:tl2br w:val="nil"/>
                    <w:tr2bl w:val="nil"/>
                  </w:tcBorders>
                  <w:noWrap w:val="0"/>
                  <w:vAlign w:val="center"/>
                </w:tcPr>
                <w:p w14:paraId="5D2DC293">
                  <w:pPr>
                    <w:pStyle w:val="52"/>
                    <w:bidi w:val="0"/>
                    <w:rPr>
                      <w:rFonts w:hint="default"/>
                      <w:color w:val="000000"/>
                      <w:lang w:val="en-US" w:eastAsia="zh-CN"/>
                    </w:rPr>
                  </w:pPr>
                  <w:r>
                    <w:rPr>
                      <w:rFonts w:hint="eastAsia"/>
                      <w:color w:val="000000"/>
                      <w:lang w:val="en-US" w:eastAsia="zh-CN"/>
                    </w:rPr>
                    <w:t>3万元</w:t>
                  </w:r>
                </w:p>
              </w:tc>
            </w:tr>
            <w:tr w14:paraId="6D4481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42" w:type="pct"/>
                  <w:gridSpan w:val="3"/>
                  <w:tcBorders>
                    <w:tl2br w:val="nil"/>
                    <w:tr2bl w:val="nil"/>
                  </w:tcBorders>
                  <w:noWrap w:val="0"/>
                  <w:vAlign w:val="center"/>
                </w:tcPr>
                <w:p w14:paraId="2D131CB0">
                  <w:pPr>
                    <w:pStyle w:val="52"/>
                    <w:bidi w:val="0"/>
                    <w:rPr>
                      <w:rFonts w:hint="default"/>
                      <w:color w:val="000000"/>
                      <w:lang w:val="en-US" w:eastAsia="zh-CN"/>
                    </w:rPr>
                  </w:pPr>
                  <w:r>
                    <w:rPr>
                      <w:rFonts w:hint="eastAsia"/>
                      <w:color w:val="000000"/>
                      <w:lang w:val="en-US" w:eastAsia="zh-CN"/>
                    </w:rPr>
                    <w:t>合计</w:t>
                  </w:r>
                </w:p>
              </w:tc>
              <w:tc>
                <w:tcPr>
                  <w:tcW w:w="857" w:type="pct"/>
                  <w:tcBorders>
                    <w:tl2br w:val="nil"/>
                    <w:tr2bl w:val="nil"/>
                  </w:tcBorders>
                  <w:noWrap w:val="0"/>
                  <w:vAlign w:val="center"/>
                </w:tcPr>
                <w:p w14:paraId="6A442A08">
                  <w:pPr>
                    <w:pStyle w:val="52"/>
                    <w:bidi w:val="0"/>
                    <w:rPr>
                      <w:rFonts w:hint="default"/>
                      <w:color w:val="000000"/>
                      <w:lang w:val="en-US" w:eastAsia="zh-CN"/>
                    </w:rPr>
                  </w:pPr>
                  <w:r>
                    <w:rPr>
                      <w:rFonts w:hint="eastAsia"/>
                      <w:color w:val="000000"/>
                      <w:lang w:val="en-US" w:eastAsia="zh-CN"/>
                    </w:rPr>
                    <w:t>40万元</w:t>
                  </w:r>
                </w:p>
              </w:tc>
            </w:tr>
          </w:tbl>
          <w:p w14:paraId="5C46BAB4">
            <w:pPr>
              <w:pStyle w:val="4"/>
              <w:rPr>
                <w:rFonts w:hint="default"/>
                <w:lang w:val="en-US" w:eastAsia="zh-CN"/>
              </w:rPr>
            </w:pPr>
          </w:p>
        </w:tc>
      </w:tr>
    </w:tbl>
    <w:p w14:paraId="408C9A8B">
      <w:pPr>
        <w:rPr>
          <w:color w:val="auto"/>
          <w:highlight w:val="none"/>
        </w:rPr>
      </w:pPr>
      <w:bookmarkStart w:id="201" w:name="_Toc31345"/>
      <w:bookmarkStart w:id="202" w:name="_Toc1654"/>
      <w:bookmarkStart w:id="203" w:name="_Toc12951"/>
      <w:bookmarkStart w:id="204" w:name="_Toc28426"/>
      <w:bookmarkStart w:id="205" w:name="_Toc28805"/>
      <w:bookmarkStart w:id="206" w:name="_Toc25037"/>
      <w:bookmarkStart w:id="207" w:name="_Toc9430"/>
      <w:bookmarkStart w:id="208" w:name="_Toc27194"/>
      <w:r>
        <w:rPr>
          <w:color w:val="auto"/>
          <w:highlight w:val="none"/>
        </w:rPr>
        <w:br w:type="page"/>
      </w:r>
    </w:p>
    <w:p w14:paraId="04038DAC">
      <w:pPr>
        <w:pStyle w:val="73"/>
        <w:rPr>
          <w:color w:val="auto"/>
          <w:highlight w:val="none"/>
        </w:rPr>
      </w:pPr>
      <w:bookmarkStart w:id="209" w:name="_Toc28440"/>
      <w:r>
        <w:rPr>
          <w:color w:val="auto"/>
          <w:highlight w:val="none"/>
        </w:rPr>
        <w:t>五、</w:t>
      </w:r>
      <w:bookmarkStart w:id="210" w:name="_Hlk54167917"/>
      <w:r>
        <w:rPr>
          <w:color w:val="auto"/>
          <w:highlight w:val="none"/>
        </w:rPr>
        <w:t>环境保护措施监督检查清单</w:t>
      </w:r>
      <w:bookmarkEnd w:id="201"/>
      <w:bookmarkEnd w:id="202"/>
      <w:bookmarkEnd w:id="203"/>
      <w:bookmarkEnd w:id="204"/>
      <w:bookmarkEnd w:id="205"/>
      <w:bookmarkEnd w:id="206"/>
      <w:bookmarkEnd w:id="207"/>
      <w:bookmarkEnd w:id="208"/>
      <w:bookmarkEnd w:id="209"/>
      <w:bookmarkEnd w:id="210"/>
    </w:p>
    <w:tbl>
      <w:tblPr>
        <w:tblStyle w:val="23"/>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75"/>
        <w:gridCol w:w="1322"/>
        <w:gridCol w:w="1188"/>
        <w:gridCol w:w="2288"/>
        <w:gridCol w:w="3732"/>
      </w:tblGrid>
      <w:tr w14:paraId="17803E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758" w:type="dxa"/>
            <w:gridSpan w:val="2"/>
            <w:tcBorders>
              <w:tl2br w:val="single" w:color="auto" w:sz="4" w:space="0"/>
            </w:tcBorders>
            <w:noWrap w:val="0"/>
            <w:vAlign w:val="top"/>
          </w:tcPr>
          <w:p w14:paraId="0757F5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right"/>
              <w:textAlignment w:val="auto"/>
              <w:outlineLvl w:val="9"/>
              <w:rPr>
                <w:rFonts w:hint="default" w:ascii="Times New Roman" w:hAnsi="Times New Roman" w:eastAsia="宋体" w:cs="Times New Roman"/>
                <w:sz w:val="21"/>
                <w:szCs w:val="21"/>
                <w:highlight w:val="none"/>
                <w:lang w:val="en-GB" w:eastAsia="zh-CN"/>
              </w:rPr>
            </w:pPr>
            <w:r>
              <w:rPr>
                <w:rFonts w:hint="default" w:ascii="Times New Roman" w:hAnsi="Times New Roman" w:eastAsia="宋体" w:cs="Times New Roman"/>
                <w:color w:val="auto"/>
                <w:kern w:val="2"/>
                <w:sz w:val="21"/>
                <w:szCs w:val="21"/>
                <w:highlight w:val="none"/>
                <w:lang w:val="en-GB" w:eastAsia="zh-CN" w:bidi="ar-SA"/>
              </w:rPr>
              <w:t>内容</w:t>
            </w:r>
          </w:p>
          <w:p w14:paraId="7D8118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p w14:paraId="271132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要素</w:t>
            </w:r>
          </w:p>
        </w:tc>
        <w:tc>
          <w:tcPr>
            <w:tcW w:w="1322" w:type="dxa"/>
            <w:noWrap w:val="0"/>
            <w:vAlign w:val="center"/>
          </w:tcPr>
          <w:p w14:paraId="7C3D6B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排放口</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编号、名称</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/污染源</w:t>
            </w:r>
          </w:p>
        </w:tc>
        <w:tc>
          <w:tcPr>
            <w:tcW w:w="1188" w:type="dxa"/>
            <w:noWrap w:val="0"/>
            <w:vAlign w:val="center"/>
          </w:tcPr>
          <w:p w14:paraId="02F913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污染物项目</w:t>
            </w:r>
          </w:p>
        </w:tc>
        <w:tc>
          <w:tcPr>
            <w:tcW w:w="2288" w:type="dxa"/>
            <w:noWrap w:val="0"/>
            <w:vAlign w:val="center"/>
          </w:tcPr>
          <w:p w14:paraId="061BBD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环境保护措施</w:t>
            </w:r>
          </w:p>
        </w:tc>
        <w:tc>
          <w:tcPr>
            <w:tcW w:w="3732" w:type="dxa"/>
            <w:noWrap w:val="0"/>
            <w:vAlign w:val="center"/>
          </w:tcPr>
          <w:p w14:paraId="1DC582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执行标准</w:t>
            </w:r>
          </w:p>
        </w:tc>
      </w:tr>
      <w:tr w14:paraId="52C1E6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9" w:hRule="atLeast"/>
          <w:jc w:val="center"/>
        </w:trPr>
        <w:tc>
          <w:tcPr>
            <w:tcW w:w="758" w:type="dxa"/>
            <w:gridSpan w:val="2"/>
            <w:vMerge w:val="restart"/>
            <w:noWrap w:val="0"/>
            <w:vAlign w:val="center"/>
          </w:tcPr>
          <w:p w14:paraId="5D01D2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大气</w:t>
            </w:r>
          </w:p>
          <w:p w14:paraId="7867AE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环境</w:t>
            </w:r>
          </w:p>
        </w:tc>
        <w:tc>
          <w:tcPr>
            <w:tcW w:w="1322" w:type="dxa"/>
            <w:noWrap w:val="0"/>
            <w:vAlign w:val="center"/>
          </w:tcPr>
          <w:p w14:paraId="3350E2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排气筒（DA001）</w:t>
            </w:r>
            <w:r>
              <w:rPr>
                <w:rFonts w:hint="eastAsia" w:cs="Times New Roman"/>
                <w:color w:val="auto"/>
                <w:kern w:val="2"/>
                <w:sz w:val="21"/>
                <w:szCs w:val="21"/>
                <w:highlight w:val="none"/>
                <w:lang w:val="en-US" w:eastAsia="zh-CN" w:bidi="ar-SA"/>
              </w:rPr>
              <w:t>熔融废气</w:t>
            </w:r>
          </w:p>
        </w:tc>
        <w:tc>
          <w:tcPr>
            <w:tcW w:w="1188" w:type="dxa"/>
            <w:noWrap w:val="0"/>
            <w:vAlign w:val="center"/>
          </w:tcPr>
          <w:p w14:paraId="0B5B29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eastAsia" w:cs="Times New Roman"/>
                <w:color w:val="auto"/>
                <w:spacing w:val="0"/>
                <w:kern w:val="21"/>
                <w:sz w:val="21"/>
                <w:szCs w:val="21"/>
                <w:highlight w:val="none"/>
                <w:lang w:val="en-US" w:eastAsia="zh-CN"/>
              </w:rPr>
              <w:t>颗粒物</w:t>
            </w:r>
          </w:p>
        </w:tc>
        <w:tc>
          <w:tcPr>
            <w:tcW w:w="2288" w:type="dxa"/>
            <w:noWrap w:val="0"/>
            <w:vAlign w:val="center"/>
          </w:tcPr>
          <w:p w14:paraId="54C761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熔融废气经“集气罩收集+布袋除尘器+活性炭吸附装置”处理后由15m高排气筒（DA001）排放，风机风量为25000m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/h</w:t>
            </w:r>
          </w:p>
        </w:tc>
        <w:tc>
          <w:tcPr>
            <w:tcW w:w="3732" w:type="dxa"/>
            <w:noWrap w:val="0"/>
            <w:vAlign w:val="center"/>
          </w:tcPr>
          <w:p w14:paraId="2A9C0C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颗粒物执行《铸造工业大气污染物排放标准》（GB39726-2020）中表1标准限值（即颗粒物</w:t>
            </w:r>
            <w:r>
              <w:rPr>
                <w:rFonts w:hint="eastAsia" w:cs="Times New Roman"/>
                <w:color w:val="auto"/>
                <w:kern w:val="18"/>
                <w:highlight w:val="none"/>
                <w:lang w:val="en-US" w:eastAsia="zh-CN"/>
              </w:rPr>
              <w:t>≤30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cs="Times New Roman"/>
                <w:color w:val="auto"/>
                <w:sz w:val="21"/>
                <w:szCs w:val="21"/>
                <w:highlight w:val="none"/>
                <w:lang w:val="en-US" w:eastAsia="zh-CN"/>
              </w:rPr>
              <w:t>）</w:t>
            </w:r>
          </w:p>
        </w:tc>
      </w:tr>
      <w:tr w14:paraId="213A9B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758" w:type="dxa"/>
            <w:gridSpan w:val="2"/>
            <w:vMerge w:val="continue"/>
            <w:noWrap w:val="0"/>
            <w:vAlign w:val="center"/>
          </w:tcPr>
          <w:p w14:paraId="4AF357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22" w:type="dxa"/>
            <w:vMerge w:val="restart"/>
            <w:noWrap w:val="0"/>
            <w:vAlign w:val="center"/>
          </w:tcPr>
          <w:p w14:paraId="706E8D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排气筒</w:t>
            </w:r>
          </w:p>
          <w:p w14:paraId="240323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(DA001)</w:t>
            </w:r>
          </w:p>
          <w:p w14:paraId="55E32B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压铸脱模废气</w:t>
            </w:r>
          </w:p>
        </w:tc>
        <w:tc>
          <w:tcPr>
            <w:tcW w:w="1188" w:type="dxa"/>
            <w:noWrap w:val="0"/>
            <w:vAlign w:val="center"/>
          </w:tcPr>
          <w:p w14:paraId="0E460C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eastAsia" w:cs="Times New Roman"/>
                <w:color w:val="auto"/>
                <w:spacing w:val="0"/>
                <w:kern w:val="21"/>
                <w:sz w:val="21"/>
                <w:szCs w:val="21"/>
                <w:highlight w:val="none"/>
                <w:lang w:val="en-US" w:eastAsia="zh-CN"/>
              </w:rPr>
              <w:t>颗粒物</w:t>
            </w:r>
          </w:p>
        </w:tc>
        <w:tc>
          <w:tcPr>
            <w:tcW w:w="2288" w:type="dxa"/>
            <w:vMerge w:val="restart"/>
            <w:noWrap w:val="0"/>
            <w:vAlign w:val="center"/>
          </w:tcPr>
          <w:p w14:paraId="49DC0A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压铸脱模废气经“集气罩收集+布袋除尘器+活性炭吸附装置”处理后由15m高排气筒（DA001）排放，风机风量为25000m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/h</w:t>
            </w:r>
          </w:p>
        </w:tc>
        <w:tc>
          <w:tcPr>
            <w:tcW w:w="3732" w:type="dxa"/>
            <w:vMerge w:val="restart"/>
            <w:noWrap w:val="0"/>
            <w:vAlign w:val="center"/>
          </w:tcPr>
          <w:p w14:paraId="431976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z w:val="21"/>
                <w:szCs w:val="21"/>
                <w:highlight w:val="none"/>
                <w:lang w:val="en-US" w:eastAsia="zh-CN"/>
              </w:rPr>
              <w:t>颗粒物执行《铸造工业大气污染物排放标准》（GB39726-2020）中表1标准限值；非甲烷总烃执行《工业企业挥发性有机物排放标准》（DB35/1782-2018）表1中其他行业非甲烷总烃排放标准（即颗粒物</w:t>
            </w:r>
            <w:r>
              <w:rPr>
                <w:rFonts w:hint="eastAsia" w:cs="Times New Roman"/>
                <w:color w:val="auto"/>
                <w:kern w:val="18"/>
                <w:highlight w:val="none"/>
                <w:lang w:val="en-US" w:eastAsia="zh-CN"/>
              </w:rPr>
              <w:t>≤30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vertAlign w:val="baseline"/>
                <w:lang w:eastAsia="zh-CN"/>
              </w:rPr>
              <w:t>；</w:t>
            </w:r>
            <w:r>
              <w:rPr>
                <w:rFonts w:hint="eastAsia" w:ascii="Times New Roman" w:hAnsi="Times New Roman" w:cs="Times New Roman"/>
                <w:color w:val="auto"/>
                <w:szCs w:val="21"/>
                <w:highlight w:val="none"/>
                <w:vertAlign w:val="baseline"/>
                <w:lang w:val="en-US" w:eastAsia="zh-CN"/>
              </w:rPr>
              <w:t>非甲烷总烃</w:t>
            </w:r>
            <w:r>
              <w:rPr>
                <w:rFonts w:hint="eastAsia" w:cs="Times New Roman"/>
                <w:color w:val="auto"/>
                <w:kern w:val="18"/>
                <w:highlight w:val="none"/>
                <w:lang w:val="en-US" w:eastAsia="zh-CN"/>
              </w:rPr>
              <w:t>≤100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cs="Times New Roman"/>
                <w:color w:val="auto"/>
                <w:sz w:val="21"/>
                <w:szCs w:val="21"/>
                <w:highlight w:val="none"/>
                <w:lang w:val="en-US" w:eastAsia="zh-CN"/>
              </w:rPr>
              <w:t>）</w:t>
            </w:r>
          </w:p>
        </w:tc>
      </w:tr>
      <w:tr w14:paraId="188ADD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758" w:type="dxa"/>
            <w:gridSpan w:val="2"/>
            <w:vMerge w:val="continue"/>
            <w:noWrap w:val="0"/>
            <w:vAlign w:val="center"/>
          </w:tcPr>
          <w:p w14:paraId="73FA79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22" w:type="dxa"/>
            <w:vMerge w:val="continue"/>
            <w:noWrap w:val="0"/>
            <w:vAlign w:val="center"/>
          </w:tcPr>
          <w:p w14:paraId="6D99EB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auto"/>
                <w:kern w:val="2"/>
                <w:sz w:val="21"/>
                <w:szCs w:val="21"/>
                <w:highlight w:val="none"/>
                <w:lang w:val="en-US" w:eastAsia="zh-CN" w:bidi="ar-SA"/>
              </w:rPr>
            </w:pPr>
          </w:p>
        </w:tc>
        <w:tc>
          <w:tcPr>
            <w:tcW w:w="1188" w:type="dxa"/>
            <w:noWrap w:val="0"/>
            <w:vAlign w:val="center"/>
          </w:tcPr>
          <w:p w14:paraId="5ADC9E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auto"/>
                <w:spacing w:val="0"/>
                <w:kern w:val="21"/>
                <w:sz w:val="21"/>
                <w:szCs w:val="21"/>
                <w:highlight w:val="none"/>
                <w:lang w:val="en-US" w:eastAsia="zh-CN"/>
              </w:rPr>
            </w:pPr>
            <w:r>
              <w:rPr>
                <w:rFonts w:hint="eastAsia" w:cs="Times New Roman"/>
                <w:color w:val="auto"/>
                <w:spacing w:val="0"/>
                <w:kern w:val="21"/>
                <w:sz w:val="21"/>
                <w:szCs w:val="21"/>
                <w:highlight w:val="none"/>
                <w:lang w:val="en-US" w:eastAsia="zh-CN"/>
              </w:rPr>
              <w:t>非甲烷总烃</w:t>
            </w:r>
          </w:p>
        </w:tc>
        <w:tc>
          <w:tcPr>
            <w:tcW w:w="2288" w:type="dxa"/>
            <w:vMerge w:val="continue"/>
            <w:noWrap w:val="0"/>
            <w:vAlign w:val="center"/>
          </w:tcPr>
          <w:p w14:paraId="0E0C4E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auto"/>
                <w:sz w:val="21"/>
                <w:szCs w:val="21"/>
                <w:highlight w:val="none"/>
                <w:lang w:val="en-US" w:eastAsia="zh-CN"/>
              </w:rPr>
            </w:pPr>
          </w:p>
        </w:tc>
        <w:tc>
          <w:tcPr>
            <w:tcW w:w="3732" w:type="dxa"/>
            <w:vMerge w:val="continue"/>
            <w:noWrap w:val="0"/>
            <w:vAlign w:val="center"/>
          </w:tcPr>
          <w:p w14:paraId="7A8B5B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auto"/>
                <w:kern w:val="18"/>
                <w:highlight w:val="none"/>
                <w:lang w:val="en-US" w:eastAsia="zh-CN"/>
              </w:rPr>
            </w:pPr>
          </w:p>
        </w:tc>
      </w:tr>
      <w:tr w14:paraId="14EE72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59" w:hRule="atLeast"/>
          <w:jc w:val="center"/>
        </w:trPr>
        <w:tc>
          <w:tcPr>
            <w:tcW w:w="758" w:type="dxa"/>
            <w:gridSpan w:val="2"/>
            <w:vMerge w:val="continue"/>
            <w:noWrap w:val="0"/>
            <w:vAlign w:val="center"/>
          </w:tcPr>
          <w:p w14:paraId="54731E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22" w:type="dxa"/>
            <w:noWrap w:val="0"/>
            <w:vAlign w:val="center"/>
          </w:tcPr>
          <w:p w14:paraId="0D6FA1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厂区内</w:t>
            </w:r>
          </w:p>
        </w:tc>
        <w:tc>
          <w:tcPr>
            <w:tcW w:w="1188" w:type="dxa"/>
            <w:noWrap w:val="0"/>
            <w:vAlign w:val="center"/>
          </w:tcPr>
          <w:p w14:paraId="031064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2288" w:type="dxa"/>
            <w:vMerge w:val="restart"/>
            <w:noWrap w:val="0"/>
            <w:vAlign w:val="center"/>
          </w:tcPr>
          <w:p w14:paraId="24765C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bidi="he-IL"/>
              </w:rPr>
            </w:pPr>
            <w:r>
              <w:rPr>
                <w:rFonts w:hint="eastAsia" w:ascii="Times New Roman" w:hAnsi="Times New Roman" w:eastAsia="宋体" w:cs="Times New Roman"/>
                <w:bCs/>
                <w:color w:val="000000"/>
                <w:sz w:val="21"/>
                <w:szCs w:val="21"/>
                <w:highlight w:val="none"/>
                <w:lang w:val="en-US" w:eastAsia="zh-CN"/>
              </w:rPr>
              <w:t>设置密闭生产车间，加强车间管理。定期对车间内进行清扫减少颗粒物无组织排放</w:t>
            </w:r>
            <w:r>
              <w:rPr>
                <w:rFonts w:hint="default" w:ascii="Times New Roman" w:hAnsi="Times New Roman" w:eastAsia="宋体" w:cs="Times New Roman"/>
                <w:bCs/>
                <w:color w:val="000000"/>
                <w:sz w:val="21"/>
                <w:szCs w:val="21"/>
                <w:highlight w:val="none"/>
                <w:lang w:val="en-US" w:eastAsia="zh-CN"/>
              </w:rPr>
              <w:t>。</w:t>
            </w:r>
            <w:r>
              <w:rPr>
                <w:rFonts w:hint="eastAsia" w:ascii="Times New Roman" w:hAnsi="Times New Roman" w:eastAsia="宋体" w:cs="Times New Roman"/>
                <w:bCs/>
                <w:color w:val="000000"/>
                <w:sz w:val="21"/>
                <w:szCs w:val="21"/>
                <w:highlight w:val="none"/>
                <w:lang w:val="en-US" w:eastAsia="zh-CN"/>
              </w:rPr>
              <w:t>收集后作为一般固体废物，外售综合利用。</w:t>
            </w:r>
          </w:p>
        </w:tc>
        <w:tc>
          <w:tcPr>
            <w:tcW w:w="3732" w:type="dxa"/>
            <w:tcBorders>
              <w:bottom w:val="single" w:color="000000" w:sz="4" w:space="0"/>
            </w:tcBorders>
            <w:noWrap w:val="0"/>
            <w:vAlign w:val="center"/>
          </w:tcPr>
          <w:p w14:paraId="27EBDA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非甲烷总烃</w:t>
            </w:r>
            <w:r>
              <w:rPr>
                <w:rFonts w:hint="default" w:ascii="Times New Roman" w:hAnsi="Times New Roman" w:eastAsia="宋体" w:cs="Times New Roman"/>
                <w:color w:val="auto"/>
                <w:sz w:val="21"/>
                <w:szCs w:val="21"/>
                <w:highlight w:val="none"/>
              </w:rPr>
              <w:t>企业</w:t>
            </w:r>
            <w:r>
              <w:rPr>
                <w:rFonts w:hint="default" w:ascii="Times New Roman" w:hAnsi="Times New Roman" w:eastAsia="宋体" w:cs="Times New Roman"/>
                <w:color w:val="auto"/>
                <w:sz w:val="21"/>
                <w:szCs w:val="21"/>
                <w:highlight w:val="none"/>
                <w:lang w:eastAsia="zh-CN"/>
              </w:rPr>
              <w:t>厂内</w:t>
            </w:r>
            <w:r>
              <w:rPr>
                <w:rFonts w:hint="default" w:ascii="Times New Roman" w:hAnsi="Times New Roman" w:cs="Times New Roman"/>
                <w:color w:val="auto"/>
                <w:sz w:val="21"/>
                <w:szCs w:val="21"/>
                <w:highlight w:val="none"/>
                <w:lang w:val="en-US" w:eastAsia="zh-CN"/>
              </w:rPr>
              <w:t>监控点1h平均浓度值</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厂区内监控点任意一次浓度值</w:t>
            </w:r>
            <w:r>
              <w:rPr>
                <w:rFonts w:hint="default" w:ascii="Times New Roman" w:hAnsi="Times New Roman" w:cs="Times New Roman"/>
                <w:color w:val="auto"/>
                <w:sz w:val="21"/>
                <w:szCs w:val="21"/>
                <w:highlight w:val="none"/>
                <w:lang w:eastAsia="zh-CN"/>
              </w:rPr>
              <w:t>满足</w:t>
            </w:r>
            <w:r>
              <w:rPr>
                <w:rFonts w:hint="default" w:ascii="Times New Roman" w:hAnsi="Times New Roman" w:eastAsia="宋体" w:cs="Times New Roman"/>
                <w:color w:val="auto"/>
                <w:sz w:val="21"/>
                <w:szCs w:val="21"/>
                <w:highlight w:val="none"/>
                <w:lang w:val="en-US" w:eastAsia="zh-CN"/>
              </w:rPr>
              <w:t>《挥发性有机物无组织排放控制标准》</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GB37822-2019</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highlight w:val="none"/>
                <w:shd w:val="clear" w:color="auto" w:fill="FFFFFF"/>
                <w:lang w:eastAsia="zh-CN"/>
              </w:rPr>
              <w:t>中附录A表A.1</w:t>
            </w:r>
            <w:r>
              <w:rPr>
                <w:rFonts w:hint="eastAsia" w:cs="Times New Roman"/>
                <w:color w:val="auto"/>
                <w:sz w:val="21"/>
                <w:szCs w:val="21"/>
                <w:highlight w:val="none"/>
                <w:shd w:val="clear" w:color="auto" w:fill="FFFFFF"/>
                <w:lang w:val="en-US" w:eastAsia="zh-CN"/>
              </w:rPr>
              <w:t>特别排放</w:t>
            </w:r>
            <w:r>
              <w:rPr>
                <w:rFonts w:hint="default" w:ascii="Times New Roman" w:hAnsi="Times New Roman" w:cs="Times New Roman"/>
                <w:color w:val="auto"/>
                <w:sz w:val="21"/>
                <w:szCs w:val="21"/>
                <w:highlight w:val="none"/>
                <w:shd w:val="clear" w:color="auto" w:fill="FFFFFF"/>
                <w:lang w:eastAsia="zh-CN"/>
              </w:rPr>
              <w:t>标准限值</w:t>
            </w:r>
            <w:r>
              <w:rPr>
                <w:rFonts w:hint="eastAsia" w:ascii="Times New Roman" w:hAnsi="Times New Roman" w:cs="Times New Roman"/>
                <w:color w:val="auto"/>
                <w:sz w:val="21"/>
                <w:szCs w:val="21"/>
                <w:highlight w:val="none"/>
                <w:shd w:val="clear" w:color="auto" w:fill="FFFFFF"/>
                <w:lang w:eastAsia="zh-CN"/>
              </w:rPr>
              <w:t>（</w:t>
            </w:r>
            <w:r>
              <w:rPr>
                <w:rFonts w:hint="default" w:ascii="Times New Roman" w:hAnsi="Times New Roman" w:eastAsia="宋体" w:cs="Times New Roman"/>
                <w:color w:val="auto"/>
                <w:sz w:val="21"/>
                <w:szCs w:val="21"/>
                <w:highlight w:val="none"/>
                <w:lang w:val="en-US" w:eastAsia="zh-CN"/>
              </w:rPr>
              <w:t>即非甲烷总烃无组织排放</w:t>
            </w:r>
            <w:r>
              <w:rPr>
                <w:rFonts w:hint="default" w:ascii="Times New Roman" w:hAnsi="Times New Roman" w:eastAsia="宋体" w:cs="Times New Roman"/>
                <w:color w:val="auto"/>
                <w:sz w:val="21"/>
                <w:szCs w:val="21"/>
                <w:highlight w:val="none"/>
                <w:shd w:val="clear" w:color="auto" w:fill="FFFFFF"/>
                <w:lang w:eastAsia="zh-CN"/>
              </w:rPr>
              <w:t>监控点处</w:t>
            </w:r>
            <w:r>
              <w:rPr>
                <w:rFonts w:hint="default" w:ascii="Times New Roman" w:hAnsi="Times New Roman" w:eastAsia="宋体" w:cs="Times New Roman"/>
                <w:color w:val="auto"/>
                <w:sz w:val="21"/>
                <w:szCs w:val="21"/>
                <w:highlight w:val="none"/>
                <w:shd w:val="clear" w:color="auto" w:fill="FFFFFF"/>
                <w:lang w:val="en-US" w:eastAsia="zh-CN"/>
              </w:rPr>
              <w:t>1h平均浓度值</w:t>
            </w:r>
            <w:r>
              <w:rPr>
                <w:rFonts w:hint="eastAsia" w:ascii="Times New Roman" w:hAnsi="Times New Roman" w:eastAsia="宋体" w:cs="Times New Roman"/>
                <w:color w:val="auto"/>
                <w:sz w:val="21"/>
                <w:szCs w:val="21"/>
                <w:highlight w:val="none"/>
                <w:shd w:val="clear" w:color="auto" w:fill="FFFFFF"/>
                <w:lang w:val="en-US" w:eastAsia="zh-CN"/>
              </w:rPr>
              <w:t>≤</w:t>
            </w:r>
            <w:r>
              <w:rPr>
                <w:rFonts w:hint="eastAsia" w:eastAsia="宋体" w:cs="Times New Roman"/>
                <w:color w:val="auto"/>
                <w:sz w:val="21"/>
                <w:szCs w:val="21"/>
                <w:highlight w:val="none"/>
                <w:shd w:val="clear" w:color="auto" w:fill="FFFFFF"/>
                <w:lang w:val="en-US" w:eastAsia="zh-CN"/>
              </w:rPr>
              <w:t>6.0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，监控点处任意一点浓度值</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w:t>
            </w:r>
          </w:p>
        </w:tc>
      </w:tr>
      <w:tr w14:paraId="008CB5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1" w:hRule="atLeast"/>
          <w:jc w:val="center"/>
        </w:trPr>
        <w:tc>
          <w:tcPr>
            <w:tcW w:w="758" w:type="dxa"/>
            <w:gridSpan w:val="2"/>
            <w:vMerge w:val="continue"/>
            <w:noWrap w:val="0"/>
            <w:vAlign w:val="center"/>
          </w:tcPr>
          <w:p w14:paraId="167097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22" w:type="dxa"/>
            <w:noWrap w:val="0"/>
            <w:vAlign w:val="center"/>
          </w:tcPr>
          <w:p w14:paraId="2C9365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w:t>
            </w:r>
          </w:p>
        </w:tc>
        <w:tc>
          <w:tcPr>
            <w:tcW w:w="1188" w:type="dxa"/>
            <w:noWrap w:val="0"/>
            <w:vAlign w:val="center"/>
          </w:tcPr>
          <w:p w14:paraId="709DDC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r>
              <w:rPr>
                <w:rFonts w:hint="eastAsia" w:cs="Times New Roman"/>
                <w:color w:val="auto"/>
                <w:sz w:val="21"/>
                <w:szCs w:val="21"/>
                <w:highlight w:val="none"/>
                <w:lang w:val="en-US" w:eastAsia="zh-CN"/>
              </w:rPr>
              <w:t>颗粒物</w:t>
            </w:r>
          </w:p>
        </w:tc>
        <w:tc>
          <w:tcPr>
            <w:tcW w:w="2288" w:type="dxa"/>
            <w:vMerge w:val="continue"/>
            <w:noWrap w:val="0"/>
            <w:vAlign w:val="center"/>
          </w:tcPr>
          <w:p w14:paraId="0B5E04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p>
        </w:tc>
        <w:tc>
          <w:tcPr>
            <w:tcW w:w="3732" w:type="dxa"/>
            <w:noWrap w:val="0"/>
            <w:vAlign w:val="center"/>
          </w:tcPr>
          <w:p w14:paraId="13FB38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非甲烷总烃执行《</w:t>
            </w:r>
            <w:r>
              <w:rPr>
                <w:rFonts w:hint="eastAsia" w:cs="Times New Roman"/>
                <w:color w:val="auto"/>
                <w:spacing w:val="0"/>
                <w:sz w:val="21"/>
                <w:szCs w:val="21"/>
                <w:highlight w:val="none"/>
                <w:lang w:val="en-US" w:eastAsia="zh-CN"/>
              </w:rPr>
              <w:t>工业企业挥发性有机物排放标准</w:t>
            </w:r>
            <w:r>
              <w:rPr>
                <w:rFonts w:hint="eastAsia" w:ascii="Times New Roman" w:hAnsi="Times New Roman" w:eastAsia="宋体" w:cs="Times New Roman"/>
                <w:color w:val="auto"/>
                <w:spacing w:val="0"/>
                <w:sz w:val="21"/>
                <w:szCs w:val="21"/>
                <w:highlight w:val="none"/>
                <w:lang w:val="en-US" w:eastAsia="zh-CN"/>
              </w:rPr>
              <w:t>》（</w:t>
            </w:r>
            <w:r>
              <w:rPr>
                <w:rFonts w:hint="eastAsia" w:cs="Times New Roman"/>
                <w:color w:val="auto"/>
                <w:spacing w:val="0"/>
                <w:sz w:val="21"/>
                <w:szCs w:val="21"/>
                <w:highlight w:val="none"/>
                <w:lang w:val="en-US" w:eastAsia="zh-CN"/>
              </w:rPr>
              <w:t>DB35/1782-2018</w:t>
            </w:r>
            <w:r>
              <w:rPr>
                <w:rFonts w:hint="eastAsia" w:ascii="Times New Roman" w:hAnsi="Times New Roman" w:eastAsia="宋体" w:cs="Times New Roman"/>
                <w:color w:val="auto"/>
                <w:spacing w:val="0"/>
                <w:sz w:val="21"/>
                <w:szCs w:val="21"/>
                <w:highlight w:val="none"/>
                <w:lang w:val="en-US" w:eastAsia="zh-CN"/>
              </w:rPr>
              <w:t>）中表</w:t>
            </w:r>
            <w:r>
              <w:rPr>
                <w:rFonts w:hint="eastAsia" w:cs="Times New Roman"/>
                <w:color w:val="auto"/>
                <w:spacing w:val="0"/>
                <w:sz w:val="21"/>
                <w:szCs w:val="21"/>
                <w:highlight w:val="none"/>
                <w:lang w:val="en-US" w:eastAsia="zh-CN"/>
              </w:rPr>
              <w:t>3中非甲烷总烃排放标准；颗粒物执行《大气污染物综合排放标准》（GB16297-1996）中表2无组织排放标准</w:t>
            </w:r>
            <w:r>
              <w:rPr>
                <w:rFonts w:hint="eastAsia" w:cs="Times New Roman"/>
                <w:color w:val="auto"/>
                <w:kern w:val="18"/>
                <w:highlight w:val="none"/>
                <w:lang w:val="en-US" w:eastAsia="zh-CN"/>
              </w:rPr>
              <w:t>（</w:t>
            </w:r>
            <w:r>
              <w:rPr>
                <w:rFonts w:hint="eastAsia" w:ascii="Times New Roman" w:hAnsi="Times New Roman" w:eastAsia="宋体" w:cs="Times New Roman"/>
                <w:color w:val="auto"/>
                <w:kern w:val="2"/>
                <w:sz w:val="21"/>
                <w:szCs w:val="21"/>
                <w:highlight w:val="none"/>
                <w:lang w:val="en-US" w:eastAsia="zh-CN" w:bidi="ar-SA"/>
              </w:rPr>
              <w:t>即非甲烷总烃≤</w:t>
            </w:r>
            <w:r>
              <w:rPr>
                <w:rFonts w:hint="eastAsia" w:cs="Times New Roman"/>
                <w:color w:val="auto"/>
                <w:kern w:val="2"/>
                <w:sz w:val="21"/>
                <w:szCs w:val="21"/>
                <w:highlight w:val="none"/>
                <w:lang w:val="en-US" w:eastAsia="zh-CN" w:bidi="ar-SA"/>
              </w:rPr>
              <w:t>2</w:t>
            </w:r>
            <w:r>
              <w:rPr>
                <w:rFonts w:hint="eastAsia"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；颗粒物</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w:t>
            </w:r>
          </w:p>
        </w:tc>
      </w:tr>
      <w:tr w14:paraId="7B3E2D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758" w:type="dxa"/>
            <w:gridSpan w:val="2"/>
            <w:vMerge w:val="restart"/>
            <w:noWrap w:val="0"/>
            <w:vAlign w:val="center"/>
          </w:tcPr>
          <w:p w14:paraId="7CB1FB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地表水</w:t>
            </w:r>
          </w:p>
          <w:p w14:paraId="0286D8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环境</w:t>
            </w:r>
          </w:p>
        </w:tc>
        <w:tc>
          <w:tcPr>
            <w:tcW w:w="1322" w:type="dxa"/>
            <w:noWrap w:val="0"/>
            <w:vAlign w:val="center"/>
          </w:tcPr>
          <w:p w14:paraId="34931B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压铸间接冷却水</w:t>
            </w:r>
          </w:p>
          <w:p w14:paraId="144A8A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（循环使用不外排）</w:t>
            </w:r>
          </w:p>
        </w:tc>
        <w:tc>
          <w:tcPr>
            <w:tcW w:w="1188" w:type="dxa"/>
            <w:noWrap w:val="0"/>
            <w:vAlign w:val="center"/>
          </w:tcPr>
          <w:p w14:paraId="44B5BE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288" w:type="dxa"/>
            <w:noWrap w:val="0"/>
            <w:vAlign w:val="center"/>
          </w:tcPr>
          <w:p w14:paraId="0F2BDF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000000"/>
                <w:sz w:val="21"/>
                <w:szCs w:val="21"/>
                <w:highlight w:val="none"/>
                <w:lang w:val="en-US" w:eastAsia="zh-CN"/>
              </w:rPr>
            </w:pPr>
            <w:r>
              <w:rPr>
                <w:rFonts w:hint="eastAsia" w:cs="Times New Roman"/>
                <w:bCs/>
                <w:color w:val="000000"/>
                <w:sz w:val="21"/>
                <w:szCs w:val="21"/>
                <w:highlight w:val="none"/>
                <w:lang w:val="en-US" w:eastAsia="zh-CN"/>
              </w:rPr>
              <w:t>冷却塔冷却后循环使用不外排</w:t>
            </w:r>
          </w:p>
        </w:tc>
        <w:tc>
          <w:tcPr>
            <w:tcW w:w="3732" w:type="dxa"/>
            <w:noWrap w:val="0"/>
            <w:vAlign w:val="center"/>
          </w:tcPr>
          <w:p w14:paraId="32DB05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yellow"/>
                <w:lang w:val="en-US" w:eastAsia="zh-CN"/>
              </w:rPr>
            </w:pPr>
            <w:r>
              <w:rPr>
                <w:rFonts w:hint="eastAsia" w:cs="Times New Roman"/>
                <w:color w:val="auto"/>
                <w:sz w:val="21"/>
                <w:szCs w:val="21"/>
                <w:highlight w:val="none"/>
                <w:lang w:val="en-US" w:eastAsia="zh-CN"/>
              </w:rPr>
              <w:t>/</w:t>
            </w:r>
          </w:p>
        </w:tc>
      </w:tr>
      <w:tr w14:paraId="21DCB7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758" w:type="dxa"/>
            <w:gridSpan w:val="2"/>
            <w:vMerge w:val="continue"/>
            <w:noWrap w:val="0"/>
            <w:vAlign w:val="center"/>
          </w:tcPr>
          <w:p w14:paraId="45039E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22" w:type="dxa"/>
            <w:noWrap w:val="0"/>
            <w:vAlign w:val="center"/>
          </w:tcPr>
          <w:p w14:paraId="7E1240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产品清洗废水、研磨冷却水</w:t>
            </w:r>
          </w:p>
        </w:tc>
        <w:tc>
          <w:tcPr>
            <w:tcW w:w="1188" w:type="dxa"/>
            <w:noWrap w:val="0"/>
            <w:vAlign w:val="center"/>
          </w:tcPr>
          <w:p w14:paraId="7146E1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288" w:type="dxa"/>
            <w:noWrap w:val="0"/>
            <w:vAlign w:val="center"/>
          </w:tcPr>
          <w:p w14:paraId="4EDA4F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bCs/>
                <w:color w:val="000000"/>
                <w:sz w:val="21"/>
                <w:szCs w:val="21"/>
                <w:highlight w:val="none"/>
                <w:lang w:val="en-US" w:eastAsia="zh-CN"/>
              </w:rPr>
            </w:pPr>
            <w:r>
              <w:rPr>
                <w:rFonts w:hint="eastAsia" w:cs="Times New Roman"/>
                <w:bCs/>
                <w:color w:val="000000"/>
                <w:sz w:val="21"/>
                <w:szCs w:val="21"/>
                <w:highlight w:val="none"/>
                <w:lang w:val="en-US" w:eastAsia="zh-CN"/>
              </w:rPr>
              <w:t>生产废气经水循环处理系统处理后循环使用不外排</w:t>
            </w:r>
          </w:p>
        </w:tc>
        <w:tc>
          <w:tcPr>
            <w:tcW w:w="3732" w:type="dxa"/>
            <w:noWrap w:val="0"/>
            <w:vAlign w:val="center"/>
          </w:tcPr>
          <w:p w14:paraId="5D640A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6C9D9C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58" w:type="dxa"/>
            <w:gridSpan w:val="2"/>
            <w:vMerge w:val="continue"/>
            <w:noWrap w:val="0"/>
            <w:vAlign w:val="center"/>
          </w:tcPr>
          <w:p w14:paraId="7BF5CB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22" w:type="dxa"/>
            <w:noWrap w:val="0"/>
            <w:vAlign w:val="center"/>
          </w:tcPr>
          <w:p w14:paraId="3552F4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w:t>
            </w:r>
            <w:r>
              <w:rPr>
                <w:rFonts w:hint="eastAsia" w:cs="Times New Roman"/>
                <w:color w:val="auto"/>
                <w:sz w:val="21"/>
                <w:szCs w:val="21"/>
                <w:highlight w:val="none"/>
                <w:lang w:val="en-US" w:eastAsia="zh-CN"/>
              </w:rPr>
              <w:t>污水（DW001）</w:t>
            </w:r>
          </w:p>
        </w:tc>
        <w:tc>
          <w:tcPr>
            <w:tcW w:w="1188" w:type="dxa"/>
            <w:noWrap w:val="0"/>
            <w:vAlign w:val="center"/>
          </w:tcPr>
          <w:p w14:paraId="2116EB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sz w:val="21"/>
                <w:szCs w:val="21"/>
                <w:highlight w:val="none"/>
              </w:rPr>
              <w:t>COD、BOD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、SS、NH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2288" w:type="dxa"/>
            <w:noWrap w:val="0"/>
            <w:vAlign w:val="center"/>
          </w:tcPr>
          <w:p w14:paraId="664FF1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Cs/>
                <w:color w:val="000000"/>
                <w:sz w:val="21"/>
                <w:szCs w:val="21"/>
                <w:highlight w:val="none"/>
                <w:lang w:val="en-US" w:eastAsia="zh-CN"/>
              </w:rPr>
              <w:t>生活污水</w:t>
            </w:r>
            <w:r>
              <w:rPr>
                <w:rFonts w:hint="default" w:ascii="Times New Roman" w:hAnsi="Times New Roman" w:eastAsia="宋体" w:cs="Times New Roman"/>
                <w:bCs/>
                <w:color w:val="000000"/>
                <w:sz w:val="21"/>
                <w:szCs w:val="21"/>
                <w:highlight w:val="none"/>
              </w:rPr>
              <w:t>经化粪池预处理后接入市政污水管网排入</w:t>
            </w:r>
            <w:r>
              <w:rPr>
                <w:rFonts w:hint="default" w:ascii="Times New Roman" w:hAnsi="Times New Roman" w:eastAsia="宋体" w:cs="Times New Roman"/>
                <w:bCs/>
                <w:color w:val="auto"/>
                <w:sz w:val="21"/>
                <w:szCs w:val="21"/>
                <w:highlight w:val="none"/>
              </w:rPr>
              <w:t>福清市融元污水处理厂集中</w:t>
            </w:r>
            <w:r>
              <w:rPr>
                <w:rFonts w:hint="default" w:ascii="Times New Roman" w:hAnsi="Times New Roman" w:eastAsia="宋体" w:cs="Times New Roman"/>
                <w:bCs/>
                <w:color w:val="000000"/>
                <w:sz w:val="21"/>
                <w:szCs w:val="21"/>
                <w:highlight w:val="none"/>
              </w:rPr>
              <w:t>处理</w:t>
            </w:r>
          </w:p>
        </w:tc>
        <w:tc>
          <w:tcPr>
            <w:tcW w:w="3732" w:type="dxa"/>
            <w:noWrap w:val="0"/>
            <w:vAlign w:val="center"/>
          </w:tcPr>
          <w:p w14:paraId="6A64F9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生活污水执行</w:t>
            </w:r>
            <w:r>
              <w:rPr>
                <w:rFonts w:hint="default" w:ascii="Times New Roman" w:hAnsi="Times New Roman" w:eastAsia="宋体" w:cs="Times New Roman"/>
                <w:color w:val="auto"/>
                <w:sz w:val="21"/>
                <w:szCs w:val="21"/>
                <w:highlight w:val="none"/>
                <w:lang w:val="en-US" w:eastAsia="zh-CN"/>
              </w:rPr>
              <w:t>《污水综合排放标准》（GB8978-1996）表4中三级标准（其中氨氮执行</w:t>
            </w:r>
            <w:r>
              <w:rPr>
                <w:rFonts w:hint="default" w:ascii="Times New Roman" w:hAnsi="Times New Roman" w:eastAsia="宋体" w:cs="Times New Roman"/>
                <w:color w:val="auto"/>
                <w:kern w:val="0"/>
                <w:sz w:val="21"/>
                <w:szCs w:val="21"/>
                <w:highlight w:val="none"/>
              </w:rPr>
              <w:t>《污水排入城镇下水道水质标准》（GB/T31962-2015）</w:t>
            </w:r>
            <w:r>
              <w:rPr>
                <w:rFonts w:hint="default" w:ascii="Times New Roman" w:hAnsi="Times New Roman" w:eastAsia="宋体" w:cs="Times New Roman"/>
                <w:color w:val="auto"/>
                <w:sz w:val="21"/>
                <w:szCs w:val="21"/>
                <w:highlight w:val="none"/>
              </w:rPr>
              <w:t>表1中B级标准</w:t>
            </w:r>
            <w:r>
              <w:rPr>
                <w:rFonts w:hint="default" w:ascii="Times New Roman" w:hAnsi="Times New Roman" w:eastAsia="宋体" w:cs="Times New Roman"/>
                <w:color w:val="auto"/>
                <w:sz w:val="21"/>
                <w:szCs w:val="21"/>
                <w:highlight w:val="none"/>
                <w:lang w:eastAsia="zh-CN"/>
              </w:rPr>
              <w:t>限值</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lang w:val="en-US" w:eastAsia="zh-CN"/>
              </w:rPr>
              <w:t>500mg/L，</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300mg/L，</w:t>
            </w:r>
            <w:r>
              <w:rPr>
                <w:rFonts w:hint="default" w:ascii="Times New Roman" w:hAnsi="Times New Roman" w:eastAsia="宋体" w:cs="Times New Roman"/>
                <w:color w:val="auto"/>
                <w:sz w:val="21"/>
                <w:szCs w:val="21"/>
                <w:highlight w:val="none"/>
              </w:rPr>
              <w:t>SS≤</w:t>
            </w:r>
            <w:r>
              <w:rPr>
                <w:rFonts w:hint="default" w:ascii="Times New Roman" w:hAnsi="Times New Roman" w:eastAsia="宋体" w:cs="Times New Roman"/>
                <w:color w:val="auto"/>
                <w:sz w:val="21"/>
                <w:szCs w:val="21"/>
                <w:highlight w:val="none"/>
                <w:lang w:val="en-US" w:eastAsia="zh-CN"/>
              </w:rPr>
              <w:t>400mg/L，</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default" w:ascii="Times New Roman" w:hAnsi="Times New Roman" w:eastAsia="宋体" w:cs="Times New Roman"/>
                <w:color w:val="auto"/>
                <w:sz w:val="21"/>
                <w:szCs w:val="21"/>
                <w:highlight w:val="none"/>
                <w:lang w:val="en-US" w:eastAsia="zh-CN"/>
              </w:rPr>
              <w:t>45mg/L）</w:t>
            </w:r>
          </w:p>
        </w:tc>
      </w:tr>
      <w:tr w14:paraId="6FE05C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758" w:type="dxa"/>
            <w:gridSpan w:val="2"/>
            <w:noWrap w:val="0"/>
            <w:vAlign w:val="center"/>
          </w:tcPr>
          <w:p w14:paraId="62F7CE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声环境</w:t>
            </w:r>
          </w:p>
        </w:tc>
        <w:tc>
          <w:tcPr>
            <w:tcW w:w="1322" w:type="dxa"/>
            <w:noWrap w:val="0"/>
            <w:vAlign w:val="center"/>
          </w:tcPr>
          <w:p w14:paraId="3AA473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厂界四周</w:t>
            </w:r>
          </w:p>
        </w:tc>
        <w:tc>
          <w:tcPr>
            <w:tcW w:w="1188" w:type="dxa"/>
            <w:noWrap w:val="0"/>
            <w:vAlign w:val="center"/>
          </w:tcPr>
          <w:p w14:paraId="1709FC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等效A声级</w:t>
            </w:r>
          </w:p>
        </w:tc>
        <w:tc>
          <w:tcPr>
            <w:tcW w:w="2288" w:type="dxa"/>
            <w:noWrap w:val="0"/>
            <w:vAlign w:val="center"/>
          </w:tcPr>
          <w:p w14:paraId="341194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eastAsia" w:cs="Times New Roman"/>
                <w:color w:val="auto"/>
                <w:kern w:val="2"/>
                <w:sz w:val="21"/>
                <w:szCs w:val="21"/>
                <w:highlight w:val="none"/>
                <w:lang w:val="en-US" w:eastAsia="zh-CN" w:bidi="ar-SA"/>
              </w:rPr>
              <w:t>本项目生产时间为8小时工作制，夜间不进行生产。</w:t>
            </w:r>
            <w:r>
              <w:rPr>
                <w:rFonts w:hint="default" w:ascii="Times New Roman" w:hAnsi="Times New Roman" w:eastAsia="宋体" w:cs="Times New Roman"/>
                <w:color w:val="auto"/>
                <w:kern w:val="2"/>
                <w:sz w:val="21"/>
                <w:szCs w:val="21"/>
                <w:highlight w:val="none"/>
                <w:lang w:val="en-GB" w:eastAsia="zh-CN" w:bidi="ar-SA"/>
              </w:rPr>
              <w:t>选用低噪声设备，加强设备维护，高噪声设备设置基础减振、隔声等措施</w:t>
            </w:r>
          </w:p>
        </w:tc>
        <w:tc>
          <w:tcPr>
            <w:tcW w:w="3732" w:type="dxa"/>
            <w:noWrap w:val="0"/>
            <w:vAlign w:val="center"/>
          </w:tcPr>
          <w:p w14:paraId="67CA24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满足《工业企业厂界环境噪声排放标准》</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GB12348-2008</w:t>
            </w:r>
            <w:r>
              <w:rPr>
                <w:rFonts w:hint="eastAsia" w:ascii="Times New Roman" w:hAnsi="Times New Roman" w:eastAsia="宋体" w:cs="Times New Roman"/>
                <w:color w:val="auto"/>
                <w:kern w:val="2"/>
                <w:sz w:val="21"/>
                <w:szCs w:val="21"/>
                <w:highlight w:val="none"/>
                <w:lang w:val="en-GB" w:eastAsia="zh-CN" w:bidi="ar-SA"/>
              </w:rPr>
              <w:t>）</w:t>
            </w:r>
            <w:r>
              <w:rPr>
                <w:rFonts w:hint="eastAsia" w:ascii="Times New Roman" w:hAnsi="Times New Roman" w:eastAsia="宋体" w:cs="Times New Roman"/>
                <w:color w:val="auto"/>
                <w:kern w:val="2"/>
                <w:sz w:val="21"/>
                <w:szCs w:val="21"/>
                <w:highlight w:val="none"/>
                <w:lang w:val="en-US" w:eastAsia="zh-CN" w:bidi="ar-SA"/>
              </w:rPr>
              <w:t>表1</w:t>
            </w:r>
            <w:r>
              <w:rPr>
                <w:rFonts w:hint="default" w:ascii="Times New Roman" w:hAnsi="Times New Roman" w:eastAsia="宋体" w:cs="Times New Roman"/>
                <w:color w:val="auto"/>
                <w:kern w:val="2"/>
                <w:sz w:val="21"/>
                <w:szCs w:val="21"/>
                <w:highlight w:val="none"/>
                <w:lang w:val="en-GB" w:eastAsia="zh-CN" w:bidi="ar-SA"/>
              </w:rPr>
              <w:t>中</w:t>
            </w:r>
            <w:r>
              <w:rPr>
                <w:rFonts w:hint="default" w:ascii="Times New Roman" w:hAnsi="Times New Roman" w:eastAsia="宋体" w:cs="Times New Roman"/>
                <w:color w:val="auto"/>
                <w:kern w:val="2"/>
                <w:sz w:val="21"/>
                <w:szCs w:val="21"/>
                <w:highlight w:val="none"/>
                <w:lang w:val="en-US" w:eastAsia="zh-CN" w:bidi="ar-SA"/>
              </w:rPr>
              <w:t>3类标准</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GB" w:eastAsia="zh-CN" w:bidi="ar-SA"/>
              </w:rPr>
              <w:t>昼间</w:t>
            </w:r>
            <w:r>
              <w:rPr>
                <w:rFonts w:hint="default" w:ascii="Times New Roman" w:hAnsi="Times New Roman" w:eastAsia="宋体" w:cs="Times New Roman"/>
                <w:color w:val="auto"/>
                <w:kern w:val="2"/>
                <w:sz w:val="21"/>
                <w:szCs w:val="21"/>
                <w:highlight w:val="none"/>
                <w:lang w:val="en-US" w:eastAsia="zh-CN" w:bidi="ar-SA"/>
              </w:rPr>
              <w:t>噪声</w:t>
            </w:r>
            <w:r>
              <w:rPr>
                <w:rFonts w:hint="default"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US" w:eastAsia="zh-CN" w:bidi="ar-SA"/>
              </w:rPr>
              <w:t>65</w:t>
            </w:r>
            <w:r>
              <w:rPr>
                <w:rFonts w:hint="default" w:ascii="Times New Roman" w:hAnsi="Times New Roman" w:eastAsia="宋体" w:cs="Times New Roman"/>
                <w:color w:val="auto"/>
                <w:kern w:val="2"/>
                <w:sz w:val="21"/>
                <w:szCs w:val="21"/>
                <w:highlight w:val="none"/>
                <w:lang w:val="en-GB" w:eastAsia="zh-CN" w:bidi="ar-SA"/>
              </w:rPr>
              <w:t>dB</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A</w:t>
            </w:r>
            <w:r>
              <w:rPr>
                <w:rFonts w:hint="eastAsia" w:ascii="Times New Roman" w:hAnsi="Times New Roman" w:eastAsia="宋体" w:cs="Times New Roman"/>
                <w:color w:val="auto"/>
                <w:kern w:val="2"/>
                <w:sz w:val="21"/>
                <w:szCs w:val="21"/>
                <w:highlight w:val="none"/>
                <w:lang w:val="en-GB" w:eastAsia="zh-CN" w:bidi="ar-SA"/>
              </w:rPr>
              <w:t>））</w:t>
            </w:r>
          </w:p>
        </w:tc>
      </w:tr>
      <w:tr w14:paraId="31EA9B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758" w:type="dxa"/>
            <w:gridSpan w:val="2"/>
            <w:noWrap w:val="0"/>
            <w:vAlign w:val="center"/>
          </w:tcPr>
          <w:p w14:paraId="3A65E95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电磁</w:t>
            </w:r>
          </w:p>
          <w:p w14:paraId="570E91A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辐射</w:t>
            </w:r>
          </w:p>
        </w:tc>
        <w:tc>
          <w:tcPr>
            <w:tcW w:w="1322" w:type="dxa"/>
            <w:noWrap w:val="0"/>
            <w:vAlign w:val="center"/>
          </w:tcPr>
          <w:p w14:paraId="7263AA8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c>
          <w:tcPr>
            <w:tcW w:w="1188" w:type="dxa"/>
            <w:noWrap w:val="0"/>
            <w:vAlign w:val="center"/>
          </w:tcPr>
          <w:p w14:paraId="74BF890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c>
          <w:tcPr>
            <w:tcW w:w="2288" w:type="dxa"/>
            <w:noWrap w:val="0"/>
            <w:vAlign w:val="center"/>
          </w:tcPr>
          <w:p w14:paraId="18E784C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c>
          <w:tcPr>
            <w:tcW w:w="3732" w:type="dxa"/>
            <w:noWrap w:val="0"/>
            <w:vAlign w:val="center"/>
          </w:tcPr>
          <w:p w14:paraId="779AA94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r>
      <w:tr w14:paraId="33DBE6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71" w:hRule="atLeast"/>
          <w:jc w:val="center"/>
        </w:trPr>
        <w:tc>
          <w:tcPr>
            <w:tcW w:w="758" w:type="dxa"/>
            <w:gridSpan w:val="2"/>
            <w:noWrap w:val="0"/>
            <w:vAlign w:val="center"/>
          </w:tcPr>
          <w:p w14:paraId="23416E6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outlineLvl w:val="9"/>
              <w:rPr>
                <w:rFonts w:hint="default" w:ascii="Times New Roman" w:hAnsi="Times New Roman" w:eastAsia="宋体" w:cs="Times New Roman"/>
                <w:color w:val="auto"/>
                <w:sz w:val="24"/>
                <w:szCs w:val="24"/>
                <w:highlight w:val="none"/>
                <w:lang w:val="en-GB" w:eastAsia="zh-CN"/>
              </w:rPr>
            </w:pPr>
            <w:r>
              <w:rPr>
                <w:rFonts w:hint="default" w:ascii="Times New Roman" w:hAnsi="Times New Roman" w:eastAsia="宋体" w:cs="Times New Roman"/>
                <w:color w:val="auto"/>
                <w:sz w:val="24"/>
                <w:szCs w:val="24"/>
                <w:highlight w:val="none"/>
                <w:lang w:val="en-GB" w:eastAsia="zh-CN"/>
              </w:rPr>
              <w:t>固体</w:t>
            </w:r>
          </w:p>
          <w:p w14:paraId="495211F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outlineLvl w:val="9"/>
              <w:rPr>
                <w:rFonts w:hint="default" w:ascii="Times New Roman" w:hAnsi="Times New Roman" w:eastAsia="宋体" w:cs="Times New Roman"/>
                <w:color w:val="auto"/>
                <w:sz w:val="24"/>
                <w:szCs w:val="24"/>
                <w:highlight w:val="none"/>
                <w:lang w:val="en-GB" w:eastAsia="zh-CN"/>
              </w:rPr>
            </w:pPr>
            <w:r>
              <w:rPr>
                <w:rFonts w:hint="default" w:ascii="Times New Roman" w:hAnsi="Times New Roman" w:eastAsia="宋体" w:cs="Times New Roman"/>
                <w:color w:val="auto"/>
                <w:sz w:val="24"/>
                <w:szCs w:val="24"/>
                <w:highlight w:val="none"/>
                <w:lang w:val="en-GB" w:eastAsia="zh-CN"/>
              </w:rPr>
              <w:t>废物</w:t>
            </w:r>
          </w:p>
        </w:tc>
        <w:tc>
          <w:tcPr>
            <w:tcW w:w="8530" w:type="dxa"/>
            <w:gridSpan w:val="4"/>
            <w:noWrap w:val="0"/>
            <w:vAlign w:val="center"/>
          </w:tcPr>
          <w:p w14:paraId="1A79C674">
            <w:pPr>
              <w:keepNext w:val="0"/>
              <w:pageBreakBefore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①一般工业固废：</w:t>
            </w:r>
            <w:r>
              <w:rPr>
                <w:rFonts w:hint="eastAsia" w:cs="Times New Roman"/>
                <w:color w:val="auto"/>
                <w:sz w:val="24"/>
                <w:szCs w:val="24"/>
                <w:highlight w:val="none"/>
                <w:lang w:val="en-US" w:eastAsia="zh-CN"/>
              </w:rPr>
              <w:t>熔融炉渣（不沾染油）、不合格产品、废边角料、废包装纸箱、包装袋、收集的粉尘颗粒</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color w:val="auto"/>
                <w:sz w:val="24"/>
                <w:szCs w:val="24"/>
                <w:highlight w:val="none"/>
              </w:rPr>
              <w:t>设置一般工业固废暂存</w:t>
            </w:r>
            <w:r>
              <w:rPr>
                <w:rFonts w:hint="default" w:ascii="Times New Roman" w:hAnsi="Times New Roman" w:eastAsia="宋体" w:cs="Times New Roman"/>
                <w:color w:val="auto"/>
                <w:sz w:val="24"/>
                <w:szCs w:val="24"/>
                <w:highlight w:val="none"/>
                <w:lang w:val="en-US" w:eastAsia="zh-CN"/>
              </w:rPr>
              <w:t>区</w:t>
            </w:r>
            <w:r>
              <w:rPr>
                <w:rFonts w:hint="default" w:ascii="Times New Roman" w:hAnsi="Times New Roman" w:eastAsia="宋体" w:cs="Times New Roman"/>
                <w:color w:val="auto"/>
                <w:sz w:val="24"/>
                <w:szCs w:val="24"/>
                <w:highlight w:val="none"/>
              </w:rPr>
              <w:t>，满足《一般工业固体废物贮存和填埋污染控制标准》（GB 18599-2020）的相关要求；</w:t>
            </w:r>
          </w:p>
          <w:p w14:paraId="4077BC52">
            <w:pPr>
              <w:keepNext w:val="0"/>
              <w:pageBreakBefore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②危险废物：</w:t>
            </w:r>
            <w:r>
              <w:rPr>
                <w:rFonts w:hint="eastAsia" w:cs="Times New Roman"/>
                <w:color w:val="auto"/>
                <w:sz w:val="24"/>
                <w:szCs w:val="24"/>
                <w:highlight w:val="none"/>
                <w:lang w:val="en-US" w:eastAsia="zh-CN"/>
              </w:rPr>
              <w:t>熔融炉渣（沾染油）、脱模剂废包装桶、废切削液、废活性炭、废机油、废液压油、污泥</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color w:val="auto"/>
                <w:sz w:val="24"/>
                <w:szCs w:val="24"/>
                <w:highlight w:val="none"/>
              </w:rPr>
              <w:t>设置危险废物</w:t>
            </w:r>
            <w:r>
              <w:rPr>
                <w:rFonts w:hint="eastAsia" w:ascii="Times New Roman" w:hAnsi="Times New Roman" w:eastAsia="宋体" w:cs="Times New Roman"/>
                <w:bCs/>
                <w:color w:val="auto"/>
                <w:sz w:val="24"/>
                <w:highlight w:val="none"/>
                <w:lang w:val="en-US" w:eastAsia="zh-CN"/>
              </w:rPr>
              <w:t>贮存库</w:t>
            </w:r>
            <w:r>
              <w:rPr>
                <w:rFonts w:hint="default" w:ascii="Times New Roman" w:hAnsi="Times New Roman" w:eastAsia="宋体" w:cs="Times New Roman"/>
                <w:color w:val="auto"/>
                <w:sz w:val="24"/>
                <w:szCs w:val="24"/>
                <w:highlight w:val="none"/>
              </w:rPr>
              <w:t>，妥善分类收集后定期委托有资质的单位进行处置满足</w:t>
            </w:r>
            <w:r>
              <w:rPr>
                <w:rFonts w:hint="default" w:ascii="Times New Roman" w:hAnsi="Times New Roman" w:eastAsia="宋体" w:cs="Times New Roman"/>
                <w:color w:val="auto"/>
                <w:sz w:val="24"/>
                <w:szCs w:val="24"/>
                <w:highlight w:val="none"/>
                <w:lang w:val="en-GB"/>
              </w:rPr>
              <w:t>《危险废物贮存污染控制标准》</w:t>
            </w:r>
            <w:r>
              <w:rPr>
                <w:rFonts w:hint="eastAsia" w:ascii="Times New Roman" w:hAnsi="Times New Roman" w:eastAsia="宋体" w:cs="Times New Roman"/>
                <w:color w:val="auto"/>
                <w:sz w:val="24"/>
                <w:szCs w:val="24"/>
                <w:highlight w:val="none"/>
                <w:lang w:val="en-GB" w:eastAsia="zh-CN"/>
              </w:rPr>
              <w:t>（</w:t>
            </w:r>
            <w:r>
              <w:rPr>
                <w:rFonts w:hint="default" w:ascii="Times New Roman" w:hAnsi="Times New Roman" w:eastAsia="宋体" w:cs="Times New Roman"/>
                <w:color w:val="auto"/>
                <w:sz w:val="24"/>
                <w:szCs w:val="24"/>
                <w:highlight w:val="none"/>
                <w:lang w:val="en-GB"/>
              </w:rPr>
              <w:t>GB 18597</w:t>
            </w:r>
            <w:r>
              <w:rPr>
                <w:rFonts w:hint="default" w:ascii="Times New Roman" w:hAnsi="Times New Roman" w:eastAsia="宋体" w:cs="Times New Roman"/>
                <w:color w:val="auto"/>
                <w:sz w:val="24"/>
                <w:szCs w:val="24"/>
                <w:highlight w:val="none"/>
                <w:lang w:val="en-US" w:eastAsia="zh-CN"/>
              </w:rPr>
              <w:t>-2023</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要求。危废转移应严格</w:t>
            </w:r>
            <w:r>
              <w:rPr>
                <w:rFonts w:hint="eastAsia" w:ascii="Times New Roman" w:hAnsi="Times New Roman" w:eastAsia="宋体" w:cs="Times New Roman"/>
                <w:color w:val="auto"/>
                <w:sz w:val="24"/>
                <w:szCs w:val="24"/>
                <w:highlight w:val="none"/>
                <w:lang w:eastAsia="zh-CN"/>
              </w:rPr>
              <w:t>按照</w:t>
            </w:r>
            <w:r>
              <w:rPr>
                <w:rFonts w:hint="default" w:ascii="Times New Roman" w:hAnsi="Times New Roman" w:eastAsia="宋体" w:cs="Times New Roman"/>
                <w:color w:val="auto"/>
                <w:sz w:val="24"/>
                <w:szCs w:val="24"/>
                <w:highlight w:val="none"/>
              </w:rPr>
              <w:t>《危险废物</w:t>
            </w:r>
            <w:r>
              <w:rPr>
                <w:rFonts w:hint="default" w:ascii="Times New Roman" w:hAnsi="Times New Roman" w:eastAsia="宋体" w:cs="Times New Roman"/>
                <w:color w:val="auto"/>
                <w:sz w:val="24"/>
                <w:szCs w:val="24"/>
                <w:highlight w:val="none"/>
                <w:lang w:val="en-US" w:eastAsia="zh-CN"/>
              </w:rPr>
              <w:t>转移</w:t>
            </w:r>
            <w:r>
              <w:rPr>
                <w:rFonts w:hint="default" w:ascii="Times New Roman" w:hAnsi="Times New Roman" w:eastAsia="宋体" w:cs="Times New Roman"/>
                <w:color w:val="auto"/>
                <w:sz w:val="24"/>
                <w:szCs w:val="24"/>
                <w:highlight w:val="none"/>
              </w:rPr>
              <w:t>管理办法》要求；</w:t>
            </w:r>
          </w:p>
          <w:p w14:paraId="6BB7A7F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sz w:val="24"/>
                <w:szCs w:val="24"/>
                <w:highlight w:val="none"/>
              </w:rPr>
              <w:t>③生活垃圾：</w:t>
            </w:r>
            <w:r>
              <w:rPr>
                <w:rFonts w:hint="default" w:ascii="Times New Roman" w:hAnsi="Times New Roman" w:eastAsia="宋体" w:cs="Times New Roman"/>
                <w:color w:val="auto"/>
                <w:sz w:val="24"/>
                <w:szCs w:val="24"/>
                <w:highlight w:val="none"/>
                <w:lang w:val="en-US" w:eastAsia="zh-CN"/>
              </w:rPr>
              <w:t>设置</w:t>
            </w:r>
            <w:r>
              <w:rPr>
                <w:rFonts w:hint="default" w:ascii="Times New Roman" w:hAnsi="Times New Roman" w:eastAsia="宋体" w:cs="Times New Roman"/>
                <w:color w:val="auto"/>
                <w:sz w:val="24"/>
                <w:szCs w:val="24"/>
                <w:highlight w:val="none"/>
              </w:rPr>
              <w:t>垃圾桶收集，由市政环卫部门统一清运处理</w:t>
            </w:r>
          </w:p>
        </w:tc>
      </w:tr>
      <w:tr w14:paraId="7DE189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0" w:hRule="atLeast"/>
          <w:jc w:val="center"/>
        </w:trPr>
        <w:tc>
          <w:tcPr>
            <w:tcW w:w="758" w:type="dxa"/>
            <w:gridSpan w:val="2"/>
            <w:noWrap w:val="0"/>
            <w:vAlign w:val="center"/>
          </w:tcPr>
          <w:p w14:paraId="4F4677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土壤及地下水污染防治措施</w:t>
            </w:r>
          </w:p>
        </w:tc>
        <w:tc>
          <w:tcPr>
            <w:tcW w:w="8530" w:type="dxa"/>
            <w:gridSpan w:val="4"/>
            <w:noWrap w:val="0"/>
            <w:vAlign w:val="center"/>
          </w:tcPr>
          <w:p w14:paraId="114FCB6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合理进行防渗区域划分，危险</w:t>
            </w:r>
            <w:r>
              <w:rPr>
                <w:rFonts w:hint="eastAsia" w:ascii="Times New Roman" w:hAnsi="Times New Roman" w:eastAsia="宋体" w:cs="Times New Roman"/>
                <w:bCs/>
                <w:color w:val="auto"/>
                <w:sz w:val="24"/>
                <w:highlight w:val="none"/>
                <w:lang w:val="en-US" w:eastAsia="zh-CN"/>
              </w:rPr>
              <w:t>贮存库</w:t>
            </w:r>
            <w:r>
              <w:rPr>
                <w:rFonts w:hint="default" w:ascii="Times New Roman" w:hAnsi="Times New Roman" w:eastAsia="宋体" w:cs="Times New Roman"/>
                <w:color w:val="auto"/>
                <w:kern w:val="2"/>
                <w:sz w:val="24"/>
                <w:szCs w:val="24"/>
                <w:highlight w:val="none"/>
                <w:lang w:val="en-GB" w:eastAsia="zh-CN" w:bidi="ar-SA"/>
              </w:rPr>
              <w:t>等四周设置导流沟，地面</w:t>
            </w:r>
            <w:r>
              <w:rPr>
                <w:rFonts w:hint="eastAsia" w:cs="Times New Roman"/>
                <w:color w:val="auto"/>
                <w:kern w:val="2"/>
                <w:sz w:val="24"/>
                <w:szCs w:val="24"/>
                <w:highlight w:val="none"/>
                <w:lang w:val="en-GB" w:eastAsia="zh-CN" w:bidi="ar-SA"/>
              </w:rPr>
              <w:t>采用分区</w:t>
            </w:r>
            <w:r>
              <w:rPr>
                <w:rFonts w:hint="default" w:ascii="Times New Roman" w:hAnsi="Times New Roman" w:eastAsia="宋体" w:cs="Times New Roman"/>
                <w:color w:val="auto"/>
                <w:kern w:val="2"/>
                <w:sz w:val="24"/>
                <w:szCs w:val="24"/>
                <w:highlight w:val="none"/>
                <w:lang w:val="en-GB" w:eastAsia="zh-CN" w:bidi="ar-SA"/>
              </w:rPr>
              <w:t>防渗，按重点污染区防渗要求进行建设；一般工业固废间、项目生产车间等按一般污染区防渗要求进行建设</w:t>
            </w:r>
            <w:r>
              <w:rPr>
                <w:rFonts w:hint="eastAsia" w:cs="Times New Roman"/>
                <w:color w:val="auto"/>
                <w:kern w:val="2"/>
                <w:sz w:val="24"/>
                <w:szCs w:val="24"/>
                <w:highlight w:val="none"/>
                <w:lang w:val="en-GB" w:eastAsia="zh-CN" w:bidi="ar-SA"/>
              </w:rPr>
              <w:t>且</w:t>
            </w:r>
            <w:r>
              <w:rPr>
                <w:rFonts w:hint="default" w:ascii="Times New Roman" w:hAnsi="Times New Roman" w:eastAsia="宋体" w:cs="Times New Roman"/>
                <w:color w:val="auto"/>
                <w:kern w:val="2"/>
                <w:sz w:val="24"/>
                <w:szCs w:val="24"/>
                <w:highlight w:val="none"/>
                <w:lang w:val="en-GB" w:eastAsia="zh-CN" w:bidi="ar-SA"/>
              </w:rPr>
              <w:t>具有防雨、防渗、防风、防日晒等功能</w:t>
            </w:r>
          </w:p>
        </w:tc>
      </w:tr>
      <w:tr w14:paraId="42F253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6" w:hRule="atLeast"/>
          <w:jc w:val="center"/>
        </w:trPr>
        <w:tc>
          <w:tcPr>
            <w:tcW w:w="758" w:type="dxa"/>
            <w:gridSpan w:val="2"/>
            <w:noWrap w:val="0"/>
            <w:vAlign w:val="center"/>
          </w:tcPr>
          <w:p w14:paraId="177BB0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生态保护措施</w:t>
            </w:r>
          </w:p>
        </w:tc>
        <w:tc>
          <w:tcPr>
            <w:tcW w:w="8530" w:type="dxa"/>
            <w:gridSpan w:val="4"/>
            <w:noWrap w:val="0"/>
            <w:vAlign w:val="center"/>
          </w:tcPr>
          <w:p w14:paraId="1BD18CA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无</w:t>
            </w:r>
          </w:p>
        </w:tc>
      </w:tr>
      <w:tr w14:paraId="6CA892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0" w:hRule="atLeast"/>
          <w:jc w:val="center"/>
        </w:trPr>
        <w:tc>
          <w:tcPr>
            <w:tcW w:w="758" w:type="dxa"/>
            <w:gridSpan w:val="2"/>
            <w:noWrap w:val="0"/>
            <w:vAlign w:val="center"/>
          </w:tcPr>
          <w:p w14:paraId="61E88E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环境风险防范措施</w:t>
            </w:r>
          </w:p>
        </w:tc>
        <w:tc>
          <w:tcPr>
            <w:tcW w:w="8530" w:type="dxa"/>
            <w:gridSpan w:val="4"/>
            <w:noWrap w:val="0"/>
            <w:vAlign w:val="center"/>
          </w:tcPr>
          <w:p w14:paraId="638902A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危险</w:t>
            </w:r>
            <w:r>
              <w:rPr>
                <w:rFonts w:hint="eastAsia" w:ascii="Times New Roman" w:hAnsi="Times New Roman" w:eastAsia="宋体" w:cs="Times New Roman"/>
                <w:bCs/>
                <w:color w:val="auto"/>
                <w:sz w:val="24"/>
                <w:highlight w:val="none"/>
                <w:lang w:val="en-US" w:eastAsia="zh-CN"/>
              </w:rPr>
              <w:t>贮存库</w:t>
            </w:r>
            <w:r>
              <w:rPr>
                <w:rFonts w:hint="default" w:ascii="Times New Roman" w:hAnsi="Times New Roman" w:eastAsia="宋体" w:cs="Times New Roman"/>
                <w:color w:val="auto"/>
                <w:kern w:val="2"/>
                <w:sz w:val="24"/>
                <w:szCs w:val="24"/>
                <w:highlight w:val="none"/>
                <w:lang w:val="en-US" w:eastAsia="zh-CN" w:bidi="ar-SA"/>
              </w:rPr>
              <w:t>等四周设置导流沟，地面采取防渗、设置围堰等风险防范措施；加强消防设施和灭火器材的配备，严格落实有关消防技术规范的规定，加强人员疏散设施管理，保证疏散通道畅通。定期进行防火安全检查，确保消防设施完整等。</w:t>
            </w:r>
          </w:p>
        </w:tc>
      </w:tr>
      <w:tr w14:paraId="6743C8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dxa"/>
            <w:noWrap w:val="0"/>
            <w:vAlign w:val="center"/>
          </w:tcPr>
          <w:p w14:paraId="6A3F25F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其他环境</w:t>
            </w:r>
          </w:p>
          <w:p w14:paraId="641B868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管理要求</w:t>
            </w:r>
          </w:p>
        </w:tc>
        <w:tc>
          <w:tcPr>
            <w:tcW w:w="8705" w:type="dxa"/>
            <w:gridSpan w:val="5"/>
            <w:noWrap w:val="0"/>
            <w:vAlign w:val="center"/>
          </w:tcPr>
          <w:p w14:paraId="5EE9FEE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（1）排污口规范管理</w:t>
            </w:r>
          </w:p>
          <w:p w14:paraId="288781B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lang w:val="en-US" w:eastAsia="zh-CN"/>
              </w:rPr>
            </w:pPr>
            <w:r>
              <w:rPr>
                <w:rFonts w:hint="default" w:ascii="Times New Roman" w:hAnsi="Times New Roman" w:eastAsia="宋体" w:cs="Times New Roman"/>
                <w:b w:val="0"/>
                <w:bCs w:val="0"/>
                <w:color w:val="auto"/>
                <w:kern w:val="2"/>
                <w:sz w:val="24"/>
                <w:szCs w:val="24"/>
                <w:highlight w:val="none"/>
                <w:lang w:val="en-US" w:eastAsia="zh-CN" w:bidi="ar-SA"/>
              </w:rPr>
              <w:t>各污染源排放口应设置专项图标，执行《环境保护图形标志—排放口</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源</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GB15563.1-1995</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，要求各排放口</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源</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提示标志形状采用正方形边框，背景颜色采用绿色，图形颜色采用白色。标志牌应设在与之功能相应的醒目处，并保持清晰、完整，具体详见表5.1-1。</w:t>
            </w:r>
          </w:p>
          <w:p w14:paraId="56768258">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outlineLvl w:val="9"/>
              <w:rPr>
                <w:rFonts w:hint="default" w:ascii="Times New Roman" w:hAnsi="Times New Roman" w:eastAsia="宋体" w:cs="Times New Roman"/>
                <w:b/>
                <w:bCs/>
                <w:color w:val="auto"/>
                <w:sz w:val="24"/>
                <w:szCs w:val="24"/>
                <w:highlight w:val="none"/>
                <w:lang w:bidi="ar"/>
              </w:rPr>
            </w:pPr>
            <w:r>
              <w:rPr>
                <w:rFonts w:hint="default" w:ascii="Times New Roman" w:hAnsi="Times New Roman" w:eastAsia="宋体" w:cs="Times New Roman"/>
                <w:b/>
                <w:bCs/>
                <w:color w:val="auto"/>
                <w:sz w:val="24"/>
                <w:szCs w:val="24"/>
                <w:highlight w:val="none"/>
                <w:lang w:bidi="ar"/>
              </w:rPr>
              <w:t>表5.1-1  排污口图形符号</w:t>
            </w:r>
            <w:r>
              <w:rPr>
                <w:rFonts w:hint="eastAsia" w:ascii="Times New Roman" w:hAnsi="Times New Roman" w:eastAsia="宋体" w:cs="Times New Roman"/>
                <w:b/>
                <w:bCs/>
                <w:color w:val="auto"/>
                <w:sz w:val="24"/>
                <w:szCs w:val="24"/>
                <w:highlight w:val="none"/>
                <w:lang w:eastAsia="zh-CN" w:bidi="ar"/>
              </w:rPr>
              <w:t>（</w:t>
            </w:r>
            <w:r>
              <w:rPr>
                <w:rFonts w:hint="default" w:ascii="Times New Roman" w:hAnsi="Times New Roman" w:eastAsia="宋体" w:cs="Times New Roman"/>
                <w:b/>
                <w:bCs/>
                <w:color w:val="auto"/>
                <w:sz w:val="24"/>
                <w:szCs w:val="24"/>
                <w:highlight w:val="none"/>
                <w:lang w:bidi="ar"/>
              </w:rPr>
              <w:t>提示标志</w:t>
            </w:r>
            <w:r>
              <w:rPr>
                <w:rFonts w:hint="eastAsia" w:ascii="Times New Roman" w:hAnsi="Times New Roman" w:eastAsia="宋体" w:cs="Times New Roman"/>
                <w:b/>
                <w:bCs/>
                <w:color w:val="auto"/>
                <w:sz w:val="24"/>
                <w:szCs w:val="24"/>
                <w:highlight w:val="none"/>
                <w:lang w:eastAsia="zh-CN" w:bidi="ar"/>
              </w:rPr>
              <w:t>）</w:t>
            </w:r>
            <w:r>
              <w:rPr>
                <w:rFonts w:hint="default" w:ascii="Times New Roman" w:hAnsi="Times New Roman" w:eastAsia="宋体" w:cs="Times New Roman"/>
                <w:b/>
                <w:bCs/>
                <w:color w:val="auto"/>
                <w:sz w:val="24"/>
                <w:szCs w:val="24"/>
                <w:highlight w:val="none"/>
                <w:lang w:bidi="ar"/>
              </w:rPr>
              <w:t>一览表</w:t>
            </w:r>
          </w:p>
          <w:tbl>
            <w:tblPr>
              <w:tblStyle w:val="23"/>
              <w:tblW w:w="4998" w:type="pct"/>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535"/>
              <w:gridCol w:w="1390"/>
              <w:gridCol w:w="1391"/>
              <w:gridCol w:w="1391"/>
              <w:gridCol w:w="1440"/>
              <w:gridCol w:w="1339"/>
            </w:tblGrid>
            <w:tr w14:paraId="4770A8E6">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12" w:space="0"/>
                    <w:left w:val="nil"/>
                    <w:bottom w:val="single" w:color="auto" w:sz="6" w:space="0"/>
                    <w:right w:val="single" w:color="auto" w:sz="6" w:space="0"/>
                    <w:tl2br w:val="single" w:color="auto" w:sz="4" w:space="0"/>
                  </w:tcBorders>
                  <w:noWrap w:val="0"/>
                  <w:vAlign w:val="center"/>
                </w:tcPr>
                <w:p w14:paraId="7E348D62">
                  <w:pPr>
                    <w:pStyle w:val="62"/>
                    <w:keepNext w:val="0"/>
                    <w:pageBreakBefore w:val="0"/>
                    <w:kinsoku/>
                    <w:wordWrap/>
                    <w:overflowPunct/>
                    <w:topLinePunct w:val="0"/>
                    <w:autoSpaceDE/>
                    <w:autoSpaceDN/>
                    <w:bidi w:val="0"/>
                    <w:spacing w:line="326" w:lineRule="atLeast"/>
                    <w:jc w:val="right"/>
                    <w:textAlignment w:val="auto"/>
                    <w:outlineLvl w:val="9"/>
                    <w:rPr>
                      <w:color w:val="auto"/>
                      <w:sz w:val="21"/>
                      <w:highlight w:val="none"/>
                      <w:lang w:val="en-GB"/>
                    </w:rPr>
                  </w:pPr>
                  <w:bookmarkStart w:id="211" w:name="_Toc24814499"/>
                  <w:r>
                    <w:rPr>
                      <w:color w:val="auto"/>
                      <w:sz w:val="21"/>
                      <w:highlight w:val="none"/>
                      <w:lang w:val="en-GB"/>
                    </w:rPr>
                    <w:t xml:space="preserve">  排放部位</w:t>
                  </w:r>
                </w:p>
                <w:p w14:paraId="6AFD8358">
                  <w:pPr>
                    <w:pStyle w:val="62"/>
                    <w:keepNext w:val="0"/>
                    <w:pageBreakBefore w:val="0"/>
                    <w:kinsoku/>
                    <w:wordWrap/>
                    <w:overflowPunct/>
                    <w:topLinePunct w:val="0"/>
                    <w:autoSpaceDE/>
                    <w:autoSpaceDN/>
                    <w:bidi w:val="0"/>
                    <w:spacing w:line="326" w:lineRule="atLeast"/>
                    <w:jc w:val="both"/>
                    <w:textAlignment w:val="auto"/>
                    <w:outlineLvl w:val="9"/>
                    <w:rPr>
                      <w:color w:val="auto"/>
                      <w:sz w:val="21"/>
                      <w:highlight w:val="none"/>
                      <w:lang w:val="en-GB"/>
                    </w:rPr>
                  </w:pPr>
                  <w:r>
                    <w:rPr>
                      <w:color w:val="auto"/>
                      <w:sz w:val="21"/>
                      <w:highlight w:val="none"/>
                      <w:lang w:val="en-GB"/>
                    </w:rPr>
                    <w:t>项目</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043972F1">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污水排放口</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62B6E1AF">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废气排放口</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03C6A32A">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噪声排放源</w:t>
                  </w:r>
                </w:p>
              </w:tc>
              <w:tc>
                <w:tcPr>
                  <w:tcW w:w="848" w:type="pct"/>
                  <w:tcBorders>
                    <w:top w:val="single" w:color="auto" w:sz="12" w:space="0"/>
                    <w:left w:val="single" w:color="auto" w:sz="6" w:space="0"/>
                    <w:bottom w:val="single" w:color="auto" w:sz="6" w:space="0"/>
                    <w:right w:val="single" w:color="auto" w:sz="6" w:space="0"/>
                  </w:tcBorders>
                  <w:noWrap w:val="0"/>
                  <w:vAlign w:val="center"/>
                </w:tcPr>
                <w:p w14:paraId="5FF70ACF">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一般工业固废</w:t>
                  </w:r>
                </w:p>
              </w:tc>
              <w:tc>
                <w:tcPr>
                  <w:tcW w:w="788" w:type="pct"/>
                  <w:tcBorders>
                    <w:top w:val="single" w:color="auto" w:sz="12" w:space="0"/>
                    <w:left w:val="single" w:color="auto" w:sz="6" w:space="0"/>
                    <w:bottom w:val="single" w:color="auto" w:sz="6" w:space="0"/>
                    <w:right w:val="nil"/>
                  </w:tcBorders>
                  <w:noWrap w:val="0"/>
                  <w:vAlign w:val="center"/>
                </w:tcPr>
                <w:p w14:paraId="04D73619">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危险废物</w:t>
                  </w:r>
                </w:p>
              </w:tc>
            </w:tr>
            <w:tr w14:paraId="21B704EB">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noWrap w:val="0"/>
                  <w:vAlign w:val="center"/>
                </w:tcPr>
                <w:p w14:paraId="5A052F23">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图形符号</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4647B15E">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r>
                    <w:rPr>
                      <w:color w:val="auto"/>
                      <w:highlight w:val="none"/>
                    </w:rPr>
                    <mc:AlternateContent>
                      <mc:Choice Requires="wpg">
                        <w:drawing>
                          <wp:anchor distT="0" distB="0" distL="114300" distR="114300" simplePos="0" relativeHeight="251659264" behindDoc="0" locked="0" layoutInCell="1" allowOverlap="1">
                            <wp:simplePos x="0" y="0"/>
                            <wp:positionH relativeFrom="column">
                              <wp:posOffset>-17780</wp:posOffset>
                            </wp:positionH>
                            <wp:positionV relativeFrom="paragraph">
                              <wp:posOffset>85725</wp:posOffset>
                            </wp:positionV>
                            <wp:extent cx="3418205" cy="660400"/>
                            <wp:effectExtent l="0" t="0" r="10795" b="6350"/>
                            <wp:wrapNone/>
                            <wp:docPr id="43" name="组合 43"/>
                            <wp:cNvGraphicFramePr/>
                            <a:graphic xmlns:a="http://schemas.openxmlformats.org/drawingml/2006/main">
                              <a:graphicData uri="http://schemas.microsoft.com/office/word/2010/wordprocessingGroup">
                                <wpg:wgp>
                                  <wpg:cNvGrpSpPr/>
                                  <wpg:grpSpPr>
                                    <a:xfrm>
                                      <a:off x="0" y="0"/>
                                      <a:ext cx="3418205" cy="660400"/>
                                      <a:chOff x="4407" y="1049350"/>
                                      <a:chExt cx="4805" cy="1057"/>
                                    </a:xfrm>
                                    <a:effectLst/>
                                  </wpg:grpSpPr>
                                  <pic:pic xmlns:pic="http://schemas.openxmlformats.org/drawingml/2006/picture">
                                    <pic:nvPicPr>
                                      <pic:cNvPr id="44" name="图片 754" descr="1"/>
                                      <pic:cNvPicPr>
                                        <a:picLocks noChangeAspect="1"/>
                                      </pic:cNvPicPr>
                                    </pic:nvPicPr>
                                    <pic:blipFill>
                                      <a:blip r:embed="rId54"/>
                                      <a:stretch>
                                        <a:fillRect/>
                                      </a:stretch>
                                    </pic:blipFill>
                                    <pic:spPr>
                                      <a:xfrm>
                                        <a:off x="4407" y="1049350"/>
                                        <a:ext cx="1031" cy="1031"/>
                                      </a:xfrm>
                                      <a:prstGeom prst="rect">
                                        <a:avLst/>
                                      </a:prstGeom>
                                      <a:noFill/>
                                      <a:ln>
                                        <a:noFill/>
                                      </a:ln>
                                      <a:effectLst/>
                                    </pic:spPr>
                                  </pic:pic>
                                  <pic:pic xmlns:pic="http://schemas.openxmlformats.org/drawingml/2006/picture">
                                    <pic:nvPicPr>
                                      <pic:cNvPr id="45" name="图片 755" descr="点击看大图及详细资料"/>
                                      <pic:cNvPicPr>
                                        <a:picLocks noChangeAspect="1"/>
                                      </pic:cNvPicPr>
                                    </pic:nvPicPr>
                                    <pic:blipFill>
                                      <a:blip r:embed="rId55"/>
                                      <a:stretch>
                                        <a:fillRect/>
                                      </a:stretch>
                                    </pic:blipFill>
                                    <pic:spPr>
                                      <a:xfrm>
                                        <a:off x="5651" y="1049375"/>
                                        <a:ext cx="1031" cy="1031"/>
                                      </a:xfrm>
                                      <a:prstGeom prst="rect">
                                        <a:avLst/>
                                      </a:prstGeom>
                                      <a:noFill/>
                                      <a:ln>
                                        <a:noFill/>
                                      </a:ln>
                                      <a:effectLst/>
                                    </pic:spPr>
                                  </pic:pic>
                                  <pic:pic xmlns:pic="http://schemas.openxmlformats.org/drawingml/2006/picture">
                                    <pic:nvPicPr>
                                      <pic:cNvPr id="46" name="图片 756" descr="点击看大图及详细资料"/>
                                      <pic:cNvPicPr>
                                        <a:picLocks noChangeAspect="1"/>
                                      </pic:cNvPicPr>
                                    </pic:nvPicPr>
                                    <pic:blipFill>
                                      <a:blip r:embed="rId56"/>
                                      <a:stretch>
                                        <a:fillRect/>
                                      </a:stretch>
                                    </pic:blipFill>
                                    <pic:spPr>
                                      <a:xfrm>
                                        <a:off x="6899" y="1049361"/>
                                        <a:ext cx="1034" cy="1031"/>
                                      </a:xfrm>
                                      <a:prstGeom prst="rect">
                                        <a:avLst/>
                                      </a:prstGeom>
                                      <a:noFill/>
                                      <a:ln>
                                        <a:noFill/>
                                      </a:ln>
                                      <a:effectLst/>
                                    </pic:spPr>
                                  </pic:pic>
                                  <pic:pic xmlns:pic="http://schemas.openxmlformats.org/drawingml/2006/picture">
                                    <pic:nvPicPr>
                                      <pic:cNvPr id="47" name="图片 757" descr="一般固废"/>
                                      <pic:cNvPicPr preferRelativeResize="0"/>
                                    </pic:nvPicPr>
                                    <pic:blipFill>
                                      <a:blip r:embed="rId57"/>
                                      <a:stretch>
                                        <a:fillRect/>
                                      </a:stretch>
                                    </pic:blipFill>
                                    <pic:spPr>
                                      <a:xfrm>
                                        <a:off x="8179" y="1049376"/>
                                        <a:ext cx="1033" cy="1031"/>
                                      </a:xfrm>
                                      <a:prstGeom prst="rect">
                                        <a:avLst/>
                                      </a:prstGeom>
                                      <a:noFill/>
                                      <a:ln>
                                        <a:noFill/>
                                      </a:ln>
                                      <a:effectLst/>
                                    </pic:spPr>
                                  </pic:pic>
                                </wpg:wgp>
                              </a:graphicData>
                            </a:graphic>
                          </wp:anchor>
                        </w:drawing>
                      </mc:Choice>
                      <mc:Fallback>
                        <w:pict>
                          <v:group id="_x0000_s1026" o:spid="_x0000_s1026" o:spt="203" style="position:absolute;left:0pt;margin-left:-1.4pt;margin-top:6.75pt;height:52pt;width:269.15pt;z-index:251659264;mso-width-relative:page;mso-height-relative:page;" coordorigin="4407,1049350" coordsize="4805,1057" o:gfxdata="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">
                            <o:lock v:ext="edit" aspectratio="f"/>
                            <v:shape id="图片 754" o:spid="_x0000_s1026" o:spt="75" alt="1" type="#_x0000_t75" style="position:absolute;left:4407;top:1049350;height:1031;width:1031;" filled="f" o:preferrelative="t" stroked="f" coordsize="21600,21600" o:gfxdata="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qC5jvQAA&#10;ANsAAAAPAAAAAAAAAAEAIAAAACIAAABkcnMvZG93bnJldi54bWxQSwECFAAUAAAACACHTuJAMy8F&#10;njsAAAA5AAAAEAAAAAAAAAABACAAAAAMAQAAZHJzL3NoYXBleG1sLnhtbFBLBQYAAAAABgAGAFsB&#10;AAC2AwAAAAA=&#10;">
                              <v:fill on="f" focussize="0,0"/>
                              <v:stroke on="f"/>
                              <v:imagedata r:id="rId54" o:title=""/>
                              <o:lock v:ext="edit" aspectratio="t"/>
                            </v:shape>
                            <v:shape id="图片 755" o:spid="_x0000_s1026" o:spt="75" alt="点击看大图及详细资料" type="#_x0000_t75" style="position:absolute;left:5651;top:1049375;height:1031;width:1031;" filled="f" o:preferrelative="t" stroked="f" coordsize="21600,21600" o:gfxdata="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zc9v&#10;wAAAANsAAAAPAAAAAAAAAAEAIAAAACIAAABkcnMvZG93bnJldi54bWxQSwECFAAUAAAACACHTuJA&#10;My8FnjsAAAA5AAAAEAAAAAAAAAABACAAAAAPAQAAZHJzL3NoYXBleG1sLnhtbFBLBQYAAAAABgAG&#10;AFsBAAC5AwAAAAA=&#10;">
                              <v:fill on="f" focussize="0,0"/>
                              <v:stroke on="f"/>
                              <v:imagedata r:id="rId55" o:title=""/>
                              <o:lock v:ext="edit" aspectratio="t"/>
                            </v:shape>
                            <v:shape id="图片 756" o:spid="_x0000_s1026" o:spt="75" alt="点击看大图及详细资料" type="#_x0000_t75" style="position:absolute;left:6899;top:1049361;height:1031;width:1034;" filled="f" o:preferrelative="t" stroked="f" coordsize="21600,21600" o:gfxdata="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ROMvQAA&#10;ANsAAAAPAAAAAAAAAAEAIAAAACIAAABkcnMvZG93bnJldi54bWxQSwECFAAUAAAACACHTuJAMy8F&#10;njsAAAA5AAAAEAAAAAAAAAABACAAAAAMAQAAZHJzL3NoYXBleG1sLnhtbFBLBQYAAAAABgAGAFsB&#10;AAC2AwAAAAA=&#10;">
                              <v:fill on="f" focussize="0,0"/>
                              <v:stroke on="f"/>
                              <v:imagedata r:id="rId56" o:title=""/>
                              <o:lock v:ext="edit" aspectratio="t"/>
                            </v:shape>
                            <v:shape id="图片 757" o:spid="_x0000_s1026" o:spt="75" alt="一般固废" type="#_x0000_t75" style="position:absolute;left:8179;top:1049376;height:1031;width:1033;" filled="f" o:preferrelative="f" stroked="f" coordsize="21600,21600" o:gfxdata="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XM8L4A&#10;AADbAAAADwAAAAAAAAABACAAAAAiAAAAZHJzL2Rvd25yZXYueG1sUEsBAhQAFAAAAAgAh07iQDMv&#10;BZ47AAAAOQAAABAAAAAAAAAAAQAgAAAADQEAAGRycy9zaGFwZXhtbC54bWxQSwUGAAAAAAYABgBb&#10;AQAAtwMAAAAA&#10;">
                              <v:fill on="f" focussize="0,0"/>
                              <v:stroke on="f"/>
                              <v:imagedata r:id="rId57" o:title=""/>
                              <o:lock v:ext="edit" aspectratio="f"/>
                            </v:shape>
                          </v:group>
                        </w:pict>
                      </mc:Fallback>
                    </mc:AlternateContent>
                  </w:r>
                </w:p>
                <w:p w14:paraId="3A953D76">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39E765A6">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5F9F7673">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819" w:type="pct"/>
                  <w:tcBorders>
                    <w:top w:val="single" w:color="auto" w:sz="6" w:space="0"/>
                    <w:left w:val="single" w:color="auto" w:sz="6" w:space="0"/>
                    <w:bottom w:val="single" w:color="auto" w:sz="6" w:space="0"/>
                    <w:right w:val="single" w:color="auto" w:sz="6" w:space="0"/>
                  </w:tcBorders>
                  <w:noWrap w:val="0"/>
                  <w:vAlign w:val="center"/>
                </w:tcPr>
                <w:p w14:paraId="72FE851A">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1A1884A6">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0963D3E5">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819" w:type="pct"/>
                  <w:tcBorders>
                    <w:top w:val="single" w:color="auto" w:sz="6" w:space="0"/>
                    <w:left w:val="single" w:color="auto" w:sz="6" w:space="0"/>
                    <w:bottom w:val="single" w:color="auto" w:sz="6" w:space="0"/>
                    <w:right w:val="single" w:color="auto" w:sz="6" w:space="0"/>
                  </w:tcBorders>
                  <w:noWrap w:val="0"/>
                  <w:vAlign w:val="center"/>
                </w:tcPr>
                <w:p w14:paraId="68301F10">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56EC4BC1">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298F4B76">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848" w:type="pct"/>
                  <w:tcBorders>
                    <w:top w:val="single" w:color="auto" w:sz="6" w:space="0"/>
                    <w:left w:val="single" w:color="auto" w:sz="6" w:space="0"/>
                    <w:bottom w:val="single" w:color="auto" w:sz="6" w:space="0"/>
                    <w:right w:val="single" w:color="auto" w:sz="6" w:space="0"/>
                  </w:tcBorders>
                  <w:noWrap w:val="0"/>
                  <w:vAlign w:val="center"/>
                </w:tcPr>
                <w:p w14:paraId="3D3E72FD">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788" w:type="pct"/>
                  <w:tcBorders>
                    <w:top w:val="single" w:color="auto" w:sz="6" w:space="0"/>
                    <w:left w:val="single" w:color="auto" w:sz="6" w:space="0"/>
                    <w:bottom w:val="single" w:color="auto" w:sz="6" w:space="0"/>
                    <w:right w:val="nil"/>
                  </w:tcBorders>
                  <w:noWrap w:val="0"/>
                  <w:vAlign w:val="center"/>
                </w:tcPr>
                <w:p w14:paraId="43BBBF11">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r>
                    <w:rPr>
                      <w:rFonts w:hint="eastAsia" w:eastAsia="宋体"/>
                      <w:color w:val="auto"/>
                      <w:highlight w:val="none"/>
                      <w:lang w:eastAsia="zh-CN"/>
                    </w:rPr>
                    <w:drawing>
                      <wp:inline distT="0" distB="0" distL="114300" distR="114300">
                        <wp:extent cx="660400" cy="600710"/>
                        <wp:effectExtent l="0" t="0" r="6350" b="8890"/>
                        <wp:docPr id="48" name="图片 27" descr="093c2d640a89c2c2fc565a102dcd8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7" descr="093c2d640a89c2c2fc565a102dcd89f"/>
                                <pic:cNvPicPr>
                                  <a:picLocks noChangeAspect="1"/>
                                </pic:cNvPicPr>
                              </pic:nvPicPr>
                              <pic:blipFill>
                                <a:blip r:embed="rId58"/>
                                <a:stretch>
                                  <a:fillRect/>
                                </a:stretch>
                              </pic:blipFill>
                              <pic:spPr>
                                <a:xfrm>
                                  <a:off x="0" y="0"/>
                                  <a:ext cx="660400" cy="600710"/>
                                </a:xfrm>
                                <a:prstGeom prst="rect">
                                  <a:avLst/>
                                </a:prstGeom>
                                <a:noFill/>
                                <a:ln>
                                  <a:noFill/>
                                </a:ln>
                              </pic:spPr>
                            </pic:pic>
                          </a:graphicData>
                        </a:graphic>
                      </wp:inline>
                    </w:drawing>
                  </w:r>
                </w:p>
              </w:tc>
            </w:tr>
            <w:tr w14:paraId="145A4D20">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noWrap w:val="0"/>
                  <w:vAlign w:val="center"/>
                </w:tcPr>
                <w:p w14:paraId="0F1CDCEF">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形状</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1C59054F">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正方形边框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15A25307">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正方形边框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6533895B">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正方形边框</w:t>
                  </w:r>
                </w:p>
              </w:tc>
              <w:tc>
                <w:tcPr>
                  <w:tcW w:w="848" w:type="pct"/>
                  <w:tcBorders>
                    <w:top w:val="single" w:color="auto" w:sz="6" w:space="0"/>
                    <w:left w:val="single" w:color="auto" w:sz="6" w:space="0"/>
                    <w:bottom w:val="single" w:color="auto" w:sz="6" w:space="0"/>
                    <w:right w:val="single" w:color="auto" w:sz="6" w:space="0"/>
                  </w:tcBorders>
                  <w:noWrap w:val="0"/>
                  <w:vAlign w:val="center"/>
                </w:tcPr>
                <w:p w14:paraId="6DFDD337">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三角形边框</w:t>
                  </w:r>
                </w:p>
              </w:tc>
              <w:tc>
                <w:tcPr>
                  <w:tcW w:w="788" w:type="pct"/>
                  <w:tcBorders>
                    <w:top w:val="single" w:color="auto" w:sz="6" w:space="0"/>
                    <w:left w:val="single" w:color="auto" w:sz="6" w:space="0"/>
                    <w:bottom w:val="single" w:color="auto" w:sz="6" w:space="0"/>
                    <w:right w:val="nil"/>
                  </w:tcBorders>
                  <w:noWrap w:val="0"/>
                  <w:vAlign w:val="center"/>
                </w:tcPr>
                <w:p w14:paraId="50A42015">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三角形边框</w:t>
                  </w:r>
                </w:p>
              </w:tc>
            </w:tr>
            <w:tr w14:paraId="4DA3F8CC">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noWrap w:val="0"/>
                  <w:vAlign w:val="center"/>
                </w:tcPr>
                <w:p w14:paraId="6BF2417F">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背景颜色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73F892C3">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绿色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4791D17A">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绿色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31DADCAC">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绿色</w:t>
                  </w:r>
                </w:p>
              </w:tc>
              <w:tc>
                <w:tcPr>
                  <w:tcW w:w="848" w:type="pct"/>
                  <w:tcBorders>
                    <w:top w:val="single" w:color="auto" w:sz="6" w:space="0"/>
                    <w:left w:val="single" w:color="auto" w:sz="6" w:space="0"/>
                    <w:bottom w:val="single" w:color="auto" w:sz="6" w:space="0"/>
                    <w:right w:val="single" w:color="auto" w:sz="6" w:space="0"/>
                  </w:tcBorders>
                  <w:noWrap w:val="0"/>
                  <w:vAlign w:val="center"/>
                </w:tcPr>
                <w:p w14:paraId="562B1262">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黄色</w:t>
                  </w:r>
                </w:p>
              </w:tc>
              <w:tc>
                <w:tcPr>
                  <w:tcW w:w="788" w:type="pct"/>
                  <w:tcBorders>
                    <w:top w:val="single" w:color="auto" w:sz="6" w:space="0"/>
                    <w:left w:val="single" w:color="auto" w:sz="6" w:space="0"/>
                    <w:bottom w:val="single" w:color="auto" w:sz="6" w:space="0"/>
                    <w:right w:val="nil"/>
                  </w:tcBorders>
                  <w:noWrap w:val="0"/>
                  <w:vAlign w:val="center"/>
                </w:tcPr>
                <w:p w14:paraId="45BC9F9E">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黄色</w:t>
                  </w:r>
                </w:p>
              </w:tc>
            </w:tr>
            <w:tr w14:paraId="661629FC">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12" w:space="0"/>
                    <w:right w:val="single" w:color="auto" w:sz="6" w:space="0"/>
                  </w:tcBorders>
                  <w:noWrap w:val="0"/>
                  <w:vAlign w:val="center"/>
                </w:tcPr>
                <w:p w14:paraId="570AC585">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图形颜色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5E6E73DF">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白色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5D21128C">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白色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0BFE1243">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白色</w:t>
                  </w:r>
                </w:p>
              </w:tc>
              <w:tc>
                <w:tcPr>
                  <w:tcW w:w="848" w:type="pct"/>
                  <w:tcBorders>
                    <w:top w:val="single" w:color="auto" w:sz="6" w:space="0"/>
                    <w:left w:val="single" w:color="auto" w:sz="6" w:space="0"/>
                    <w:bottom w:val="single" w:color="auto" w:sz="12" w:space="0"/>
                    <w:right w:val="single" w:color="auto" w:sz="6" w:space="0"/>
                  </w:tcBorders>
                  <w:noWrap w:val="0"/>
                  <w:vAlign w:val="center"/>
                </w:tcPr>
                <w:p w14:paraId="3E9B059F">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黑色</w:t>
                  </w:r>
                </w:p>
              </w:tc>
              <w:tc>
                <w:tcPr>
                  <w:tcW w:w="788" w:type="pct"/>
                  <w:tcBorders>
                    <w:top w:val="single" w:color="auto" w:sz="6" w:space="0"/>
                    <w:left w:val="single" w:color="auto" w:sz="6" w:space="0"/>
                    <w:bottom w:val="single" w:color="auto" w:sz="12" w:space="0"/>
                    <w:right w:val="nil"/>
                  </w:tcBorders>
                  <w:noWrap w:val="0"/>
                  <w:vAlign w:val="center"/>
                </w:tcPr>
                <w:p w14:paraId="0AC3E7E8">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黑色</w:t>
                  </w:r>
                </w:p>
              </w:tc>
            </w:tr>
          </w:tbl>
          <w:p w14:paraId="1EED675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（2）排污申报</w:t>
            </w:r>
          </w:p>
          <w:p w14:paraId="6655EA9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根据《固定污染源排污许可分类管理名录</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2019年版</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生态环境部第11号</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可知，本项目实行</w:t>
            </w:r>
            <w:r>
              <w:rPr>
                <w:rFonts w:hint="default" w:ascii="Times New Roman" w:hAnsi="Times New Roman" w:eastAsia="宋体" w:cs="Times New Roman"/>
                <w:b/>
                <w:bCs/>
                <w:color w:val="auto"/>
                <w:kern w:val="2"/>
                <w:sz w:val="24"/>
                <w:szCs w:val="24"/>
                <w:highlight w:val="none"/>
                <w:lang w:val="en-US" w:eastAsia="zh-CN" w:bidi="ar-SA"/>
              </w:rPr>
              <w:t>排污</w:t>
            </w:r>
            <w:r>
              <w:rPr>
                <w:rFonts w:hint="eastAsia" w:cs="Times New Roman"/>
                <w:b/>
                <w:bCs/>
                <w:color w:val="auto"/>
                <w:kern w:val="2"/>
                <w:sz w:val="24"/>
                <w:szCs w:val="24"/>
                <w:highlight w:val="none"/>
                <w:lang w:val="en-US" w:eastAsia="zh-CN" w:bidi="ar-SA"/>
              </w:rPr>
              <w:t>许可简化管理</w:t>
            </w:r>
            <w:r>
              <w:rPr>
                <w:rFonts w:hint="eastAsia" w:ascii="Times New Roman" w:hAnsi="Times New Roman" w:eastAsia="宋体" w:cs="Times New Roman"/>
                <w:color w:val="auto"/>
                <w:kern w:val="2"/>
                <w:sz w:val="24"/>
                <w:szCs w:val="24"/>
                <w:highlight w:val="none"/>
                <w:lang w:val="en-US" w:eastAsia="zh-CN" w:bidi="ar-SA"/>
              </w:rPr>
              <w:t>（详见表5.1-2）</w:t>
            </w:r>
            <w:r>
              <w:rPr>
                <w:rFonts w:hint="default" w:ascii="Times New Roman" w:hAnsi="Times New Roman" w:eastAsia="宋体" w:cs="Times New Roman"/>
                <w:color w:val="auto"/>
                <w:kern w:val="2"/>
                <w:sz w:val="24"/>
                <w:szCs w:val="24"/>
                <w:highlight w:val="none"/>
                <w:lang w:val="en-US" w:eastAsia="zh-CN" w:bidi="ar-SA"/>
              </w:rPr>
              <w:t>；因此，建设单位应当在启动生产设施或者发生实际排污之前在全国排污许可证管理信息平台进行</w:t>
            </w:r>
            <w:r>
              <w:rPr>
                <w:rFonts w:hint="default" w:ascii="Times New Roman" w:hAnsi="Times New Roman" w:eastAsia="宋体" w:cs="Times New Roman"/>
                <w:b/>
                <w:bCs/>
                <w:color w:val="auto"/>
                <w:kern w:val="2"/>
                <w:sz w:val="24"/>
                <w:szCs w:val="24"/>
                <w:highlight w:val="none"/>
                <w:lang w:val="en-US" w:eastAsia="zh-CN" w:bidi="ar-SA"/>
              </w:rPr>
              <w:t>排污</w:t>
            </w:r>
            <w:r>
              <w:rPr>
                <w:rFonts w:hint="eastAsia" w:cs="Times New Roman"/>
                <w:b/>
                <w:bCs/>
                <w:color w:val="auto"/>
                <w:kern w:val="2"/>
                <w:sz w:val="24"/>
                <w:szCs w:val="24"/>
                <w:highlight w:val="none"/>
                <w:lang w:val="en-US" w:eastAsia="zh-CN" w:bidi="ar-SA"/>
              </w:rPr>
              <w:t>许可证申报</w:t>
            </w:r>
            <w:r>
              <w:rPr>
                <w:rFonts w:hint="default" w:ascii="Times New Roman" w:hAnsi="Times New Roman" w:eastAsia="宋体" w:cs="Times New Roman"/>
                <w:color w:val="auto"/>
                <w:kern w:val="2"/>
                <w:sz w:val="24"/>
                <w:szCs w:val="24"/>
                <w:highlight w:val="none"/>
                <w:lang w:val="en-US" w:eastAsia="zh-CN" w:bidi="ar-SA"/>
              </w:rPr>
              <w:t>。</w:t>
            </w:r>
          </w:p>
          <w:p w14:paraId="3C050ED6">
            <w:pPr>
              <w:pStyle w:val="2"/>
              <w:keepNext w:val="0"/>
              <w:pageBreakBefore w:val="0"/>
              <w:kinsoku/>
              <w:wordWrap/>
              <w:overflowPunct/>
              <w:topLinePunct w:val="0"/>
              <w:autoSpaceDE/>
              <w:autoSpaceDN/>
              <w:bidi w:val="0"/>
              <w:spacing w:line="360" w:lineRule="auto"/>
              <w:jc w:val="center"/>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 xml:space="preserve">表 5.1-2 </w:t>
            </w:r>
            <w:r>
              <w:rPr>
                <w:rFonts w:hint="eastAsia" w:ascii="Times New Roman" w:hAnsi="Times New Roman" w:eastAsia="宋体" w:cs="Times New Roman"/>
                <w:b/>
                <w:bCs/>
                <w:color w:val="auto"/>
                <w:sz w:val="24"/>
                <w:szCs w:val="24"/>
                <w:highlight w:val="none"/>
                <w:lang w:val="en-US" w:eastAsia="zh-CN"/>
              </w:rPr>
              <w:t>固定</w:t>
            </w:r>
            <w:r>
              <w:rPr>
                <w:rFonts w:hint="default" w:ascii="Times New Roman" w:hAnsi="Times New Roman" w:eastAsia="宋体" w:cs="Times New Roman"/>
                <w:b/>
                <w:bCs/>
                <w:color w:val="auto"/>
                <w:sz w:val="24"/>
                <w:szCs w:val="24"/>
                <w:highlight w:val="none"/>
                <w:lang w:val="en-US" w:eastAsia="zh-CN"/>
              </w:rPr>
              <w:t>污染源排污许可分类管理名录</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摘录</w:t>
            </w:r>
            <w:r>
              <w:rPr>
                <w:rFonts w:hint="eastAsia" w:ascii="Times New Roman" w:hAnsi="Times New Roman" w:eastAsia="宋体" w:cs="Times New Roman"/>
                <w:b/>
                <w:bCs/>
                <w:color w:val="auto"/>
                <w:sz w:val="24"/>
                <w:szCs w:val="24"/>
                <w:highlight w:val="none"/>
                <w:lang w:val="en-US" w:eastAsia="zh-CN"/>
              </w:rPr>
              <w:t>）</w:t>
            </w:r>
          </w:p>
          <w:tbl>
            <w:tblPr>
              <w:tblStyle w:val="23"/>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98"/>
              <w:gridCol w:w="1064"/>
              <w:gridCol w:w="2338"/>
              <w:gridCol w:w="2550"/>
              <w:gridCol w:w="1754"/>
            </w:tblGrid>
            <w:tr w14:paraId="447B58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dxa"/>
                  <w:shd w:val="clear" w:color="auto" w:fill="auto"/>
                  <w:vAlign w:val="center"/>
                </w:tcPr>
                <w:p w14:paraId="4BFFCB4F">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064" w:type="dxa"/>
                  <w:shd w:val="clear" w:color="auto" w:fill="auto"/>
                  <w:vAlign w:val="center"/>
                </w:tcPr>
                <w:p w14:paraId="712749C6">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行业类别</w:t>
                  </w:r>
                </w:p>
              </w:tc>
              <w:tc>
                <w:tcPr>
                  <w:tcW w:w="2338" w:type="dxa"/>
                  <w:shd w:val="clear" w:color="auto" w:fill="auto"/>
                  <w:vAlign w:val="center"/>
                </w:tcPr>
                <w:p w14:paraId="69D76A14">
                  <w:pPr>
                    <w:adjustRightInd w:val="0"/>
                    <w:snapToGrid w:val="0"/>
                    <w:spacing w:line="340" w:lineRule="exac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重点管理</w:t>
                  </w:r>
                </w:p>
              </w:tc>
              <w:tc>
                <w:tcPr>
                  <w:tcW w:w="2550" w:type="dxa"/>
                  <w:tcBorders>
                    <w:top w:val="single" w:color="auto" w:sz="12" w:space="0"/>
                    <w:bottom w:val="single" w:color="auto" w:sz="4" w:space="0"/>
                  </w:tcBorders>
                  <w:shd w:val="clear" w:color="auto" w:fill="BEBEBE" w:themeFill="background1" w:themeFillShade="BF"/>
                  <w:vAlign w:val="center"/>
                </w:tcPr>
                <w:p w14:paraId="1E247C96">
                  <w:pPr>
                    <w:adjustRightInd w:val="0"/>
                    <w:snapToGrid w:val="0"/>
                    <w:spacing w:line="340" w:lineRule="exac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简化管理</w:t>
                  </w:r>
                </w:p>
              </w:tc>
              <w:tc>
                <w:tcPr>
                  <w:tcW w:w="1754" w:type="dxa"/>
                  <w:tcBorders>
                    <w:top w:val="single" w:color="auto" w:sz="12" w:space="0"/>
                    <w:bottom w:val="single" w:color="auto" w:sz="4" w:space="0"/>
                  </w:tcBorders>
                  <w:shd w:val="clear" w:color="auto" w:fill="auto"/>
                  <w:vAlign w:val="center"/>
                </w:tcPr>
                <w:p w14:paraId="6DE38C82">
                  <w:pPr>
                    <w:adjustRightInd w:val="0"/>
                    <w:snapToGrid w:val="0"/>
                    <w:spacing w:line="340" w:lineRule="exac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登记管理</w:t>
                  </w:r>
                </w:p>
              </w:tc>
            </w:tr>
            <w:tr w14:paraId="694743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5"/>
                  <w:tcBorders>
                    <w:top w:val="single" w:color="auto" w:sz="4" w:space="0"/>
                    <w:bottom w:val="single" w:color="auto" w:sz="4" w:space="0"/>
                  </w:tcBorders>
                  <w:shd w:val="clear" w:color="auto" w:fill="BEBEBE" w:themeFill="background1" w:themeFillShade="BF"/>
                  <w:vAlign w:val="center"/>
                </w:tcPr>
                <w:p w14:paraId="03D3F199">
                  <w:pPr>
                    <w:adjustRightInd w:val="0"/>
                    <w:snapToGrid w:val="0"/>
                    <w:spacing w:line="340" w:lineRule="exact"/>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二十八、金属制品业33</w:t>
                  </w:r>
                </w:p>
              </w:tc>
            </w:tr>
            <w:tr w14:paraId="3540CA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dxa"/>
                  <w:shd w:val="clear" w:color="auto" w:fill="auto"/>
                  <w:vAlign w:val="center"/>
                </w:tcPr>
                <w:p w14:paraId="0E377871">
                  <w:pPr>
                    <w:spacing w:line="3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82</w:t>
                  </w:r>
                </w:p>
              </w:tc>
              <w:tc>
                <w:tcPr>
                  <w:tcW w:w="1064" w:type="dxa"/>
                  <w:shd w:val="clear" w:color="auto" w:fill="auto"/>
                  <w:vAlign w:val="center"/>
                </w:tcPr>
                <w:p w14:paraId="1CAB7304">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铸造及其他金属制品制造339</w:t>
                  </w:r>
                </w:p>
              </w:tc>
              <w:tc>
                <w:tcPr>
                  <w:tcW w:w="2338" w:type="dxa"/>
                  <w:shd w:val="clear" w:color="auto" w:fill="auto"/>
                  <w:vAlign w:val="center"/>
                </w:tcPr>
                <w:p w14:paraId="6F7228C4">
                  <w:pPr>
                    <w:adjustRightInd w:val="0"/>
                    <w:snapToGrid w:val="0"/>
                    <w:spacing w:line="340" w:lineRule="exac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黑色金属铸造3391（使用冲天炉的），有色金属铸造3392（生产铅基及铅青铜铸件的）</w:t>
                  </w:r>
                </w:p>
              </w:tc>
              <w:tc>
                <w:tcPr>
                  <w:tcW w:w="2550" w:type="dxa"/>
                  <w:tcBorders>
                    <w:top w:val="single" w:color="auto" w:sz="4" w:space="0"/>
                    <w:bottom w:val="single" w:color="auto" w:sz="4" w:space="0"/>
                  </w:tcBorders>
                  <w:shd w:val="clear" w:color="auto" w:fill="BEBEBE" w:themeFill="background1" w:themeFillShade="BF"/>
                  <w:vAlign w:val="center"/>
                </w:tcPr>
                <w:p w14:paraId="36D11160">
                  <w:pPr>
                    <w:adjustRightInd w:val="0"/>
                    <w:snapToGrid w:val="0"/>
                    <w:spacing w:line="340" w:lineRule="exac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除重点管理以外的黑色金属铸造3391、有色金属铸造3392</w:t>
                  </w:r>
                </w:p>
              </w:tc>
              <w:tc>
                <w:tcPr>
                  <w:tcW w:w="1754" w:type="dxa"/>
                  <w:tcBorders>
                    <w:top w:val="single" w:color="auto" w:sz="4" w:space="0"/>
                    <w:bottom w:val="single" w:color="auto" w:sz="4" w:space="0"/>
                  </w:tcBorders>
                  <w:shd w:val="clear" w:color="auto" w:fill="auto"/>
                  <w:vAlign w:val="center"/>
                </w:tcPr>
                <w:p w14:paraId="15549507">
                  <w:pPr>
                    <w:adjustRightInd w:val="0"/>
                    <w:snapToGrid w:val="0"/>
                    <w:spacing w:line="340" w:lineRule="exact"/>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r>
            <w:tr w14:paraId="38E809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5"/>
                  <w:shd w:val="clear" w:color="auto" w:fill="BEBEBE" w:themeFill="background1" w:themeFillShade="BF"/>
                  <w:vAlign w:val="center"/>
                </w:tcPr>
                <w:p w14:paraId="2D1798E5">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三十一、汽车制造业 36</w:t>
                  </w:r>
                </w:p>
              </w:tc>
            </w:tr>
            <w:tr w14:paraId="4EE299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dxa"/>
                  <w:shd w:val="clear" w:color="auto" w:fill="auto"/>
                  <w:vAlign w:val="center"/>
                </w:tcPr>
                <w:p w14:paraId="252DB48F">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85</w:t>
                  </w:r>
                </w:p>
              </w:tc>
              <w:tc>
                <w:tcPr>
                  <w:tcW w:w="1064" w:type="dxa"/>
                  <w:shd w:val="clear" w:color="auto" w:fill="auto"/>
                  <w:vAlign w:val="center"/>
                </w:tcPr>
                <w:p w14:paraId="0C582F3E">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w:t>
                  </w:r>
                  <w:r>
                    <w:rPr>
                      <w:rFonts w:hint="default" w:ascii="Times New Roman" w:hAnsi="Times New Roman" w:eastAsia="宋体" w:cs="Times New Roman"/>
                      <w:color w:val="auto"/>
                      <w:sz w:val="21"/>
                      <w:szCs w:val="21"/>
                      <w:lang w:val="en-US" w:eastAsia="zh-CN"/>
                    </w:rPr>
                    <w:t>66，汽车零部件及配件制造 367</w:t>
                  </w:r>
                </w:p>
              </w:tc>
              <w:tc>
                <w:tcPr>
                  <w:tcW w:w="2338" w:type="dxa"/>
                  <w:shd w:val="clear" w:color="auto" w:fill="auto"/>
                  <w:vAlign w:val="center"/>
                </w:tcPr>
                <w:p w14:paraId="5BB2EC5E">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纳入重点排污单位名录的</w:t>
                  </w:r>
                </w:p>
                <w:p w14:paraId="3F1CA299">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kern w:val="0"/>
                      <w:sz w:val="21"/>
                      <w:szCs w:val="21"/>
                      <w:lang w:val="en-US" w:eastAsia="zh-CN" w:bidi="ar"/>
                    </w:rPr>
                  </w:pPr>
                </w:p>
              </w:tc>
              <w:tc>
                <w:tcPr>
                  <w:tcW w:w="2550" w:type="dxa"/>
                  <w:tcBorders>
                    <w:top w:val="single" w:color="auto" w:sz="4" w:space="0"/>
                    <w:bottom w:val="single" w:color="auto" w:sz="4" w:space="0"/>
                  </w:tcBorders>
                  <w:shd w:val="clear" w:color="auto" w:fill="BEBEBE" w:themeFill="background1" w:themeFillShade="BF"/>
                  <w:vAlign w:val="center"/>
                </w:tcPr>
                <w:p w14:paraId="1DA228E0">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除重点管理以外的汽车整车制造 361，除重点管理以外的年使用10吨及以上溶剂型涂料或者胶粘剂（含稀释剂、固化剂、清洗溶剂）的汽车用发动机制造 362、改装汽车制造 363、低速汽车制造 364、电车制造 365、汽车车身、挂车制造 366、</w:t>
                  </w:r>
                  <w:r>
                    <w:rPr>
                      <w:rFonts w:hint="default" w:ascii="Times New Roman" w:hAnsi="Times New Roman" w:eastAsia="宋体" w:cs="Times New Roman"/>
                      <w:b/>
                      <w:bCs/>
                      <w:color w:val="000000"/>
                      <w:kern w:val="0"/>
                      <w:sz w:val="21"/>
                      <w:szCs w:val="21"/>
                      <w:lang w:val="en-US" w:eastAsia="zh-CN" w:bidi="ar"/>
                    </w:rPr>
                    <w:t>汽车零部件及配件制造 367</w:t>
                  </w:r>
                </w:p>
              </w:tc>
              <w:tc>
                <w:tcPr>
                  <w:tcW w:w="1754" w:type="dxa"/>
                  <w:tcBorders>
                    <w:top w:val="single" w:color="auto" w:sz="4" w:space="0"/>
                    <w:bottom w:val="single" w:color="auto" w:sz="4" w:space="0"/>
                  </w:tcBorders>
                  <w:shd w:val="clear" w:color="auto" w:fill="auto"/>
                  <w:vAlign w:val="center"/>
                </w:tcPr>
                <w:p w14:paraId="7EBB5438">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其他</w:t>
                  </w:r>
                </w:p>
              </w:tc>
            </w:tr>
            <w:tr w14:paraId="628C85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5"/>
                  <w:shd w:val="clear" w:color="auto" w:fill="BEBEBE" w:themeFill="background1" w:themeFillShade="BF"/>
                  <w:vAlign w:val="center"/>
                </w:tcPr>
                <w:p w14:paraId="147E6CD8">
                  <w:pPr>
                    <w:adjustRightInd w:val="0"/>
                    <w:snapToGrid w:val="0"/>
                    <w:spacing w:line="340" w:lineRule="exact"/>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五十一、通用工序</w:t>
                  </w:r>
                </w:p>
              </w:tc>
            </w:tr>
            <w:tr w14:paraId="64316A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dxa"/>
                  <w:shd w:val="clear" w:color="auto" w:fill="auto"/>
                  <w:vAlign w:val="center"/>
                </w:tcPr>
                <w:p w14:paraId="1C5C43E4">
                  <w:pPr>
                    <w:spacing w:line="3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110</w:t>
                  </w:r>
                </w:p>
              </w:tc>
              <w:tc>
                <w:tcPr>
                  <w:tcW w:w="1064" w:type="dxa"/>
                  <w:shd w:val="clear" w:color="auto" w:fill="auto"/>
                  <w:vAlign w:val="center"/>
                </w:tcPr>
                <w:p w14:paraId="28519FEA">
                  <w:pPr>
                    <w:spacing w:line="34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工业炉窑</w:t>
                  </w:r>
                </w:p>
              </w:tc>
              <w:tc>
                <w:tcPr>
                  <w:tcW w:w="2338" w:type="dxa"/>
                  <w:shd w:val="clear" w:color="auto" w:fill="auto"/>
                  <w:vAlign w:val="center"/>
                </w:tcPr>
                <w:p w14:paraId="3AAB0028">
                  <w:pPr>
                    <w:adjustRightInd w:val="0"/>
                    <w:snapToGrid w:val="0"/>
                    <w:spacing w:line="340" w:lineRule="exact"/>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纳入重点排污单位名录的</w:t>
                  </w:r>
                </w:p>
              </w:tc>
              <w:tc>
                <w:tcPr>
                  <w:tcW w:w="2550" w:type="dxa"/>
                  <w:tcBorders>
                    <w:top w:val="single" w:color="auto" w:sz="4" w:space="0"/>
                    <w:bottom w:val="single" w:color="auto" w:sz="12" w:space="0"/>
                  </w:tcBorders>
                  <w:shd w:val="clear" w:color="auto" w:fill="auto"/>
                  <w:vAlign w:val="center"/>
                </w:tcPr>
                <w:p w14:paraId="4FA84DBF">
                  <w:pPr>
                    <w:adjustRightInd w:val="0"/>
                    <w:snapToGrid w:val="0"/>
                    <w:spacing w:line="340" w:lineRule="exac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shd w:val="clear" w:color="FFFFFF"/>
                    </w:rPr>
                    <w:t>除纳入重点排污单位名录的，除以天然气或者电为能源的加热炉、热处理炉、干燥炉（窑）以外的其他工业炉窑</w:t>
                  </w:r>
                </w:p>
              </w:tc>
              <w:tc>
                <w:tcPr>
                  <w:tcW w:w="1754" w:type="dxa"/>
                  <w:tcBorders>
                    <w:top w:val="single" w:color="auto" w:sz="4" w:space="0"/>
                    <w:bottom w:val="single" w:color="auto" w:sz="12" w:space="0"/>
                  </w:tcBorders>
                  <w:shd w:val="clear" w:color="auto" w:fill="BEBEBE" w:themeFill="background1" w:themeFillShade="BF"/>
                  <w:vAlign w:val="center"/>
                </w:tcPr>
                <w:p w14:paraId="1278D311">
                  <w:pPr>
                    <w:adjustRightInd w:val="0"/>
                    <w:snapToGrid w:val="0"/>
                    <w:spacing w:line="340" w:lineRule="exact"/>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除纳入重点排污单位名录的，以天然气或者电为能源的加热炉、热处理炉或者干燥炉（窑）</w:t>
                  </w:r>
                </w:p>
              </w:tc>
            </w:tr>
          </w:tbl>
          <w:p w14:paraId="5F24265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（3）</w:t>
            </w:r>
            <w:bookmarkEnd w:id="211"/>
            <w:bookmarkStart w:id="212" w:name="_Toc24814500"/>
            <w:r>
              <w:rPr>
                <w:rFonts w:hint="default" w:ascii="Times New Roman" w:hAnsi="Times New Roman" w:eastAsia="宋体" w:cs="Times New Roman"/>
                <w:b/>
                <w:bCs/>
                <w:color w:val="auto"/>
                <w:kern w:val="2"/>
                <w:sz w:val="24"/>
                <w:szCs w:val="24"/>
                <w:highlight w:val="none"/>
                <w:lang w:val="en-US" w:eastAsia="zh-CN" w:bidi="ar-SA"/>
              </w:rPr>
              <w:t>自主竣工环境保护验收要求</w:t>
            </w:r>
            <w:bookmarkEnd w:id="212"/>
          </w:p>
          <w:p w14:paraId="6596A1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根据国务院【国令第682号】《建设项目环境保护管理条例》及《建设项目竣工环境保护验收暂行办法》（国环规环评</w:t>
            </w:r>
            <w:r>
              <w:rPr>
                <w:rFonts w:hint="eastAsia" w:ascii="Times New Roman" w:hAnsi="Times New Roman" w:eastAsia="宋体" w:cs="Times New Roman"/>
                <w:color w:val="auto"/>
                <w:kern w:val="2"/>
                <w:sz w:val="24"/>
                <w:szCs w:val="24"/>
                <w:highlight w:val="none"/>
                <w:lang w:val="en-US" w:eastAsia="zh-CN" w:bidi="ar-SA"/>
              </w:rPr>
              <w:t>〔2017〕4号</w:t>
            </w:r>
            <w:r>
              <w:rPr>
                <w:rFonts w:hint="default" w:ascii="Times New Roman" w:hAnsi="Times New Roman" w:eastAsia="宋体" w:cs="Times New Roman"/>
                <w:color w:val="auto"/>
                <w:kern w:val="2"/>
                <w:sz w:val="24"/>
                <w:szCs w:val="24"/>
                <w:highlight w:val="none"/>
                <w:lang w:val="en-US" w:eastAsia="zh-CN" w:bidi="ar-SA"/>
              </w:rPr>
              <w:t>），强化建设单位环境保护主体责任，落实建设项目环境保护</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三同时</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制度，规范建设项目竣工后建设单位自主开展环境保护验收的程序和标准。建设单位是建设项目竣工环境保护验收的责任主体。</w:t>
            </w:r>
          </w:p>
          <w:p w14:paraId="5A0DFD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根据</w:t>
            </w:r>
            <w:r>
              <w:rPr>
                <w:rFonts w:hint="eastAsia" w:cs="Times New Roman"/>
                <w:color w:val="auto"/>
                <w:kern w:val="2"/>
                <w:sz w:val="24"/>
                <w:szCs w:val="24"/>
                <w:highlight w:val="none"/>
                <w:lang w:val="en-US" w:eastAsia="zh-CN" w:bidi="ar-SA"/>
              </w:rPr>
              <w:t>生态环境部</w:t>
            </w:r>
            <w:r>
              <w:rPr>
                <w:rFonts w:hint="default" w:ascii="Times New Roman" w:hAnsi="Times New Roman" w:eastAsia="宋体" w:cs="Times New Roman"/>
                <w:color w:val="auto"/>
                <w:kern w:val="2"/>
                <w:sz w:val="24"/>
                <w:szCs w:val="24"/>
                <w:highlight w:val="none"/>
                <w:lang w:val="en-US" w:eastAsia="zh-CN" w:bidi="ar-SA"/>
              </w:rPr>
              <w:t>《建设项目竣工环境保护验收技术指南 污染影响类》（公告2018年第9号）中有关要求：项目竣工后，建设单位应对该项目进行环保竣工验收，委托有资质的监测单位进行项目竣工环境保护验收监测，编制项目竣工环境保护验收监测报告。经验收合格，该建设项目方可正式投入生产或使用。</w:t>
            </w:r>
          </w:p>
        </w:tc>
      </w:tr>
    </w:tbl>
    <w:p w14:paraId="093D4BAD">
      <w:r>
        <w:br w:type="page"/>
      </w:r>
    </w:p>
    <w:p w14:paraId="79D59C06">
      <w:pPr>
        <w:pStyle w:val="21"/>
        <w:jc w:val="center"/>
        <w:outlineLvl w:val="0"/>
        <w:rPr>
          <w:rFonts w:ascii="Times New Roman" w:hAnsi="Times New Roman" w:eastAsia="黑体"/>
          <w:snapToGrid w:val="0"/>
          <w:sz w:val="30"/>
          <w:szCs w:val="30"/>
        </w:rPr>
      </w:pPr>
      <w:bookmarkStart w:id="213" w:name="_Toc17280"/>
      <w:bookmarkStart w:id="214" w:name="_Toc4252"/>
      <w:bookmarkStart w:id="215" w:name="_Toc8855"/>
      <w:r>
        <w:rPr>
          <w:rFonts w:ascii="Times New Roman" w:hAnsi="Times New Roman" w:eastAsia="黑体"/>
          <w:snapToGrid w:val="0"/>
          <w:sz w:val="30"/>
          <w:szCs w:val="30"/>
        </w:rPr>
        <w:t>六、结论</w:t>
      </w:r>
      <w:bookmarkEnd w:id="213"/>
      <w:bookmarkEnd w:id="214"/>
      <w:bookmarkEnd w:id="215"/>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AD936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4C96DE39">
            <w:pPr>
              <w:spacing w:line="360" w:lineRule="auto"/>
              <w:rPr>
                <w:b/>
                <w:bCs/>
                <w:sz w:val="28"/>
                <w:szCs w:val="28"/>
              </w:rPr>
            </w:pPr>
            <w:r>
              <w:rPr>
                <w:b/>
                <w:bCs/>
                <w:sz w:val="28"/>
                <w:szCs w:val="28"/>
              </w:rPr>
              <w:t>6.1 总结论</w:t>
            </w:r>
          </w:p>
          <w:p w14:paraId="23ED5480">
            <w:pPr>
              <w:spacing w:line="360" w:lineRule="auto"/>
              <w:ind w:firstLine="480" w:firstLineChars="200"/>
              <w:rPr>
                <w:rFonts w:ascii="Times New Roman" w:hAnsi="Times New Roman"/>
                <w:color w:val="auto"/>
                <w:sz w:val="24"/>
                <w:szCs w:val="24"/>
              </w:rPr>
            </w:pPr>
            <w:r>
              <w:rPr>
                <w:rFonts w:hint="eastAsia"/>
                <w:color w:val="auto"/>
                <w:sz w:val="24"/>
              </w:rPr>
              <w:t>本项目</w:t>
            </w:r>
            <w:r>
              <w:rPr>
                <w:rFonts w:hint="eastAsia"/>
                <w:color w:val="auto"/>
                <w:sz w:val="24"/>
                <w:lang w:val="en-US" w:eastAsia="zh-CN"/>
              </w:rPr>
              <w:t>位于</w:t>
            </w:r>
            <w:r>
              <w:rPr>
                <w:rFonts w:hint="eastAsia" w:cs="Times New Roman"/>
                <w:color w:val="auto"/>
                <w:sz w:val="24"/>
                <w:szCs w:val="24"/>
                <w:highlight w:val="none"/>
                <w:lang w:eastAsia="zh-CN"/>
              </w:rPr>
              <w:t>福清融侨经济技术开发区（均和云谷·福清科技港33#厂房）</w:t>
            </w:r>
            <w:r>
              <w:rPr>
                <w:rFonts w:hint="eastAsia"/>
                <w:color w:val="auto"/>
                <w:sz w:val="24"/>
                <w:lang w:val="en-US" w:eastAsia="zh-CN"/>
              </w:rPr>
              <w:t>，项目主要</w:t>
            </w:r>
            <w:r>
              <w:rPr>
                <w:rFonts w:hint="eastAsia" w:ascii="Times New Roman" w:hAnsi="Times New Roman" w:eastAsia="宋体" w:cs="Times New Roman"/>
                <w:color w:val="auto"/>
                <w:sz w:val="24"/>
                <w:szCs w:val="24"/>
                <w:highlight w:val="none"/>
                <w:u w:val="none"/>
                <w:lang w:val="en-US" w:eastAsia="zh-CN"/>
              </w:rPr>
              <w:t>从事电脑零配件、汽车及电动车零配件、POS机零配件、其他五金配件生产等业务。</w:t>
            </w:r>
            <w:r>
              <w:rPr>
                <w:rFonts w:hint="eastAsia"/>
                <w:color w:val="auto"/>
                <w:sz w:val="24"/>
                <w:lang w:val="en-US" w:eastAsia="zh-CN"/>
              </w:rPr>
              <w:t>建设符合国家相关产业政策、符合《福清融侨经济技术开发区总体规划环境影响报告书（2018-2035年）》中的相关要求。符合“三线一单”以及生态分区管控控制要求，选址可行。经采取综合性、积极有效性的防治措施并确保污染物达标排放后，可避免或减少这些不利影响，使这些不利影响均在可接受范围内。</w:t>
            </w:r>
            <w:r>
              <w:rPr>
                <w:rFonts w:ascii="Times New Roman" w:hAnsi="Times New Roman"/>
                <w:color w:val="auto"/>
                <w:sz w:val="24"/>
                <w:szCs w:val="24"/>
              </w:rPr>
              <w:t>通过对本项目的环境影响分析评价，项目运营过程中废水、废气、噪声、固废等污染物，对周围大气环境、水环境、声环境、土壤环境等造成一定不利影响，经采取综合性、积极有效的防治措施并确保污染物达标排放后，可避免或减少这些不利影响，影响均在环境可接受的范围内。</w:t>
            </w:r>
          </w:p>
          <w:p w14:paraId="44C4D557">
            <w:pPr>
              <w:spacing w:line="360" w:lineRule="auto"/>
              <w:ind w:firstLine="480" w:firstLineChars="200"/>
              <w:rPr>
                <w:rFonts w:ascii="Times New Roman" w:hAnsi="Times New Roman" w:eastAsia="宋体" w:cs="Times New Roman"/>
                <w:color w:val="auto"/>
                <w:sz w:val="24"/>
              </w:rPr>
            </w:pPr>
            <w:r>
              <w:rPr>
                <w:color w:val="auto"/>
                <w:sz w:val="24"/>
              </w:rPr>
              <w:t>综上所述，在认真执行建设项目</w:t>
            </w:r>
            <w:r>
              <w:rPr>
                <w:rFonts w:hint="eastAsia"/>
                <w:color w:val="auto"/>
                <w:sz w:val="24"/>
                <w:lang w:eastAsia="zh-CN"/>
              </w:rPr>
              <w:t>“</w:t>
            </w:r>
            <w:r>
              <w:rPr>
                <w:color w:val="auto"/>
                <w:sz w:val="24"/>
              </w:rPr>
              <w:t>三同时</w:t>
            </w:r>
            <w:r>
              <w:rPr>
                <w:rFonts w:hint="eastAsia"/>
                <w:b w:val="0"/>
                <w:bCs w:val="0"/>
                <w:color w:val="auto"/>
                <w:sz w:val="24"/>
                <w:lang w:eastAsia="zh-CN"/>
              </w:rPr>
              <w:t>”</w:t>
            </w:r>
            <w:r>
              <w:rPr>
                <w:b w:val="0"/>
                <w:bCs w:val="0"/>
                <w:color w:val="auto"/>
                <w:sz w:val="24"/>
              </w:rPr>
              <w:t>制度，切实落实各项规划方案的要求，完成本次环境影响评价提出的各项污染防治措施</w:t>
            </w:r>
            <w:r>
              <w:rPr>
                <w:rFonts w:ascii="Times New Roman" w:hAnsi="Times New Roman" w:eastAsia="宋体" w:cs="Times New Roman"/>
                <w:b w:val="0"/>
                <w:bCs w:val="0"/>
                <w:color w:val="auto"/>
                <w:sz w:val="24"/>
              </w:rPr>
              <w:t>，严格落实</w:t>
            </w:r>
            <w:r>
              <w:rPr>
                <w:rFonts w:hint="eastAsia" w:ascii="Times New Roman" w:hAnsi="Times New Roman" w:eastAsia="宋体" w:cs="Times New Roman"/>
                <w:b w:val="0"/>
                <w:bCs w:val="0"/>
                <w:color w:val="auto"/>
                <w:sz w:val="24"/>
              </w:rPr>
              <w:t>各项生态环境保护和污染防治措施后，</w:t>
            </w:r>
            <w:r>
              <w:rPr>
                <w:rFonts w:ascii="Times New Roman" w:hAnsi="Times New Roman" w:eastAsia="宋体" w:cs="Times New Roman"/>
                <w:b w:val="0"/>
                <w:bCs w:val="0"/>
                <w:color w:val="auto"/>
                <w:sz w:val="24"/>
              </w:rPr>
              <w:t>确保各污染物达标排放，对周围的环境影响较小。从环</w:t>
            </w:r>
            <w:r>
              <w:rPr>
                <w:rFonts w:ascii="Times New Roman" w:hAnsi="Times New Roman" w:eastAsia="宋体" w:cs="Times New Roman"/>
                <w:color w:val="auto"/>
                <w:sz w:val="24"/>
              </w:rPr>
              <w:t>境</w:t>
            </w:r>
            <w:r>
              <w:rPr>
                <w:rFonts w:hint="eastAsia" w:ascii="Times New Roman" w:hAnsi="Times New Roman" w:eastAsia="宋体" w:cs="Times New Roman"/>
                <w:color w:val="auto"/>
                <w:sz w:val="24"/>
                <w:lang w:val="en-US" w:eastAsia="zh-CN"/>
              </w:rPr>
              <w:t>影响</w:t>
            </w:r>
            <w:r>
              <w:rPr>
                <w:rFonts w:ascii="Times New Roman" w:hAnsi="Times New Roman" w:eastAsia="宋体" w:cs="Times New Roman"/>
                <w:color w:val="auto"/>
                <w:sz w:val="24"/>
              </w:rPr>
              <w:t>角度分析，该项目的建设是可行的。</w:t>
            </w:r>
          </w:p>
          <w:p w14:paraId="20F92617">
            <w:pPr>
              <w:spacing w:line="360" w:lineRule="auto"/>
              <w:ind w:firstLine="482" w:firstLineChars="200"/>
              <w:rPr>
                <w:b/>
                <w:bCs/>
                <w:sz w:val="24"/>
              </w:rPr>
            </w:pPr>
          </w:p>
          <w:p w14:paraId="5669BF3E">
            <w:pPr>
              <w:spacing w:line="360" w:lineRule="auto"/>
              <w:ind w:firstLine="482" w:firstLineChars="200"/>
              <w:jc w:val="right"/>
              <w:rPr>
                <w:rFonts w:hint="default" w:eastAsia="宋体"/>
                <w:b/>
                <w:bCs/>
                <w:sz w:val="24"/>
                <w:lang w:val="en-US" w:eastAsia="zh-CN"/>
              </w:rPr>
            </w:pPr>
          </w:p>
          <w:p w14:paraId="411302FA">
            <w:pPr>
              <w:keepNext w:val="0"/>
              <w:keepLines w:val="0"/>
              <w:pageBreakBefore w:val="0"/>
              <w:widowControl w:val="0"/>
              <w:kinsoku/>
              <w:wordWrap w:val="0"/>
              <w:overflowPunct/>
              <w:topLinePunct w:val="0"/>
              <w:autoSpaceDE/>
              <w:autoSpaceDN/>
              <w:bidi w:val="0"/>
              <w:adjustRightInd/>
              <w:snapToGrid/>
              <w:spacing w:line="480" w:lineRule="auto"/>
              <w:ind w:firstLine="480" w:firstLineChars="200"/>
              <w:jc w:val="right"/>
              <w:textAlignment w:val="auto"/>
              <w:rPr>
                <w:rFonts w:hint="default" w:eastAsia="宋体"/>
                <w:b w:val="0"/>
                <w:bCs w:val="0"/>
                <w:sz w:val="24"/>
                <w:highlight w:val="none"/>
                <w:lang w:val="en-US" w:eastAsia="zh-CN"/>
              </w:rPr>
            </w:pPr>
            <w:r>
              <w:rPr>
                <w:rFonts w:hint="eastAsia"/>
                <w:b w:val="0"/>
                <w:bCs w:val="0"/>
                <w:sz w:val="24"/>
                <w:highlight w:val="none"/>
                <w:lang w:val="en-US" w:eastAsia="zh-CN"/>
              </w:rPr>
              <w:t xml:space="preserve">福州朴诚至信环保科技有限公司    </w:t>
            </w:r>
          </w:p>
          <w:p w14:paraId="58547A9E">
            <w:pPr>
              <w:keepNext w:val="0"/>
              <w:keepLines w:val="0"/>
              <w:pageBreakBefore w:val="0"/>
              <w:widowControl w:val="0"/>
              <w:kinsoku/>
              <w:wordWrap w:val="0"/>
              <w:overflowPunct/>
              <w:topLinePunct w:val="0"/>
              <w:autoSpaceDE/>
              <w:autoSpaceDN/>
              <w:bidi w:val="0"/>
              <w:adjustRightInd/>
              <w:snapToGrid/>
              <w:spacing w:line="480" w:lineRule="auto"/>
              <w:ind w:firstLine="480" w:firstLineChars="200"/>
              <w:jc w:val="right"/>
              <w:textAlignment w:val="auto"/>
              <w:rPr>
                <w:rFonts w:hint="default" w:eastAsia="宋体"/>
                <w:b w:val="0"/>
                <w:bCs w:val="0"/>
                <w:sz w:val="24"/>
                <w:highlight w:val="none"/>
                <w:lang w:val="en-US" w:eastAsia="zh-CN"/>
              </w:rPr>
            </w:pPr>
            <w:r>
              <w:rPr>
                <w:b w:val="0"/>
                <w:bCs w:val="0"/>
                <w:sz w:val="24"/>
                <w:highlight w:val="none"/>
              </w:rPr>
              <w:t>202</w:t>
            </w:r>
            <w:r>
              <w:rPr>
                <w:rFonts w:hint="eastAsia"/>
                <w:b w:val="0"/>
                <w:bCs w:val="0"/>
                <w:sz w:val="24"/>
                <w:highlight w:val="none"/>
                <w:lang w:val="en-US" w:eastAsia="zh-CN"/>
              </w:rPr>
              <w:t>5</w:t>
            </w:r>
            <w:r>
              <w:rPr>
                <w:b w:val="0"/>
                <w:bCs w:val="0"/>
                <w:sz w:val="24"/>
                <w:highlight w:val="none"/>
              </w:rPr>
              <w:t>年</w:t>
            </w:r>
            <w:r>
              <w:rPr>
                <w:rFonts w:hint="eastAsia"/>
                <w:b w:val="0"/>
                <w:bCs w:val="0"/>
                <w:sz w:val="24"/>
                <w:highlight w:val="none"/>
                <w:lang w:val="en-US" w:eastAsia="zh-CN"/>
              </w:rPr>
              <w:t>11</w:t>
            </w:r>
            <w:r>
              <w:rPr>
                <w:b w:val="0"/>
                <w:bCs w:val="0"/>
                <w:sz w:val="24"/>
                <w:highlight w:val="none"/>
              </w:rPr>
              <w:t>月</w:t>
            </w:r>
            <w:r>
              <w:rPr>
                <w:rFonts w:hint="eastAsia"/>
                <w:b w:val="0"/>
                <w:bCs w:val="0"/>
                <w:sz w:val="24"/>
                <w:highlight w:val="none"/>
                <w:lang w:val="en-US" w:eastAsia="zh-CN"/>
              </w:rPr>
              <w:t xml:space="preserve">            </w:t>
            </w:r>
          </w:p>
          <w:p w14:paraId="01F9BB8C">
            <w:pPr>
              <w:keepNext w:val="0"/>
              <w:keepLines w:val="0"/>
              <w:pageBreakBefore w:val="0"/>
              <w:widowControl w:val="0"/>
              <w:kinsoku/>
              <w:overflowPunct/>
              <w:topLinePunct w:val="0"/>
              <w:autoSpaceDE/>
              <w:autoSpaceDN/>
              <w:bidi w:val="0"/>
              <w:adjustRightInd/>
              <w:snapToGrid/>
              <w:spacing w:line="480" w:lineRule="auto"/>
              <w:ind w:firstLine="482" w:firstLineChars="200"/>
              <w:textAlignment w:val="auto"/>
              <w:rPr>
                <w:b/>
                <w:bCs/>
                <w:sz w:val="24"/>
                <w:highlight w:val="none"/>
              </w:rPr>
            </w:pPr>
          </w:p>
          <w:p w14:paraId="4448CC7F">
            <w:pPr>
              <w:spacing w:line="360" w:lineRule="auto"/>
              <w:ind w:firstLine="482" w:firstLineChars="200"/>
              <w:rPr>
                <w:b/>
                <w:bCs/>
                <w:sz w:val="24"/>
              </w:rPr>
            </w:pPr>
          </w:p>
          <w:p w14:paraId="67EC127E">
            <w:pPr>
              <w:spacing w:line="360" w:lineRule="auto"/>
              <w:ind w:firstLine="482" w:firstLineChars="200"/>
              <w:rPr>
                <w:b/>
                <w:bCs/>
                <w:sz w:val="24"/>
              </w:rPr>
            </w:pPr>
          </w:p>
          <w:p w14:paraId="02820C61">
            <w:pPr>
              <w:spacing w:line="360" w:lineRule="auto"/>
              <w:ind w:firstLine="482" w:firstLineChars="200"/>
              <w:rPr>
                <w:b/>
                <w:bCs/>
                <w:sz w:val="24"/>
              </w:rPr>
            </w:pPr>
          </w:p>
          <w:p w14:paraId="0C67ECE4">
            <w:pPr>
              <w:spacing w:line="360" w:lineRule="auto"/>
              <w:rPr>
                <w:sz w:val="24"/>
              </w:rPr>
            </w:pPr>
          </w:p>
        </w:tc>
      </w:tr>
    </w:tbl>
    <w:p w14:paraId="1968B890">
      <w:pPr>
        <w:rPr>
          <w:rFonts w:hint="eastAsia"/>
          <w:b/>
          <w:bCs/>
          <w:lang w:val="en-US" w:eastAsia="zh-CN"/>
        </w:rPr>
        <w:sectPr>
          <w:pgSz w:w="11906" w:h="16838"/>
          <w:pgMar w:top="1587" w:right="1417" w:bottom="1587" w:left="141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p>
    <w:p w14:paraId="03C36563">
      <w:pPr>
        <w:pStyle w:val="21"/>
        <w:adjustRightInd w:val="0"/>
        <w:snapToGrid w:val="0"/>
        <w:spacing w:before="120" w:beforeLines="50" w:beforeAutospacing="0" w:after="0" w:afterAutospacing="0"/>
        <w:jc w:val="both"/>
        <w:outlineLvl w:val="0"/>
        <w:rPr>
          <w:rFonts w:ascii="Times New Roman" w:hAnsi="Times New Roman" w:eastAsia="方正小标宋_GBK"/>
          <w:snapToGrid w:val="0"/>
          <w:sz w:val="38"/>
          <w:szCs w:val="38"/>
        </w:rPr>
      </w:pPr>
      <w:bookmarkStart w:id="216" w:name="_Toc7093"/>
      <w:bookmarkStart w:id="217" w:name="_Toc1015"/>
      <w:bookmarkStart w:id="218" w:name="_Toc17731"/>
      <w:r>
        <w:rPr>
          <w:rFonts w:ascii="Times New Roman" w:hAnsi="Times New Roman" w:eastAsia="方正小标宋_GBK"/>
          <w:b/>
          <w:bCs/>
          <w:snapToGrid w:val="0"/>
          <w:sz w:val="38"/>
          <w:szCs w:val="38"/>
        </w:rPr>
        <w:t>附</w:t>
      </w:r>
      <w:r>
        <w:rPr>
          <w:rFonts w:ascii="Times New Roman" w:hAnsi="Times New Roman" w:eastAsia="方正小标宋_GBK" w:cs="Times New Roman"/>
          <w:b/>
          <w:bCs/>
          <w:snapToGrid w:val="0"/>
          <w:sz w:val="38"/>
          <w:szCs w:val="38"/>
        </w:rPr>
        <w:t>表</w:t>
      </w:r>
      <w:bookmarkEnd w:id="216"/>
      <w:bookmarkEnd w:id="217"/>
      <w:bookmarkEnd w:id="218"/>
    </w:p>
    <w:p w14:paraId="4F63F605">
      <w:pPr>
        <w:pStyle w:val="21"/>
        <w:adjustRightInd w:val="0"/>
        <w:snapToGrid w:val="0"/>
        <w:spacing w:before="0" w:beforeLines="0" w:beforeAutospacing="0" w:after="0" w:afterLines="0" w:afterAutospacing="0"/>
        <w:jc w:val="center"/>
        <w:outlineLvl w:val="0"/>
        <w:rPr>
          <w:rFonts w:ascii="Times New Roman" w:hAnsi="Times New Roman" w:eastAsia="方正小标宋_GBK"/>
          <w:snapToGrid w:val="0"/>
          <w:color w:val="auto"/>
          <w:sz w:val="38"/>
          <w:szCs w:val="38"/>
        </w:rPr>
      </w:pPr>
      <w:bookmarkStart w:id="219" w:name="_Toc96"/>
      <w:bookmarkStart w:id="220" w:name="_Toc13012"/>
      <w:bookmarkStart w:id="221" w:name="_Toc17929"/>
      <w:bookmarkStart w:id="222" w:name="_Toc6515"/>
      <w:r>
        <w:rPr>
          <w:rFonts w:ascii="Times New Roman" w:hAnsi="Times New Roman" w:eastAsia="方正小标宋_GBK"/>
          <w:snapToGrid w:val="0"/>
          <w:color w:val="auto"/>
          <w:sz w:val="38"/>
          <w:szCs w:val="38"/>
        </w:rPr>
        <w:t>建设项目污染物排放量汇总表</w:t>
      </w:r>
      <w:bookmarkEnd w:id="219"/>
      <w:bookmarkEnd w:id="220"/>
      <w:bookmarkEnd w:id="221"/>
      <w:bookmarkEnd w:id="222"/>
    </w:p>
    <w:tbl>
      <w:tblPr>
        <w:tblStyle w:val="23"/>
        <w:tblW w:w="1408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3030"/>
        <w:gridCol w:w="1436"/>
        <w:gridCol w:w="1150"/>
        <w:gridCol w:w="1450"/>
        <w:gridCol w:w="1500"/>
        <w:gridCol w:w="1667"/>
        <w:gridCol w:w="1633"/>
        <w:gridCol w:w="989"/>
      </w:tblGrid>
      <w:tr w14:paraId="591AB8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29" w:type="dxa"/>
            <w:tcBorders>
              <w:tl2br w:val="single" w:color="auto" w:sz="4" w:space="0"/>
            </w:tcBorders>
            <w:noWrap w:val="0"/>
            <w:tcMar>
              <w:left w:w="28" w:type="dxa"/>
              <w:right w:w="28" w:type="dxa"/>
            </w:tcMar>
            <w:vAlign w:val="center"/>
          </w:tcPr>
          <w:p w14:paraId="7EE2A71E">
            <w:pPr>
              <w:pStyle w:val="75"/>
              <w:bidi w:val="0"/>
              <w:jc w:val="right"/>
              <w:rPr>
                <w:color w:val="auto"/>
              </w:rPr>
            </w:pPr>
            <w:r>
              <w:rPr>
                <w:color w:val="auto"/>
              </w:rPr>
              <w:t>项目</w:t>
            </w:r>
          </w:p>
          <w:p w14:paraId="4F4375E2">
            <w:pPr>
              <w:pStyle w:val="75"/>
              <w:bidi w:val="0"/>
              <w:jc w:val="left"/>
              <w:rPr>
                <w:color w:val="auto"/>
              </w:rPr>
            </w:pPr>
            <w:r>
              <w:rPr>
                <w:color w:val="auto"/>
              </w:rPr>
              <w:t>分类</w:t>
            </w:r>
          </w:p>
        </w:tc>
        <w:tc>
          <w:tcPr>
            <w:tcW w:w="3030" w:type="dxa"/>
            <w:noWrap w:val="0"/>
            <w:tcMar>
              <w:left w:w="28" w:type="dxa"/>
              <w:right w:w="28" w:type="dxa"/>
            </w:tcMar>
            <w:vAlign w:val="center"/>
          </w:tcPr>
          <w:p w14:paraId="33A94768">
            <w:pPr>
              <w:pStyle w:val="75"/>
              <w:bidi w:val="0"/>
              <w:rPr>
                <w:color w:val="auto"/>
              </w:rPr>
            </w:pPr>
            <w:r>
              <w:rPr>
                <w:color w:val="auto"/>
              </w:rPr>
              <w:t>污染物名称</w:t>
            </w:r>
          </w:p>
        </w:tc>
        <w:tc>
          <w:tcPr>
            <w:tcW w:w="1436" w:type="dxa"/>
            <w:noWrap w:val="0"/>
            <w:tcMar>
              <w:left w:w="28" w:type="dxa"/>
              <w:right w:w="28" w:type="dxa"/>
            </w:tcMar>
            <w:vAlign w:val="center"/>
          </w:tcPr>
          <w:p w14:paraId="699274D9">
            <w:pPr>
              <w:pStyle w:val="75"/>
              <w:bidi w:val="0"/>
              <w:rPr>
                <w:color w:val="auto"/>
              </w:rPr>
            </w:pPr>
            <w:r>
              <w:rPr>
                <w:color w:val="auto"/>
              </w:rPr>
              <w:t>现有工程</w:t>
            </w:r>
          </w:p>
          <w:p w14:paraId="744AD8E6">
            <w:pPr>
              <w:pStyle w:val="75"/>
              <w:bidi w:val="0"/>
              <w:rPr>
                <w:color w:val="auto"/>
              </w:rPr>
            </w:pPr>
            <w:r>
              <w:rPr>
                <w:color w:val="auto"/>
              </w:rPr>
              <w:t>排放量（固体废物产生量）</w:t>
            </w: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p>
        </w:tc>
        <w:tc>
          <w:tcPr>
            <w:tcW w:w="1150" w:type="dxa"/>
            <w:noWrap w:val="0"/>
            <w:tcMar>
              <w:left w:w="28" w:type="dxa"/>
              <w:right w:w="28" w:type="dxa"/>
            </w:tcMar>
            <w:vAlign w:val="center"/>
          </w:tcPr>
          <w:p w14:paraId="32C19947">
            <w:pPr>
              <w:pStyle w:val="75"/>
              <w:bidi w:val="0"/>
              <w:rPr>
                <w:color w:val="auto"/>
              </w:rPr>
            </w:pPr>
            <w:r>
              <w:rPr>
                <w:color w:val="auto"/>
              </w:rPr>
              <w:t>现有工程</w:t>
            </w:r>
          </w:p>
          <w:p w14:paraId="3F624E35">
            <w:pPr>
              <w:pStyle w:val="75"/>
              <w:bidi w:val="0"/>
              <w:rPr>
                <w:color w:val="auto"/>
              </w:rPr>
            </w:pPr>
            <w:r>
              <w:rPr>
                <w:color w:val="auto"/>
              </w:rPr>
              <w:t>许可排放量</w:t>
            </w:r>
          </w:p>
          <w:p w14:paraId="52AC24BD">
            <w:pPr>
              <w:pStyle w:val="75"/>
              <w:bidi w:val="0"/>
              <w:rPr>
                <w:color w:val="auto"/>
              </w:rPr>
            </w:pPr>
            <w:r>
              <w:rPr>
                <w:color w:val="auto"/>
              </w:rPr>
              <w:fldChar w:fldCharType="begin"/>
            </w:r>
            <w:r>
              <w:rPr>
                <w:color w:val="auto"/>
              </w:rPr>
              <w:instrText xml:space="preserve"> = 2 \* GB3 \* MERGEFORMAT </w:instrText>
            </w:r>
            <w:r>
              <w:rPr>
                <w:color w:val="auto"/>
              </w:rPr>
              <w:fldChar w:fldCharType="separate"/>
            </w:r>
            <w:r>
              <w:rPr>
                <w:color w:val="auto"/>
              </w:rPr>
              <w:t>②</w:t>
            </w:r>
            <w:r>
              <w:rPr>
                <w:color w:val="auto"/>
              </w:rPr>
              <w:fldChar w:fldCharType="end"/>
            </w:r>
          </w:p>
        </w:tc>
        <w:tc>
          <w:tcPr>
            <w:tcW w:w="1450" w:type="dxa"/>
            <w:noWrap w:val="0"/>
            <w:tcMar>
              <w:left w:w="28" w:type="dxa"/>
              <w:right w:w="28" w:type="dxa"/>
            </w:tcMar>
            <w:vAlign w:val="center"/>
          </w:tcPr>
          <w:p w14:paraId="74B38EE3">
            <w:pPr>
              <w:pStyle w:val="75"/>
              <w:bidi w:val="0"/>
              <w:rPr>
                <w:color w:val="auto"/>
              </w:rPr>
            </w:pPr>
            <w:r>
              <w:rPr>
                <w:color w:val="auto"/>
              </w:rPr>
              <w:t>在建工程</w:t>
            </w:r>
          </w:p>
          <w:p w14:paraId="7A583D09">
            <w:pPr>
              <w:pStyle w:val="75"/>
              <w:bidi w:val="0"/>
              <w:rPr>
                <w:color w:val="auto"/>
              </w:rPr>
            </w:pPr>
            <w:r>
              <w:rPr>
                <w:color w:val="auto"/>
              </w:rPr>
              <w:t>排放量（固体废物产生量）</w:t>
            </w:r>
            <w:r>
              <w:rPr>
                <w:color w:val="auto"/>
              </w:rPr>
              <w:fldChar w:fldCharType="begin"/>
            </w:r>
            <w:r>
              <w:rPr>
                <w:color w:val="auto"/>
              </w:rPr>
              <w:instrText xml:space="preserve"> = 3 \* GB3 \* MERGEFORMAT </w:instrText>
            </w:r>
            <w:r>
              <w:rPr>
                <w:color w:val="auto"/>
              </w:rPr>
              <w:fldChar w:fldCharType="separate"/>
            </w:r>
            <w:r>
              <w:rPr>
                <w:color w:val="auto"/>
              </w:rPr>
              <w:t>③</w:t>
            </w:r>
            <w:r>
              <w:rPr>
                <w:color w:val="auto"/>
              </w:rPr>
              <w:fldChar w:fldCharType="end"/>
            </w:r>
          </w:p>
        </w:tc>
        <w:tc>
          <w:tcPr>
            <w:tcW w:w="1500" w:type="dxa"/>
            <w:noWrap w:val="0"/>
            <w:tcMar>
              <w:left w:w="28" w:type="dxa"/>
              <w:right w:w="28" w:type="dxa"/>
            </w:tcMar>
            <w:vAlign w:val="center"/>
          </w:tcPr>
          <w:p w14:paraId="785CA085">
            <w:pPr>
              <w:pStyle w:val="75"/>
              <w:bidi w:val="0"/>
              <w:rPr>
                <w:color w:val="auto"/>
              </w:rPr>
            </w:pPr>
            <w:r>
              <w:rPr>
                <w:color w:val="auto"/>
              </w:rPr>
              <w:t>本项目</w:t>
            </w:r>
          </w:p>
          <w:p w14:paraId="435541D9">
            <w:pPr>
              <w:pStyle w:val="75"/>
              <w:bidi w:val="0"/>
              <w:rPr>
                <w:color w:val="auto"/>
              </w:rPr>
            </w:pPr>
            <w:r>
              <w:rPr>
                <w:color w:val="auto"/>
              </w:rPr>
              <w:t>排放量（固体废物产生量）</w:t>
            </w:r>
            <w:r>
              <w:rPr>
                <w:color w:val="auto"/>
              </w:rPr>
              <w:fldChar w:fldCharType="begin"/>
            </w:r>
            <w:r>
              <w:rPr>
                <w:color w:val="auto"/>
              </w:rPr>
              <w:instrText xml:space="preserve"> = 4 \* GB3 \* MERGEFORMAT </w:instrText>
            </w:r>
            <w:r>
              <w:rPr>
                <w:color w:val="auto"/>
              </w:rPr>
              <w:fldChar w:fldCharType="separate"/>
            </w:r>
            <w:r>
              <w:rPr>
                <w:color w:val="auto"/>
              </w:rPr>
              <w:t>④</w:t>
            </w:r>
            <w:r>
              <w:rPr>
                <w:color w:val="auto"/>
              </w:rPr>
              <w:fldChar w:fldCharType="end"/>
            </w:r>
          </w:p>
        </w:tc>
        <w:tc>
          <w:tcPr>
            <w:tcW w:w="1667" w:type="dxa"/>
            <w:noWrap w:val="0"/>
            <w:tcMar>
              <w:left w:w="28" w:type="dxa"/>
              <w:right w:w="28" w:type="dxa"/>
            </w:tcMar>
            <w:vAlign w:val="center"/>
          </w:tcPr>
          <w:p w14:paraId="6E518270">
            <w:pPr>
              <w:pStyle w:val="75"/>
              <w:bidi w:val="0"/>
              <w:rPr>
                <w:color w:val="auto"/>
              </w:rPr>
            </w:pPr>
            <w:r>
              <w:rPr>
                <w:color w:val="auto"/>
              </w:rPr>
              <w:t>以新带老削减量</w:t>
            </w:r>
          </w:p>
          <w:p w14:paraId="3C1DD6B0">
            <w:pPr>
              <w:pStyle w:val="75"/>
              <w:bidi w:val="0"/>
              <w:rPr>
                <w:color w:val="auto"/>
              </w:rPr>
            </w:pPr>
            <w:r>
              <w:rPr>
                <w:color w:val="auto"/>
              </w:rPr>
              <w:t>（新建项目不填）</w:t>
            </w:r>
            <w:r>
              <w:rPr>
                <w:color w:val="auto"/>
              </w:rPr>
              <w:fldChar w:fldCharType="begin"/>
            </w:r>
            <w:r>
              <w:rPr>
                <w:color w:val="auto"/>
              </w:rPr>
              <w:instrText xml:space="preserve"> = 5 \* GB3 \* MERGEFORMAT </w:instrText>
            </w:r>
            <w:r>
              <w:rPr>
                <w:color w:val="auto"/>
              </w:rPr>
              <w:fldChar w:fldCharType="separate"/>
            </w:r>
            <w:r>
              <w:rPr>
                <w:color w:val="auto"/>
              </w:rPr>
              <w:t>⑤</w:t>
            </w:r>
            <w:r>
              <w:rPr>
                <w:color w:val="auto"/>
              </w:rPr>
              <w:fldChar w:fldCharType="end"/>
            </w:r>
          </w:p>
        </w:tc>
        <w:tc>
          <w:tcPr>
            <w:tcW w:w="1633" w:type="dxa"/>
            <w:noWrap w:val="0"/>
            <w:tcMar>
              <w:left w:w="28" w:type="dxa"/>
              <w:right w:w="28" w:type="dxa"/>
            </w:tcMar>
            <w:vAlign w:val="center"/>
          </w:tcPr>
          <w:p w14:paraId="39F4EAB2">
            <w:pPr>
              <w:pStyle w:val="75"/>
              <w:bidi w:val="0"/>
              <w:rPr>
                <w:color w:val="auto"/>
              </w:rPr>
            </w:pPr>
            <w:r>
              <w:rPr>
                <w:color w:val="auto"/>
              </w:rPr>
              <w:t>本项目建成后</w:t>
            </w:r>
          </w:p>
          <w:p w14:paraId="065AE30C">
            <w:pPr>
              <w:pStyle w:val="75"/>
              <w:bidi w:val="0"/>
              <w:rPr>
                <w:color w:val="auto"/>
              </w:rPr>
            </w:pPr>
            <w:r>
              <w:rPr>
                <w:color w:val="auto"/>
              </w:rPr>
              <w:t>全厂排放量（固体废物产生量）</w:t>
            </w:r>
            <w:r>
              <w:rPr>
                <w:color w:val="auto"/>
              </w:rPr>
              <w:fldChar w:fldCharType="begin"/>
            </w:r>
            <w:r>
              <w:rPr>
                <w:color w:val="auto"/>
              </w:rPr>
              <w:instrText xml:space="preserve"> = 6 \* GB3 \* MERGEFORMAT </w:instrText>
            </w:r>
            <w:r>
              <w:rPr>
                <w:color w:val="auto"/>
              </w:rPr>
              <w:fldChar w:fldCharType="separate"/>
            </w:r>
            <w:r>
              <w:rPr>
                <w:color w:val="auto"/>
              </w:rPr>
              <w:t>⑥</w:t>
            </w:r>
            <w:r>
              <w:rPr>
                <w:color w:val="auto"/>
              </w:rPr>
              <w:fldChar w:fldCharType="end"/>
            </w:r>
          </w:p>
        </w:tc>
        <w:tc>
          <w:tcPr>
            <w:tcW w:w="989" w:type="dxa"/>
            <w:noWrap w:val="0"/>
            <w:tcMar>
              <w:left w:w="28" w:type="dxa"/>
              <w:right w:w="28" w:type="dxa"/>
            </w:tcMar>
            <w:vAlign w:val="center"/>
          </w:tcPr>
          <w:p w14:paraId="79B06125">
            <w:pPr>
              <w:pStyle w:val="75"/>
              <w:bidi w:val="0"/>
              <w:rPr>
                <w:color w:val="auto"/>
              </w:rPr>
            </w:pPr>
            <w:r>
              <w:rPr>
                <w:color w:val="auto"/>
              </w:rPr>
              <w:t>变化量</w:t>
            </w:r>
          </w:p>
          <w:p w14:paraId="570FF7B2">
            <w:pPr>
              <w:pStyle w:val="75"/>
              <w:bidi w:val="0"/>
              <w:rPr>
                <w:color w:val="auto"/>
              </w:rPr>
            </w:pPr>
            <w:r>
              <w:rPr>
                <w:color w:val="auto"/>
              </w:rPr>
              <w:fldChar w:fldCharType="begin"/>
            </w:r>
            <w:r>
              <w:rPr>
                <w:color w:val="auto"/>
              </w:rPr>
              <w:instrText xml:space="preserve"> = 7 \* GB3 \* MERGEFORMAT </w:instrText>
            </w:r>
            <w:r>
              <w:rPr>
                <w:color w:val="auto"/>
              </w:rPr>
              <w:fldChar w:fldCharType="separate"/>
            </w:r>
            <w:r>
              <w:rPr>
                <w:color w:val="auto"/>
              </w:rPr>
              <w:t>⑦</w:t>
            </w:r>
            <w:r>
              <w:rPr>
                <w:color w:val="auto"/>
              </w:rPr>
              <w:fldChar w:fldCharType="end"/>
            </w:r>
          </w:p>
        </w:tc>
      </w:tr>
      <w:tr w14:paraId="49316B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229" w:type="dxa"/>
            <w:vMerge w:val="restart"/>
            <w:noWrap w:val="0"/>
            <w:vAlign w:val="center"/>
          </w:tcPr>
          <w:p w14:paraId="6F2F14AF">
            <w:pPr>
              <w:pStyle w:val="75"/>
              <w:bidi w:val="0"/>
              <w:rPr>
                <w:rFonts w:hint="eastAsia"/>
                <w:color w:val="auto"/>
                <w:lang w:val="en-US" w:eastAsia="zh-CN"/>
              </w:rPr>
            </w:pPr>
            <w:r>
              <w:rPr>
                <w:rFonts w:hint="eastAsia"/>
                <w:color w:val="auto"/>
                <w:lang w:val="en-US" w:eastAsia="zh-CN"/>
              </w:rPr>
              <w:t>废气</w:t>
            </w:r>
          </w:p>
        </w:tc>
        <w:tc>
          <w:tcPr>
            <w:tcW w:w="3030" w:type="dxa"/>
            <w:noWrap w:val="0"/>
            <w:vAlign w:val="center"/>
          </w:tcPr>
          <w:p w14:paraId="5156E3D0">
            <w:pPr>
              <w:pStyle w:val="75"/>
              <w:bidi w:val="0"/>
              <w:rPr>
                <w:rFonts w:hint="eastAsia" w:eastAsia="宋体"/>
                <w:color w:val="auto"/>
                <w:highlight w:val="none"/>
                <w:lang w:eastAsia="zh-CN"/>
              </w:rPr>
            </w:pPr>
            <w:r>
              <w:rPr>
                <w:rFonts w:hint="eastAsia"/>
                <w:color w:val="auto"/>
                <w:highlight w:val="none"/>
                <w:lang w:val="en-US" w:eastAsia="zh-CN"/>
              </w:rPr>
              <w:t>挥发性有机物</w:t>
            </w:r>
            <w:r>
              <w:rPr>
                <w:rFonts w:hint="eastAsia"/>
                <w:color w:val="auto"/>
                <w:highlight w:val="none"/>
                <w:lang w:eastAsia="zh-CN"/>
              </w:rPr>
              <w:t>（</w:t>
            </w:r>
            <w:r>
              <w:rPr>
                <w:color w:val="auto"/>
                <w:highlight w:val="none"/>
              </w:rPr>
              <w:t>t/a</w:t>
            </w:r>
            <w:r>
              <w:rPr>
                <w:rFonts w:hint="eastAsia"/>
                <w:color w:val="auto"/>
                <w:highlight w:val="none"/>
                <w:lang w:eastAsia="zh-CN"/>
              </w:rPr>
              <w:t>）</w:t>
            </w:r>
          </w:p>
        </w:tc>
        <w:tc>
          <w:tcPr>
            <w:tcW w:w="1436" w:type="dxa"/>
            <w:shd w:val="clear" w:color="auto" w:fill="auto"/>
            <w:noWrap w:val="0"/>
            <w:vAlign w:val="center"/>
          </w:tcPr>
          <w:p w14:paraId="529AF884">
            <w:pPr>
              <w:pStyle w:val="75"/>
              <w:bidi w:val="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w:t>
            </w:r>
          </w:p>
        </w:tc>
        <w:tc>
          <w:tcPr>
            <w:tcW w:w="1150" w:type="dxa"/>
            <w:shd w:val="clear" w:color="auto" w:fill="auto"/>
            <w:noWrap w:val="0"/>
            <w:vAlign w:val="center"/>
          </w:tcPr>
          <w:p w14:paraId="154382E3">
            <w:pPr>
              <w:pStyle w:val="75"/>
              <w:bidi w:val="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w:t>
            </w:r>
          </w:p>
        </w:tc>
        <w:tc>
          <w:tcPr>
            <w:tcW w:w="1450" w:type="dxa"/>
            <w:shd w:val="clear" w:color="auto" w:fill="auto"/>
            <w:noWrap w:val="0"/>
            <w:vAlign w:val="center"/>
          </w:tcPr>
          <w:p w14:paraId="44EBE297">
            <w:pPr>
              <w:pStyle w:val="75"/>
              <w:bidi w:val="0"/>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w:t>
            </w:r>
          </w:p>
        </w:tc>
        <w:tc>
          <w:tcPr>
            <w:tcW w:w="1500" w:type="dxa"/>
            <w:shd w:val="clear" w:color="auto" w:fill="auto"/>
            <w:noWrap w:val="0"/>
            <w:vAlign w:val="center"/>
          </w:tcPr>
          <w:p w14:paraId="2ADB97EF">
            <w:pPr>
              <w:pStyle w:val="75"/>
              <w:bidi w:val="0"/>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0.0293</w:t>
            </w:r>
          </w:p>
        </w:tc>
        <w:tc>
          <w:tcPr>
            <w:tcW w:w="1667" w:type="dxa"/>
            <w:noWrap w:val="0"/>
            <w:vAlign w:val="center"/>
          </w:tcPr>
          <w:p w14:paraId="6E42D6DC">
            <w:pPr>
              <w:pStyle w:val="75"/>
              <w:bidi w:val="0"/>
              <w:rPr>
                <w:rFonts w:hint="eastAsia"/>
                <w:color w:val="auto"/>
                <w:highlight w:val="none"/>
              </w:rPr>
            </w:pPr>
            <w:r>
              <w:rPr>
                <w:rFonts w:hint="eastAsia"/>
                <w:color w:val="auto"/>
                <w:highlight w:val="none"/>
                <w:lang w:val="en-US" w:eastAsia="zh-CN"/>
              </w:rPr>
              <w:t>/</w:t>
            </w:r>
          </w:p>
        </w:tc>
        <w:tc>
          <w:tcPr>
            <w:tcW w:w="1633" w:type="dxa"/>
            <w:shd w:val="clear" w:color="auto" w:fill="auto"/>
            <w:noWrap w:val="0"/>
            <w:vAlign w:val="center"/>
          </w:tcPr>
          <w:p w14:paraId="0E307F21">
            <w:pPr>
              <w:pStyle w:val="75"/>
              <w:bidi w:val="0"/>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0.0293</w:t>
            </w:r>
          </w:p>
        </w:tc>
        <w:tc>
          <w:tcPr>
            <w:tcW w:w="989" w:type="dxa"/>
            <w:shd w:val="clear" w:color="auto" w:fill="auto"/>
            <w:noWrap w:val="0"/>
            <w:vAlign w:val="center"/>
          </w:tcPr>
          <w:p w14:paraId="0CF7DCE8">
            <w:pPr>
              <w:pStyle w:val="75"/>
              <w:bidi w:val="0"/>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+0.0293</w:t>
            </w:r>
          </w:p>
        </w:tc>
      </w:tr>
      <w:tr w14:paraId="2A22D2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43D208D5">
            <w:pPr>
              <w:pStyle w:val="75"/>
              <w:bidi w:val="0"/>
              <w:rPr>
                <w:rFonts w:hint="eastAsia"/>
                <w:color w:val="auto"/>
                <w:lang w:val="en-US" w:eastAsia="zh-CN"/>
              </w:rPr>
            </w:pPr>
          </w:p>
        </w:tc>
        <w:tc>
          <w:tcPr>
            <w:tcW w:w="3030" w:type="dxa"/>
            <w:noWrap w:val="0"/>
            <w:vAlign w:val="center"/>
          </w:tcPr>
          <w:p w14:paraId="328C3C6F">
            <w:pPr>
              <w:pStyle w:val="75"/>
              <w:bidi w:val="0"/>
              <w:rPr>
                <w:rFonts w:hint="default" w:eastAsia="宋体"/>
                <w:color w:val="auto"/>
                <w:lang w:val="en-US" w:eastAsia="zh-CN"/>
              </w:rPr>
            </w:pPr>
            <w:r>
              <w:rPr>
                <w:rFonts w:hint="eastAsia"/>
                <w:color w:val="auto"/>
                <w:lang w:val="en-US" w:eastAsia="zh-CN"/>
              </w:rPr>
              <w:t>颗粒物（t/a）</w:t>
            </w:r>
          </w:p>
        </w:tc>
        <w:tc>
          <w:tcPr>
            <w:tcW w:w="1436" w:type="dxa"/>
            <w:shd w:val="clear" w:color="auto" w:fill="auto"/>
            <w:noWrap w:val="0"/>
            <w:vAlign w:val="center"/>
          </w:tcPr>
          <w:p w14:paraId="28069C64">
            <w:pPr>
              <w:pStyle w:val="75"/>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150" w:type="dxa"/>
            <w:shd w:val="clear" w:color="auto" w:fill="auto"/>
            <w:noWrap w:val="0"/>
            <w:vAlign w:val="center"/>
          </w:tcPr>
          <w:p w14:paraId="05C8FFC6">
            <w:pPr>
              <w:pStyle w:val="75"/>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450" w:type="dxa"/>
            <w:shd w:val="clear" w:color="auto" w:fill="auto"/>
            <w:noWrap w:val="0"/>
            <w:vAlign w:val="center"/>
          </w:tcPr>
          <w:p w14:paraId="63DAB1EB">
            <w:pPr>
              <w:pStyle w:val="75"/>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500" w:type="dxa"/>
            <w:shd w:val="clear" w:color="auto" w:fill="auto"/>
            <w:noWrap w:val="0"/>
            <w:vAlign w:val="center"/>
          </w:tcPr>
          <w:p w14:paraId="7C0A6B1C">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0.3518</w:t>
            </w:r>
          </w:p>
        </w:tc>
        <w:tc>
          <w:tcPr>
            <w:tcW w:w="1667" w:type="dxa"/>
            <w:noWrap w:val="0"/>
            <w:vAlign w:val="center"/>
          </w:tcPr>
          <w:p w14:paraId="776C0EB4">
            <w:pPr>
              <w:pStyle w:val="75"/>
              <w:bidi w:val="0"/>
              <w:rPr>
                <w:rFonts w:hint="default"/>
                <w:color w:val="auto"/>
                <w:lang w:val="en-US" w:eastAsia="zh-CN"/>
              </w:rPr>
            </w:pPr>
            <w:r>
              <w:rPr>
                <w:rFonts w:hint="eastAsia"/>
                <w:color w:val="auto"/>
                <w:lang w:val="en-US" w:eastAsia="zh-CN"/>
              </w:rPr>
              <w:t>/</w:t>
            </w:r>
          </w:p>
        </w:tc>
        <w:tc>
          <w:tcPr>
            <w:tcW w:w="1633" w:type="dxa"/>
            <w:shd w:val="clear" w:color="auto" w:fill="auto"/>
            <w:noWrap w:val="0"/>
            <w:vAlign w:val="center"/>
          </w:tcPr>
          <w:p w14:paraId="1BBBD7B2">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0.3518</w:t>
            </w:r>
          </w:p>
        </w:tc>
        <w:tc>
          <w:tcPr>
            <w:tcW w:w="989" w:type="dxa"/>
            <w:shd w:val="clear" w:color="auto" w:fill="auto"/>
            <w:noWrap w:val="0"/>
            <w:vAlign w:val="center"/>
          </w:tcPr>
          <w:p w14:paraId="094B0AEE">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+0.3518</w:t>
            </w:r>
          </w:p>
        </w:tc>
      </w:tr>
      <w:tr w14:paraId="194FB0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1229" w:type="dxa"/>
            <w:vMerge w:val="restart"/>
            <w:noWrap w:val="0"/>
            <w:vAlign w:val="center"/>
          </w:tcPr>
          <w:p w14:paraId="7A817273">
            <w:pPr>
              <w:pStyle w:val="75"/>
              <w:bidi w:val="0"/>
              <w:rPr>
                <w:color w:val="auto"/>
              </w:rPr>
            </w:pPr>
            <w:r>
              <w:rPr>
                <w:color w:val="auto"/>
              </w:rPr>
              <w:t>废水</w:t>
            </w:r>
          </w:p>
        </w:tc>
        <w:tc>
          <w:tcPr>
            <w:tcW w:w="3030" w:type="dxa"/>
            <w:noWrap w:val="0"/>
            <w:vAlign w:val="center"/>
          </w:tcPr>
          <w:p w14:paraId="27F96A43">
            <w:pPr>
              <w:pStyle w:val="75"/>
              <w:bidi w:val="0"/>
              <w:rPr>
                <w:rFonts w:hint="eastAsia" w:eastAsia="宋体"/>
                <w:color w:val="auto"/>
                <w:lang w:eastAsia="zh-CN"/>
              </w:rPr>
            </w:pPr>
            <w:r>
              <w:rPr>
                <w:color w:val="auto"/>
              </w:rPr>
              <w:t>COD</w:t>
            </w:r>
            <w:r>
              <w:rPr>
                <w:rFonts w:hint="eastAsia"/>
                <w:color w:val="auto"/>
                <w:lang w:eastAsia="zh-CN"/>
              </w:rPr>
              <w:t>(</w:t>
            </w:r>
            <w:r>
              <w:rPr>
                <w:color w:val="auto"/>
              </w:rPr>
              <w:t>t/a</w:t>
            </w:r>
            <w:r>
              <w:rPr>
                <w:rFonts w:hint="eastAsia"/>
                <w:color w:val="auto"/>
                <w:lang w:eastAsia="zh-CN"/>
              </w:rPr>
              <w:t>)</w:t>
            </w:r>
          </w:p>
        </w:tc>
        <w:tc>
          <w:tcPr>
            <w:tcW w:w="1436" w:type="dxa"/>
            <w:shd w:val="clear" w:color="auto" w:fill="auto"/>
            <w:noWrap w:val="0"/>
            <w:vAlign w:val="center"/>
          </w:tcPr>
          <w:p w14:paraId="103D1696">
            <w:pPr>
              <w:pStyle w:val="75"/>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150" w:type="dxa"/>
            <w:shd w:val="clear" w:color="auto" w:fill="auto"/>
            <w:noWrap w:val="0"/>
            <w:vAlign w:val="center"/>
          </w:tcPr>
          <w:p w14:paraId="18E22812">
            <w:pPr>
              <w:pStyle w:val="75"/>
              <w:bidi w:val="0"/>
              <w:rPr>
                <w:rFonts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450" w:type="dxa"/>
            <w:shd w:val="clear" w:color="auto" w:fill="auto"/>
            <w:noWrap w:val="0"/>
            <w:vAlign w:val="center"/>
          </w:tcPr>
          <w:p w14:paraId="3CCB9697">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500" w:type="dxa"/>
            <w:shd w:val="clear" w:color="auto" w:fill="auto"/>
            <w:noWrap w:val="0"/>
            <w:vAlign w:val="center"/>
          </w:tcPr>
          <w:p w14:paraId="675C6A73">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0.072</w:t>
            </w:r>
          </w:p>
        </w:tc>
        <w:tc>
          <w:tcPr>
            <w:tcW w:w="1667" w:type="dxa"/>
            <w:noWrap w:val="0"/>
            <w:vAlign w:val="center"/>
          </w:tcPr>
          <w:p w14:paraId="1755F35B">
            <w:pPr>
              <w:pStyle w:val="75"/>
              <w:bidi w:val="0"/>
              <w:rPr>
                <w:rFonts w:hint="eastAsia"/>
                <w:color w:val="auto"/>
              </w:rPr>
            </w:pPr>
            <w:r>
              <w:rPr>
                <w:rFonts w:hint="eastAsia"/>
                <w:color w:val="auto"/>
                <w:lang w:val="en-US" w:eastAsia="zh-CN"/>
              </w:rPr>
              <w:t>/</w:t>
            </w:r>
          </w:p>
        </w:tc>
        <w:tc>
          <w:tcPr>
            <w:tcW w:w="1633" w:type="dxa"/>
            <w:shd w:val="clear" w:color="auto" w:fill="auto"/>
            <w:noWrap w:val="0"/>
            <w:vAlign w:val="center"/>
          </w:tcPr>
          <w:p w14:paraId="7FC1CCBA">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0.072</w:t>
            </w:r>
          </w:p>
        </w:tc>
        <w:tc>
          <w:tcPr>
            <w:tcW w:w="989" w:type="dxa"/>
            <w:shd w:val="clear" w:color="auto" w:fill="auto"/>
            <w:noWrap w:val="0"/>
            <w:vAlign w:val="center"/>
          </w:tcPr>
          <w:p w14:paraId="16854B84">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+0.072</w:t>
            </w:r>
          </w:p>
        </w:tc>
      </w:tr>
      <w:tr w14:paraId="2A00B8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9" w:type="dxa"/>
            <w:vMerge w:val="continue"/>
            <w:noWrap w:val="0"/>
            <w:vAlign w:val="center"/>
          </w:tcPr>
          <w:p w14:paraId="1F1E6C82">
            <w:pPr>
              <w:pStyle w:val="75"/>
              <w:bidi w:val="0"/>
              <w:rPr>
                <w:color w:val="auto"/>
              </w:rPr>
            </w:pPr>
          </w:p>
        </w:tc>
        <w:tc>
          <w:tcPr>
            <w:tcW w:w="3030" w:type="dxa"/>
            <w:noWrap w:val="0"/>
            <w:vAlign w:val="center"/>
          </w:tcPr>
          <w:p w14:paraId="7B205CF3">
            <w:pPr>
              <w:pStyle w:val="75"/>
              <w:bidi w:val="0"/>
              <w:rPr>
                <w:rFonts w:hint="eastAsia" w:eastAsia="宋体"/>
                <w:color w:val="auto"/>
                <w:lang w:eastAsia="zh-CN"/>
              </w:rPr>
            </w:pPr>
            <w:r>
              <w:rPr>
                <w:color w:val="auto"/>
              </w:rPr>
              <w:t>BOD</w:t>
            </w:r>
            <w:r>
              <w:rPr>
                <w:color w:val="auto"/>
                <w:vertAlign w:val="subscript"/>
              </w:rPr>
              <w:t>5</w:t>
            </w:r>
            <w:r>
              <w:rPr>
                <w:rFonts w:hint="eastAsia"/>
                <w:color w:val="auto"/>
                <w:vertAlign w:val="subscript"/>
                <w:lang w:eastAsia="zh-CN"/>
              </w:rPr>
              <w:t>(</w:t>
            </w:r>
            <w:r>
              <w:rPr>
                <w:color w:val="auto"/>
              </w:rPr>
              <w:t>t/a</w:t>
            </w:r>
            <w:r>
              <w:rPr>
                <w:rFonts w:hint="eastAsia"/>
                <w:color w:val="auto"/>
                <w:lang w:eastAsia="zh-CN"/>
              </w:rPr>
              <w:t>)</w:t>
            </w:r>
          </w:p>
        </w:tc>
        <w:tc>
          <w:tcPr>
            <w:tcW w:w="1436" w:type="dxa"/>
            <w:shd w:val="clear" w:color="auto" w:fill="auto"/>
            <w:noWrap w:val="0"/>
            <w:vAlign w:val="center"/>
          </w:tcPr>
          <w:p w14:paraId="3E6C1900">
            <w:pPr>
              <w:pStyle w:val="75"/>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150" w:type="dxa"/>
            <w:shd w:val="clear" w:color="auto" w:fill="auto"/>
            <w:noWrap w:val="0"/>
            <w:vAlign w:val="center"/>
          </w:tcPr>
          <w:p w14:paraId="27C16663">
            <w:pPr>
              <w:pStyle w:val="75"/>
              <w:bidi w:val="0"/>
              <w:rPr>
                <w:rFonts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450" w:type="dxa"/>
            <w:shd w:val="clear" w:color="auto" w:fill="auto"/>
            <w:noWrap w:val="0"/>
            <w:vAlign w:val="center"/>
          </w:tcPr>
          <w:p w14:paraId="6E8648B2">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500" w:type="dxa"/>
            <w:shd w:val="clear" w:color="auto" w:fill="auto"/>
            <w:noWrap w:val="0"/>
            <w:vAlign w:val="center"/>
          </w:tcPr>
          <w:p w14:paraId="1D198027">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0.0337</w:t>
            </w:r>
          </w:p>
        </w:tc>
        <w:tc>
          <w:tcPr>
            <w:tcW w:w="1667" w:type="dxa"/>
            <w:noWrap w:val="0"/>
            <w:vAlign w:val="center"/>
          </w:tcPr>
          <w:p w14:paraId="1B776C16">
            <w:pPr>
              <w:pStyle w:val="75"/>
              <w:bidi w:val="0"/>
              <w:rPr>
                <w:rFonts w:hint="eastAsia"/>
                <w:color w:val="auto"/>
              </w:rPr>
            </w:pPr>
            <w:r>
              <w:rPr>
                <w:rFonts w:hint="eastAsia"/>
                <w:color w:val="auto"/>
                <w:lang w:val="en-US" w:eastAsia="zh-CN"/>
              </w:rPr>
              <w:t>/</w:t>
            </w:r>
          </w:p>
        </w:tc>
        <w:tc>
          <w:tcPr>
            <w:tcW w:w="1633" w:type="dxa"/>
            <w:shd w:val="clear" w:color="auto" w:fill="auto"/>
            <w:noWrap w:val="0"/>
            <w:vAlign w:val="center"/>
          </w:tcPr>
          <w:p w14:paraId="19C0085A">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0.0337</w:t>
            </w:r>
          </w:p>
        </w:tc>
        <w:tc>
          <w:tcPr>
            <w:tcW w:w="989" w:type="dxa"/>
            <w:shd w:val="clear" w:color="auto" w:fill="auto"/>
            <w:noWrap w:val="0"/>
            <w:vAlign w:val="center"/>
          </w:tcPr>
          <w:p w14:paraId="7F7FDD6A">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+0.0337</w:t>
            </w:r>
          </w:p>
        </w:tc>
      </w:tr>
      <w:tr w14:paraId="2C7540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9" w:type="dxa"/>
            <w:vMerge w:val="continue"/>
            <w:noWrap w:val="0"/>
            <w:vAlign w:val="center"/>
          </w:tcPr>
          <w:p w14:paraId="573C810A">
            <w:pPr>
              <w:pStyle w:val="75"/>
              <w:bidi w:val="0"/>
              <w:rPr>
                <w:color w:val="auto"/>
              </w:rPr>
            </w:pPr>
          </w:p>
        </w:tc>
        <w:tc>
          <w:tcPr>
            <w:tcW w:w="3030" w:type="dxa"/>
            <w:noWrap w:val="0"/>
            <w:vAlign w:val="center"/>
          </w:tcPr>
          <w:p w14:paraId="293B86E4">
            <w:pPr>
              <w:pStyle w:val="75"/>
              <w:bidi w:val="0"/>
              <w:rPr>
                <w:rFonts w:hint="eastAsia" w:eastAsia="宋体"/>
                <w:color w:val="auto"/>
                <w:lang w:eastAsia="zh-CN"/>
              </w:rPr>
            </w:pPr>
            <w:r>
              <w:rPr>
                <w:color w:val="auto"/>
              </w:rPr>
              <w:t>SS</w:t>
            </w:r>
            <w:r>
              <w:rPr>
                <w:rFonts w:hint="eastAsia"/>
                <w:color w:val="auto"/>
                <w:lang w:eastAsia="zh-CN"/>
              </w:rPr>
              <w:t>(</w:t>
            </w:r>
            <w:r>
              <w:rPr>
                <w:color w:val="auto"/>
              </w:rPr>
              <w:t>t/a</w:t>
            </w:r>
            <w:r>
              <w:rPr>
                <w:rFonts w:hint="eastAsia"/>
                <w:color w:val="auto"/>
                <w:lang w:eastAsia="zh-CN"/>
              </w:rPr>
              <w:t>)</w:t>
            </w:r>
          </w:p>
        </w:tc>
        <w:tc>
          <w:tcPr>
            <w:tcW w:w="1436" w:type="dxa"/>
            <w:shd w:val="clear" w:color="auto" w:fill="auto"/>
            <w:noWrap w:val="0"/>
            <w:vAlign w:val="center"/>
          </w:tcPr>
          <w:p w14:paraId="117B2D7B">
            <w:pPr>
              <w:pStyle w:val="75"/>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150" w:type="dxa"/>
            <w:shd w:val="clear" w:color="auto" w:fill="auto"/>
            <w:noWrap w:val="0"/>
            <w:vAlign w:val="center"/>
          </w:tcPr>
          <w:p w14:paraId="4298D7B3">
            <w:pPr>
              <w:pStyle w:val="75"/>
              <w:bidi w:val="0"/>
              <w:rPr>
                <w:rFonts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450" w:type="dxa"/>
            <w:shd w:val="clear" w:color="auto" w:fill="auto"/>
            <w:noWrap w:val="0"/>
            <w:vAlign w:val="center"/>
          </w:tcPr>
          <w:p w14:paraId="70A68D9D">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500" w:type="dxa"/>
            <w:shd w:val="clear" w:color="auto" w:fill="auto"/>
            <w:noWrap w:val="0"/>
            <w:vAlign w:val="center"/>
          </w:tcPr>
          <w:p w14:paraId="1CD46FD8">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0.0252</w:t>
            </w:r>
          </w:p>
        </w:tc>
        <w:tc>
          <w:tcPr>
            <w:tcW w:w="1667" w:type="dxa"/>
            <w:noWrap w:val="0"/>
            <w:vAlign w:val="center"/>
          </w:tcPr>
          <w:p w14:paraId="7F2A6589">
            <w:pPr>
              <w:pStyle w:val="75"/>
              <w:bidi w:val="0"/>
              <w:rPr>
                <w:rFonts w:hint="eastAsia"/>
                <w:color w:val="auto"/>
              </w:rPr>
            </w:pPr>
            <w:r>
              <w:rPr>
                <w:rFonts w:hint="eastAsia"/>
                <w:color w:val="auto"/>
                <w:lang w:val="en-US" w:eastAsia="zh-CN"/>
              </w:rPr>
              <w:t>/</w:t>
            </w:r>
          </w:p>
        </w:tc>
        <w:tc>
          <w:tcPr>
            <w:tcW w:w="1633" w:type="dxa"/>
            <w:shd w:val="clear" w:color="auto" w:fill="auto"/>
            <w:noWrap w:val="0"/>
            <w:vAlign w:val="center"/>
          </w:tcPr>
          <w:p w14:paraId="0E0AC575">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0.0252</w:t>
            </w:r>
          </w:p>
        </w:tc>
        <w:tc>
          <w:tcPr>
            <w:tcW w:w="989" w:type="dxa"/>
            <w:shd w:val="clear" w:color="auto" w:fill="auto"/>
            <w:noWrap w:val="0"/>
            <w:vAlign w:val="center"/>
          </w:tcPr>
          <w:p w14:paraId="57B58689">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+0.0252</w:t>
            </w:r>
          </w:p>
        </w:tc>
      </w:tr>
      <w:tr w14:paraId="610697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9" w:type="dxa"/>
            <w:vMerge w:val="continue"/>
            <w:noWrap w:val="0"/>
            <w:vAlign w:val="center"/>
          </w:tcPr>
          <w:p w14:paraId="15E4FA04">
            <w:pPr>
              <w:pStyle w:val="75"/>
              <w:bidi w:val="0"/>
              <w:rPr>
                <w:color w:val="auto"/>
              </w:rPr>
            </w:pPr>
          </w:p>
        </w:tc>
        <w:tc>
          <w:tcPr>
            <w:tcW w:w="3030" w:type="dxa"/>
            <w:noWrap w:val="0"/>
            <w:vAlign w:val="center"/>
          </w:tcPr>
          <w:p w14:paraId="55889C40">
            <w:pPr>
              <w:pStyle w:val="75"/>
              <w:bidi w:val="0"/>
              <w:rPr>
                <w:rFonts w:hint="eastAsia" w:eastAsia="宋体"/>
                <w:color w:val="auto"/>
                <w:lang w:eastAsia="zh-CN"/>
              </w:rPr>
            </w:pPr>
            <w:r>
              <w:rPr>
                <w:color w:val="auto"/>
              </w:rPr>
              <w:t>NH</w:t>
            </w:r>
            <w:r>
              <w:rPr>
                <w:color w:val="auto"/>
                <w:vertAlign w:val="subscript"/>
              </w:rPr>
              <w:t>3</w:t>
            </w:r>
            <w:r>
              <w:rPr>
                <w:color w:val="auto"/>
              </w:rPr>
              <w:t>-N</w:t>
            </w:r>
            <w:r>
              <w:rPr>
                <w:rFonts w:hint="eastAsia"/>
                <w:color w:val="auto"/>
                <w:lang w:eastAsia="zh-CN"/>
              </w:rPr>
              <w:t>(</w:t>
            </w:r>
            <w:r>
              <w:rPr>
                <w:color w:val="auto"/>
              </w:rPr>
              <w:t>t/a</w:t>
            </w:r>
            <w:r>
              <w:rPr>
                <w:rFonts w:hint="eastAsia"/>
                <w:color w:val="auto"/>
                <w:lang w:eastAsia="zh-CN"/>
              </w:rPr>
              <w:t>)</w:t>
            </w:r>
          </w:p>
        </w:tc>
        <w:tc>
          <w:tcPr>
            <w:tcW w:w="1436" w:type="dxa"/>
            <w:shd w:val="clear" w:color="auto" w:fill="auto"/>
            <w:noWrap w:val="0"/>
            <w:vAlign w:val="center"/>
          </w:tcPr>
          <w:p w14:paraId="4677B5D9">
            <w:pPr>
              <w:pStyle w:val="75"/>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150" w:type="dxa"/>
            <w:shd w:val="clear" w:color="auto" w:fill="auto"/>
            <w:noWrap w:val="0"/>
            <w:vAlign w:val="center"/>
          </w:tcPr>
          <w:p w14:paraId="0FF5A504">
            <w:pPr>
              <w:pStyle w:val="75"/>
              <w:bidi w:val="0"/>
              <w:rPr>
                <w:rFonts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450" w:type="dxa"/>
            <w:shd w:val="clear" w:color="auto" w:fill="auto"/>
            <w:noWrap w:val="0"/>
            <w:vAlign w:val="center"/>
          </w:tcPr>
          <w:p w14:paraId="2693660C">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500" w:type="dxa"/>
            <w:shd w:val="clear" w:color="auto" w:fill="auto"/>
            <w:noWrap w:val="0"/>
            <w:vAlign w:val="center"/>
          </w:tcPr>
          <w:p w14:paraId="40E7A8CE">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0.0086</w:t>
            </w:r>
          </w:p>
        </w:tc>
        <w:tc>
          <w:tcPr>
            <w:tcW w:w="1667" w:type="dxa"/>
            <w:noWrap w:val="0"/>
            <w:vAlign w:val="center"/>
          </w:tcPr>
          <w:p w14:paraId="1415276B">
            <w:pPr>
              <w:pStyle w:val="75"/>
              <w:bidi w:val="0"/>
              <w:rPr>
                <w:rFonts w:hint="eastAsia"/>
                <w:color w:val="auto"/>
              </w:rPr>
            </w:pPr>
            <w:r>
              <w:rPr>
                <w:rFonts w:hint="eastAsia"/>
                <w:color w:val="auto"/>
                <w:lang w:val="en-US" w:eastAsia="zh-CN"/>
              </w:rPr>
              <w:t>/</w:t>
            </w:r>
          </w:p>
        </w:tc>
        <w:tc>
          <w:tcPr>
            <w:tcW w:w="1633" w:type="dxa"/>
            <w:shd w:val="clear" w:color="auto" w:fill="auto"/>
            <w:noWrap w:val="0"/>
            <w:vAlign w:val="center"/>
          </w:tcPr>
          <w:p w14:paraId="2C18480F">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0.0086</w:t>
            </w:r>
          </w:p>
        </w:tc>
        <w:tc>
          <w:tcPr>
            <w:tcW w:w="989" w:type="dxa"/>
            <w:shd w:val="clear" w:color="auto" w:fill="auto"/>
            <w:noWrap w:val="0"/>
            <w:vAlign w:val="center"/>
          </w:tcPr>
          <w:p w14:paraId="7AB90188">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+0.0086</w:t>
            </w:r>
          </w:p>
        </w:tc>
      </w:tr>
      <w:tr w14:paraId="47BE7A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9" w:type="dxa"/>
            <w:vMerge w:val="restart"/>
            <w:noWrap w:val="0"/>
            <w:vAlign w:val="center"/>
          </w:tcPr>
          <w:p w14:paraId="6D3D45B1">
            <w:pPr>
              <w:pStyle w:val="75"/>
              <w:bidi w:val="0"/>
              <w:rPr>
                <w:color w:val="auto"/>
              </w:rPr>
            </w:pPr>
            <w:r>
              <w:rPr>
                <w:color w:val="auto"/>
              </w:rPr>
              <w:t>一般工业</w:t>
            </w:r>
          </w:p>
          <w:p w14:paraId="00513C34">
            <w:pPr>
              <w:pStyle w:val="75"/>
              <w:bidi w:val="0"/>
              <w:rPr>
                <w:color w:val="auto"/>
              </w:rPr>
            </w:pPr>
            <w:r>
              <w:rPr>
                <w:color w:val="auto"/>
              </w:rPr>
              <w:t>固体废物</w:t>
            </w:r>
          </w:p>
        </w:tc>
        <w:tc>
          <w:tcPr>
            <w:tcW w:w="3030" w:type="dxa"/>
            <w:noWrap w:val="0"/>
            <w:vAlign w:val="center"/>
          </w:tcPr>
          <w:p w14:paraId="5A3D5710">
            <w:pPr>
              <w:pStyle w:val="75"/>
              <w:bidi w:val="0"/>
              <w:rPr>
                <w:rFonts w:hint="default"/>
                <w:color w:val="auto"/>
                <w:lang w:val="en-US" w:eastAsia="zh-CN"/>
              </w:rPr>
            </w:pPr>
            <w:r>
              <w:rPr>
                <w:rFonts w:hint="eastAsia"/>
                <w:color w:val="auto"/>
                <w:lang w:val="en-US" w:eastAsia="zh-CN"/>
              </w:rPr>
              <w:t>熔融炉渣（不沾染油）（t/a）</w:t>
            </w:r>
          </w:p>
        </w:tc>
        <w:tc>
          <w:tcPr>
            <w:tcW w:w="1436" w:type="dxa"/>
            <w:shd w:val="clear" w:color="auto" w:fill="auto"/>
            <w:noWrap w:val="0"/>
            <w:vAlign w:val="center"/>
          </w:tcPr>
          <w:p w14:paraId="69A1AFF1">
            <w:pPr>
              <w:pStyle w:val="75"/>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150" w:type="dxa"/>
            <w:shd w:val="clear" w:color="auto" w:fill="auto"/>
            <w:noWrap w:val="0"/>
            <w:vAlign w:val="center"/>
          </w:tcPr>
          <w:p w14:paraId="3EB838C8">
            <w:pPr>
              <w:pStyle w:val="75"/>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450" w:type="dxa"/>
            <w:shd w:val="clear" w:color="auto" w:fill="auto"/>
            <w:noWrap w:val="0"/>
            <w:vAlign w:val="center"/>
          </w:tcPr>
          <w:p w14:paraId="40A7D832">
            <w:pPr>
              <w:pStyle w:val="75"/>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500" w:type="dxa"/>
            <w:shd w:val="clear" w:color="auto" w:fill="auto"/>
            <w:noWrap w:val="0"/>
            <w:vAlign w:val="center"/>
          </w:tcPr>
          <w:p w14:paraId="364F7116">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3.8057</w:t>
            </w:r>
          </w:p>
        </w:tc>
        <w:tc>
          <w:tcPr>
            <w:tcW w:w="1667" w:type="dxa"/>
            <w:noWrap w:val="0"/>
            <w:vAlign w:val="center"/>
          </w:tcPr>
          <w:p w14:paraId="703DA217">
            <w:pPr>
              <w:pStyle w:val="75"/>
              <w:bidi w:val="0"/>
              <w:rPr>
                <w:rFonts w:hint="default"/>
                <w:color w:val="auto"/>
                <w:lang w:val="en-US" w:eastAsia="zh-CN"/>
              </w:rPr>
            </w:pPr>
            <w:r>
              <w:rPr>
                <w:rFonts w:hint="eastAsia"/>
                <w:color w:val="auto"/>
                <w:lang w:val="en-US" w:eastAsia="zh-CN"/>
              </w:rPr>
              <w:t>/</w:t>
            </w:r>
          </w:p>
        </w:tc>
        <w:tc>
          <w:tcPr>
            <w:tcW w:w="1633" w:type="dxa"/>
            <w:shd w:val="clear" w:color="auto" w:fill="auto"/>
            <w:noWrap w:val="0"/>
            <w:vAlign w:val="center"/>
          </w:tcPr>
          <w:p w14:paraId="434B3B98">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3.8057</w:t>
            </w:r>
          </w:p>
        </w:tc>
        <w:tc>
          <w:tcPr>
            <w:tcW w:w="989" w:type="dxa"/>
            <w:shd w:val="clear" w:color="auto" w:fill="auto"/>
            <w:noWrap w:val="0"/>
            <w:vAlign w:val="center"/>
          </w:tcPr>
          <w:p w14:paraId="528039E2">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+3.8057</w:t>
            </w:r>
          </w:p>
        </w:tc>
      </w:tr>
      <w:tr w14:paraId="574793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9" w:type="dxa"/>
            <w:vMerge w:val="continue"/>
            <w:noWrap w:val="0"/>
            <w:vAlign w:val="center"/>
          </w:tcPr>
          <w:p w14:paraId="0F0435FB">
            <w:pPr>
              <w:pStyle w:val="75"/>
              <w:bidi w:val="0"/>
              <w:rPr>
                <w:color w:val="auto"/>
              </w:rPr>
            </w:pPr>
          </w:p>
        </w:tc>
        <w:tc>
          <w:tcPr>
            <w:tcW w:w="3030" w:type="dxa"/>
            <w:noWrap w:val="0"/>
            <w:vAlign w:val="center"/>
          </w:tcPr>
          <w:p w14:paraId="2851FFE8">
            <w:pPr>
              <w:pStyle w:val="75"/>
              <w:bidi w:val="0"/>
              <w:rPr>
                <w:rFonts w:hint="default"/>
                <w:color w:val="auto"/>
                <w:lang w:val="en-US" w:eastAsia="zh-CN"/>
              </w:rPr>
            </w:pPr>
            <w:r>
              <w:rPr>
                <w:rFonts w:hint="eastAsia"/>
                <w:color w:val="auto"/>
                <w:lang w:val="en-US" w:eastAsia="zh-CN"/>
              </w:rPr>
              <w:t>不合格产品（t/a）</w:t>
            </w:r>
          </w:p>
        </w:tc>
        <w:tc>
          <w:tcPr>
            <w:tcW w:w="1436" w:type="dxa"/>
            <w:shd w:val="clear" w:color="auto" w:fill="auto"/>
            <w:noWrap w:val="0"/>
            <w:vAlign w:val="center"/>
          </w:tcPr>
          <w:p w14:paraId="5244C778">
            <w:pPr>
              <w:pStyle w:val="75"/>
              <w:bidi w:val="0"/>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w:t>
            </w:r>
          </w:p>
        </w:tc>
        <w:tc>
          <w:tcPr>
            <w:tcW w:w="1150" w:type="dxa"/>
            <w:shd w:val="clear" w:color="auto" w:fill="auto"/>
            <w:noWrap w:val="0"/>
            <w:vAlign w:val="center"/>
          </w:tcPr>
          <w:p w14:paraId="2BDBEA95">
            <w:pPr>
              <w:pStyle w:val="75"/>
              <w:bidi w:val="0"/>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w:t>
            </w:r>
          </w:p>
        </w:tc>
        <w:tc>
          <w:tcPr>
            <w:tcW w:w="1450" w:type="dxa"/>
            <w:shd w:val="clear" w:color="auto" w:fill="auto"/>
            <w:noWrap w:val="0"/>
            <w:vAlign w:val="center"/>
          </w:tcPr>
          <w:p w14:paraId="64C50590">
            <w:pPr>
              <w:pStyle w:val="75"/>
              <w:bidi w:val="0"/>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w:t>
            </w:r>
          </w:p>
        </w:tc>
        <w:tc>
          <w:tcPr>
            <w:tcW w:w="1500" w:type="dxa"/>
            <w:shd w:val="clear" w:color="auto" w:fill="auto"/>
            <w:noWrap w:val="0"/>
            <w:vAlign w:val="center"/>
          </w:tcPr>
          <w:p w14:paraId="35F674E2">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36.5</w:t>
            </w:r>
          </w:p>
        </w:tc>
        <w:tc>
          <w:tcPr>
            <w:tcW w:w="1667" w:type="dxa"/>
            <w:shd w:val="clear" w:color="auto" w:fill="auto"/>
            <w:noWrap w:val="0"/>
            <w:vAlign w:val="center"/>
          </w:tcPr>
          <w:p w14:paraId="5CDB02AA">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633" w:type="dxa"/>
            <w:shd w:val="clear" w:color="auto" w:fill="auto"/>
            <w:noWrap w:val="0"/>
            <w:vAlign w:val="center"/>
          </w:tcPr>
          <w:p w14:paraId="1C2964AF">
            <w:pPr>
              <w:pStyle w:val="75"/>
              <w:bidi w:val="0"/>
              <w:rPr>
                <w:rFonts w:hint="eastAsia"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36.5</w:t>
            </w:r>
          </w:p>
        </w:tc>
        <w:tc>
          <w:tcPr>
            <w:tcW w:w="989" w:type="dxa"/>
            <w:shd w:val="clear" w:color="auto" w:fill="auto"/>
            <w:noWrap w:val="0"/>
            <w:vAlign w:val="center"/>
          </w:tcPr>
          <w:p w14:paraId="7FCBF0D9">
            <w:pPr>
              <w:pStyle w:val="75"/>
              <w:bidi w:val="0"/>
              <w:rPr>
                <w:rFonts w:hint="eastAsia"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+36.5</w:t>
            </w:r>
          </w:p>
        </w:tc>
      </w:tr>
      <w:tr w14:paraId="7B40E5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9" w:type="dxa"/>
            <w:vMerge w:val="continue"/>
            <w:noWrap w:val="0"/>
            <w:vAlign w:val="center"/>
          </w:tcPr>
          <w:p w14:paraId="7A2BAE69">
            <w:pPr>
              <w:pStyle w:val="75"/>
              <w:bidi w:val="0"/>
              <w:rPr>
                <w:color w:val="auto"/>
              </w:rPr>
            </w:pPr>
          </w:p>
        </w:tc>
        <w:tc>
          <w:tcPr>
            <w:tcW w:w="3030" w:type="dxa"/>
            <w:noWrap w:val="0"/>
            <w:vAlign w:val="center"/>
          </w:tcPr>
          <w:p w14:paraId="15B61F61">
            <w:pPr>
              <w:pStyle w:val="75"/>
              <w:bidi w:val="0"/>
              <w:rPr>
                <w:rFonts w:hint="eastAsia"/>
                <w:color w:val="auto"/>
                <w:lang w:val="en-US" w:eastAsia="zh-CN"/>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废边角</w:t>
            </w:r>
            <w:r>
              <w:rPr>
                <w:rFonts w:hint="eastAsia" w:cs="Times New Roman"/>
                <w:color w:val="000000" w:themeColor="text1"/>
                <w:sz w:val="21"/>
                <w:szCs w:val="21"/>
                <w:highlight w:val="none"/>
                <w:lang w:val="en-US" w:eastAsia="zh-CN"/>
                <w14:textFill>
                  <w14:solidFill>
                    <w14:schemeClr w14:val="tx1"/>
                  </w14:solidFill>
                </w14:textFill>
              </w:rPr>
              <w:t>、碎屑</w:t>
            </w:r>
            <w:r>
              <w:rPr>
                <w:rFonts w:hint="eastAsia"/>
                <w:color w:val="auto"/>
                <w:lang w:val="en-US" w:eastAsia="zh-CN"/>
              </w:rPr>
              <w:t>（t/a）</w:t>
            </w:r>
          </w:p>
        </w:tc>
        <w:tc>
          <w:tcPr>
            <w:tcW w:w="1436" w:type="dxa"/>
            <w:shd w:val="clear" w:color="auto" w:fill="auto"/>
            <w:noWrap w:val="0"/>
            <w:vAlign w:val="center"/>
          </w:tcPr>
          <w:p w14:paraId="5BBF164E">
            <w:pPr>
              <w:pStyle w:val="75"/>
              <w:bidi w:val="0"/>
              <w:rPr>
                <w:rFonts w:hint="default"/>
                <w:color w:val="auto"/>
                <w:highlight w:val="none"/>
                <w:lang w:val="en-US" w:eastAsia="zh-CN"/>
              </w:rPr>
            </w:pPr>
            <w:r>
              <w:rPr>
                <w:rFonts w:hint="eastAsia"/>
                <w:color w:val="auto"/>
                <w:highlight w:val="none"/>
                <w:lang w:val="en-US" w:eastAsia="zh-CN"/>
              </w:rPr>
              <w:t>/</w:t>
            </w:r>
          </w:p>
        </w:tc>
        <w:tc>
          <w:tcPr>
            <w:tcW w:w="1150" w:type="dxa"/>
            <w:shd w:val="clear" w:color="auto" w:fill="auto"/>
            <w:noWrap w:val="0"/>
            <w:vAlign w:val="center"/>
          </w:tcPr>
          <w:p w14:paraId="78FD36AD">
            <w:pPr>
              <w:pStyle w:val="75"/>
              <w:bidi w:val="0"/>
              <w:rPr>
                <w:rFonts w:hint="default"/>
                <w:color w:val="auto"/>
                <w:highlight w:val="none"/>
                <w:lang w:val="en-US" w:eastAsia="zh-CN"/>
              </w:rPr>
            </w:pPr>
            <w:r>
              <w:rPr>
                <w:rFonts w:hint="eastAsia"/>
                <w:color w:val="auto"/>
                <w:highlight w:val="none"/>
                <w:lang w:val="en-US" w:eastAsia="zh-CN"/>
              </w:rPr>
              <w:t>/</w:t>
            </w:r>
          </w:p>
        </w:tc>
        <w:tc>
          <w:tcPr>
            <w:tcW w:w="1450" w:type="dxa"/>
            <w:shd w:val="clear" w:color="auto" w:fill="auto"/>
            <w:noWrap w:val="0"/>
            <w:vAlign w:val="center"/>
          </w:tcPr>
          <w:p w14:paraId="05599237">
            <w:pPr>
              <w:pStyle w:val="75"/>
              <w:bidi w:val="0"/>
              <w:rPr>
                <w:rFonts w:hint="default"/>
                <w:color w:val="auto"/>
                <w:highlight w:val="none"/>
                <w:lang w:val="en-US" w:eastAsia="zh-CN"/>
              </w:rPr>
            </w:pPr>
            <w:r>
              <w:rPr>
                <w:rFonts w:hint="eastAsia"/>
                <w:color w:val="auto"/>
                <w:highlight w:val="none"/>
                <w:lang w:val="en-US" w:eastAsia="zh-CN"/>
              </w:rPr>
              <w:t>/</w:t>
            </w:r>
          </w:p>
        </w:tc>
        <w:tc>
          <w:tcPr>
            <w:tcW w:w="1500" w:type="dxa"/>
            <w:shd w:val="clear" w:color="auto" w:fill="auto"/>
            <w:noWrap w:val="0"/>
            <w:vAlign w:val="center"/>
          </w:tcPr>
          <w:p w14:paraId="482D8E94">
            <w:pPr>
              <w:pStyle w:val="75"/>
              <w:bidi w:val="0"/>
              <w:rPr>
                <w:rFonts w:hint="default" w:cs="Times New Roman"/>
                <w:color w:val="auto"/>
                <w:kern w:val="0"/>
                <w:sz w:val="21"/>
                <w:szCs w:val="20"/>
                <w:lang w:val="en-US" w:eastAsia="zh-CN" w:bidi="ar-SA"/>
              </w:rPr>
            </w:pPr>
            <w:r>
              <w:rPr>
                <w:rFonts w:hint="eastAsia" w:cs="Times New Roman"/>
                <w:color w:val="auto"/>
                <w:kern w:val="0"/>
                <w:sz w:val="21"/>
                <w:szCs w:val="20"/>
                <w:lang w:val="en-US" w:eastAsia="zh-CN" w:bidi="ar-SA"/>
              </w:rPr>
              <w:t>7.3</w:t>
            </w:r>
          </w:p>
        </w:tc>
        <w:tc>
          <w:tcPr>
            <w:tcW w:w="1667" w:type="dxa"/>
            <w:shd w:val="clear" w:color="auto" w:fill="auto"/>
            <w:noWrap w:val="0"/>
            <w:vAlign w:val="center"/>
          </w:tcPr>
          <w:p w14:paraId="1B7FC66C">
            <w:pPr>
              <w:pStyle w:val="75"/>
              <w:bidi w:val="0"/>
              <w:rPr>
                <w:rFonts w:hint="default"/>
                <w:color w:val="auto"/>
                <w:lang w:val="en-US" w:eastAsia="zh-CN"/>
              </w:rPr>
            </w:pPr>
            <w:r>
              <w:rPr>
                <w:rFonts w:hint="eastAsia"/>
                <w:color w:val="auto"/>
                <w:lang w:val="en-US" w:eastAsia="zh-CN"/>
              </w:rPr>
              <w:t>/</w:t>
            </w:r>
          </w:p>
        </w:tc>
        <w:tc>
          <w:tcPr>
            <w:tcW w:w="1633" w:type="dxa"/>
            <w:shd w:val="clear" w:color="auto" w:fill="auto"/>
            <w:noWrap w:val="0"/>
            <w:vAlign w:val="center"/>
          </w:tcPr>
          <w:p w14:paraId="6BF32B33">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7.3</w:t>
            </w:r>
          </w:p>
        </w:tc>
        <w:tc>
          <w:tcPr>
            <w:tcW w:w="989" w:type="dxa"/>
            <w:shd w:val="clear" w:color="auto" w:fill="auto"/>
            <w:noWrap w:val="0"/>
            <w:vAlign w:val="center"/>
          </w:tcPr>
          <w:p w14:paraId="29F6E627">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+7.3</w:t>
            </w:r>
          </w:p>
        </w:tc>
      </w:tr>
      <w:tr w14:paraId="432AD4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9" w:type="dxa"/>
            <w:vMerge w:val="continue"/>
            <w:noWrap w:val="0"/>
            <w:vAlign w:val="center"/>
          </w:tcPr>
          <w:p w14:paraId="1B93CD97">
            <w:pPr>
              <w:pStyle w:val="75"/>
              <w:bidi w:val="0"/>
              <w:rPr>
                <w:color w:val="auto"/>
              </w:rPr>
            </w:pPr>
          </w:p>
        </w:tc>
        <w:tc>
          <w:tcPr>
            <w:tcW w:w="3030" w:type="dxa"/>
            <w:noWrap w:val="0"/>
            <w:vAlign w:val="center"/>
          </w:tcPr>
          <w:p w14:paraId="51F4AC5A">
            <w:pPr>
              <w:pStyle w:val="75"/>
              <w:bidi w:val="0"/>
              <w:rPr>
                <w:rFonts w:hint="default"/>
                <w:color w:val="auto"/>
                <w:lang w:val="en-US" w:eastAsia="zh-CN"/>
              </w:rPr>
            </w:pPr>
            <w:r>
              <w:rPr>
                <w:rFonts w:hint="eastAsia"/>
                <w:color w:val="auto"/>
                <w:lang w:val="en-US" w:eastAsia="zh-CN"/>
              </w:rPr>
              <w:t>收集粉尘（t/a）</w:t>
            </w:r>
          </w:p>
        </w:tc>
        <w:tc>
          <w:tcPr>
            <w:tcW w:w="1436" w:type="dxa"/>
            <w:shd w:val="clear" w:color="auto" w:fill="auto"/>
            <w:noWrap w:val="0"/>
            <w:vAlign w:val="center"/>
          </w:tcPr>
          <w:p w14:paraId="5E3673B3">
            <w:pPr>
              <w:pStyle w:val="75"/>
              <w:bidi w:val="0"/>
              <w:rPr>
                <w:rFonts w:hint="default"/>
                <w:color w:val="auto"/>
                <w:highlight w:val="none"/>
                <w:lang w:val="en-US" w:eastAsia="zh-CN"/>
              </w:rPr>
            </w:pPr>
            <w:r>
              <w:rPr>
                <w:rFonts w:hint="eastAsia"/>
                <w:color w:val="auto"/>
                <w:highlight w:val="none"/>
                <w:lang w:val="en-US" w:eastAsia="zh-CN"/>
              </w:rPr>
              <w:t>/</w:t>
            </w:r>
          </w:p>
        </w:tc>
        <w:tc>
          <w:tcPr>
            <w:tcW w:w="1150" w:type="dxa"/>
            <w:shd w:val="clear" w:color="auto" w:fill="auto"/>
            <w:noWrap w:val="0"/>
            <w:vAlign w:val="center"/>
          </w:tcPr>
          <w:p w14:paraId="5CF92606">
            <w:pPr>
              <w:pStyle w:val="75"/>
              <w:bidi w:val="0"/>
              <w:rPr>
                <w:rFonts w:hint="default"/>
                <w:color w:val="auto"/>
                <w:highlight w:val="none"/>
                <w:lang w:val="en-US" w:eastAsia="zh-CN"/>
              </w:rPr>
            </w:pPr>
            <w:r>
              <w:rPr>
                <w:rFonts w:hint="eastAsia"/>
                <w:color w:val="auto"/>
                <w:highlight w:val="none"/>
                <w:lang w:val="en-US" w:eastAsia="zh-CN"/>
              </w:rPr>
              <w:t>/</w:t>
            </w:r>
          </w:p>
        </w:tc>
        <w:tc>
          <w:tcPr>
            <w:tcW w:w="1450" w:type="dxa"/>
            <w:shd w:val="clear" w:color="auto" w:fill="auto"/>
            <w:noWrap w:val="0"/>
            <w:vAlign w:val="center"/>
          </w:tcPr>
          <w:p w14:paraId="24CC1448">
            <w:pPr>
              <w:pStyle w:val="75"/>
              <w:bidi w:val="0"/>
              <w:rPr>
                <w:rFonts w:hint="default"/>
                <w:color w:val="auto"/>
                <w:highlight w:val="none"/>
                <w:lang w:val="en-US" w:eastAsia="zh-CN"/>
              </w:rPr>
            </w:pPr>
            <w:r>
              <w:rPr>
                <w:rFonts w:hint="eastAsia"/>
                <w:color w:val="auto"/>
                <w:highlight w:val="none"/>
                <w:lang w:val="en-US" w:eastAsia="zh-CN"/>
              </w:rPr>
              <w:t>/</w:t>
            </w:r>
          </w:p>
        </w:tc>
        <w:tc>
          <w:tcPr>
            <w:tcW w:w="1500" w:type="dxa"/>
            <w:shd w:val="clear" w:color="auto" w:fill="auto"/>
            <w:noWrap w:val="0"/>
            <w:vAlign w:val="center"/>
          </w:tcPr>
          <w:p w14:paraId="71DC313C">
            <w:pPr>
              <w:pStyle w:val="75"/>
              <w:bidi w:val="0"/>
              <w:rPr>
                <w:rFonts w:hint="default" w:cs="Times New Roman"/>
                <w:color w:val="auto"/>
                <w:kern w:val="0"/>
                <w:sz w:val="21"/>
                <w:szCs w:val="20"/>
                <w:lang w:val="en-US" w:eastAsia="zh-CN" w:bidi="ar-SA"/>
              </w:rPr>
            </w:pPr>
            <w:r>
              <w:rPr>
                <w:rFonts w:hint="eastAsia" w:cs="Times New Roman"/>
                <w:color w:val="auto"/>
                <w:kern w:val="0"/>
                <w:sz w:val="21"/>
                <w:szCs w:val="20"/>
                <w:lang w:val="en-US" w:eastAsia="zh-CN" w:bidi="ar-SA"/>
              </w:rPr>
              <w:t>1.4999</w:t>
            </w:r>
          </w:p>
        </w:tc>
        <w:tc>
          <w:tcPr>
            <w:tcW w:w="1667" w:type="dxa"/>
            <w:shd w:val="clear" w:color="auto" w:fill="auto"/>
            <w:noWrap w:val="0"/>
            <w:vAlign w:val="center"/>
          </w:tcPr>
          <w:p w14:paraId="4B0A72AB">
            <w:pPr>
              <w:pStyle w:val="75"/>
              <w:bidi w:val="0"/>
              <w:rPr>
                <w:rFonts w:hint="default"/>
                <w:color w:val="auto"/>
                <w:lang w:val="en-US" w:eastAsia="zh-CN"/>
              </w:rPr>
            </w:pPr>
            <w:r>
              <w:rPr>
                <w:rFonts w:hint="eastAsia"/>
                <w:color w:val="auto"/>
                <w:lang w:val="en-US" w:eastAsia="zh-CN"/>
              </w:rPr>
              <w:t>/</w:t>
            </w:r>
          </w:p>
        </w:tc>
        <w:tc>
          <w:tcPr>
            <w:tcW w:w="1633" w:type="dxa"/>
            <w:shd w:val="clear" w:color="auto" w:fill="auto"/>
            <w:noWrap w:val="0"/>
            <w:vAlign w:val="center"/>
          </w:tcPr>
          <w:p w14:paraId="3A65BE56">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1.4999</w:t>
            </w:r>
          </w:p>
        </w:tc>
        <w:tc>
          <w:tcPr>
            <w:tcW w:w="989" w:type="dxa"/>
            <w:shd w:val="clear" w:color="auto" w:fill="auto"/>
            <w:noWrap w:val="0"/>
            <w:vAlign w:val="center"/>
          </w:tcPr>
          <w:p w14:paraId="5F7563F5">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+1.4999</w:t>
            </w:r>
          </w:p>
        </w:tc>
      </w:tr>
      <w:tr w14:paraId="6A6C41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9" w:type="dxa"/>
            <w:vMerge w:val="continue"/>
            <w:noWrap w:val="0"/>
            <w:vAlign w:val="center"/>
          </w:tcPr>
          <w:p w14:paraId="15F4C4E7">
            <w:pPr>
              <w:pStyle w:val="75"/>
              <w:bidi w:val="0"/>
              <w:rPr>
                <w:color w:val="auto"/>
              </w:rPr>
            </w:pPr>
          </w:p>
        </w:tc>
        <w:tc>
          <w:tcPr>
            <w:tcW w:w="3030" w:type="dxa"/>
            <w:noWrap w:val="0"/>
            <w:vAlign w:val="center"/>
          </w:tcPr>
          <w:p w14:paraId="0EB325F7">
            <w:pPr>
              <w:pStyle w:val="75"/>
              <w:bidi w:val="0"/>
              <w:rPr>
                <w:rFonts w:hint="default"/>
                <w:color w:val="auto"/>
                <w:lang w:val="en-US" w:eastAsia="zh-CN"/>
              </w:rPr>
            </w:pPr>
            <w:r>
              <w:rPr>
                <w:rFonts w:hint="eastAsia"/>
                <w:color w:val="auto"/>
                <w:lang w:val="en-US" w:eastAsia="zh-CN"/>
              </w:rPr>
              <w:t>废包装纸箱、包装袋（t/a）</w:t>
            </w:r>
          </w:p>
        </w:tc>
        <w:tc>
          <w:tcPr>
            <w:tcW w:w="1436" w:type="dxa"/>
            <w:shd w:val="clear" w:color="auto" w:fill="auto"/>
            <w:noWrap w:val="0"/>
            <w:vAlign w:val="center"/>
          </w:tcPr>
          <w:p w14:paraId="2C207B4D">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150" w:type="dxa"/>
            <w:shd w:val="clear" w:color="auto" w:fill="auto"/>
            <w:noWrap w:val="0"/>
            <w:vAlign w:val="center"/>
          </w:tcPr>
          <w:p w14:paraId="45B00467">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450" w:type="dxa"/>
            <w:shd w:val="clear" w:color="auto" w:fill="auto"/>
            <w:noWrap w:val="0"/>
            <w:vAlign w:val="center"/>
          </w:tcPr>
          <w:p w14:paraId="61E9AA05">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500" w:type="dxa"/>
            <w:shd w:val="clear" w:color="auto" w:fill="auto"/>
            <w:noWrap w:val="0"/>
            <w:vAlign w:val="center"/>
          </w:tcPr>
          <w:p w14:paraId="649FF362">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0.2</w:t>
            </w:r>
          </w:p>
        </w:tc>
        <w:tc>
          <w:tcPr>
            <w:tcW w:w="1667" w:type="dxa"/>
            <w:shd w:val="clear" w:color="auto" w:fill="auto"/>
            <w:noWrap w:val="0"/>
            <w:vAlign w:val="center"/>
          </w:tcPr>
          <w:p w14:paraId="068EB247">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633" w:type="dxa"/>
            <w:shd w:val="clear" w:color="auto" w:fill="auto"/>
            <w:noWrap w:val="0"/>
            <w:vAlign w:val="center"/>
          </w:tcPr>
          <w:p w14:paraId="43D0E162">
            <w:pPr>
              <w:pStyle w:val="75"/>
              <w:bidi w:val="0"/>
              <w:rPr>
                <w:rFonts w:hint="eastAsia"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0.2</w:t>
            </w:r>
          </w:p>
        </w:tc>
        <w:tc>
          <w:tcPr>
            <w:tcW w:w="989" w:type="dxa"/>
            <w:shd w:val="clear" w:color="auto" w:fill="auto"/>
            <w:noWrap w:val="0"/>
            <w:vAlign w:val="center"/>
          </w:tcPr>
          <w:p w14:paraId="2856B0F6">
            <w:pPr>
              <w:pStyle w:val="75"/>
              <w:bidi w:val="0"/>
              <w:rPr>
                <w:rFonts w:hint="eastAsia"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+0.2</w:t>
            </w:r>
          </w:p>
        </w:tc>
      </w:tr>
      <w:tr w14:paraId="137B02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restart"/>
            <w:noWrap w:val="0"/>
            <w:vAlign w:val="center"/>
          </w:tcPr>
          <w:p w14:paraId="56D19B50">
            <w:pPr>
              <w:pStyle w:val="75"/>
              <w:bidi w:val="0"/>
              <w:rPr>
                <w:color w:val="auto"/>
              </w:rPr>
            </w:pPr>
            <w:r>
              <w:rPr>
                <w:color w:val="auto"/>
              </w:rPr>
              <w:t>危险废物</w:t>
            </w:r>
          </w:p>
        </w:tc>
        <w:tc>
          <w:tcPr>
            <w:tcW w:w="3030" w:type="dxa"/>
            <w:noWrap w:val="0"/>
            <w:vAlign w:val="center"/>
          </w:tcPr>
          <w:p w14:paraId="3C43A3C1">
            <w:pPr>
              <w:pStyle w:val="75"/>
              <w:bidi w:val="0"/>
              <w:rPr>
                <w:rFonts w:hint="default"/>
                <w:color w:val="auto"/>
                <w:lang w:val="en-US" w:eastAsia="zh-CN"/>
              </w:rPr>
            </w:pPr>
            <w:r>
              <w:rPr>
                <w:rFonts w:hint="eastAsia"/>
                <w:color w:val="auto"/>
                <w:lang w:val="en-US" w:eastAsia="zh-CN"/>
              </w:rPr>
              <w:t>熔融炉渣（沾染油）（t/a）</w:t>
            </w:r>
          </w:p>
        </w:tc>
        <w:tc>
          <w:tcPr>
            <w:tcW w:w="1436" w:type="dxa"/>
            <w:shd w:val="clear" w:color="auto" w:fill="auto"/>
            <w:noWrap w:val="0"/>
            <w:vAlign w:val="center"/>
          </w:tcPr>
          <w:p w14:paraId="21699A1E">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150" w:type="dxa"/>
            <w:shd w:val="clear" w:color="auto" w:fill="auto"/>
            <w:noWrap w:val="0"/>
            <w:vAlign w:val="center"/>
          </w:tcPr>
          <w:p w14:paraId="5DBD1C34">
            <w:pPr>
              <w:pStyle w:val="75"/>
              <w:bidi w:val="0"/>
              <w:rPr>
                <w:rFonts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450" w:type="dxa"/>
            <w:shd w:val="clear" w:color="auto" w:fill="auto"/>
            <w:noWrap w:val="0"/>
            <w:vAlign w:val="center"/>
          </w:tcPr>
          <w:p w14:paraId="18418B77">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500" w:type="dxa"/>
            <w:shd w:val="clear" w:color="auto" w:fill="auto"/>
            <w:noWrap w:val="0"/>
            <w:vAlign w:val="center"/>
          </w:tcPr>
          <w:p w14:paraId="320D2E5A">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0.1142</w:t>
            </w:r>
          </w:p>
        </w:tc>
        <w:tc>
          <w:tcPr>
            <w:tcW w:w="1667" w:type="dxa"/>
            <w:shd w:val="clear" w:color="auto" w:fill="auto"/>
            <w:noWrap w:val="0"/>
            <w:vAlign w:val="center"/>
          </w:tcPr>
          <w:p w14:paraId="03EBF6B1">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633" w:type="dxa"/>
            <w:shd w:val="clear" w:color="auto" w:fill="auto"/>
            <w:noWrap w:val="0"/>
            <w:vAlign w:val="center"/>
          </w:tcPr>
          <w:p w14:paraId="1FB4AC5C">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0.1142</w:t>
            </w:r>
          </w:p>
        </w:tc>
        <w:tc>
          <w:tcPr>
            <w:tcW w:w="989" w:type="dxa"/>
            <w:shd w:val="clear" w:color="auto" w:fill="auto"/>
            <w:noWrap w:val="0"/>
            <w:vAlign w:val="center"/>
          </w:tcPr>
          <w:p w14:paraId="1BF46572">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+0.1142</w:t>
            </w:r>
          </w:p>
        </w:tc>
      </w:tr>
      <w:tr w14:paraId="579B66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2B6C97D7">
            <w:pPr>
              <w:pStyle w:val="75"/>
              <w:bidi w:val="0"/>
              <w:rPr>
                <w:color w:val="auto"/>
              </w:rPr>
            </w:pPr>
          </w:p>
        </w:tc>
        <w:tc>
          <w:tcPr>
            <w:tcW w:w="3030" w:type="dxa"/>
            <w:noWrap w:val="0"/>
            <w:vAlign w:val="center"/>
          </w:tcPr>
          <w:p w14:paraId="21E8B7C3">
            <w:pPr>
              <w:pStyle w:val="75"/>
              <w:bidi w:val="0"/>
              <w:rPr>
                <w:rFonts w:hint="default"/>
                <w:color w:val="auto"/>
                <w:lang w:val="en-US" w:eastAsia="zh-CN"/>
              </w:rPr>
            </w:pPr>
            <w:r>
              <w:rPr>
                <w:rFonts w:hint="eastAsia"/>
                <w:color w:val="auto"/>
                <w:lang w:val="en-US" w:eastAsia="zh-CN"/>
              </w:rPr>
              <w:t>脱模剂废包装桶（t/a）</w:t>
            </w:r>
          </w:p>
        </w:tc>
        <w:tc>
          <w:tcPr>
            <w:tcW w:w="1436" w:type="dxa"/>
            <w:shd w:val="clear" w:color="auto" w:fill="auto"/>
            <w:noWrap w:val="0"/>
            <w:vAlign w:val="center"/>
          </w:tcPr>
          <w:p w14:paraId="28D0ADBC">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150" w:type="dxa"/>
            <w:shd w:val="clear" w:color="auto" w:fill="auto"/>
            <w:noWrap w:val="0"/>
            <w:vAlign w:val="center"/>
          </w:tcPr>
          <w:p w14:paraId="56A12832">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450" w:type="dxa"/>
            <w:shd w:val="clear" w:color="auto" w:fill="auto"/>
            <w:noWrap w:val="0"/>
            <w:vAlign w:val="center"/>
          </w:tcPr>
          <w:p w14:paraId="74BBFF5B">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500" w:type="dxa"/>
            <w:shd w:val="clear" w:color="auto" w:fill="auto"/>
            <w:noWrap w:val="0"/>
            <w:vAlign w:val="center"/>
          </w:tcPr>
          <w:p w14:paraId="13A1D4B1">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0.05</w:t>
            </w:r>
          </w:p>
        </w:tc>
        <w:tc>
          <w:tcPr>
            <w:tcW w:w="1667" w:type="dxa"/>
            <w:shd w:val="clear" w:color="auto" w:fill="auto"/>
            <w:noWrap w:val="0"/>
            <w:vAlign w:val="center"/>
          </w:tcPr>
          <w:p w14:paraId="6C2843D5">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633" w:type="dxa"/>
            <w:shd w:val="clear" w:color="auto" w:fill="auto"/>
            <w:noWrap w:val="0"/>
            <w:vAlign w:val="center"/>
          </w:tcPr>
          <w:p w14:paraId="49944F8C">
            <w:pPr>
              <w:pStyle w:val="75"/>
              <w:bidi w:val="0"/>
              <w:rPr>
                <w:rFonts w:hint="eastAsia"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0.05</w:t>
            </w:r>
          </w:p>
        </w:tc>
        <w:tc>
          <w:tcPr>
            <w:tcW w:w="989" w:type="dxa"/>
            <w:shd w:val="clear" w:color="auto" w:fill="auto"/>
            <w:noWrap w:val="0"/>
            <w:vAlign w:val="center"/>
          </w:tcPr>
          <w:p w14:paraId="789CD8A3">
            <w:pPr>
              <w:pStyle w:val="75"/>
              <w:bidi w:val="0"/>
              <w:rPr>
                <w:rFonts w:hint="eastAsia"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+0.05</w:t>
            </w:r>
          </w:p>
        </w:tc>
      </w:tr>
      <w:tr w14:paraId="69D76D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41397551">
            <w:pPr>
              <w:pStyle w:val="75"/>
              <w:bidi w:val="0"/>
              <w:rPr>
                <w:color w:val="auto"/>
              </w:rPr>
            </w:pPr>
          </w:p>
        </w:tc>
        <w:tc>
          <w:tcPr>
            <w:tcW w:w="3030" w:type="dxa"/>
            <w:noWrap w:val="0"/>
            <w:vAlign w:val="center"/>
          </w:tcPr>
          <w:p w14:paraId="4EB37B78">
            <w:pPr>
              <w:pStyle w:val="75"/>
              <w:bidi w:val="0"/>
              <w:rPr>
                <w:rFonts w:hint="default"/>
                <w:color w:val="auto"/>
                <w:lang w:val="en-US" w:eastAsia="zh-CN"/>
              </w:rPr>
            </w:pPr>
            <w:r>
              <w:rPr>
                <w:rFonts w:hint="eastAsia"/>
                <w:color w:val="auto"/>
                <w:lang w:val="en-US" w:eastAsia="zh-CN"/>
              </w:rPr>
              <w:t>废切削液及金属渣（t/a）</w:t>
            </w:r>
          </w:p>
        </w:tc>
        <w:tc>
          <w:tcPr>
            <w:tcW w:w="1436" w:type="dxa"/>
            <w:shd w:val="clear" w:color="auto" w:fill="auto"/>
            <w:noWrap w:val="0"/>
            <w:vAlign w:val="center"/>
          </w:tcPr>
          <w:p w14:paraId="11F8527C">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150" w:type="dxa"/>
            <w:shd w:val="clear" w:color="auto" w:fill="auto"/>
            <w:noWrap w:val="0"/>
            <w:vAlign w:val="center"/>
          </w:tcPr>
          <w:p w14:paraId="7808A870">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450" w:type="dxa"/>
            <w:shd w:val="clear" w:color="auto" w:fill="auto"/>
            <w:noWrap w:val="0"/>
            <w:vAlign w:val="center"/>
          </w:tcPr>
          <w:p w14:paraId="397B8A8B">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500" w:type="dxa"/>
            <w:shd w:val="clear" w:color="auto" w:fill="auto"/>
            <w:noWrap w:val="0"/>
            <w:vAlign w:val="center"/>
          </w:tcPr>
          <w:p w14:paraId="7C7D3F8A">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0.2</w:t>
            </w:r>
          </w:p>
        </w:tc>
        <w:tc>
          <w:tcPr>
            <w:tcW w:w="1667" w:type="dxa"/>
            <w:shd w:val="clear" w:color="auto" w:fill="auto"/>
            <w:noWrap w:val="0"/>
            <w:vAlign w:val="center"/>
          </w:tcPr>
          <w:p w14:paraId="1D27C8D9">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633" w:type="dxa"/>
            <w:shd w:val="clear" w:color="auto" w:fill="auto"/>
            <w:noWrap w:val="0"/>
            <w:vAlign w:val="center"/>
          </w:tcPr>
          <w:p w14:paraId="2A188659">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0.2</w:t>
            </w:r>
          </w:p>
        </w:tc>
        <w:tc>
          <w:tcPr>
            <w:tcW w:w="989" w:type="dxa"/>
            <w:shd w:val="clear" w:color="auto" w:fill="auto"/>
            <w:noWrap w:val="0"/>
            <w:vAlign w:val="center"/>
          </w:tcPr>
          <w:p w14:paraId="7C202671">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+0.2</w:t>
            </w:r>
          </w:p>
        </w:tc>
      </w:tr>
      <w:tr w14:paraId="4F79B3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1FC3CFC8">
            <w:pPr>
              <w:pStyle w:val="75"/>
              <w:bidi w:val="0"/>
              <w:rPr>
                <w:color w:val="auto"/>
              </w:rPr>
            </w:pPr>
          </w:p>
        </w:tc>
        <w:tc>
          <w:tcPr>
            <w:tcW w:w="3030" w:type="dxa"/>
            <w:noWrap w:val="0"/>
            <w:vAlign w:val="center"/>
          </w:tcPr>
          <w:p w14:paraId="1717BE01">
            <w:pPr>
              <w:pStyle w:val="75"/>
              <w:bidi w:val="0"/>
              <w:rPr>
                <w:rFonts w:hint="eastAsia"/>
                <w:color w:val="auto"/>
                <w:lang w:val="en-US" w:eastAsia="zh-CN"/>
              </w:rPr>
            </w:pPr>
            <w:r>
              <w:rPr>
                <w:rFonts w:hint="eastAsia"/>
                <w:color w:val="auto"/>
                <w:lang w:val="en-US" w:eastAsia="zh-CN"/>
              </w:rPr>
              <w:t>废活性炭（t/a）</w:t>
            </w:r>
          </w:p>
        </w:tc>
        <w:tc>
          <w:tcPr>
            <w:tcW w:w="1436" w:type="dxa"/>
            <w:shd w:val="clear" w:color="auto" w:fill="auto"/>
            <w:noWrap w:val="0"/>
            <w:vAlign w:val="center"/>
          </w:tcPr>
          <w:p w14:paraId="3091FA49">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150" w:type="dxa"/>
            <w:shd w:val="clear" w:color="auto" w:fill="auto"/>
            <w:noWrap w:val="0"/>
            <w:vAlign w:val="center"/>
          </w:tcPr>
          <w:p w14:paraId="577F3EF0">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450" w:type="dxa"/>
            <w:shd w:val="clear" w:color="auto" w:fill="auto"/>
            <w:noWrap w:val="0"/>
            <w:vAlign w:val="center"/>
          </w:tcPr>
          <w:p w14:paraId="5DDD92A7">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500" w:type="dxa"/>
            <w:shd w:val="clear" w:color="auto" w:fill="auto"/>
            <w:noWrap w:val="0"/>
            <w:vAlign w:val="center"/>
          </w:tcPr>
          <w:p w14:paraId="21AC9C42">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0.2633</w:t>
            </w:r>
          </w:p>
        </w:tc>
        <w:tc>
          <w:tcPr>
            <w:tcW w:w="1667" w:type="dxa"/>
            <w:shd w:val="clear" w:color="auto" w:fill="auto"/>
            <w:noWrap w:val="0"/>
            <w:vAlign w:val="center"/>
          </w:tcPr>
          <w:p w14:paraId="30D09BBD">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633" w:type="dxa"/>
            <w:shd w:val="clear" w:color="auto" w:fill="auto"/>
            <w:noWrap w:val="0"/>
            <w:vAlign w:val="center"/>
          </w:tcPr>
          <w:p w14:paraId="4803E70C">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0.2633</w:t>
            </w:r>
          </w:p>
        </w:tc>
        <w:tc>
          <w:tcPr>
            <w:tcW w:w="989" w:type="dxa"/>
            <w:shd w:val="clear" w:color="auto" w:fill="auto"/>
            <w:noWrap w:val="0"/>
            <w:vAlign w:val="center"/>
          </w:tcPr>
          <w:p w14:paraId="0168C9EA">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+0.2633</w:t>
            </w:r>
          </w:p>
        </w:tc>
      </w:tr>
      <w:tr w14:paraId="6C0701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3FD37456">
            <w:pPr>
              <w:pStyle w:val="75"/>
              <w:bidi w:val="0"/>
              <w:rPr>
                <w:color w:val="auto"/>
              </w:rPr>
            </w:pPr>
          </w:p>
        </w:tc>
        <w:tc>
          <w:tcPr>
            <w:tcW w:w="3030" w:type="dxa"/>
            <w:noWrap w:val="0"/>
            <w:vAlign w:val="center"/>
          </w:tcPr>
          <w:p w14:paraId="286B3594">
            <w:pPr>
              <w:pStyle w:val="52"/>
              <w:bidi w:val="0"/>
              <w:rPr>
                <w:rFonts w:hint="eastAsia"/>
                <w:color w:val="auto"/>
                <w:lang w:val="en-US" w:eastAsia="zh-CN"/>
              </w:rPr>
            </w:pPr>
            <w:r>
              <w:rPr>
                <w:rFonts w:hint="eastAsia"/>
                <w:color w:val="auto"/>
                <w:lang w:val="en-US" w:eastAsia="zh-CN"/>
              </w:rPr>
              <w:t>废机油、废液压油（t/a）</w:t>
            </w:r>
          </w:p>
        </w:tc>
        <w:tc>
          <w:tcPr>
            <w:tcW w:w="1436" w:type="dxa"/>
            <w:noWrap w:val="0"/>
            <w:vAlign w:val="center"/>
          </w:tcPr>
          <w:p w14:paraId="5DC3A9BC">
            <w:pPr>
              <w:pStyle w:val="75"/>
              <w:bidi w:val="0"/>
              <w:rPr>
                <w:rFonts w:hint="eastAsia"/>
                <w:color w:val="auto"/>
                <w:lang w:val="en-US" w:eastAsia="zh-CN"/>
              </w:rPr>
            </w:pPr>
            <w:r>
              <w:rPr>
                <w:rFonts w:hint="eastAsia"/>
                <w:color w:val="auto"/>
                <w:lang w:val="en-US" w:eastAsia="zh-CN"/>
              </w:rPr>
              <w:t>/</w:t>
            </w:r>
          </w:p>
        </w:tc>
        <w:tc>
          <w:tcPr>
            <w:tcW w:w="1150" w:type="dxa"/>
            <w:noWrap w:val="0"/>
            <w:vAlign w:val="center"/>
          </w:tcPr>
          <w:p w14:paraId="53E4E992">
            <w:pPr>
              <w:pStyle w:val="75"/>
              <w:bidi w:val="0"/>
              <w:rPr>
                <w:rFonts w:hint="eastAsia"/>
                <w:color w:val="auto"/>
                <w:lang w:val="en-US" w:eastAsia="zh-CN"/>
              </w:rPr>
            </w:pPr>
            <w:r>
              <w:rPr>
                <w:rFonts w:hint="eastAsia"/>
                <w:color w:val="auto"/>
                <w:lang w:val="en-US" w:eastAsia="zh-CN"/>
              </w:rPr>
              <w:t>/</w:t>
            </w:r>
          </w:p>
        </w:tc>
        <w:tc>
          <w:tcPr>
            <w:tcW w:w="1450" w:type="dxa"/>
            <w:noWrap w:val="0"/>
            <w:vAlign w:val="center"/>
          </w:tcPr>
          <w:p w14:paraId="38D4B53F">
            <w:pPr>
              <w:pStyle w:val="75"/>
              <w:bidi w:val="0"/>
              <w:rPr>
                <w:rFonts w:hint="eastAsia"/>
                <w:color w:val="auto"/>
                <w:lang w:val="en-US" w:eastAsia="zh-CN"/>
              </w:rPr>
            </w:pPr>
            <w:r>
              <w:rPr>
                <w:rFonts w:hint="eastAsia"/>
                <w:color w:val="auto"/>
                <w:lang w:val="en-US" w:eastAsia="zh-CN"/>
              </w:rPr>
              <w:t>/</w:t>
            </w:r>
          </w:p>
        </w:tc>
        <w:tc>
          <w:tcPr>
            <w:tcW w:w="1500" w:type="dxa"/>
            <w:shd w:val="clear" w:color="auto" w:fill="auto"/>
            <w:noWrap w:val="0"/>
            <w:vAlign w:val="center"/>
          </w:tcPr>
          <w:p w14:paraId="0CECA03D">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0.16</w:t>
            </w:r>
          </w:p>
        </w:tc>
        <w:tc>
          <w:tcPr>
            <w:tcW w:w="1667" w:type="dxa"/>
            <w:shd w:val="clear" w:color="auto" w:fill="auto"/>
            <w:noWrap w:val="0"/>
            <w:vAlign w:val="center"/>
          </w:tcPr>
          <w:p w14:paraId="7CCA27C0">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633" w:type="dxa"/>
            <w:shd w:val="clear" w:color="auto" w:fill="auto"/>
            <w:noWrap w:val="0"/>
            <w:vAlign w:val="center"/>
          </w:tcPr>
          <w:p w14:paraId="4FBB7BAC">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0.16</w:t>
            </w:r>
          </w:p>
        </w:tc>
        <w:tc>
          <w:tcPr>
            <w:tcW w:w="989" w:type="dxa"/>
            <w:shd w:val="clear" w:color="auto" w:fill="auto"/>
            <w:noWrap w:val="0"/>
            <w:vAlign w:val="center"/>
          </w:tcPr>
          <w:p w14:paraId="545C474C">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+0.16</w:t>
            </w:r>
          </w:p>
        </w:tc>
      </w:tr>
      <w:tr w14:paraId="6DA2CE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350BF831">
            <w:pPr>
              <w:pStyle w:val="75"/>
              <w:bidi w:val="0"/>
              <w:rPr>
                <w:color w:val="auto"/>
              </w:rPr>
            </w:pPr>
          </w:p>
        </w:tc>
        <w:tc>
          <w:tcPr>
            <w:tcW w:w="3030" w:type="dxa"/>
            <w:noWrap w:val="0"/>
            <w:vAlign w:val="center"/>
          </w:tcPr>
          <w:p w14:paraId="261F19C8">
            <w:pPr>
              <w:pStyle w:val="52"/>
              <w:bidi w:val="0"/>
              <w:rPr>
                <w:rFonts w:hint="default"/>
                <w:color w:val="auto"/>
                <w:lang w:val="en-US" w:eastAsia="zh-CN"/>
              </w:rPr>
            </w:pPr>
            <w:r>
              <w:rPr>
                <w:rFonts w:hint="eastAsia"/>
                <w:color w:val="auto"/>
                <w:lang w:val="en-US" w:eastAsia="zh-CN"/>
              </w:rPr>
              <w:t>水循环处理设施污泥（t/a）</w:t>
            </w:r>
          </w:p>
        </w:tc>
        <w:tc>
          <w:tcPr>
            <w:tcW w:w="1436" w:type="dxa"/>
            <w:noWrap w:val="0"/>
            <w:vAlign w:val="center"/>
          </w:tcPr>
          <w:p w14:paraId="1A7DBA64">
            <w:pPr>
              <w:pStyle w:val="75"/>
              <w:bidi w:val="0"/>
              <w:rPr>
                <w:rFonts w:hint="default"/>
                <w:color w:val="auto"/>
                <w:lang w:val="en-US" w:eastAsia="zh-CN"/>
              </w:rPr>
            </w:pPr>
            <w:r>
              <w:rPr>
                <w:rFonts w:hint="eastAsia"/>
                <w:color w:val="auto"/>
                <w:lang w:val="en-US" w:eastAsia="zh-CN"/>
              </w:rPr>
              <w:t>/</w:t>
            </w:r>
          </w:p>
        </w:tc>
        <w:tc>
          <w:tcPr>
            <w:tcW w:w="1150" w:type="dxa"/>
            <w:noWrap w:val="0"/>
            <w:vAlign w:val="center"/>
          </w:tcPr>
          <w:p w14:paraId="53DF3305">
            <w:pPr>
              <w:pStyle w:val="75"/>
              <w:bidi w:val="0"/>
              <w:rPr>
                <w:rFonts w:hint="default"/>
                <w:color w:val="auto"/>
                <w:lang w:val="en-US" w:eastAsia="zh-CN"/>
              </w:rPr>
            </w:pPr>
            <w:r>
              <w:rPr>
                <w:rFonts w:hint="eastAsia"/>
                <w:color w:val="auto"/>
                <w:lang w:val="en-US" w:eastAsia="zh-CN"/>
              </w:rPr>
              <w:t>/</w:t>
            </w:r>
          </w:p>
        </w:tc>
        <w:tc>
          <w:tcPr>
            <w:tcW w:w="1450" w:type="dxa"/>
            <w:noWrap w:val="0"/>
            <w:vAlign w:val="center"/>
          </w:tcPr>
          <w:p w14:paraId="237C5121">
            <w:pPr>
              <w:pStyle w:val="75"/>
              <w:bidi w:val="0"/>
              <w:rPr>
                <w:rFonts w:hint="default"/>
                <w:color w:val="auto"/>
                <w:lang w:val="en-US" w:eastAsia="zh-CN"/>
              </w:rPr>
            </w:pPr>
            <w:r>
              <w:rPr>
                <w:rFonts w:hint="eastAsia"/>
                <w:color w:val="auto"/>
                <w:lang w:val="en-US" w:eastAsia="zh-CN"/>
              </w:rPr>
              <w:t>/</w:t>
            </w:r>
          </w:p>
        </w:tc>
        <w:tc>
          <w:tcPr>
            <w:tcW w:w="1500" w:type="dxa"/>
            <w:shd w:val="clear" w:color="auto" w:fill="auto"/>
            <w:noWrap w:val="0"/>
            <w:vAlign w:val="center"/>
          </w:tcPr>
          <w:p w14:paraId="0C410EB3">
            <w:pPr>
              <w:pStyle w:val="75"/>
              <w:bidi w:val="0"/>
              <w:rPr>
                <w:rFonts w:hint="default" w:cs="Times New Roman"/>
                <w:color w:val="auto"/>
                <w:kern w:val="0"/>
                <w:sz w:val="21"/>
                <w:szCs w:val="20"/>
                <w:lang w:val="en-US" w:eastAsia="zh-CN" w:bidi="ar-SA"/>
              </w:rPr>
            </w:pPr>
            <w:r>
              <w:rPr>
                <w:rFonts w:hint="eastAsia" w:cs="Times New Roman"/>
                <w:color w:val="auto"/>
                <w:kern w:val="0"/>
                <w:sz w:val="21"/>
                <w:szCs w:val="20"/>
                <w:lang w:val="en-US" w:eastAsia="zh-CN" w:bidi="ar-SA"/>
              </w:rPr>
              <w:t>0.15</w:t>
            </w:r>
          </w:p>
        </w:tc>
        <w:tc>
          <w:tcPr>
            <w:tcW w:w="1667" w:type="dxa"/>
            <w:shd w:val="clear" w:color="auto" w:fill="auto"/>
            <w:noWrap w:val="0"/>
            <w:vAlign w:val="center"/>
          </w:tcPr>
          <w:p w14:paraId="720B2C39">
            <w:pPr>
              <w:pStyle w:val="75"/>
              <w:bidi w:val="0"/>
              <w:rPr>
                <w:rFonts w:hint="default"/>
                <w:color w:val="auto"/>
                <w:lang w:val="en-US" w:eastAsia="zh-CN"/>
              </w:rPr>
            </w:pPr>
            <w:r>
              <w:rPr>
                <w:rFonts w:hint="eastAsia"/>
                <w:color w:val="auto"/>
                <w:lang w:val="en-US" w:eastAsia="zh-CN"/>
              </w:rPr>
              <w:t>/</w:t>
            </w:r>
          </w:p>
        </w:tc>
        <w:tc>
          <w:tcPr>
            <w:tcW w:w="1633" w:type="dxa"/>
            <w:shd w:val="clear" w:color="auto" w:fill="auto"/>
            <w:noWrap w:val="0"/>
            <w:vAlign w:val="center"/>
          </w:tcPr>
          <w:p w14:paraId="16F206CF">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0.15</w:t>
            </w:r>
          </w:p>
        </w:tc>
        <w:tc>
          <w:tcPr>
            <w:tcW w:w="989" w:type="dxa"/>
            <w:shd w:val="clear" w:color="auto" w:fill="auto"/>
            <w:noWrap w:val="0"/>
            <w:vAlign w:val="center"/>
          </w:tcPr>
          <w:p w14:paraId="11C97F7A">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+0.15</w:t>
            </w:r>
          </w:p>
        </w:tc>
      </w:tr>
      <w:tr w14:paraId="4630F0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noWrap w:val="0"/>
            <w:vAlign w:val="center"/>
          </w:tcPr>
          <w:p w14:paraId="195CF4D9">
            <w:pPr>
              <w:pStyle w:val="75"/>
              <w:bidi w:val="0"/>
              <w:rPr>
                <w:rFonts w:hint="eastAsia"/>
                <w:color w:val="auto"/>
                <w:lang w:val="en-US" w:eastAsia="zh-CN"/>
              </w:rPr>
            </w:pPr>
            <w:r>
              <w:rPr>
                <w:rFonts w:hint="eastAsia"/>
                <w:color w:val="auto"/>
                <w:lang w:val="en-US" w:eastAsia="zh-CN"/>
              </w:rPr>
              <w:t>生活垃圾</w:t>
            </w:r>
          </w:p>
        </w:tc>
        <w:tc>
          <w:tcPr>
            <w:tcW w:w="3030" w:type="dxa"/>
            <w:noWrap w:val="0"/>
            <w:vAlign w:val="center"/>
          </w:tcPr>
          <w:p w14:paraId="3903F746">
            <w:pPr>
              <w:pStyle w:val="75"/>
              <w:bidi w:val="0"/>
              <w:rPr>
                <w:rFonts w:hint="eastAsia"/>
                <w:color w:val="auto"/>
                <w:lang w:val="en-US" w:eastAsia="zh-CN"/>
              </w:rPr>
            </w:pPr>
            <w:r>
              <w:rPr>
                <w:rFonts w:hint="eastAsia"/>
                <w:color w:val="auto"/>
                <w:lang w:val="en-US" w:eastAsia="zh-CN"/>
              </w:rPr>
              <w:t>生活垃圾（t/a）</w:t>
            </w:r>
          </w:p>
        </w:tc>
        <w:tc>
          <w:tcPr>
            <w:tcW w:w="1436" w:type="dxa"/>
            <w:noWrap w:val="0"/>
            <w:vAlign w:val="center"/>
          </w:tcPr>
          <w:p w14:paraId="1357F0A4">
            <w:pPr>
              <w:pStyle w:val="75"/>
              <w:bidi w:val="0"/>
              <w:rPr>
                <w:rFonts w:hint="default"/>
                <w:color w:val="auto"/>
                <w:lang w:val="en-US" w:eastAsia="zh-CN"/>
              </w:rPr>
            </w:pPr>
            <w:r>
              <w:rPr>
                <w:rFonts w:hint="eastAsia"/>
                <w:color w:val="auto"/>
                <w:lang w:val="en-US" w:eastAsia="zh-CN"/>
              </w:rPr>
              <w:t>/</w:t>
            </w:r>
          </w:p>
        </w:tc>
        <w:tc>
          <w:tcPr>
            <w:tcW w:w="1150" w:type="dxa"/>
            <w:noWrap w:val="0"/>
            <w:vAlign w:val="center"/>
          </w:tcPr>
          <w:p w14:paraId="67886D03">
            <w:pPr>
              <w:pStyle w:val="75"/>
              <w:bidi w:val="0"/>
              <w:rPr>
                <w:rFonts w:hint="eastAsia"/>
                <w:color w:val="auto"/>
              </w:rPr>
            </w:pPr>
            <w:r>
              <w:rPr>
                <w:rFonts w:hint="eastAsia"/>
                <w:color w:val="auto"/>
                <w:lang w:val="en-US" w:eastAsia="zh-CN"/>
              </w:rPr>
              <w:t>/</w:t>
            </w:r>
          </w:p>
        </w:tc>
        <w:tc>
          <w:tcPr>
            <w:tcW w:w="1450" w:type="dxa"/>
            <w:noWrap w:val="0"/>
            <w:vAlign w:val="center"/>
          </w:tcPr>
          <w:p w14:paraId="23B6FC1E">
            <w:pPr>
              <w:pStyle w:val="75"/>
              <w:bidi w:val="0"/>
              <w:rPr>
                <w:rFonts w:hint="eastAsia"/>
                <w:color w:val="auto"/>
                <w:lang w:val="en-US" w:eastAsia="zh-CN"/>
              </w:rPr>
            </w:pPr>
            <w:r>
              <w:rPr>
                <w:rFonts w:hint="eastAsia"/>
                <w:color w:val="auto"/>
                <w:lang w:val="en-US" w:eastAsia="zh-CN"/>
              </w:rPr>
              <w:t>/</w:t>
            </w:r>
          </w:p>
        </w:tc>
        <w:tc>
          <w:tcPr>
            <w:tcW w:w="1500" w:type="dxa"/>
            <w:shd w:val="clear" w:color="auto" w:fill="auto"/>
            <w:noWrap w:val="0"/>
            <w:vAlign w:val="center"/>
          </w:tcPr>
          <w:p w14:paraId="51C36B31">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4.5</w:t>
            </w:r>
          </w:p>
        </w:tc>
        <w:tc>
          <w:tcPr>
            <w:tcW w:w="1667" w:type="dxa"/>
            <w:noWrap w:val="0"/>
            <w:vAlign w:val="center"/>
          </w:tcPr>
          <w:p w14:paraId="70AF2CD9">
            <w:pPr>
              <w:pStyle w:val="75"/>
              <w:bidi w:val="0"/>
              <w:rPr>
                <w:rFonts w:hint="eastAsia"/>
                <w:color w:val="auto"/>
              </w:rPr>
            </w:pPr>
            <w:r>
              <w:rPr>
                <w:rFonts w:hint="eastAsia"/>
                <w:color w:val="auto"/>
                <w:lang w:val="en-US" w:eastAsia="zh-CN"/>
              </w:rPr>
              <w:t>/</w:t>
            </w:r>
          </w:p>
        </w:tc>
        <w:tc>
          <w:tcPr>
            <w:tcW w:w="1633" w:type="dxa"/>
            <w:shd w:val="clear" w:color="auto" w:fill="auto"/>
            <w:noWrap w:val="0"/>
            <w:vAlign w:val="center"/>
          </w:tcPr>
          <w:p w14:paraId="58983D78">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4.5</w:t>
            </w:r>
          </w:p>
        </w:tc>
        <w:tc>
          <w:tcPr>
            <w:tcW w:w="989" w:type="dxa"/>
            <w:shd w:val="clear" w:color="auto" w:fill="auto"/>
            <w:noWrap w:val="0"/>
            <w:vAlign w:val="center"/>
          </w:tcPr>
          <w:p w14:paraId="6D086A20">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+4.5</w:t>
            </w:r>
          </w:p>
        </w:tc>
      </w:tr>
    </w:tbl>
    <w:p w14:paraId="7EF8CD31">
      <w:pPr>
        <w:pStyle w:val="15"/>
        <w:bidi w:val="0"/>
        <w:rPr>
          <w:color w:val="auto"/>
        </w:rPr>
        <w:sectPr>
          <w:footerReference r:id="rId7" w:type="default"/>
          <w:pgSz w:w="16838" w:h="11906" w:orient="landscape"/>
          <w:pgMar w:top="1417" w:right="1417" w:bottom="1417" w:left="1701" w:header="851" w:footer="851" w:gutter="0"/>
          <w:pgBorders>
            <w:top w:val="none" w:sz="0" w:space="0"/>
            <w:left w:val="none" w:sz="0" w:space="0"/>
            <w:bottom w:val="none" w:sz="0" w:space="0"/>
            <w:right w:val="none" w:sz="0" w:space="0"/>
          </w:pgBorders>
          <w:pgNumType w:fmt="decimal"/>
          <w:cols w:space="720" w:num="1"/>
          <w:docGrid w:linePitch="312" w:charSpace="0"/>
        </w:sectPr>
      </w:pPr>
      <w:r>
        <w:rPr>
          <w:color w:val="auto"/>
        </w:rPr>
        <w:t>注：</w:t>
      </w:r>
      <w:r>
        <w:rPr>
          <w:color w:val="auto"/>
        </w:rPr>
        <w:fldChar w:fldCharType="begin"/>
      </w:r>
      <w:r>
        <w:rPr>
          <w:color w:val="auto"/>
        </w:rPr>
        <w:instrText xml:space="preserve"> = 6 \* GB3 \* MERGEFORMAT </w:instrText>
      </w:r>
      <w:r>
        <w:rPr>
          <w:color w:val="auto"/>
        </w:rPr>
        <w:fldChar w:fldCharType="separate"/>
      </w:r>
      <w:r>
        <w:rPr>
          <w:color w:val="auto"/>
        </w:rPr>
        <w:t>⑥</w:t>
      </w:r>
      <w:r>
        <w:rPr>
          <w:color w:val="auto"/>
        </w:rPr>
        <w:fldChar w:fldCharType="end"/>
      </w:r>
      <w:r>
        <w:rPr>
          <w:color w:val="auto"/>
        </w:rPr>
        <w:t>=</w:t>
      </w: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r>
        <w:rPr>
          <w:color w:val="auto"/>
        </w:rPr>
        <w:t>+</w:t>
      </w:r>
      <w:r>
        <w:rPr>
          <w:color w:val="auto"/>
        </w:rPr>
        <w:fldChar w:fldCharType="begin"/>
      </w:r>
      <w:r>
        <w:rPr>
          <w:color w:val="auto"/>
        </w:rPr>
        <w:instrText xml:space="preserve"> = 3 \* GB3 \* MERGEFORMAT </w:instrText>
      </w:r>
      <w:r>
        <w:rPr>
          <w:color w:val="auto"/>
        </w:rPr>
        <w:fldChar w:fldCharType="separate"/>
      </w:r>
      <w:r>
        <w:rPr>
          <w:color w:val="auto"/>
        </w:rPr>
        <w:t>③</w:t>
      </w:r>
      <w:r>
        <w:rPr>
          <w:color w:val="auto"/>
        </w:rPr>
        <w:fldChar w:fldCharType="end"/>
      </w:r>
      <w:r>
        <w:rPr>
          <w:color w:val="auto"/>
        </w:rPr>
        <w:t>+</w:t>
      </w:r>
      <w:r>
        <w:rPr>
          <w:color w:val="auto"/>
        </w:rPr>
        <w:fldChar w:fldCharType="begin"/>
      </w:r>
      <w:r>
        <w:rPr>
          <w:color w:val="auto"/>
        </w:rPr>
        <w:instrText xml:space="preserve"> = 4 \* GB3 \* MERGEFORMAT </w:instrText>
      </w:r>
      <w:r>
        <w:rPr>
          <w:color w:val="auto"/>
        </w:rPr>
        <w:fldChar w:fldCharType="separate"/>
      </w:r>
      <w:r>
        <w:rPr>
          <w:color w:val="auto"/>
        </w:rPr>
        <w:t>④</w:t>
      </w:r>
      <w:r>
        <w:rPr>
          <w:color w:val="auto"/>
        </w:rPr>
        <w:fldChar w:fldCharType="end"/>
      </w:r>
      <w:r>
        <w:rPr>
          <w:color w:val="auto"/>
        </w:rPr>
        <w:t>-</w:t>
      </w:r>
      <w:r>
        <w:rPr>
          <w:color w:val="auto"/>
        </w:rPr>
        <w:fldChar w:fldCharType="begin"/>
      </w:r>
      <w:r>
        <w:rPr>
          <w:color w:val="auto"/>
        </w:rPr>
        <w:instrText xml:space="preserve"> = 5 \* GB3 \* MERGEFORMAT </w:instrText>
      </w:r>
      <w:r>
        <w:rPr>
          <w:color w:val="auto"/>
        </w:rPr>
        <w:fldChar w:fldCharType="separate"/>
      </w:r>
      <w:r>
        <w:rPr>
          <w:color w:val="auto"/>
        </w:rPr>
        <w:t>⑤</w:t>
      </w:r>
      <w:r>
        <w:rPr>
          <w:color w:val="auto"/>
        </w:rPr>
        <w:fldChar w:fldCharType="end"/>
      </w:r>
      <w:r>
        <w:rPr>
          <w:color w:val="auto"/>
        </w:rPr>
        <w:t>；</w:t>
      </w:r>
      <w:r>
        <w:rPr>
          <w:color w:val="auto"/>
        </w:rPr>
        <w:fldChar w:fldCharType="begin"/>
      </w:r>
      <w:r>
        <w:rPr>
          <w:color w:val="auto"/>
        </w:rPr>
        <w:instrText xml:space="preserve"> = 7 \* GB3 \* MERGEFORMAT </w:instrText>
      </w:r>
      <w:r>
        <w:rPr>
          <w:color w:val="auto"/>
        </w:rPr>
        <w:fldChar w:fldCharType="separate"/>
      </w:r>
      <w:r>
        <w:rPr>
          <w:color w:val="auto"/>
        </w:rPr>
        <w:t>⑦</w:t>
      </w:r>
      <w:r>
        <w:rPr>
          <w:color w:val="auto"/>
        </w:rPr>
        <w:fldChar w:fldCharType="end"/>
      </w:r>
      <w:r>
        <w:rPr>
          <w:color w:val="auto"/>
        </w:rPr>
        <w:t>=</w:t>
      </w:r>
      <w:r>
        <w:rPr>
          <w:color w:val="auto"/>
        </w:rPr>
        <w:fldChar w:fldCharType="begin"/>
      </w:r>
      <w:r>
        <w:rPr>
          <w:color w:val="auto"/>
        </w:rPr>
        <w:instrText xml:space="preserve"> = 6 \* GB3 \* MERGEFORMAT </w:instrText>
      </w:r>
      <w:r>
        <w:rPr>
          <w:color w:val="auto"/>
        </w:rPr>
        <w:fldChar w:fldCharType="separate"/>
      </w:r>
      <w:r>
        <w:rPr>
          <w:color w:val="auto"/>
        </w:rPr>
        <w:t>⑥</w:t>
      </w:r>
      <w:r>
        <w:rPr>
          <w:color w:val="auto"/>
        </w:rPr>
        <w:fldChar w:fldCharType="end"/>
      </w:r>
      <w:r>
        <w:rPr>
          <w:color w:val="auto"/>
        </w:rPr>
        <w:t>-</w:t>
      </w: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p>
    <w:p w14:paraId="6740B900">
      <w:pPr>
        <w:keepNext w:val="0"/>
        <w:keepLines w:val="0"/>
        <w:pageBreakBefore w:val="0"/>
        <w:widowControl w:val="0"/>
        <w:kinsoku/>
        <w:wordWrap/>
        <w:overflowPunct/>
        <w:topLinePunct w:val="0"/>
        <w:autoSpaceDE/>
        <w:autoSpaceDN/>
        <w:bidi w:val="0"/>
        <w:adjustRightInd/>
        <w:snapToGrid/>
        <w:spacing w:line="240" w:lineRule="auto"/>
        <w:textAlignment w:val="auto"/>
        <w:outlineLvl w:val="1"/>
        <w:rPr>
          <w:rFonts w:hint="eastAsia" w:ascii="黑体" w:hAnsi="黑体" w:eastAsia="黑体" w:cs="黑体"/>
          <w:b/>
          <w:bCs/>
          <w:sz w:val="28"/>
          <w:szCs w:val="28"/>
          <w:lang w:val="en-US" w:eastAsia="zh-CN"/>
        </w:rPr>
      </w:pPr>
      <w:bookmarkStart w:id="223" w:name="_Toc13119"/>
      <w:bookmarkStart w:id="224" w:name="_Toc9717"/>
      <w:r>
        <w:rPr>
          <w:rFonts w:hint="eastAsia" w:ascii="黑体" w:hAnsi="黑体" w:eastAsia="黑体" w:cs="黑体"/>
          <w:b/>
          <w:bCs/>
          <w:sz w:val="28"/>
          <w:szCs w:val="28"/>
          <w:lang w:val="en-US" w:eastAsia="zh-CN"/>
        </w:rPr>
        <w:t>附件十一：关于环评文件公开文本删除的涉及国家秘密、商业秘密等内容的删除依据和理由说明</w:t>
      </w:r>
      <w:bookmarkEnd w:id="223"/>
      <w:bookmarkEnd w:id="224"/>
    </w:p>
    <w:p w14:paraId="5BE4BE7B">
      <w:pPr>
        <w:keepNext/>
        <w:keepLines w:val="0"/>
        <w:pageBreakBefore w:val="0"/>
        <w:widowControl w:val="0"/>
        <w:kinsoku/>
        <w:wordWrap/>
        <w:overflowPunct w:val="0"/>
        <w:topLinePunct w:val="0"/>
        <w:autoSpaceDE/>
        <w:autoSpaceDN/>
        <w:bidi w:val="0"/>
        <w:adjustRightInd/>
        <w:snapToGrid w:val="0"/>
        <w:spacing w:line="260" w:lineRule="auto"/>
        <w:ind w:left="431" w:hanging="431"/>
        <w:jc w:val="center"/>
        <w:textAlignment w:val="auto"/>
        <w:outlineLvl w:val="9"/>
        <w:rPr>
          <w:rFonts w:hint="eastAsia" w:ascii="黑体" w:hAnsi="黑体" w:eastAsia="黑体" w:cs="黑体"/>
          <w:b/>
          <w:bCs/>
          <w:color w:val="auto"/>
          <w:sz w:val="36"/>
          <w:szCs w:val="36"/>
          <w:highlight w:val="none"/>
          <w:lang w:eastAsia="zh-CN"/>
        </w:rPr>
      </w:pPr>
      <w:bookmarkStart w:id="225" w:name="_Toc4088"/>
      <w:bookmarkStart w:id="226" w:name="_Toc28204"/>
      <w:r>
        <w:drawing>
          <wp:anchor distT="0" distB="0" distL="114300" distR="114300" simplePos="0" relativeHeight="251685888" behindDoc="0" locked="0" layoutInCell="1" allowOverlap="1">
            <wp:simplePos x="0" y="0"/>
            <wp:positionH relativeFrom="column">
              <wp:posOffset>-19050</wp:posOffset>
            </wp:positionH>
            <wp:positionV relativeFrom="paragraph">
              <wp:posOffset>137795</wp:posOffset>
            </wp:positionV>
            <wp:extent cx="5884545" cy="7675245"/>
            <wp:effectExtent l="0" t="0" r="1905" b="1905"/>
            <wp:wrapNone/>
            <wp:docPr id="1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7"/>
                    <pic:cNvPicPr>
                      <a:picLocks noChangeAspect="1"/>
                    </pic:cNvPicPr>
                  </pic:nvPicPr>
                  <pic:blipFill>
                    <a:blip r:embed="rId59"/>
                    <a:stretch>
                      <a:fillRect/>
                    </a:stretch>
                  </pic:blipFill>
                  <pic:spPr>
                    <a:xfrm>
                      <a:off x="0" y="0"/>
                      <a:ext cx="5884545" cy="7675245"/>
                    </a:xfrm>
                    <a:prstGeom prst="rect">
                      <a:avLst/>
                    </a:prstGeom>
                    <a:noFill/>
                    <a:ln>
                      <a:noFill/>
                    </a:ln>
                  </pic:spPr>
                </pic:pic>
              </a:graphicData>
            </a:graphic>
          </wp:anchor>
        </w:drawing>
      </w:r>
    </w:p>
    <w:p w14:paraId="6E061587">
      <w:pPr>
        <w:keepNext/>
        <w:keepLines w:val="0"/>
        <w:pageBreakBefore w:val="0"/>
        <w:widowControl w:val="0"/>
        <w:kinsoku/>
        <w:wordWrap/>
        <w:overflowPunct w:val="0"/>
        <w:topLinePunct w:val="0"/>
        <w:autoSpaceDE/>
        <w:autoSpaceDN/>
        <w:bidi w:val="0"/>
        <w:adjustRightInd/>
        <w:snapToGrid w:val="0"/>
        <w:spacing w:line="260" w:lineRule="auto"/>
        <w:ind w:left="431" w:hanging="431"/>
        <w:jc w:val="center"/>
        <w:textAlignment w:val="auto"/>
        <w:outlineLvl w:val="9"/>
        <w:rPr>
          <w:rFonts w:hint="eastAsia" w:ascii="黑体" w:hAnsi="黑体" w:eastAsia="黑体" w:cs="黑体"/>
          <w:b/>
          <w:bCs/>
          <w:color w:val="auto"/>
          <w:sz w:val="36"/>
          <w:szCs w:val="36"/>
          <w:highlight w:val="none"/>
          <w:lang w:eastAsia="zh-CN"/>
        </w:rPr>
      </w:pPr>
    </w:p>
    <w:p w14:paraId="65484C80">
      <w:pPr>
        <w:keepNext/>
        <w:keepLines w:val="0"/>
        <w:pageBreakBefore w:val="0"/>
        <w:widowControl w:val="0"/>
        <w:kinsoku/>
        <w:wordWrap/>
        <w:overflowPunct w:val="0"/>
        <w:topLinePunct w:val="0"/>
        <w:autoSpaceDE/>
        <w:autoSpaceDN/>
        <w:bidi w:val="0"/>
        <w:adjustRightInd/>
        <w:snapToGrid w:val="0"/>
        <w:spacing w:line="260" w:lineRule="auto"/>
        <w:ind w:left="431" w:hanging="431"/>
        <w:jc w:val="center"/>
        <w:textAlignment w:val="auto"/>
        <w:outlineLvl w:val="9"/>
        <w:rPr>
          <w:rFonts w:hint="eastAsia" w:ascii="黑体" w:hAnsi="黑体" w:eastAsia="黑体" w:cs="黑体"/>
          <w:b/>
          <w:bCs/>
          <w:color w:val="auto"/>
          <w:sz w:val="36"/>
          <w:szCs w:val="36"/>
          <w:highlight w:val="none"/>
          <w:lang w:eastAsia="zh-CN"/>
        </w:rPr>
      </w:pPr>
    </w:p>
    <w:p w14:paraId="75C279DE">
      <w:pPr>
        <w:keepNext/>
        <w:keepLines w:val="0"/>
        <w:pageBreakBefore w:val="0"/>
        <w:widowControl w:val="0"/>
        <w:kinsoku/>
        <w:wordWrap/>
        <w:overflowPunct w:val="0"/>
        <w:topLinePunct w:val="0"/>
        <w:autoSpaceDE/>
        <w:autoSpaceDN/>
        <w:bidi w:val="0"/>
        <w:adjustRightInd/>
        <w:snapToGrid w:val="0"/>
        <w:spacing w:line="260" w:lineRule="auto"/>
        <w:ind w:left="431" w:hanging="431"/>
        <w:jc w:val="center"/>
        <w:textAlignment w:val="auto"/>
        <w:outlineLvl w:val="9"/>
        <w:rPr>
          <w:rFonts w:hint="eastAsia" w:ascii="黑体" w:hAnsi="黑体" w:eastAsia="黑体" w:cs="黑体"/>
          <w:b/>
          <w:bCs/>
          <w:color w:val="auto"/>
          <w:sz w:val="36"/>
          <w:szCs w:val="36"/>
          <w:highlight w:val="none"/>
          <w:lang w:eastAsia="zh-CN"/>
        </w:rPr>
      </w:pPr>
    </w:p>
    <w:p w14:paraId="425FE0D3">
      <w:pPr>
        <w:keepNext/>
        <w:keepLines w:val="0"/>
        <w:pageBreakBefore w:val="0"/>
        <w:widowControl w:val="0"/>
        <w:kinsoku/>
        <w:wordWrap/>
        <w:overflowPunct w:val="0"/>
        <w:topLinePunct w:val="0"/>
        <w:autoSpaceDE/>
        <w:autoSpaceDN/>
        <w:bidi w:val="0"/>
        <w:adjustRightInd/>
        <w:snapToGrid w:val="0"/>
        <w:spacing w:line="260" w:lineRule="auto"/>
        <w:jc w:val="center"/>
        <w:textAlignment w:val="auto"/>
        <w:outlineLvl w:val="9"/>
        <w:rPr>
          <w:rFonts w:hint="eastAsia" w:ascii="黑体" w:hAnsi="黑体" w:eastAsia="黑体" w:cs="黑体"/>
          <w:b/>
          <w:bCs/>
          <w:color w:val="auto"/>
          <w:sz w:val="36"/>
          <w:szCs w:val="36"/>
          <w:highlight w:val="none"/>
          <w:lang w:eastAsia="zh-CN"/>
        </w:rPr>
      </w:pPr>
      <w:r>
        <w:rPr>
          <w:rFonts w:hint="eastAsia" w:ascii="黑体" w:hAnsi="黑体" w:eastAsia="黑体" w:cs="黑体"/>
          <w:b/>
          <w:bCs/>
          <w:color w:val="auto"/>
          <w:sz w:val="36"/>
          <w:szCs w:val="36"/>
          <w:highlight w:val="none"/>
          <w:lang w:eastAsia="zh-CN"/>
        </w:rPr>
        <w:t>关于环评文件未涉及国家秘密、商业秘密等内容的</w:t>
      </w:r>
    </w:p>
    <w:p w14:paraId="664B5DA1">
      <w:pPr>
        <w:keepNext/>
        <w:keepLines w:val="0"/>
        <w:pageBreakBefore w:val="0"/>
        <w:widowControl w:val="0"/>
        <w:kinsoku/>
        <w:wordWrap/>
        <w:overflowPunct w:val="0"/>
        <w:topLinePunct w:val="0"/>
        <w:autoSpaceDE/>
        <w:autoSpaceDN/>
        <w:bidi w:val="0"/>
        <w:adjustRightInd/>
        <w:snapToGrid w:val="0"/>
        <w:spacing w:line="260" w:lineRule="auto"/>
        <w:ind w:left="431" w:hanging="431"/>
        <w:jc w:val="center"/>
        <w:textAlignment w:val="auto"/>
        <w:outlineLvl w:val="9"/>
        <w:rPr>
          <w:rFonts w:hint="eastAsia" w:ascii="黑体" w:hAnsi="黑体" w:eastAsia="黑体" w:cs="黑体"/>
          <w:b/>
          <w:bCs/>
          <w:color w:val="auto"/>
          <w:sz w:val="36"/>
          <w:szCs w:val="36"/>
          <w:highlight w:val="none"/>
          <w:lang w:eastAsia="zh-CN"/>
        </w:rPr>
      </w:pPr>
      <w:r>
        <w:rPr>
          <w:rFonts w:hint="eastAsia" w:ascii="黑体" w:hAnsi="黑体" w:eastAsia="黑体" w:cs="黑体"/>
          <w:b/>
          <w:bCs/>
          <w:color w:val="auto"/>
          <w:sz w:val="36"/>
          <w:szCs w:val="36"/>
          <w:highlight w:val="none"/>
          <w:lang w:val="en-US" w:eastAsia="zh-CN"/>
        </w:rPr>
        <w:t>删除依据和理由</w:t>
      </w:r>
      <w:r>
        <w:rPr>
          <w:rFonts w:hint="eastAsia" w:ascii="黑体" w:hAnsi="黑体" w:eastAsia="黑体" w:cs="黑体"/>
          <w:b/>
          <w:bCs/>
          <w:color w:val="auto"/>
          <w:sz w:val="36"/>
          <w:szCs w:val="36"/>
          <w:highlight w:val="none"/>
          <w:lang w:eastAsia="zh-CN"/>
        </w:rPr>
        <w:t>说明</w:t>
      </w:r>
    </w:p>
    <w:p w14:paraId="24CEC727">
      <w:pPr>
        <w:keepNext/>
        <w:keepLines w:val="0"/>
        <w:pageBreakBefore w:val="0"/>
        <w:widowControl w:val="0"/>
        <w:kinsoku/>
        <w:wordWrap/>
        <w:overflowPunct w:val="0"/>
        <w:topLinePunct w:val="0"/>
        <w:autoSpaceDE/>
        <w:autoSpaceDN/>
        <w:bidi w:val="0"/>
        <w:adjustRightInd/>
        <w:snapToGrid w:val="0"/>
        <w:spacing w:line="360" w:lineRule="auto"/>
        <w:ind w:left="0" w:firstLine="560" w:firstLineChars="200"/>
        <w:textAlignment w:val="auto"/>
        <w:outlineLvl w:val="9"/>
        <w:rPr>
          <w:rFonts w:hint="default" w:ascii="Times New Roman" w:hAnsi="Times New Roman" w:eastAsia="宋体" w:cs="Times New Roman"/>
          <w:color w:val="auto"/>
          <w:sz w:val="28"/>
          <w:szCs w:val="28"/>
          <w:highlight w:val="none"/>
          <w:lang w:val="en-US" w:eastAsia="zh-CN"/>
        </w:rPr>
      </w:pPr>
    </w:p>
    <w:p w14:paraId="538ABFA9">
      <w:pPr>
        <w:keepNext/>
        <w:keepLines w:val="0"/>
        <w:pageBreakBefore w:val="0"/>
        <w:widowControl w:val="0"/>
        <w:kinsoku/>
        <w:wordWrap/>
        <w:overflowPunct w:val="0"/>
        <w:topLinePunct w:val="0"/>
        <w:autoSpaceDE/>
        <w:autoSpaceDN/>
        <w:bidi w:val="0"/>
        <w:adjustRightInd/>
        <w:snapToGrid w:val="0"/>
        <w:spacing w:line="360" w:lineRule="auto"/>
        <w:textAlignment w:val="auto"/>
        <w:outlineLvl w:val="9"/>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福州市福清生态环境局：</w:t>
      </w:r>
    </w:p>
    <w:p w14:paraId="4E5C1E22">
      <w:pPr>
        <w:keepNext/>
        <w:keepLines w:val="0"/>
        <w:pageBreakBefore w:val="0"/>
        <w:widowControl w:val="0"/>
        <w:kinsoku/>
        <w:wordWrap/>
        <w:overflowPunct w:val="0"/>
        <w:topLinePunct w:val="0"/>
        <w:autoSpaceDE/>
        <w:autoSpaceDN/>
        <w:bidi w:val="0"/>
        <w:adjustRightInd/>
        <w:snapToGrid w:val="0"/>
        <w:spacing w:line="360" w:lineRule="auto"/>
        <w:ind w:left="0" w:firstLine="560" w:firstLineChars="200"/>
        <w:textAlignment w:val="auto"/>
        <w:outlineLvl w:val="9"/>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我司</w:t>
      </w:r>
      <w:r>
        <w:rPr>
          <w:rFonts w:hint="default" w:ascii="Times New Roman" w:hAnsi="Times New Roman" w:eastAsia="宋体" w:cs="Times New Roman"/>
          <w:color w:val="auto"/>
          <w:sz w:val="28"/>
          <w:szCs w:val="28"/>
          <w:lang w:val="en-US" w:eastAsia="zh-CN"/>
        </w:rPr>
        <w:t>福建瑞昌新能源科技开发有限公司</w:t>
      </w:r>
      <w:r>
        <w:rPr>
          <w:rFonts w:hint="default" w:ascii="Times New Roman" w:hAnsi="Times New Roman" w:eastAsia="宋体" w:cs="Times New Roman"/>
          <w:color w:val="auto"/>
          <w:sz w:val="28"/>
          <w:szCs w:val="28"/>
          <w:highlight w:val="none"/>
          <w:lang w:val="en-US" w:eastAsia="zh-CN"/>
        </w:rPr>
        <w:t>年加工五金配件300万个项目已完成环境影响报告表编制，现报送贵局审批。我司已删除涉及国家机密、商业秘密、个人隐私等内容（具体删除内容、删除依据详见附件）。报送贵局的环境影响评价报告表公开文本已经我司审核，我司同意对《福建瑞昌新能源科技开发有限公司年加工五金配件300万个项目环境影响报告表》公开文本全文进行公示，特此声明。</w:t>
      </w:r>
    </w:p>
    <w:p w14:paraId="44585C81">
      <w:pPr>
        <w:keepNext/>
        <w:keepLines w:val="0"/>
        <w:pageBreakBefore w:val="0"/>
        <w:widowControl w:val="0"/>
        <w:kinsoku/>
        <w:wordWrap/>
        <w:overflowPunct w:val="0"/>
        <w:topLinePunct w:val="0"/>
        <w:autoSpaceDE/>
        <w:autoSpaceDN/>
        <w:bidi w:val="0"/>
        <w:adjustRightInd/>
        <w:snapToGrid w:val="0"/>
        <w:spacing w:line="360" w:lineRule="auto"/>
        <w:ind w:left="0" w:firstLine="560" w:firstLineChars="200"/>
        <w:textAlignment w:val="auto"/>
        <w:outlineLvl w:val="9"/>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附件：关于《福建瑞昌新能源科技开发有限公司年加工五金配件300万个项目环境影响报告表》公开删除内容、删除依据的说明</w:t>
      </w:r>
    </w:p>
    <w:p w14:paraId="5362D582">
      <w:pPr>
        <w:pStyle w:val="4"/>
        <w:rPr>
          <w:rFonts w:hint="default"/>
          <w:lang w:val="en-US" w:eastAsia="zh-CN"/>
        </w:rPr>
      </w:pPr>
    </w:p>
    <w:p w14:paraId="229CD383">
      <w:pPr>
        <w:keepNext/>
        <w:keepLines w:val="0"/>
        <w:pageBreakBefore w:val="0"/>
        <w:widowControl w:val="0"/>
        <w:kinsoku/>
        <w:wordWrap/>
        <w:overflowPunct w:val="0"/>
        <w:topLinePunct w:val="0"/>
        <w:autoSpaceDE/>
        <w:autoSpaceDN/>
        <w:bidi w:val="0"/>
        <w:adjustRightInd/>
        <w:snapToGrid w:val="0"/>
        <w:spacing w:line="360" w:lineRule="auto"/>
        <w:ind w:left="0" w:firstLine="560" w:firstLineChars="200"/>
        <w:textAlignment w:val="auto"/>
        <w:outlineLvl w:val="9"/>
        <w:rPr>
          <w:rFonts w:hint="default" w:ascii="Times New Roman" w:hAnsi="Times New Roman" w:eastAsia="宋体" w:cs="Times New Roman"/>
          <w:color w:val="auto"/>
          <w:sz w:val="28"/>
          <w:szCs w:val="28"/>
          <w:highlight w:val="none"/>
          <w:lang w:val="en-US" w:eastAsia="zh-CN"/>
        </w:rPr>
      </w:pPr>
    </w:p>
    <w:p w14:paraId="06D44E08">
      <w:pPr>
        <w:keepNext/>
        <w:keepLines w:val="0"/>
        <w:pageBreakBefore w:val="0"/>
        <w:widowControl w:val="0"/>
        <w:kinsoku/>
        <w:wordWrap/>
        <w:overflowPunct w:val="0"/>
        <w:topLinePunct w:val="0"/>
        <w:autoSpaceDE/>
        <w:autoSpaceDN/>
        <w:bidi w:val="0"/>
        <w:adjustRightInd/>
        <w:snapToGrid w:val="0"/>
        <w:spacing w:line="360" w:lineRule="auto"/>
        <w:ind w:left="0" w:firstLine="560" w:firstLineChars="200"/>
        <w:textAlignment w:val="auto"/>
        <w:outlineLvl w:val="9"/>
        <w:rPr>
          <w:rFonts w:hint="default" w:ascii="Times New Roman" w:hAnsi="Times New Roman" w:eastAsia="宋体" w:cs="Times New Roman"/>
          <w:color w:val="auto"/>
          <w:sz w:val="28"/>
          <w:szCs w:val="28"/>
          <w:highlight w:val="none"/>
          <w:lang w:val="en-US" w:eastAsia="zh-CN"/>
        </w:rPr>
      </w:pPr>
    </w:p>
    <w:p w14:paraId="427268F7">
      <w:pPr>
        <w:keepNext/>
        <w:keepLines w:val="0"/>
        <w:pageBreakBefore w:val="0"/>
        <w:widowControl w:val="0"/>
        <w:kinsoku/>
        <w:wordWrap/>
        <w:overflowPunct w:val="0"/>
        <w:topLinePunct w:val="0"/>
        <w:autoSpaceDE/>
        <w:autoSpaceDN/>
        <w:bidi w:val="0"/>
        <w:adjustRightInd/>
        <w:snapToGrid w:val="0"/>
        <w:spacing w:line="360" w:lineRule="auto"/>
        <w:ind w:left="0" w:firstLine="560" w:firstLineChars="200"/>
        <w:textAlignment w:val="auto"/>
        <w:outlineLvl w:val="9"/>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 xml:space="preserve">                                 </w:t>
      </w:r>
      <w:r>
        <w:rPr>
          <w:rFonts w:hint="eastAsia" w:ascii="Times New Roman" w:hAnsi="Times New Roman" w:eastAsia="宋体"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lang w:val="en-US" w:eastAsia="zh-CN"/>
        </w:rPr>
        <w:t>单位盖章</w:t>
      </w:r>
    </w:p>
    <w:p w14:paraId="6BAE5EE2">
      <w:pPr>
        <w:keepNext/>
        <w:keepLines w:val="0"/>
        <w:pageBreakBefore w:val="0"/>
        <w:widowControl w:val="0"/>
        <w:kinsoku/>
        <w:wordWrap/>
        <w:overflowPunct w:val="0"/>
        <w:topLinePunct w:val="0"/>
        <w:autoSpaceDE/>
        <w:autoSpaceDN/>
        <w:bidi w:val="0"/>
        <w:adjustRightInd/>
        <w:snapToGrid w:val="0"/>
        <w:spacing w:line="360" w:lineRule="auto"/>
        <w:ind w:left="0" w:firstLine="560" w:firstLineChars="200"/>
        <w:jc w:val="center"/>
        <w:textAlignment w:val="auto"/>
        <w:outlineLvl w:val="9"/>
        <w:rPr>
          <w:rFonts w:hint="default" w:ascii="Times New Roman" w:hAnsi="Times New Roman" w:eastAsia="宋体" w:cs="Times New Roman"/>
          <w:color w:val="auto"/>
          <w:sz w:val="28"/>
          <w:szCs w:val="28"/>
          <w:highlight w:val="none"/>
          <w:lang w:val="en-US" w:eastAsia="zh-CN"/>
        </w:rPr>
      </w:pPr>
      <w:r>
        <w:rPr>
          <w:rFonts w:hint="eastAsia" w:eastAsia="宋体"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lang w:val="en-US" w:eastAsia="zh-CN"/>
        </w:rPr>
        <w:t>2025</w:t>
      </w:r>
      <w:r>
        <w:rPr>
          <w:rFonts w:hint="default" w:ascii="Times New Roman" w:hAnsi="Times New Roman" w:eastAsia="宋体" w:cs="Times New Roman"/>
          <w:color w:val="auto"/>
          <w:sz w:val="28"/>
          <w:szCs w:val="28"/>
          <w:highlight w:val="none"/>
        </w:rPr>
        <w:t>年</w:t>
      </w:r>
      <w:r>
        <w:rPr>
          <w:rFonts w:hint="eastAsia" w:cs="Times New Roman"/>
          <w:color w:val="auto"/>
          <w:sz w:val="28"/>
          <w:szCs w:val="28"/>
          <w:highlight w:val="none"/>
          <w:lang w:val="en-US" w:eastAsia="zh-CN"/>
        </w:rPr>
        <w:t>11</w:t>
      </w:r>
      <w:r>
        <w:rPr>
          <w:rFonts w:hint="default" w:ascii="Times New Roman" w:hAnsi="Times New Roman" w:eastAsia="宋体" w:cs="Times New Roman"/>
          <w:color w:val="auto"/>
          <w:sz w:val="28"/>
          <w:szCs w:val="28"/>
          <w:highlight w:val="none"/>
        </w:rPr>
        <w:t>月</w:t>
      </w:r>
      <w:r>
        <w:rPr>
          <w:rFonts w:hint="eastAsia" w:cs="Times New Roman"/>
          <w:color w:val="auto"/>
          <w:sz w:val="28"/>
          <w:szCs w:val="28"/>
          <w:highlight w:val="none"/>
          <w:lang w:val="en-US" w:eastAsia="zh-CN"/>
        </w:rPr>
        <w:t>27</w:t>
      </w:r>
      <w:r>
        <w:rPr>
          <w:rFonts w:hint="default" w:ascii="Times New Roman" w:hAnsi="Times New Roman" w:eastAsia="宋体" w:cs="Times New Roman"/>
          <w:color w:val="auto"/>
          <w:sz w:val="28"/>
          <w:szCs w:val="28"/>
          <w:highlight w:val="none"/>
        </w:rPr>
        <w:t>日</w:t>
      </w:r>
    </w:p>
    <w:p w14:paraId="048AFFE5">
      <w:pPr>
        <w:rPr>
          <w:rFonts w:hint="eastAsia" w:ascii="黑体" w:hAnsi="黑体" w:eastAsia="黑体" w:cs="黑体"/>
          <w:b/>
          <w:bCs/>
          <w:color w:val="auto"/>
          <w:sz w:val="28"/>
          <w:szCs w:val="28"/>
          <w:highlight w:val="none"/>
          <w:lang w:val="en-US" w:eastAsia="zh-CN"/>
        </w:rPr>
      </w:pPr>
      <w:r>
        <w:rPr>
          <w:rFonts w:hint="eastAsia" w:ascii="黑体" w:hAnsi="黑体" w:eastAsia="黑体" w:cs="黑体"/>
          <w:b/>
          <w:bCs/>
          <w:color w:val="auto"/>
          <w:sz w:val="28"/>
          <w:szCs w:val="28"/>
          <w:highlight w:val="none"/>
          <w:lang w:val="en-US" w:eastAsia="zh-CN"/>
        </w:rPr>
        <w:br w:type="page"/>
      </w:r>
      <w:r>
        <w:drawing>
          <wp:anchor distT="0" distB="0" distL="114300" distR="114300" simplePos="0" relativeHeight="251686912" behindDoc="0" locked="0" layoutInCell="1" allowOverlap="1">
            <wp:simplePos x="0" y="0"/>
            <wp:positionH relativeFrom="column">
              <wp:posOffset>-13335</wp:posOffset>
            </wp:positionH>
            <wp:positionV relativeFrom="paragraph">
              <wp:posOffset>6985</wp:posOffset>
            </wp:positionV>
            <wp:extent cx="5871210" cy="8697595"/>
            <wp:effectExtent l="0" t="0" r="15240" b="8255"/>
            <wp:wrapNone/>
            <wp:docPr id="1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8"/>
                    <pic:cNvPicPr>
                      <a:picLocks noChangeAspect="1"/>
                    </pic:cNvPicPr>
                  </pic:nvPicPr>
                  <pic:blipFill>
                    <a:blip r:embed="rId60"/>
                    <a:stretch>
                      <a:fillRect/>
                    </a:stretch>
                  </pic:blipFill>
                  <pic:spPr>
                    <a:xfrm>
                      <a:off x="0" y="0"/>
                      <a:ext cx="5871210" cy="8697595"/>
                    </a:xfrm>
                    <a:prstGeom prst="rect">
                      <a:avLst/>
                    </a:prstGeom>
                    <a:noFill/>
                    <a:ln>
                      <a:noFill/>
                    </a:ln>
                  </pic:spPr>
                </pic:pic>
              </a:graphicData>
            </a:graphic>
          </wp:anchor>
        </w:drawing>
      </w:r>
      <w:r>
        <w:rPr>
          <w:rFonts w:hint="eastAsia" w:ascii="黑体" w:hAnsi="黑体" w:eastAsia="黑体" w:cs="黑体"/>
          <w:b/>
          <w:bCs/>
          <w:color w:val="auto"/>
          <w:sz w:val="28"/>
          <w:szCs w:val="28"/>
          <w:highlight w:val="none"/>
          <w:lang w:val="en-US" w:eastAsia="zh-CN"/>
        </w:rPr>
        <w:t>附件：</w:t>
      </w:r>
    </w:p>
    <w:p w14:paraId="069D88D0">
      <w:pPr>
        <w:jc w:val="center"/>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z w:val="30"/>
          <w:szCs w:val="30"/>
          <w:highlight w:val="none"/>
          <w:lang w:val="en-US" w:eastAsia="zh-CN"/>
        </w:rPr>
        <w:br w:type="textWrapping"/>
      </w:r>
      <w:r>
        <w:rPr>
          <w:rFonts w:hint="eastAsia" w:ascii="宋体" w:hAnsi="宋体" w:eastAsia="宋体" w:cs="宋体"/>
          <w:b/>
          <w:bCs/>
          <w:color w:val="auto"/>
          <w:sz w:val="30"/>
          <w:szCs w:val="30"/>
          <w:highlight w:val="none"/>
          <w:lang w:val="en-US" w:eastAsia="zh-CN"/>
        </w:rPr>
        <w:t>关于</w:t>
      </w:r>
      <w:r>
        <w:rPr>
          <w:rFonts w:hint="eastAsia" w:ascii="宋体" w:hAnsi="宋体" w:eastAsia="宋体" w:cs="宋体"/>
          <w:b/>
          <w:bCs/>
          <w:color w:val="auto"/>
          <w:sz w:val="30"/>
          <w:szCs w:val="30"/>
          <w:lang w:val="en-US" w:eastAsia="zh-CN"/>
        </w:rPr>
        <w:t>福建瑞昌新能源科技开发有限公司</w:t>
      </w:r>
      <w:r>
        <w:rPr>
          <w:rFonts w:hint="eastAsia" w:ascii="宋体" w:hAnsi="宋体" w:eastAsia="宋体" w:cs="宋体"/>
          <w:b/>
          <w:bCs/>
          <w:color w:val="auto"/>
          <w:sz w:val="30"/>
          <w:szCs w:val="30"/>
          <w:highlight w:val="none"/>
          <w:lang w:val="en-US" w:eastAsia="zh-CN"/>
        </w:rPr>
        <w:t>年加工五金配件300万个项目环境影响报告表公开文本删除的涉及国家秘密、商业秘密等内容的删除依据和理由说明</w:t>
      </w:r>
    </w:p>
    <w:p w14:paraId="7EFE1984">
      <w:pPr>
        <w:pStyle w:val="18"/>
        <w:rPr>
          <w:rFonts w:hint="eastAsia" w:ascii="宋体" w:hAnsi="宋体" w:eastAsia="宋体" w:cs="宋体"/>
          <w:b/>
          <w:bCs/>
          <w:color w:val="auto"/>
          <w:sz w:val="30"/>
          <w:szCs w:val="30"/>
          <w:highlight w:val="none"/>
          <w:lang w:val="en-US" w:eastAsia="zh-CN"/>
        </w:rPr>
      </w:pPr>
    </w:p>
    <w:p w14:paraId="25D76EF1">
      <w:pPr>
        <w:rPr>
          <w:rFonts w:hint="eastAsia"/>
          <w:lang w:val="en-US" w:eastAsia="zh-CN"/>
        </w:rPr>
      </w:pPr>
    </w:p>
    <w:p w14:paraId="2F4E8FFC">
      <w:pPr>
        <w:ind w:firstLine="560" w:firstLineChars="20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我司《</w:t>
      </w:r>
      <w:r>
        <w:rPr>
          <w:rFonts w:hint="default" w:ascii="Times New Roman" w:hAnsi="Times New Roman" w:eastAsia="宋体" w:cs="Times New Roman"/>
          <w:color w:val="auto"/>
          <w:sz w:val="28"/>
          <w:szCs w:val="28"/>
          <w:highlight w:val="none"/>
          <w:lang w:val="en-US" w:eastAsia="zh-CN"/>
        </w:rPr>
        <w:t>福建瑞昌新能源科技开发有限公司年加工五金配件300万个项目环境影响报告表</w:t>
      </w:r>
      <w:r>
        <w:rPr>
          <w:rFonts w:hint="eastAsia" w:ascii="宋体" w:hAnsi="宋体" w:eastAsia="宋体" w:cs="宋体"/>
          <w:b w:val="0"/>
          <w:bCs w:val="0"/>
          <w:color w:val="auto"/>
          <w:sz w:val="28"/>
          <w:szCs w:val="28"/>
          <w:highlight w:val="none"/>
          <w:lang w:val="en-US" w:eastAsia="zh-CN"/>
        </w:rPr>
        <w:t>》部分内容因涉及国家秘密、商业秘密、个人隐私。我司删除了环境影响评价报告标准中相应内容。具体删除内容和删除依据如下：</w:t>
      </w:r>
    </w:p>
    <w:p w14:paraId="72A82928">
      <w:pPr>
        <w:ind w:firstLine="560" w:firstLineChars="20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1、删除项目附件，删除理由：涉及个人隐私；</w:t>
      </w:r>
    </w:p>
    <w:p w14:paraId="212BFDFC">
      <w:pPr>
        <w:ind w:firstLine="560" w:firstLineChars="20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2、删除我司联系方式，删除理由：涉及个人隐私：</w:t>
      </w:r>
    </w:p>
    <w:p w14:paraId="46076A06">
      <w:pPr>
        <w:ind w:firstLine="560" w:firstLineChars="20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3、删除项目编制单位统一社会信用代码及编制主持人证书编号、信用编号等，删除理由：涉及商业秘密及个人隐私。</w:t>
      </w:r>
    </w:p>
    <w:p w14:paraId="358E0FB9">
      <w:pPr>
        <w:ind w:firstLine="560" w:firstLineChars="200"/>
        <w:rPr>
          <w:rFonts w:hint="eastAsia" w:ascii="宋体" w:hAnsi="宋体" w:eastAsia="宋体" w:cs="宋体"/>
          <w:b w:val="0"/>
          <w:bCs w:val="0"/>
          <w:color w:val="auto"/>
          <w:sz w:val="28"/>
          <w:szCs w:val="28"/>
          <w:highlight w:val="none"/>
          <w:lang w:val="en-US" w:eastAsia="zh-CN"/>
        </w:rPr>
      </w:pPr>
    </w:p>
    <w:p w14:paraId="63BF3544">
      <w:pPr>
        <w:ind w:firstLine="560" w:firstLineChars="200"/>
        <w:rPr>
          <w:rFonts w:hint="eastAsia" w:ascii="宋体" w:hAnsi="宋体" w:eastAsia="宋体" w:cs="宋体"/>
          <w:b w:val="0"/>
          <w:bCs w:val="0"/>
          <w:color w:val="auto"/>
          <w:sz w:val="28"/>
          <w:szCs w:val="28"/>
          <w:highlight w:val="none"/>
          <w:lang w:val="en-US" w:eastAsia="zh-CN"/>
        </w:rPr>
      </w:pPr>
    </w:p>
    <w:p w14:paraId="2A5ABB36">
      <w:pPr>
        <w:wordWrap w:val="0"/>
        <w:ind w:firstLine="560" w:firstLineChars="200"/>
        <w:jc w:val="right"/>
        <w:rPr>
          <w:rFonts w:hint="default"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 xml:space="preserve">单位盖章     </w:t>
      </w:r>
    </w:p>
    <w:p w14:paraId="347D0A9F">
      <w:pPr>
        <w:ind w:firstLine="560" w:firstLineChars="200"/>
        <w:jc w:val="right"/>
        <w:rPr>
          <w:rFonts w:hint="eastAsia" w:ascii="黑体" w:hAnsi="黑体" w:eastAsia="黑体" w:cs="黑体"/>
          <w:b/>
          <w:bCs/>
          <w:sz w:val="28"/>
          <w:szCs w:val="28"/>
          <w:lang w:val="en-US" w:eastAsia="zh-CN"/>
        </w:rPr>
      </w:pPr>
      <w:r>
        <w:rPr>
          <w:rFonts w:hint="eastAsia" w:ascii="宋体" w:hAnsi="宋体" w:eastAsia="宋体" w:cs="宋体"/>
          <w:b w:val="0"/>
          <w:bCs w:val="0"/>
          <w:color w:val="auto"/>
          <w:sz w:val="28"/>
          <w:szCs w:val="28"/>
          <w:highlight w:val="none"/>
          <w:lang w:val="en-US" w:eastAsia="zh-CN"/>
        </w:rPr>
        <w:t>2025年11月27日</w:t>
      </w:r>
      <w:r>
        <w:rPr>
          <w:rFonts w:hint="eastAsia" w:ascii="黑体" w:hAnsi="黑体" w:eastAsia="黑体" w:cs="黑体"/>
          <w:b/>
          <w:bCs/>
          <w:color w:val="auto"/>
          <w:sz w:val="28"/>
          <w:szCs w:val="28"/>
          <w:highlight w:val="none"/>
          <w:lang w:val="en-US" w:eastAsia="zh-CN"/>
        </w:rPr>
        <w:br w:type="page"/>
      </w:r>
      <w:bookmarkEnd w:id="225"/>
      <w:bookmarkEnd w:id="226"/>
    </w:p>
    <w:sectPr>
      <w:footerReference r:id="rId8" w:type="default"/>
      <w:pgSz w:w="11906" w:h="16838"/>
      <w:pgMar w:top="1587" w:right="1417" w:bottom="1587" w:left="141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decorative"/>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2000000000000000000"/>
    <w:charset w:val="86"/>
    <w:family w:val="script"/>
    <w:pitch w:val="default"/>
    <w:sig w:usb0="00000000" w:usb1="00000000" w:usb2="00082016" w:usb3="00000000" w:csb0="0004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05C37">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CA45A">
    <w:pPr>
      <w:pStyle w:val="16"/>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F6B034">
                          <w:pPr>
                            <w:pStyle w:val="16"/>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Zl68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pF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mZevNAIAAGUEAAAOAAAAAAAAAAEAIAAAAB8BAABkcnMvZTJvRG9jLnhtbFBL&#10;BQYAAAAABgAGAFkBAADFBQAAAAA=&#10;">
              <v:fill on="f" focussize="0,0"/>
              <v:stroke on="f" weight="0.5pt"/>
              <v:imagedata o:title=""/>
              <o:lock v:ext="edit" aspectratio="f"/>
              <v:textbox inset="0mm,0mm,0mm,0mm" style="mso-fit-shape-to-text:t;">
                <w:txbxContent>
                  <w:p w14:paraId="04F6B034">
                    <w:pPr>
                      <w:pStyle w:val="16"/>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91DB7">
    <w:pPr>
      <w:pStyle w:val="16"/>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77072D">
                          <w:pPr>
                            <w:pStyle w:val="16"/>
                          </w:pPr>
                          <w:r>
                            <w:fldChar w:fldCharType="begin"/>
                          </w:r>
                          <w:r>
                            <w:instrText xml:space="preserve"> PAGE  \* MERGEFORMAT </w:instrText>
                          </w:r>
                          <w:r>
                            <w:fldChar w:fldCharType="separate"/>
                          </w:r>
                          <w:r>
                            <w:t>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bRdE0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6W0XRNAIAAGUEAAAOAAAAAAAAAAEAIAAAAB8BAABkcnMvZTJvRG9jLnhtbFBL&#10;BQYAAAAABgAGAFkBAADFBQAAAAA=&#10;">
              <v:fill on="f" focussize="0,0"/>
              <v:stroke on="f" weight="0.5pt"/>
              <v:imagedata o:title=""/>
              <o:lock v:ext="edit" aspectratio="f"/>
              <v:textbox inset="0mm,0mm,0mm,0mm" style="mso-fit-shape-to-text:t;">
                <w:txbxContent>
                  <w:p w14:paraId="2477072D">
                    <w:pPr>
                      <w:pStyle w:val="16"/>
                    </w:pPr>
                    <w:r>
                      <w:fldChar w:fldCharType="begin"/>
                    </w:r>
                    <w:r>
                      <w:instrText xml:space="preserve"> PAGE  \* MERGEFORMAT </w:instrText>
                    </w:r>
                    <w:r>
                      <w:fldChar w:fldCharType="separate"/>
                    </w:r>
                    <w:r>
                      <w:t>V</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EA5C3">
    <w:pPr>
      <w:pStyle w:val="16"/>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0A29AE">
                          <w:pPr>
                            <w:pStyle w:val="16"/>
                          </w:pPr>
                          <w:r>
                            <w:fldChar w:fldCharType="begin"/>
                          </w:r>
                          <w:r>
                            <w:instrText xml:space="preserve"> PAGE  \* MERGEFORMAT </w:instrText>
                          </w:r>
                          <w:r>
                            <w:fldChar w:fldCharType="separate"/>
                          </w:r>
                          <w:r>
                            <w:t>III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n200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R59tNNAIAAGUEAAAOAAAAAAAAAAEAIAAAAB8BAABkcnMvZTJvRG9jLnhtbFBL&#10;BQYAAAAABgAGAFkBAADFBQAAAAA=&#10;">
              <v:fill on="f" focussize="0,0"/>
              <v:stroke on="f" weight="0.5pt"/>
              <v:imagedata o:title=""/>
              <o:lock v:ext="edit" aspectratio="f"/>
              <v:textbox inset="0mm,0mm,0mm,0mm" style="mso-fit-shape-to-text:t;">
                <w:txbxContent>
                  <w:p w14:paraId="6B0A29AE">
                    <w:pPr>
                      <w:pStyle w:val="16"/>
                    </w:pPr>
                    <w:r>
                      <w:fldChar w:fldCharType="begin"/>
                    </w:r>
                    <w:r>
                      <w:instrText xml:space="preserve"> PAGE  \* MERGEFORMAT </w:instrText>
                    </w:r>
                    <w:r>
                      <w:fldChar w:fldCharType="separate"/>
                    </w:r>
                    <w:r>
                      <w:t>III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F633E">
    <w:pPr>
      <w:pStyle w:val="16"/>
      <w:ind w:right="360"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CAF822">
                          <w:pPr>
                            <w:pStyle w:val="16"/>
                          </w:pPr>
                          <w:r>
                            <w:fldChar w:fldCharType="begin"/>
                          </w:r>
                          <w:r>
                            <w:instrText xml:space="preserve"> PAGE  \* MERGEFORMAT </w:instrText>
                          </w:r>
                          <w:r>
                            <w:fldChar w:fldCharType="separate"/>
                          </w:r>
                          <w:r>
                            <w:t>LXXXVII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oMx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woMxMzAgAAZQQAAA4AAAAAAAAAAQAgAAAAHwEAAGRycy9lMm9Eb2MueG1sUEsF&#10;BgAAAAAGAAYAWQEAAMQFAAAAAA==&#10;">
              <v:fill on="f" focussize="0,0"/>
              <v:stroke on="f" weight="0.5pt"/>
              <v:imagedata o:title=""/>
              <o:lock v:ext="edit" aspectratio="f"/>
              <v:textbox inset="0mm,0mm,0mm,0mm" style="mso-fit-shape-to-text:t;">
                <w:txbxContent>
                  <w:p w14:paraId="5BCAF822">
                    <w:pPr>
                      <w:pStyle w:val="16"/>
                    </w:pPr>
                    <w:r>
                      <w:fldChar w:fldCharType="begin"/>
                    </w:r>
                    <w:r>
                      <w:instrText xml:space="preserve"> PAGE  \* MERGEFORMAT </w:instrText>
                    </w:r>
                    <w:r>
                      <w:fldChar w:fldCharType="separate"/>
                    </w:r>
                    <w:r>
                      <w:t>LXXXVII</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7376F">
    <w:pPr>
      <w:pStyle w:val="16"/>
      <w:ind w:right="360" w:firstLine="36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18C9EB">
                          <w:pPr>
                            <w:pStyle w:val="16"/>
                          </w:pPr>
                          <w:r>
                            <w:fldChar w:fldCharType="begin"/>
                          </w:r>
                          <w:r>
                            <w:instrText xml:space="preserve"> PAGE  \* MERGEFORMAT </w:instrText>
                          </w:r>
                          <w:r>
                            <w:fldChar w:fldCharType="separate"/>
                          </w:r>
                          <w:r>
                            <w:t>XCIX</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4HPY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aGKYRsnPP76f&#10;f/4+//pG0iEkql2YI/LBITY272yDxhnOAw4T86b0On3BicAPsNNFYNFEwtOl2XQ2G8PF4Rs2wM+e&#10;rjsf4nthNUlGTj0q2ArLjtsQu9AhJGUzdiOVaquoDKlzen3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Bz2NAIAAGUEAAAOAAAAAAAAAAEAIAAAAB8BAABkcnMvZTJvRG9jLnhtbFBL&#10;BQYAAAAABgAGAFkBAADFBQAAAAA=&#10;">
              <v:fill on="f" focussize="0,0"/>
              <v:stroke on="f" weight="0.5pt"/>
              <v:imagedata o:title=""/>
              <o:lock v:ext="edit" aspectratio="f"/>
              <v:textbox inset="0mm,0mm,0mm,0mm" style="mso-fit-shape-to-text:t;">
                <w:txbxContent>
                  <w:p w14:paraId="0818C9EB">
                    <w:pPr>
                      <w:pStyle w:val="16"/>
                    </w:pPr>
                    <w:r>
                      <w:fldChar w:fldCharType="begin"/>
                    </w:r>
                    <w:r>
                      <w:instrText xml:space="preserve"> PAGE  \* MERGEFORMAT </w:instrText>
                    </w:r>
                    <w:r>
                      <w:fldChar w:fldCharType="separate"/>
                    </w:r>
                    <w:r>
                      <w:t>XCIX</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B46ACC"/>
    <w:multiLevelType w:val="singleLevel"/>
    <w:tmpl w:val="89B46ACC"/>
    <w:lvl w:ilvl="0" w:tentative="0">
      <w:start w:val="2"/>
      <w:numFmt w:val="chineseCounting"/>
      <w:suff w:val="nothing"/>
      <w:lvlText w:val="%1、"/>
      <w:lvlJc w:val="left"/>
      <w:rPr>
        <w:rFonts w:hint="eastAsia"/>
      </w:rPr>
    </w:lvl>
  </w:abstractNum>
  <w:abstractNum w:abstractNumId="1">
    <w:nsid w:val="E95F1B1E"/>
    <w:multiLevelType w:val="singleLevel"/>
    <w:tmpl w:val="E95F1B1E"/>
    <w:lvl w:ilvl="0" w:tentative="0">
      <w:start w:val="2"/>
      <w:numFmt w:val="decimal"/>
      <w:suff w:val="nothing"/>
      <w:lvlText w:val="%1、"/>
      <w:lvlJc w:val="left"/>
    </w:lvl>
  </w:abstractNum>
  <w:abstractNum w:abstractNumId="2">
    <w:nsid w:val="F960235E"/>
    <w:multiLevelType w:val="singleLevel"/>
    <w:tmpl w:val="F960235E"/>
    <w:lvl w:ilvl="0" w:tentative="0">
      <w:start w:val="1"/>
      <w:numFmt w:val="decimal"/>
      <w:suff w:val="nothing"/>
      <w:lvlText w:val="%1、"/>
      <w:lvlJc w:val="left"/>
    </w:lvl>
  </w:abstractNum>
  <w:abstractNum w:abstractNumId="3">
    <w:nsid w:val="002B350F"/>
    <w:multiLevelType w:val="singleLevel"/>
    <w:tmpl w:val="002B350F"/>
    <w:lvl w:ilvl="0" w:tentative="0">
      <w:start w:val="1"/>
      <w:numFmt w:val="decimal"/>
      <w:suff w:val="nothing"/>
      <w:lvlText w:val="%1、"/>
      <w:lvlJc w:val="left"/>
    </w:lvl>
  </w:abstractNum>
  <w:abstractNum w:abstractNumId="4">
    <w:nsid w:val="5A7818EA"/>
    <w:multiLevelType w:val="multilevel"/>
    <w:tmpl w:val="5A7818EA"/>
    <w:lvl w:ilvl="0" w:tentative="0">
      <w:start w:val="1"/>
      <w:numFmt w:val="decimal"/>
      <w:lvlText w:val="%1."/>
      <w:lvlJc w:val="left"/>
      <w:pPr>
        <w:tabs>
          <w:tab w:val="left" w:pos="1567"/>
        </w:tabs>
        <w:ind w:left="1567"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pStyle w:val="6"/>
      <w:lvlText w:val="%1.%2.%3.%4"/>
      <w:lvlJc w:val="left"/>
      <w:pPr>
        <w:tabs>
          <w:tab w:val="left" w:pos="1574"/>
        </w:tabs>
        <w:ind w:left="157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6833FA05"/>
    <w:multiLevelType w:val="singleLevel"/>
    <w:tmpl w:val="6833FA05"/>
    <w:lvl w:ilvl="0" w:tentative="0">
      <w:start w:val="1"/>
      <w:numFmt w:val="decimal"/>
      <w:suff w:val="nothing"/>
      <w:lvlText w:val="%1、"/>
      <w:lvlJc w:val="left"/>
    </w:lvl>
  </w:abstractNum>
  <w:abstractNum w:abstractNumId="6">
    <w:nsid w:val="76E68910"/>
    <w:multiLevelType w:val="singleLevel"/>
    <w:tmpl w:val="76E68910"/>
    <w:lvl w:ilvl="0" w:tentative="0">
      <w:start w:val="1"/>
      <w:numFmt w:val="decimal"/>
      <w:suff w:val="nothing"/>
      <w:lvlText w:val="（%1）"/>
      <w:lvlJc w:val="left"/>
    </w:lvl>
  </w:abstractNum>
  <w:abstractNum w:abstractNumId="7">
    <w:nsid w:val="7E752F05"/>
    <w:multiLevelType w:val="singleLevel"/>
    <w:tmpl w:val="7E752F05"/>
    <w:lvl w:ilvl="0" w:tentative="0">
      <w:start w:val="1"/>
      <w:numFmt w:val="decimal"/>
      <w:suff w:val="nothing"/>
      <w:lvlText w:val="%1、"/>
      <w:lvlJc w:val="left"/>
    </w:lvl>
  </w:abstractNum>
  <w:num w:numId="1">
    <w:abstractNumId w:val="4"/>
  </w:num>
  <w:num w:numId="2">
    <w:abstractNumId w:val="1"/>
  </w:num>
  <w:num w:numId="3">
    <w:abstractNumId w:val="0"/>
  </w:num>
  <w:num w:numId="4">
    <w:abstractNumId w:val="2"/>
  </w:num>
  <w:num w:numId="5">
    <w:abstractNumId w:val="3"/>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HorizontalSpacing w:val="210"/>
  <w:drawingGridVerticalSpacing w:val="162"/>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E39B3"/>
    <w:rsid w:val="00B65805"/>
    <w:rsid w:val="012855CE"/>
    <w:rsid w:val="01312D03"/>
    <w:rsid w:val="016C7A79"/>
    <w:rsid w:val="03501EED"/>
    <w:rsid w:val="035A6E90"/>
    <w:rsid w:val="037C7496"/>
    <w:rsid w:val="03B373C8"/>
    <w:rsid w:val="03F434D0"/>
    <w:rsid w:val="05467935"/>
    <w:rsid w:val="0599625C"/>
    <w:rsid w:val="05A74E52"/>
    <w:rsid w:val="05B16FE4"/>
    <w:rsid w:val="060D3686"/>
    <w:rsid w:val="06D60D20"/>
    <w:rsid w:val="06FE0CEC"/>
    <w:rsid w:val="074F7AC9"/>
    <w:rsid w:val="08506999"/>
    <w:rsid w:val="09704E33"/>
    <w:rsid w:val="09BB5BCC"/>
    <w:rsid w:val="0A424D4C"/>
    <w:rsid w:val="0AA6399E"/>
    <w:rsid w:val="0B431F62"/>
    <w:rsid w:val="0C14470F"/>
    <w:rsid w:val="0CD658CB"/>
    <w:rsid w:val="0DC962E6"/>
    <w:rsid w:val="0E94387A"/>
    <w:rsid w:val="0F005480"/>
    <w:rsid w:val="0F27519E"/>
    <w:rsid w:val="0F947289"/>
    <w:rsid w:val="10686559"/>
    <w:rsid w:val="10D15444"/>
    <w:rsid w:val="10FE0470"/>
    <w:rsid w:val="114762E6"/>
    <w:rsid w:val="119E6CF5"/>
    <w:rsid w:val="121161DF"/>
    <w:rsid w:val="12320CA3"/>
    <w:rsid w:val="12396910"/>
    <w:rsid w:val="123C2076"/>
    <w:rsid w:val="125B4B29"/>
    <w:rsid w:val="12E2773F"/>
    <w:rsid w:val="12F21BA5"/>
    <w:rsid w:val="130A6291"/>
    <w:rsid w:val="13A30873"/>
    <w:rsid w:val="13DB3C17"/>
    <w:rsid w:val="142976A3"/>
    <w:rsid w:val="143B75BD"/>
    <w:rsid w:val="14ED0523"/>
    <w:rsid w:val="15447000"/>
    <w:rsid w:val="15E440F6"/>
    <w:rsid w:val="184077D8"/>
    <w:rsid w:val="18535E55"/>
    <w:rsid w:val="18B506EB"/>
    <w:rsid w:val="19392E3F"/>
    <w:rsid w:val="195065E6"/>
    <w:rsid w:val="19773305"/>
    <w:rsid w:val="19AF5431"/>
    <w:rsid w:val="1A9611D4"/>
    <w:rsid w:val="1AEF1640"/>
    <w:rsid w:val="1AFC5857"/>
    <w:rsid w:val="1B0678E6"/>
    <w:rsid w:val="1B110841"/>
    <w:rsid w:val="1B20658C"/>
    <w:rsid w:val="1C136A38"/>
    <w:rsid w:val="1C723D3B"/>
    <w:rsid w:val="1CC34BB0"/>
    <w:rsid w:val="1D7644E2"/>
    <w:rsid w:val="1E9524B5"/>
    <w:rsid w:val="1ED50A3D"/>
    <w:rsid w:val="1F07118C"/>
    <w:rsid w:val="1F6C1AC3"/>
    <w:rsid w:val="212764EA"/>
    <w:rsid w:val="213A08EA"/>
    <w:rsid w:val="21652233"/>
    <w:rsid w:val="21E872AF"/>
    <w:rsid w:val="224A458F"/>
    <w:rsid w:val="22796B9E"/>
    <w:rsid w:val="22F97F47"/>
    <w:rsid w:val="24000D54"/>
    <w:rsid w:val="24423C0B"/>
    <w:rsid w:val="246E3BEE"/>
    <w:rsid w:val="24B148C0"/>
    <w:rsid w:val="268D24CB"/>
    <w:rsid w:val="26FF1810"/>
    <w:rsid w:val="26FF2560"/>
    <w:rsid w:val="27E762EC"/>
    <w:rsid w:val="27F645D9"/>
    <w:rsid w:val="2806232A"/>
    <w:rsid w:val="28897B1C"/>
    <w:rsid w:val="28A12B3E"/>
    <w:rsid w:val="29035282"/>
    <w:rsid w:val="2A1803B1"/>
    <w:rsid w:val="2A701750"/>
    <w:rsid w:val="2C0F4FCD"/>
    <w:rsid w:val="2CC3445D"/>
    <w:rsid w:val="2D81692A"/>
    <w:rsid w:val="2D984ECD"/>
    <w:rsid w:val="2E183793"/>
    <w:rsid w:val="2E250044"/>
    <w:rsid w:val="2E717347"/>
    <w:rsid w:val="2ECE4F81"/>
    <w:rsid w:val="2F511D30"/>
    <w:rsid w:val="2F686C4D"/>
    <w:rsid w:val="305D5210"/>
    <w:rsid w:val="321F5BEE"/>
    <w:rsid w:val="32405F41"/>
    <w:rsid w:val="32FC156A"/>
    <w:rsid w:val="332E2F85"/>
    <w:rsid w:val="3359014F"/>
    <w:rsid w:val="34DF5D43"/>
    <w:rsid w:val="350F349A"/>
    <w:rsid w:val="353636EA"/>
    <w:rsid w:val="35CA5CBB"/>
    <w:rsid w:val="35EF54F1"/>
    <w:rsid w:val="362C2FB9"/>
    <w:rsid w:val="36632AEA"/>
    <w:rsid w:val="368B560A"/>
    <w:rsid w:val="36F46607"/>
    <w:rsid w:val="3716170E"/>
    <w:rsid w:val="37BC5AD7"/>
    <w:rsid w:val="37CF2348"/>
    <w:rsid w:val="38CA5FD2"/>
    <w:rsid w:val="38DC3EDC"/>
    <w:rsid w:val="39721E98"/>
    <w:rsid w:val="3A0D43C8"/>
    <w:rsid w:val="3A7B3269"/>
    <w:rsid w:val="3B3C25D7"/>
    <w:rsid w:val="3B5F50F7"/>
    <w:rsid w:val="3BDE2BA6"/>
    <w:rsid w:val="3BE56743"/>
    <w:rsid w:val="3C09460C"/>
    <w:rsid w:val="3C8E01DC"/>
    <w:rsid w:val="3CCE564F"/>
    <w:rsid w:val="3CE45C48"/>
    <w:rsid w:val="3CF86493"/>
    <w:rsid w:val="3D962E9A"/>
    <w:rsid w:val="3F0F1503"/>
    <w:rsid w:val="3F127E08"/>
    <w:rsid w:val="3FB633FB"/>
    <w:rsid w:val="3FB9596C"/>
    <w:rsid w:val="3FC54551"/>
    <w:rsid w:val="40FD5B5C"/>
    <w:rsid w:val="4186530E"/>
    <w:rsid w:val="41E756B8"/>
    <w:rsid w:val="426024C3"/>
    <w:rsid w:val="42644CFC"/>
    <w:rsid w:val="42712D90"/>
    <w:rsid w:val="428E37C9"/>
    <w:rsid w:val="43250271"/>
    <w:rsid w:val="43652BBD"/>
    <w:rsid w:val="438A7C97"/>
    <w:rsid w:val="43D43925"/>
    <w:rsid w:val="441F174E"/>
    <w:rsid w:val="44647233"/>
    <w:rsid w:val="449657A6"/>
    <w:rsid w:val="46084AF2"/>
    <w:rsid w:val="467A6408"/>
    <w:rsid w:val="48B545A9"/>
    <w:rsid w:val="48C14817"/>
    <w:rsid w:val="490A12E5"/>
    <w:rsid w:val="49460182"/>
    <w:rsid w:val="49BD7227"/>
    <w:rsid w:val="4A430135"/>
    <w:rsid w:val="4B302306"/>
    <w:rsid w:val="4B517646"/>
    <w:rsid w:val="4C7E5B9D"/>
    <w:rsid w:val="4CBC43F6"/>
    <w:rsid w:val="4CCB2C98"/>
    <w:rsid w:val="4DAD76E3"/>
    <w:rsid w:val="4DCB34AF"/>
    <w:rsid w:val="4E0A0A15"/>
    <w:rsid w:val="4E453CD9"/>
    <w:rsid w:val="4EA73979"/>
    <w:rsid w:val="4F075432"/>
    <w:rsid w:val="4F457D08"/>
    <w:rsid w:val="4F7C26F1"/>
    <w:rsid w:val="4F7C6D36"/>
    <w:rsid w:val="50F41DB2"/>
    <w:rsid w:val="51052079"/>
    <w:rsid w:val="51152D85"/>
    <w:rsid w:val="5288019F"/>
    <w:rsid w:val="52AD5CF4"/>
    <w:rsid w:val="52E03B4B"/>
    <w:rsid w:val="53ED7E15"/>
    <w:rsid w:val="54092EF7"/>
    <w:rsid w:val="54375424"/>
    <w:rsid w:val="545869CF"/>
    <w:rsid w:val="561C01EA"/>
    <w:rsid w:val="562464C8"/>
    <w:rsid w:val="56856B80"/>
    <w:rsid w:val="56D219CC"/>
    <w:rsid w:val="5919648E"/>
    <w:rsid w:val="59854F6F"/>
    <w:rsid w:val="598F6523"/>
    <w:rsid w:val="59A12058"/>
    <w:rsid w:val="5A6A34FF"/>
    <w:rsid w:val="5AD2718F"/>
    <w:rsid w:val="5BE049C1"/>
    <w:rsid w:val="5C3B007A"/>
    <w:rsid w:val="5C3B6762"/>
    <w:rsid w:val="5C574E82"/>
    <w:rsid w:val="5CD252D1"/>
    <w:rsid w:val="5CF76AE6"/>
    <w:rsid w:val="5D1475BA"/>
    <w:rsid w:val="5E352B67"/>
    <w:rsid w:val="5F94195C"/>
    <w:rsid w:val="600D264D"/>
    <w:rsid w:val="604C4F0B"/>
    <w:rsid w:val="60B06C30"/>
    <w:rsid w:val="60BB31B3"/>
    <w:rsid w:val="612A5DE1"/>
    <w:rsid w:val="6134186F"/>
    <w:rsid w:val="61C342E5"/>
    <w:rsid w:val="61EC6729"/>
    <w:rsid w:val="620E2129"/>
    <w:rsid w:val="628C1E57"/>
    <w:rsid w:val="62F2581B"/>
    <w:rsid w:val="643313A9"/>
    <w:rsid w:val="65764C68"/>
    <w:rsid w:val="65A90B99"/>
    <w:rsid w:val="66801F8E"/>
    <w:rsid w:val="678F3DBF"/>
    <w:rsid w:val="67DF3732"/>
    <w:rsid w:val="6826051E"/>
    <w:rsid w:val="688356D2"/>
    <w:rsid w:val="689E3902"/>
    <w:rsid w:val="69537901"/>
    <w:rsid w:val="695A2772"/>
    <w:rsid w:val="69602F7D"/>
    <w:rsid w:val="69BB75A3"/>
    <w:rsid w:val="6AE30E7D"/>
    <w:rsid w:val="6B09652B"/>
    <w:rsid w:val="6B8B1382"/>
    <w:rsid w:val="6BF57752"/>
    <w:rsid w:val="6C3F3B3F"/>
    <w:rsid w:val="6CA542AC"/>
    <w:rsid w:val="6D6B0293"/>
    <w:rsid w:val="6DA07A76"/>
    <w:rsid w:val="6E2F5A53"/>
    <w:rsid w:val="6E3D0876"/>
    <w:rsid w:val="6E91728B"/>
    <w:rsid w:val="6EB17135"/>
    <w:rsid w:val="6EE37A6B"/>
    <w:rsid w:val="6F711321"/>
    <w:rsid w:val="6FB57106"/>
    <w:rsid w:val="6FB87AD8"/>
    <w:rsid w:val="70335223"/>
    <w:rsid w:val="70935EC8"/>
    <w:rsid w:val="70A7195F"/>
    <w:rsid w:val="71281524"/>
    <w:rsid w:val="72137A0F"/>
    <w:rsid w:val="72146479"/>
    <w:rsid w:val="722A2C74"/>
    <w:rsid w:val="72A845A9"/>
    <w:rsid w:val="73730B78"/>
    <w:rsid w:val="73CA303A"/>
    <w:rsid w:val="73F67ACD"/>
    <w:rsid w:val="74161AF0"/>
    <w:rsid w:val="74827F96"/>
    <w:rsid w:val="74A013B9"/>
    <w:rsid w:val="76640175"/>
    <w:rsid w:val="769447C8"/>
    <w:rsid w:val="77C840CC"/>
    <w:rsid w:val="785E0CFE"/>
    <w:rsid w:val="799E34B2"/>
    <w:rsid w:val="79B56793"/>
    <w:rsid w:val="7A4A482E"/>
    <w:rsid w:val="7AC202DC"/>
    <w:rsid w:val="7AF542EE"/>
    <w:rsid w:val="7B1D47C7"/>
    <w:rsid w:val="7BED0F85"/>
    <w:rsid w:val="7BF22B95"/>
    <w:rsid w:val="7C414D87"/>
    <w:rsid w:val="7D466F15"/>
    <w:rsid w:val="7DC861E9"/>
    <w:rsid w:val="7DE22616"/>
    <w:rsid w:val="7E9E1D43"/>
    <w:rsid w:val="7ED37F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uiPriority w:val="0"/>
    <w:pPr>
      <w:keepNext/>
      <w:keepLines/>
      <w:spacing w:before="260" w:after="260" w:line="416" w:lineRule="auto"/>
      <w:outlineLvl w:val="1"/>
    </w:pPr>
    <w:rPr>
      <w:rFonts w:ascii="Calibri Light" w:hAnsi="Calibri Light" w:eastAsia="宋体" w:cs="Times New Roman"/>
      <w:b/>
      <w:bCs/>
      <w:sz w:val="32"/>
      <w:szCs w:val="32"/>
    </w:rPr>
  </w:style>
  <w:style w:type="paragraph" w:styleId="5">
    <w:name w:val="heading 3"/>
    <w:basedOn w:val="1"/>
    <w:next w:val="1"/>
    <w:qFormat/>
    <w:uiPriority w:val="0"/>
    <w:pPr>
      <w:keepNext/>
      <w:keepLines/>
      <w:spacing w:before="260" w:beforeLines="0" w:after="260" w:afterLines="0" w:line="416" w:lineRule="auto"/>
      <w:outlineLvl w:val="2"/>
    </w:pPr>
    <w:rPr>
      <w:b/>
      <w:bCs/>
      <w:sz w:val="32"/>
      <w:szCs w:val="32"/>
    </w:rPr>
  </w:style>
  <w:style w:type="paragraph" w:styleId="6">
    <w:name w:val="heading 4"/>
    <w:basedOn w:val="1"/>
    <w:next w:val="1"/>
    <w:unhideWhenUsed/>
    <w:qFormat/>
    <w:uiPriority w:val="0"/>
    <w:pPr>
      <w:keepNext/>
      <w:keepLines/>
      <w:numPr>
        <w:ilvl w:val="3"/>
        <w:numId w:val="1"/>
      </w:numPr>
      <w:spacing w:line="360" w:lineRule="auto"/>
      <w:ind w:left="1574" w:hanging="864"/>
      <w:outlineLvl w:val="3"/>
    </w:pPr>
    <w:rPr>
      <w:rFonts w:ascii="Arial" w:hAnsi="Arial" w:eastAsia="宋体" w:cs="Times New Roman"/>
      <w:sz w:val="24"/>
      <w:szCs w:val="20"/>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ind w:firstLine="420"/>
    </w:pPr>
  </w:style>
  <w:style w:type="paragraph" w:styleId="7">
    <w:name w:val="table of authorities"/>
    <w:basedOn w:val="1"/>
    <w:next w:val="1"/>
    <w:semiHidden/>
    <w:qFormat/>
    <w:uiPriority w:val="0"/>
    <w:pPr>
      <w:ind w:left="420" w:leftChars="200"/>
    </w:pPr>
  </w:style>
  <w:style w:type="paragraph" w:styleId="8">
    <w:name w:val="Note Heading"/>
    <w:basedOn w:val="1"/>
    <w:next w:val="1"/>
    <w:qFormat/>
    <w:uiPriority w:val="0"/>
    <w:pPr>
      <w:jc w:val="left"/>
    </w:pPr>
  </w:style>
  <w:style w:type="paragraph" w:styleId="9">
    <w:name w:val="annotation text"/>
    <w:basedOn w:val="1"/>
    <w:qFormat/>
    <w:uiPriority w:val="0"/>
    <w:pPr>
      <w:jc w:val="left"/>
    </w:pPr>
  </w:style>
  <w:style w:type="paragraph" w:styleId="10">
    <w:name w:val="Salutation"/>
    <w:next w:val="1"/>
    <w:unhideWhenUsed/>
    <w:qFormat/>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1">
    <w:name w:val="Body Text"/>
    <w:basedOn w:val="1"/>
    <w:next w:val="8"/>
    <w:qFormat/>
    <w:uiPriority w:val="0"/>
    <w:pPr>
      <w:widowControl/>
      <w:snapToGrid w:val="0"/>
      <w:spacing w:before="60" w:after="160" w:line="259" w:lineRule="auto"/>
      <w:ind w:right="113"/>
    </w:pPr>
    <w:rPr>
      <w:kern w:val="0"/>
      <w:sz w:val="18"/>
      <w:szCs w:val="20"/>
    </w:rPr>
  </w:style>
  <w:style w:type="paragraph" w:styleId="12">
    <w:name w:val="Body Text Indent"/>
    <w:basedOn w:val="1"/>
    <w:next w:val="13"/>
    <w:link w:val="66"/>
    <w:qFormat/>
    <w:uiPriority w:val="0"/>
    <w:pPr>
      <w:spacing w:after="120"/>
      <w:ind w:left="420" w:leftChars="200"/>
    </w:pPr>
    <w:rPr>
      <w:kern w:val="0"/>
      <w:sz w:val="24"/>
      <w:szCs w:val="20"/>
    </w:rPr>
  </w:style>
  <w:style w:type="paragraph" w:styleId="13">
    <w:name w:val="Body Text First Indent 2"/>
    <w:basedOn w:val="12"/>
    <w:next w:val="1"/>
    <w:qFormat/>
    <w:uiPriority w:val="0"/>
    <w:pPr>
      <w:spacing w:after="120"/>
      <w:ind w:left="420" w:leftChars="200" w:firstLine="210" w:firstLineChars="200"/>
    </w:pPr>
    <w:rPr>
      <w:sz w:val="21"/>
    </w:rPr>
  </w:style>
  <w:style w:type="paragraph" w:styleId="14">
    <w:name w:val="toc 3"/>
    <w:basedOn w:val="1"/>
    <w:next w:val="1"/>
    <w:qFormat/>
    <w:uiPriority w:val="0"/>
    <w:pPr>
      <w:ind w:left="840" w:leftChars="400"/>
    </w:pPr>
  </w:style>
  <w:style w:type="paragraph" w:styleId="15">
    <w:name w:val="Plain Text"/>
    <w:basedOn w:val="1"/>
    <w:next w:val="11"/>
    <w:qFormat/>
    <w:uiPriority w:val="0"/>
    <w:rPr>
      <w:rFonts w:ascii="宋体" w:hAnsi="Courier New" w:cs="Courier New"/>
      <w:szCs w:val="21"/>
    </w:rPr>
  </w:style>
  <w:style w:type="paragraph" w:styleId="16">
    <w:name w:val="footer"/>
    <w:basedOn w:val="1"/>
    <w:qFormat/>
    <w:uiPriority w:val="99"/>
    <w:pPr>
      <w:tabs>
        <w:tab w:val="center" w:pos="4153"/>
        <w:tab w:val="right" w:pos="8306"/>
      </w:tabs>
      <w:snapToGrid w:val="0"/>
      <w:jc w:val="left"/>
    </w:pPr>
    <w:rPr>
      <w:kern w:val="0"/>
      <w:sz w:val="18"/>
      <w:szCs w:val="20"/>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qFormat/>
    <w:uiPriority w:val="0"/>
  </w:style>
  <w:style w:type="paragraph" w:styleId="19">
    <w:name w:val="List"/>
    <w:basedOn w:val="1"/>
    <w:qFormat/>
    <w:uiPriority w:val="0"/>
    <w:pPr>
      <w:ind w:left="200" w:hanging="200" w:hangingChars="200"/>
    </w:pPr>
  </w:style>
  <w:style w:type="paragraph" w:styleId="20">
    <w:name w:val="toc 2"/>
    <w:basedOn w:val="1"/>
    <w:next w:val="1"/>
    <w:qFormat/>
    <w:uiPriority w:val="0"/>
    <w:pPr>
      <w:ind w:left="420" w:leftChars="200"/>
    </w:pPr>
  </w:style>
  <w:style w:type="paragraph" w:styleId="21">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2">
    <w:name w:val="Body Text First Indent"/>
    <w:basedOn w:val="11"/>
    <w:next w:val="1"/>
    <w:qFormat/>
    <w:uiPriority w:val="0"/>
    <w:pPr>
      <w:spacing w:line="480" w:lineRule="auto"/>
      <w:ind w:firstLine="630" w:firstLineChars="225"/>
    </w:pPr>
    <w:rPr>
      <w:rFonts w:ascii="宋体" w:hAnsi="宋体"/>
      <w:sz w:val="28"/>
      <w:szCs w:val="28"/>
      <w:u w:val="single"/>
      <w:lang w:val="en-US" w:eastAsia="zh-CN" w:bidi="ar-SA"/>
    </w:rPr>
  </w:style>
  <w:style w:type="table" w:styleId="24">
    <w:name w:val="Table Grid"/>
    <w:basedOn w:val="2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0"/>
  </w:style>
  <w:style w:type="character" w:styleId="27">
    <w:name w:val="Hyperlink"/>
    <w:basedOn w:val="25"/>
    <w:qFormat/>
    <w:uiPriority w:val="0"/>
    <w:rPr>
      <w:color w:val="0000FF"/>
      <w:u w:val="single"/>
    </w:rPr>
  </w:style>
  <w:style w:type="paragraph" w:customStyle="1" w:styleId="28">
    <w:name w:val="样式 正文文本缩进 + 行距: 1.5 倍行距"/>
    <w:basedOn w:val="1"/>
    <w:qFormat/>
    <w:uiPriority w:val="0"/>
    <w:pPr>
      <w:spacing w:after="120" w:line="360" w:lineRule="auto"/>
      <w:ind w:left="90" w:leftChars="32" w:firstLine="560" w:firstLineChars="200"/>
    </w:pPr>
    <w:rPr>
      <w:rFonts w:cs="宋体"/>
      <w:sz w:val="24"/>
    </w:rPr>
  </w:style>
  <w:style w:type="paragraph" w:customStyle="1" w:styleId="29">
    <w:name w:val=" Char Char Char Char Char Char Char Char Char1 Char"/>
    <w:basedOn w:val="1"/>
    <w:semiHidden/>
    <w:qFormat/>
    <w:uiPriority w:val="0"/>
    <w:pPr>
      <w:ind w:firstLine="0"/>
    </w:pPr>
    <w:rPr>
      <w:rFonts w:ascii="宋体" w:hAnsi="宋体" w:eastAsia="宋体" w:cs="Courier New"/>
      <w:sz w:val="32"/>
      <w:szCs w:val="32"/>
    </w:rPr>
  </w:style>
  <w:style w:type="paragraph" w:customStyle="1" w:styleId="30">
    <w:name w:val="章1正文样式"/>
    <w:basedOn w:val="1"/>
    <w:qFormat/>
    <w:uiPriority w:val="0"/>
    <w:pPr>
      <w:adjustRightInd w:val="0"/>
      <w:snapToGrid w:val="0"/>
      <w:spacing w:line="360" w:lineRule="auto"/>
      <w:ind w:firstLine="720" w:firstLineChars="200"/>
    </w:pPr>
    <w:rPr>
      <w:rFonts w:hint="eastAsia" w:ascii="Times New Roman" w:hAnsi="Times New Roman" w:eastAsia="宋体" w:cs="Times New Roman"/>
      <w:szCs w:val="21"/>
    </w:rPr>
  </w:style>
  <w:style w:type="paragraph" w:customStyle="1" w:styleId="31">
    <w:name w:val="CM11"/>
    <w:basedOn w:val="1"/>
    <w:next w:val="1"/>
    <w:qFormat/>
    <w:uiPriority w:val="0"/>
    <w:pPr>
      <w:autoSpaceDE w:val="0"/>
      <w:autoSpaceDN w:val="0"/>
      <w:adjustRightInd w:val="0"/>
      <w:spacing w:line="520" w:lineRule="atLeast"/>
      <w:ind w:firstLine="0"/>
      <w:jc w:val="left"/>
    </w:pPr>
    <w:rPr>
      <w:rFonts w:ascii="宋体" w:eastAsia="宋体"/>
      <w:kern w:val="0"/>
      <w:sz w:val="24"/>
    </w:rPr>
  </w:style>
  <w:style w:type="paragraph" w:customStyle="1" w:styleId="32">
    <w:name w:val="Table Text"/>
    <w:basedOn w:val="1"/>
    <w:semiHidden/>
    <w:qFormat/>
    <w:uiPriority w:val="0"/>
    <w:rPr>
      <w:rFonts w:ascii="宋体" w:hAnsi="宋体" w:eastAsia="宋体" w:cs="宋体"/>
      <w:sz w:val="24"/>
      <w:szCs w:val="24"/>
      <w:lang w:val="en-US" w:eastAsia="en-US" w:bidi="ar-SA"/>
    </w:rPr>
  </w:style>
  <w:style w:type="paragraph" w:customStyle="1" w:styleId="33">
    <w:name w:val="表内容"/>
    <w:qFormat/>
    <w:uiPriority w:val="0"/>
    <w:pPr>
      <w:adjustRightInd w:val="0"/>
      <w:jc w:val="center"/>
    </w:pPr>
    <w:rPr>
      <w:rFonts w:ascii="Times New Roman" w:hAnsi="Times New Roman" w:eastAsia="宋体" w:cs="Times New Roman"/>
      <w:sz w:val="21"/>
      <w:szCs w:val="22"/>
      <w:lang w:val="en-US" w:eastAsia="zh-CN" w:bidi="ar-SA"/>
    </w:rPr>
  </w:style>
  <w:style w:type="paragraph" w:customStyle="1" w:styleId="34">
    <w:name w:val="H图表内容"/>
    <w:basedOn w:val="1"/>
    <w:qFormat/>
    <w:uiPriority w:val="0"/>
    <w:rPr>
      <w:szCs w:val="20"/>
    </w:rPr>
  </w:style>
  <w:style w:type="paragraph" w:customStyle="1" w:styleId="35">
    <w:name w:val="正文（）"/>
    <w:basedOn w:val="1"/>
    <w:qFormat/>
    <w:uiPriority w:val="0"/>
    <w:pPr>
      <w:adjustRightInd w:val="0"/>
      <w:snapToGrid w:val="0"/>
      <w:spacing w:line="360" w:lineRule="auto"/>
      <w:ind w:firstLine="200" w:firstLineChars="200"/>
    </w:pPr>
    <w:rPr>
      <w:color w:val="5B9BD5"/>
      <w:sz w:val="24"/>
      <w:szCs w:val="20"/>
    </w:rPr>
  </w:style>
  <w:style w:type="paragraph" w:customStyle="1" w:styleId="36">
    <w:name w:val="6表格"/>
    <w:basedOn w:val="1"/>
    <w:qFormat/>
    <w:uiPriority w:val="0"/>
    <w:pPr>
      <w:jc w:val="center"/>
    </w:pPr>
  </w:style>
  <w:style w:type="paragraph" w:customStyle="1" w:styleId="37">
    <w:name w:val="表格内容（）"/>
    <w:basedOn w:val="1"/>
    <w:qFormat/>
    <w:uiPriority w:val="0"/>
    <w:pPr>
      <w:widowControl w:val="0"/>
      <w:spacing w:line="240" w:lineRule="auto"/>
      <w:ind w:firstLine="0" w:firstLineChars="0"/>
      <w:jc w:val="center"/>
    </w:pPr>
    <w:rPr>
      <w:color w:val="00B0F0"/>
      <w:sz w:val="21"/>
      <w:szCs w:val="21"/>
    </w:rPr>
  </w:style>
  <w:style w:type="paragraph" w:customStyle="1" w:styleId="38">
    <w:name w:val="表格固定文字"/>
    <w:basedOn w:val="1"/>
    <w:qFormat/>
    <w:uiPriority w:val="0"/>
    <w:pPr>
      <w:ind w:firstLine="0"/>
    </w:pPr>
    <w:rPr>
      <w:rFonts w:eastAsia="宋体"/>
      <w:sz w:val="21"/>
      <w:szCs w:val="24"/>
    </w:rPr>
  </w:style>
  <w:style w:type="paragraph" w:customStyle="1" w:styleId="39">
    <w:name w:val="个人  标题2"/>
    <w:basedOn w:val="1"/>
    <w:qFormat/>
    <w:uiPriority w:val="0"/>
    <w:pPr>
      <w:ind w:firstLine="0" w:firstLineChars="0"/>
      <w:outlineLvl w:val="1"/>
    </w:pPr>
    <w:rPr>
      <w:b/>
      <w:sz w:val="30"/>
    </w:rPr>
  </w:style>
  <w:style w:type="paragraph" w:customStyle="1" w:styleId="4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1">
    <w:name w:val="表格表头"/>
    <w:basedOn w:val="42"/>
    <w:qFormat/>
    <w:uiPriority w:val="0"/>
    <w:pPr>
      <w:spacing w:before="50" w:beforeLines="50" w:line="240" w:lineRule="auto"/>
      <w:ind w:firstLine="0"/>
      <w:jc w:val="center"/>
    </w:pPr>
    <w:rPr>
      <w:rFonts w:eastAsia="黑体"/>
    </w:rPr>
  </w:style>
  <w:style w:type="paragraph" w:customStyle="1" w:styleId="42">
    <w:name w:val="zhang正文"/>
    <w:basedOn w:val="12"/>
    <w:next w:val="1"/>
    <w:link w:val="65"/>
    <w:qFormat/>
    <w:uiPriority w:val="0"/>
    <w:pPr>
      <w:widowControl w:val="0"/>
      <w:autoSpaceDE w:val="0"/>
      <w:autoSpaceDN w:val="0"/>
      <w:adjustRightInd w:val="0"/>
      <w:snapToGrid w:val="0"/>
      <w:spacing w:after="0" w:afterLines="0" w:line="500" w:lineRule="exact"/>
      <w:ind w:left="0" w:leftChars="0" w:firstLine="539"/>
      <w:jc w:val="both"/>
      <w:textAlignment w:val="baseline"/>
    </w:pPr>
    <w:rPr>
      <w:rFonts w:eastAsia="楷体_GB2312"/>
      <w:sz w:val="28"/>
    </w:rPr>
  </w:style>
  <w:style w:type="paragraph" w:customStyle="1" w:styleId="43">
    <w:name w:val="表正文"/>
    <w:basedOn w:val="1"/>
    <w:qFormat/>
    <w:uiPriority w:val="0"/>
    <w:pPr>
      <w:spacing w:line="360" w:lineRule="auto"/>
      <w:ind w:firstLine="200" w:firstLineChars="200"/>
    </w:pPr>
    <w:rPr>
      <w:sz w:val="24"/>
    </w:rPr>
  </w:style>
  <w:style w:type="paragraph" w:customStyle="1" w:styleId="44">
    <w:name w:val="个人标题3"/>
    <w:basedOn w:val="1"/>
    <w:qFormat/>
    <w:uiPriority w:val="0"/>
    <w:pPr>
      <w:ind w:firstLine="0" w:firstLineChars="0"/>
      <w:outlineLvl w:val="2"/>
    </w:pPr>
    <w:rPr>
      <w:b/>
      <w:sz w:val="28"/>
    </w:rPr>
  </w:style>
  <w:style w:type="paragraph" w:customStyle="1" w:styleId="45">
    <w:name w:val="正文内容"/>
    <w:basedOn w:val="1"/>
    <w:qFormat/>
    <w:uiPriority w:val="0"/>
    <w:pPr>
      <w:adjustRightInd w:val="0"/>
      <w:spacing w:line="360" w:lineRule="auto"/>
      <w:ind w:firstLine="480" w:firstLineChars="200"/>
    </w:pPr>
    <w:rPr>
      <w:rFonts w:ascii="宋体" w:hAnsi="宋体" w:cs="宋体"/>
      <w:sz w:val="24"/>
    </w:rPr>
  </w:style>
  <w:style w:type="paragraph" w:customStyle="1" w:styleId="46">
    <w:name w:val="三级aaa"/>
    <w:basedOn w:val="5"/>
    <w:next w:val="1"/>
    <w:qFormat/>
    <w:uiPriority w:val="0"/>
    <w:pPr>
      <w:keepNext w:val="0"/>
      <w:keepLines w:val="0"/>
      <w:widowControl w:val="0"/>
      <w:adjustRightInd w:val="0"/>
      <w:snapToGrid w:val="0"/>
      <w:spacing w:before="0" w:after="0" w:line="360" w:lineRule="auto"/>
    </w:pPr>
    <w:rPr>
      <w:sz w:val="28"/>
    </w:rPr>
  </w:style>
  <w:style w:type="paragraph" w:customStyle="1" w:styleId="47">
    <w:name w:val="正文hhhhhh"/>
    <w:basedOn w:val="1"/>
    <w:next w:val="6"/>
    <w:qFormat/>
    <w:uiPriority w:val="0"/>
    <w:pPr>
      <w:widowControl w:val="0"/>
      <w:adjustRightInd w:val="0"/>
      <w:snapToGrid w:val="0"/>
      <w:spacing w:line="360" w:lineRule="auto"/>
      <w:ind w:firstLine="200" w:firstLineChars="200"/>
    </w:pPr>
    <w:rPr>
      <w:sz w:val="24"/>
    </w:rPr>
  </w:style>
  <w:style w:type="paragraph" w:customStyle="1" w:styleId="48">
    <w:name w:val="正文（无网格）"/>
    <w:basedOn w:val="1"/>
    <w:qFormat/>
    <w:uiPriority w:val="0"/>
    <w:pPr>
      <w:adjustRightInd w:val="0"/>
      <w:snapToGrid w:val="0"/>
      <w:spacing w:line="360" w:lineRule="auto"/>
      <w:ind w:firstLine="480" w:firstLineChars="200"/>
    </w:pPr>
    <w:rPr>
      <w:rFonts w:cs="宋体"/>
      <w:sz w:val="24"/>
      <w:szCs w:val="20"/>
    </w:rPr>
  </w:style>
  <w:style w:type="paragraph" w:customStyle="1" w:styleId="49">
    <w:name w:val="常用"/>
    <w:basedOn w:val="1"/>
    <w:qFormat/>
    <w:uiPriority w:val="0"/>
    <w:pPr>
      <w:widowControl/>
      <w:spacing w:line="360" w:lineRule="auto"/>
      <w:ind w:firstLine="200" w:firstLineChars="200"/>
      <w:jc w:val="left"/>
    </w:pPr>
    <w:rPr>
      <w:rFonts w:ascii="宋体" w:hAnsi="宋体" w:eastAsia="宋体" w:cs="Courier New"/>
      <w:kern w:val="0"/>
      <w:szCs w:val="28"/>
    </w:rPr>
  </w:style>
  <w:style w:type="paragraph" w:customStyle="1" w:styleId="50">
    <w:name w:val="闽创报告正文"/>
    <w:basedOn w:val="1"/>
    <w:qFormat/>
    <w:uiPriority w:val="0"/>
    <w:pPr>
      <w:tabs>
        <w:tab w:val="left" w:pos="0"/>
      </w:tabs>
      <w:spacing w:line="360" w:lineRule="auto"/>
      <w:ind w:firstLine="200" w:firstLineChars="200"/>
    </w:pPr>
    <w:rPr>
      <w:color w:val="000000"/>
      <w:sz w:val="24"/>
      <w:szCs w:val="20"/>
    </w:rPr>
  </w:style>
  <w:style w:type="paragraph" w:customStyle="1" w:styleId="51">
    <w:name w:val="表格名称1"/>
    <w:basedOn w:val="1"/>
    <w:qFormat/>
    <w:uiPriority w:val="0"/>
    <w:pPr>
      <w:keepNext w:val="0"/>
      <w:keepLines w:val="0"/>
      <w:widowControl w:val="0"/>
      <w:suppressLineNumbers w:val="0"/>
      <w:adjustRightInd w:val="0"/>
      <w:snapToGrid w:val="0"/>
      <w:spacing w:before="0" w:beforeAutospacing="0" w:after="0" w:afterAutospacing="0" w:line="240" w:lineRule="auto"/>
      <w:ind w:left="0" w:right="0" w:firstLine="0" w:firstLineChars="0"/>
      <w:jc w:val="center"/>
    </w:pPr>
    <w:rPr>
      <w:rFonts w:ascii="Times New Roman" w:hAnsi="Times New Roman" w:eastAsia="宋体" w:cs="Times New Roman"/>
      <w:b/>
      <w:sz w:val="21"/>
      <w:lang w:bidi="ar"/>
    </w:rPr>
  </w:style>
  <w:style w:type="paragraph" w:customStyle="1" w:styleId="52">
    <w:name w:val="彪哥文本"/>
    <w:basedOn w:val="1"/>
    <w:next w:val="1"/>
    <w:qFormat/>
    <w:uiPriority w:val="0"/>
    <w:pPr>
      <w:adjustRightInd w:val="0"/>
      <w:snapToGrid w:val="0"/>
      <w:spacing w:before="10" w:beforeLines="10" w:after="10" w:afterLines="10" w:line="240" w:lineRule="auto"/>
      <w:jc w:val="center"/>
    </w:pPr>
    <w:rPr>
      <w:rFonts w:ascii="Times New Roman" w:hAnsi="Times New Roman" w:eastAsia="宋体"/>
      <w:kern w:val="0"/>
      <w:szCs w:val="20"/>
    </w:rPr>
  </w:style>
  <w:style w:type="paragraph" w:customStyle="1" w:styleId="53">
    <w:name w:val="22标题2"/>
    <w:basedOn w:val="54"/>
    <w:qFormat/>
    <w:uiPriority w:val="0"/>
    <w:pPr>
      <w:adjustRightInd w:val="0"/>
      <w:snapToGrid w:val="0"/>
    </w:pPr>
    <w:rPr>
      <w:color w:val="0000FF"/>
    </w:rPr>
  </w:style>
  <w:style w:type="paragraph" w:customStyle="1" w:styleId="54">
    <w:name w:val="标题2"/>
    <w:basedOn w:val="7"/>
    <w:qFormat/>
    <w:uiPriority w:val="0"/>
    <w:pPr>
      <w:spacing w:line="360" w:lineRule="auto"/>
      <w:outlineLvl w:val="1"/>
    </w:pPr>
    <w:rPr>
      <w:rFonts w:ascii="Times New Roman" w:hAnsi="Times New Roman" w:eastAsia="黑体" w:cs="Times New Roman"/>
      <w:sz w:val="30"/>
      <w:szCs w:val="30"/>
    </w:rPr>
  </w:style>
  <w:style w:type="paragraph" w:customStyle="1" w:styleId="55">
    <w:name w:val="样式 首行缩进:  2 字符1"/>
    <w:basedOn w:val="1"/>
    <w:qFormat/>
    <w:uiPriority w:val="0"/>
    <w:pPr>
      <w:adjustRightInd w:val="0"/>
      <w:snapToGrid w:val="0"/>
      <w:spacing w:line="360" w:lineRule="auto"/>
      <w:ind w:firstLine="480" w:firstLineChars="200"/>
    </w:pPr>
    <w:rPr>
      <w:rFonts w:hint="eastAsia" w:ascii="宋体" w:hAnsi="宋体" w:eastAsia="宋体" w:cs="宋体"/>
      <w:sz w:val="24"/>
      <w:szCs w:val="32"/>
    </w:rPr>
  </w:style>
  <w:style w:type="table" w:customStyle="1" w:styleId="56">
    <w:name w:val="样式6"/>
    <w:basedOn w:val="23"/>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57">
    <w:name w:val="样式 样式 正文01 + 黑色 首行缩进:  2 字符 段前: 0 磅 行距: 1.5 倍行距 + 首行缩进:  2 字符"/>
    <w:basedOn w:val="58"/>
    <w:qFormat/>
    <w:uiPriority w:val="0"/>
    <w:pPr>
      <w:spacing w:line="440" w:lineRule="exact"/>
      <w:ind w:firstLine="200"/>
    </w:pPr>
    <w:rPr>
      <w:rFonts w:eastAsia="宋体"/>
      <w:bCs/>
    </w:rPr>
  </w:style>
  <w:style w:type="paragraph" w:customStyle="1" w:styleId="58">
    <w:name w:val="样式 正文（首行缩进两字） + (中文) 仿宋_GB2312 小四 行距: 1.5 倍行距"/>
    <w:basedOn w:val="2"/>
    <w:qFormat/>
    <w:uiPriority w:val="0"/>
    <w:pPr>
      <w:adjustRightInd/>
      <w:spacing w:line="360" w:lineRule="auto"/>
      <w:ind w:firstLine="480" w:firstLineChars="200"/>
      <w:textAlignment w:val="auto"/>
    </w:pPr>
    <w:rPr>
      <w:rFonts w:eastAsia="仿宋_GB2312"/>
      <w:kern w:val="2"/>
      <w:sz w:val="24"/>
    </w:rPr>
  </w:style>
  <w:style w:type="paragraph" w:customStyle="1" w:styleId="59">
    <w:name w:val="表格标题（）"/>
    <w:basedOn w:val="1"/>
    <w:qFormat/>
    <w:uiPriority w:val="0"/>
    <w:pPr>
      <w:widowControl w:val="0"/>
      <w:spacing w:line="240" w:lineRule="auto"/>
      <w:ind w:firstLine="0" w:firstLineChars="0"/>
      <w:jc w:val="center"/>
    </w:pPr>
    <w:rPr>
      <w:rFonts w:eastAsia="黑体"/>
      <w:color w:val="000000"/>
      <w:lang w:val="zh-CN" w:bidi="he-IL"/>
    </w:rPr>
  </w:style>
  <w:style w:type="paragraph" w:customStyle="1" w:styleId="60">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61">
    <w:name w:val="表格标题"/>
    <w:basedOn w:val="1"/>
    <w:qFormat/>
    <w:uiPriority w:val="0"/>
    <w:pPr>
      <w:tabs>
        <w:tab w:val="left" w:pos="4507"/>
      </w:tabs>
      <w:wordWrap/>
      <w:overflowPunct/>
      <w:topLinePunct w:val="0"/>
      <w:adjustRightInd/>
      <w:spacing w:beforeLines="50" w:line="240" w:lineRule="auto"/>
      <w:jc w:val="center"/>
    </w:pPr>
    <w:rPr>
      <w:rFonts w:ascii="等线" w:hAnsi="等线" w:eastAsia="黑体" w:cs="等线"/>
      <w:spacing w:val="4"/>
      <w:kern w:val="2"/>
      <w:sz w:val="24"/>
      <w:szCs w:val="24"/>
    </w:rPr>
  </w:style>
  <w:style w:type="paragraph" w:customStyle="1" w:styleId="62">
    <w:name w:val="表格内容"/>
    <w:basedOn w:val="19"/>
    <w:next w:val="1"/>
    <w:qFormat/>
    <w:uiPriority w:val="0"/>
    <w:pPr>
      <w:autoSpaceDE w:val="0"/>
      <w:autoSpaceDN w:val="0"/>
      <w:ind w:firstLine="0"/>
      <w:jc w:val="center"/>
    </w:pPr>
    <w:rPr>
      <w:kern w:val="0"/>
      <w:sz w:val="24"/>
      <w:lang w:bidi="he-IL"/>
    </w:rPr>
  </w:style>
  <w:style w:type="paragraph" w:customStyle="1" w:styleId="63">
    <w:name w:val="5文章(治)"/>
    <w:basedOn w:val="1"/>
    <w:qFormat/>
    <w:uiPriority w:val="0"/>
    <w:pPr>
      <w:keepNext w:val="0"/>
      <w:keepLines w:val="0"/>
      <w:widowControl w:val="0"/>
      <w:suppressLineNumbers w:val="0"/>
      <w:spacing w:before="0" w:beforeAutospacing="0" w:after="0" w:afterAutospacing="0" w:line="360" w:lineRule="auto"/>
      <w:ind w:left="0" w:right="0" w:firstLine="560" w:firstLineChars="200"/>
      <w:jc w:val="both"/>
    </w:pPr>
    <w:rPr>
      <w:rFonts w:hint="default" w:ascii="Times New Roman" w:hAnsi="Times New Roman" w:eastAsia="宋体" w:cs="Times New Roman"/>
      <w:kern w:val="2"/>
      <w:sz w:val="24"/>
      <w:szCs w:val="20"/>
      <w:lang w:val="en-US" w:eastAsia="zh-CN" w:bidi="ar-SA"/>
    </w:rPr>
  </w:style>
  <w:style w:type="character" w:customStyle="1" w:styleId="64">
    <w:name w:val="样式 zhang正文 + 宋体 小四 Char"/>
    <w:basedOn w:val="65"/>
    <w:link w:val="67"/>
    <w:qFormat/>
    <w:uiPriority w:val="0"/>
    <w:rPr>
      <w:rFonts w:ascii="宋体" w:hAnsi="宋体" w:eastAsia="宋体"/>
      <w:sz w:val="24"/>
    </w:rPr>
  </w:style>
  <w:style w:type="character" w:customStyle="1" w:styleId="65">
    <w:name w:val="zhang正文 Char1"/>
    <w:basedOn w:val="66"/>
    <w:link w:val="42"/>
    <w:qFormat/>
    <w:uiPriority w:val="0"/>
    <w:rPr>
      <w:rFonts w:eastAsia="楷体_GB2312"/>
      <w:sz w:val="28"/>
    </w:rPr>
  </w:style>
  <w:style w:type="character" w:customStyle="1" w:styleId="66">
    <w:name w:val="正文文本缩进 Char1"/>
    <w:basedOn w:val="25"/>
    <w:link w:val="12"/>
    <w:qFormat/>
    <w:uiPriority w:val="0"/>
    <w:rPr>
      <w:kern w:val="0"/>
      <w:sz w:val="24"/>
      <w:szCs w:val="20"/>
    </w:rPr>
  </w:style>
  <w:style w:type="paragraph" w:customStyle="1" w:styleId="67">
    <w:name w:val="样式 zhang正文 + 宋体 小四"/>
    <w:basedOn w:val="42"/>
    <w:link w:val="64"/>
    <w:qFormat/>
    <w:uiPriority w:val="0"/>
    <w:rPr>
      <w:rFonts w:ascii="宋体" w:hAnsi="宋体" w:eastAsia="宋体"/>
      <w:sz w:val="24"/>
    </w:rPr>
  </w:style>
  <w:style w:type="paragraph" w:customStyle="1" w:styleId="68">
    <w:name w:val="4正文"/>
    <w:basedOn w:val="1"/>
    <w:qFormat/>
    <w:uiPriority w:val="0"/>
    <w:pPr>
      <w:adjustRightInd w:val="0"/>
      <w:snapToGrid w:val="0"/>
      <w:spacing w:line="360" w:lineRule="auto"/>
      <w:ind w:firstLine="480" w:firstLineChars="200"/>
    </w:pPr>
    <w:rPr>
      <w:rFonts w:eastAsia="宋体" w:cs="宋体"/>
      <w:sz w:val="24"/>
    </w:rPr>
  </w:style>
  <w:style w:type="paragraph" w:customStyle="1" w:styleId="69">
    <w:name w:val="屠彪标题"/>
    <w:basedOn w:val="1"/>
    <w:qFormat/>
    <w:uiPriority w:val="0"/>
    <w:pPr>
      <w:adjustRightInd w:val="0"/>
      <w:snapToGrid w:val="0"/>
      <w:spacing w:before="10" w:beforeLines="10" w:after="10" w:afterLines="10"/>
      <w:jc w:val="center"/>
    </w:pPr>
    <w:rPr>
      <w:rFonts w:ascii="Times New Roman" w:hAnsi="Times New Roman" w:eastAsia="宋体"/>
      <w:b/>
      <w:kern w:val="0"/>
      <w:sz w:val="24"/>
      <w:szCs w:val="20"/>
    </w:rPr>
  </w:style>
  <w:style w:type="paragraph" w:customStyle="1" w:styleId="70">
    <w:name w:val="表格样式"/>
    <w:basedOn w:val="1"/>
    <w:next w:val="1"/>
    <w:qFormat/>
    <w:uiPriority w:val="0"/>
    <w:pPr>
      <w:keepNext/>
      <w:overflowPunct w:val="0"/>
      <w:snapToGrid w:val="0"/>
      <w:spacing w:line="340" w:lineRule="exact"/>
      <w:ind w:left="0" w:firstLine="0"/>
      <w:jc w:val="center"/>
      <w:outlineLvl w:val="9"/>
    </w:pPr>
    <w:rPr>
      <w:rFonts w:hint="eastAsia" w:ascii="Times New Roman" w:hAnsi="Times New Roman" w:eastAsia="宋体" w:cs="Times New Roman"/>
      <w:bCs/>
      <w:color w:val="000000"/>
      <w:kern w:val="44"/>
      <w:szCs w:val="30"/>
    </w:rPr>
  </w:style>
  <w:style w:type="table" w:customStyle="1" w:styleId="71">
    <w:name w:val="表格样式1"/>
    <w:basedOn w:val="23"/>
    <w:qFormat/>
    <w:uiPriority w:val="0"/>
    <w:pPr>
      <w:jc w:val="center"/>
    </w:pPr>
    <w:rPr>
      <w:sz w:val="21"/>
    </w:rPr>
    <w:tblPr>
      <w:tblBorders>
        <w:top w:val="single" w:color="auto" w:sz="12" w:space="0"/>
        <w:bottom w:val="single" w:color="auto" w:sz="12" w:space="0"/>
        <w:insideH w:val="single" w:color="auto" w:sz="6" w:space="0"/>
        <w:insideV w:val="single" w:color="auto" w:sz="6" w:space="0"/>
      </w:tblBorders>
      <w:tblCellMar>
        <w:left w:w="57" w:type="dxa"/>
        <w:right w:w="57" w:type="dxa"/>
      </w:tblCellMar>
    </w:tblPr>
    <w:tcPr>
      <w:vAlign w:val="center"/>
    </w:tcPr>
  </w:style>
  <w:style w:type="paragraph" w:customStyle="1" w:styleId="72">
    <w:name w:val="表格字体"/>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73">
    <w:name w:val="标题111"/>
    <w:basedOn w:val="21"/>
    <w:qFormat/>
    <w:uiPriority w:val="0"/>
    <w:pPr>
      <w:adjustRightInd w:val="0"/>
      <w:snapToGrid w:val="0"/>
      <w:spacing w:before="0" w:beforeAutospacing="0" w:after="0" w:afterAutospacing="0" w:line="360" w:lineRule="auto"/>
      <w:jc w:val="center"/>
      <w:outlineLvl w:val="0"/>
    </w:pPr>
    <w:rPr>
      <w:rFonts w:ascii="Times New Roman" w:hAnsi="Times New Roman" w:eastAsia="黑体"/>
      <w:snapToGrid w:val="0"/>
      <w:sz w:val="32"/>
      <w:szCs w:val="30"/>
    </w:rPr>
  </w:style>
  <w:style w:type="paragraph" w:customStyle="1" w:styleId="74">
    <w:name w:val="正文(首行缩进)"/>
    <w:basedOn w:val="1"/>
    <w:qFormat/>
    <w:uiPriority w:val="0"/>
    <w:pPr>
      <w:adjustRightInd w:val="0"/>
      <w:snapToGrid w:val="0"/>
      <w:spacing w:line="360" w:lineRule="auto"/>
      <w:ind w:firstLine="200" w:firstLineChars="200"/>
    </w:pPr>
    <w:rPr>
      <w:snapToGrid w:val="0"/>
      <w:szCs w:val="24"/>
    </w:rPr>
  </w:style>
  <w:style w:type="paragraph" w:customStyle="1" w:styleId="75">
    <w:name w:val="表格文本"/>
    <w:basedOn w:val="1"/>
    <w:autoRedefine/>
    <w:qFormat/>
    <w:uiPriority w:val="0"/>
    <w:pPr>
      <w:autoSpaceDE w:val="0"/>
      <w:autoSpaceDN w:val="0"/>
      <w:spacing w:line="320" w:lineRule="exact"/>
      <w:jc w:val="center"/>
      <w:textAlignment w:val="baseline"/>
    </w:pPr>
    <w:rPr>
      <w:rFonts w:ascii="Times New Roman" w:hAnsi="Times New Roman" w:eastAsia="宋体"/>
      <w:kern w:val="0"/>
      <w:sz w:val="21"/>
      <w:szCs w:val="20"/>
    </w:rPr>
  </w:style>
  <w:style w:type="paragraph" w:customStyle="1" w:styleId="76">
    <w:name w:val="表格正文"/>
    <w:basedOn w:val="1"/>
    <w:qFormat/>
    <w:uiPriority w:val="0"/>
    <w:pPr>
      <w:ind w:firstLine="420"/>
    </w:pPr>
  </w:style>
  <w:style w:type="paragraph" w:customStyle="1" w:styleId="77">
    <w:name w:val="正文格式111"/>
    <w:basedOn w:val="1"/>
    <w:qFormat/>
    <w:uiPriority w:val="0"/>
    <w:pPr>
      <w:widowControl/>
      <w:spacing w:line="420" w:lineRule="auto"/>
      <w:ind w:firstLine="480" w:firstLineChars="200"/>
      <w:jc w:val="left"/>
    </w:pPr>
    <w:rPr>
      <w:rFonts w:eastAsia="Times New Roman"/>
      <w:bCs/>
      <w:kern w:val="0"/>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39.png"/><Relationship Id="rId6" Type="http://schemas.openxmlformats.org/officeDocument/2006/relationships/footer" Target="footer4.xml"/><Relationship Id="rId59" Type="http://schemas.openxmlformats.org/officeDocument/2006/relationships/image" Target="media/image38.png"/><Relationship Id="rId58" Type="http://schemas.openxmlformats.org/officeDocument/2006/relationships/image" Target="media/image37.png"/><Relationship Id="rId57" Type="http://schemas.openxmlformats.org/officeDocument/2006/relationships/image" Target="media/image36.png"/><Relationship Id="rId56" Type="http://schemas.openxmlformats.org/officeDocument/2006/relationships/image" Target="media/image35.png"/><Relationship Id="rId55" Type="http://schemas.openxmlformats.org/officeDocument/2006/relationships/image" Target="media/image34.png"/><Relationship Id="rId54" Type="http://schemas.openxmlformats.org/officeDocument/2006/relationships/image" Target="media/image33.jpeg"/><Relationship Id="rId53" Type="http://schemas.openxmlformats.org/officeDocument/2006/relationships/image" Target="file:///C:\Users\Admin\AppData\Local\Temp\ksohtml12936\wps12.png" TargetMode="External"/><Relationship Id="rId52" Type="http://schemas.openxmlformats.org/officeDocument/2006/relationships/image" Target="media/image32.png"/><Relationship Id="rId51" Type="http://schemas.openxmlformats.org/officeDocument/2006/relationships/image" Target="file:///C:\Users\Admin\AppData\Local\Temp\ksohtml12936\wps11.png" TargetMode="External"/><Relationship Id="rId50" Type="http://schemas.openxmlformats.org/officeDocument/2006/relationships/image" Target="media/image31.png"/><Relationship Id="rId5" Type="http://schemas.openxmlformats.org/officeDocument/2006/relationships/footer" Target="footer3.xml"/><Relationship Id="rId49" Type="http://schemas.openxmlformats.org/officeDocument/2006/relationships/image" Target="file:///C:\Users\Admin\AppData\Local\Temp\ksohtml12936\wps10.png" TargetMode="External"/><Relationship Id="rId48" Type="http://schemas.openxmlformats.org/officeDocument/2006/relationships/image" Target="media/image30.png"/><Relationship Id="rId47" Type="http://schemas.openxmlformats.org/officeDocument/2006/relationships/image" Target="file:///C:\Users\Admin\AppData\Local\Temp\ksohtml12936\wps9.png" TargetMode="External"/><Relationship Id="rId46" Type="http://schemas.openxmlformats.org/officeDocument/2006/relationships/image" Target="media/image29.png"/><Relationship Id="rId45" Type="http://schemas.openxmlformats.org/officeDocument/2006/relationships/image" Target="file:///C:\Users\Admin\AppData\Local\Temp\ksohtml12936\wps8.png" TargetMode="External"/><Relationship Id="rId44" Type="http://schemas.openxmlformats.org/officeDocument/2006/relationships/image" Target="media/image28.png"/><Relationship Id="rId43" Type="http://schemas.openxmlformats.org/officeDocument/2006/relationships/image" Target="file:///C:\Users\Admin\AppData\Local\Temp\ksohtml12936\wps7.png" TargetMode="External"/><Relationship Id="rId42" Type="http://schemas.openxmlformats.org/officeDocument/2006/relationships/image" Target="media/image27.png"/><Relationship Id="rId41" Type="http://schemas.openxmlformats.org/officeDocument/2006/relationships/image" Target="file:///C:\Users\Admin\AppData\Local\Temp\ksohtml12936\wps6.png" TargetMode="External"/><Relationship Id="rId40" Type="http://schemas.openxmlformats.org/officeDocument/2006/relationships/image" Target="media/image26.png"/><Relationship Id="rId4" Type="http://schemas.openxmlformats.org/officeDocument/2006/relationships/footer" Target="footer2.xml"/><Relationship Id="rId39" Type="http://schemas.openxmlformats.org/officeDocument/2006/relationships/image" Target="file:///C:\Users\Admin\AppData\Local\Temp\ksohtml12936\wps5.png" TargetMode="External"/><Relationship Id="rId38" Type="http://schemas.openxmlformats.org/officeDocument/2006/relationships/image" Target="media/image25.png"/><Relationship Id="rId37" Type="http://schemas.openxmlformats.org/officeDocument/2006/relationships/image" Target="file:///C:\Users\Admin\AppData\Local\Temp\ksohtml12936\wps4.png" TargetMode="External"/><Relationship Id="rId36" Type="http://schemas.openxmlformats.org/officeDocument/2006/relationships/image" Target="media/image24.png"/><Relationship Id="rId35" Type="http://schemas.openxmlformats.org/officeDocument/2006/relationships/image" Target="file:///C:\Users\Admin\AppData\Local\Temp\ksohtml12936\wps3.png" TargetMode="External"/><Relationship Id="rId34" Type="http://schemas.openxmlformats.org/officeDocument/2006/relationships/image" Target="media/image23.png"/><Relationship Id="rId33" Type="http://schemas.openxmlformats.org/officeDocument/2006/relationships/image" Target="file:///C:\Users\Admin\AppData\Local\Temp\ksohtml12936\wps2.png" TargetMode="External"/><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emf"/><Relationship Id="rId3" Type="http://schemas.openxmlformats.org/officeDocument/2006/relationships/footer" Target="footer1.xml"/><Relationship Id="rId29" Type="http://schemas.openxmlformats.org/officeDocument/2006/relationships/oleObject" Target="embeddings/oleObject1.bin"/><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"/>
    </extobj>
    <extobj name="F360BE8B-6686-4F3D-AEAF-501FE73E4058-2">
      <extobjdata type="F360BE8B-6686-4F3D-AEAF-501FE73E4058" data="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"/>
    </extobj>
    <extobj name="F360BE8B-6686-4F3D-AEAF-501FE73E4058-3">
      <extobjdata type="F360BE8B-6686-4F3D-AEAF-501FE73E4058" data="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102</Pages>
  <Words>56885</Words>
  <Characters>64419</Characters>
  <Lines>0</Lines>
  <Paragraphs>0</Paragraphs>
  <TotalTime>29</TotalTime>
  <ScaleCrop>false</ScaleCrop>
  <LinksUpToDate>false</LinksUpToDate>
  <CharactersWithSpaces>65125</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2025-09-23T14:57:00Z</dcterms:created>
  <dc:creator>波波</dc:creator>
  <cp:lastModifiedBy>admin</cp:lastModifiedBy>
  <cp:lastPrinted>2025-11-26T10:59:00Z</cp:lastPrinted>
  <dcterms:modified xsi:type="dcterms:W3CDTF">2025-12-08T09:01:13Z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KSOTemplateDocerSaveRecord">
    <vt:lpwstr>eyJoZGlkIjoiZGQ5YmI0MTA5YzgzMmVmOGM2MWM4Nzg2MmQ3Yjc2ZjAiLCJ1c2VySWQiOiIxMjAwMTc5OTE0In0=</vt:lpwstr>
  </property>
  <property fmtid="{D5CDD505-2E9C-101B-9397-08002B2CF9AE}" pid="4" name="ICV">
    <vt:lpwstr>989A0A6FFF30401E9E9FB17CEACDDB4E_13</vt:lpwstr>
  </property>
</Properties>
</file>